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80" w:rsidRPr="00422183" w:rsidRDefault="009C1D8C"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b/>
          <w:sz w:val="54"/>
          <w:szCs w:val="54"/>
        </w:rPr>
      </w:pPr>
      <w:bookmarkStart w:id="0" w:name="_GoBack"/>
      <w:bookmarkEnd w:id="0"/>
      <w:r w:rsidRPr="00422183">
        <w:rPr>
          <w:rFonts w:ascii="Rockwell" w:hAnsi="Rockwell"/>
          <w:b/>
          <w:sz w:val="54"/>
          <w:szCs w:val="54"/>
        </w:rPr>
        <w:t>BURKINA   FASO</w:t>
      </w:r>
    </w:p>
    <w:p w:rsidR="009C1D8C" w:rsidRPr="00422183" w:rsidRDefault="009C1D8C"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sz w:val="24"/>
          <w:szCs w:val="24"/>
        </w:rPr>
      </w:pPr>
      <w:r w:rsidRPr="00422183">
        <w:rPr>
          <w:rFonts w:ascii="Rockwell" w:hAnsi="Rockwell"/>
          <w:sz w:val="24"/>
          <w:szCs w:val="24"/>
        </w:rPr>
        <w:t>-------------------------------</w:t>
      </w:r>
    </w:p>
    <w:p w:rsidR="009C1D8C" w:rsidRPr="00422183" w:rsidRDefault="009C1D8C"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b/>
          <w:i/>
          <w:sz w:val="24"/>
          <w:szCs w:val="24"/>
        </w:rPr>
      </w:pPr>
      <w:r w:rsidRPr="00422183">
        <w:rPr>
          <w:rFonts w:ascii="Rockwell" w:hAnsi="Rockwell"/>
          <w:b/>
          <w:i/>
          <w:sz w:val="24"/>
          <w:szCs w:val="24"/>
        </w:rPr>
        <w:t>Unité – Progrès - Justice</w:t>
      </w: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9C1D8C" w:rsidRPr="00422183" w:rsidRDefault="009C1D8C"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9C1D8C"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sz w:val="24"/>
          <w:szCs w:val="24"/>
        </w:rPr>
      </w:pPr>
      <w:r w:rsidRPr="00422183">
        <w:rPr>
          <w:rFonts w:ascii="Rockwell" w:eastAsia="Microsoft JhengHei" w:hAnsi="Rockwell"/>
          <w:b/>
          <w:noProof/>
          <w:sz w:val="24"/>
          <w:szCs w:val="24"/>
        </w:rPr>
        <w:drawing>
          <wp:inline distT="0" distB="0" distL="0" distR="0">
            <wp:extent cx="2037486" cy="2157984"/>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2059546" cy="2181349"/>
                    </a:xfrm>
                    <a:prstGeom prst="rect">
                      <a:avLst/>
                    </a:prstGeom>
                    <a:noFill/>
                    <a:ln w="9525">
                      <a:noFill/>
                      <a:miter lim="800000"/>
                      <a:headEnd/>
                      <a:tailEnd/>
                    </a:ln>
                  </pic:spPr>
                </pic:pic>
              </a:graphicData>
            </a:graphic>
          </wp:inline>
        </w:drawing>
      </w: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b/>
          <w:sz w:val="54"/>
          <w:szCs w:val="54"/>
        </w:rPr>
      </w:pPr>
      <w:r w:rsidRPr="00422183">
        <w:rPr>
          <w:rFonts w:ascii="Rockwell" w:hAnsi="Rockwell"/>
          <w:b/>
          <w:sz w:val="54"/>
          <w:szCs w:val="54"/>
        </w:rPr>
        <w:t>PLAN NATIONAL DE DÉVELOPPEMENT ÉCONOMIQUE ET SOCIAL (PNDES) 2016-2020</w:t>
      </w:r>
    </w:p>
    <w:p w:rsidR="003A5F91" w:rsidRPr="00422183" w:rsidRDefault="003A5F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C7FCD" w:rsidRPr="00422183" w:rsidRDefault="006C7FCD"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both"/>
        <w:rPr>
          <w:rFonts w:ascii="Rockwell" w:hAnsi="Rockwell"/>
          <w:sz w:val="24"/>
          <w:szCs w:val="24"/>
        </w:rPr>
      </w:pPr>
    </w:p>
    <w:p w:rsidR="006001CE" w:rsidRPr="00422183" w:rsidRDefault="006001CE"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b/>
          <w:sz w:val="32"/>
          <w:szCs w:val="24"/>
        </w:rPr>
      </w:pPr>
      <w:r w:rsidRPr="00422183">
        <w:rPr>
          <w:rFonts w:ascii="Rockwell" w:hAnsi="Rockwell"/>
          <w:b/>
          <w:sz w:val="32"/>
          <w:szCs w:val="24"/>
        </w:rPr>
        <w:t>VERSION PROVISOIRE</w:t>
      </w:r>
    </w:p>
    <w:p w:rsidR="003A5F91" w:rsidRPr="00422183" w:rsidRDefault="004D2891" w:rsidP="004D2891">
      <w:pPr>
        <w:pStyle w:val="Sansinterligne"/>
        <w:pBdr>
          <w:top w:val="single" w:sz="4" w:space="1" w:color="auto"/>
          <w:left w:val="single" w:sz="4" w:space="4" w:color="auto"/>
          <w:bottom w:val="single" w:sz="4" w:space="1" w:color="auto"/>
          <w:right w:val="single" w:sz="4" w:space="4" w:color="auto"/>
        </w:pBdr>
        <w:shd w:val="thinDiagCross" w:color="66FF33" w:fill="auto"/>
        <w:jc w:val="center"/>
        <w:rPr>
          <w:rFonts w:ascii="Rockwell" w:hAnsi="Rockwell"/>
          <w:b/>
          <w:sz w:val="32"/>
          <w:szCs w:val="24"/>
        </w:rPr>
      </w:pPr>
      <w:r>
        <w:rPr>
          <w:rFonts w:ascii="Rockwell" w:hAnsi="Rockwell"/>
          <w:b/>
          <w:sz w:val="32"/>
          <w:szCs w:val="24"/>
        </w:rPr>
        <w:t>30</w:t>
      </w:r>
      <w:r w:rsidR="00754CB5" w:rsidRPr="00422183">
        <w:rPr>
          <w:rFonts w:ascii="Rockwell" w:hAnsi="Rockwell"/>
          <w:b/>
          <w:sz w:val="32"/>
          <w:szCs w:val="24"/>
        </w:rPr>
        <w:t xml:space="preserve"> </w:t>
      </w:r>
      <w:r w:rsidR="00DB2EA4" w:rsidRPr="00422183">
        <w:rPr>
          <w:rFonts w:ascii="Rockwell" w:hAnsi="Rockwell"/>
          <w:b/>
          <w:sz w:val="32"/>
          <w:szCs w:val="24"/>
        </w:rPr>
        <w:t>JUIN</w:t>
      </w:r>
      <w:r w:rsidR="006001CE" w:rsidRPr="00422183">
        <w:rPr>
          <w:rFonts w:ascii="Rockwell" w:hAnsi="Rockwell"/>
          <w:b/>
          <w:sz w:val="32"/>
          <w:szCs w:val="24"/>
        </w:rPr>
        <w:t xml:space="preserve"> 2016</w:t>
      </w:r>
    </w:p>
    <w:p w:rsidR="006001CE" w:rsidRPr="00422183" w:rsidRDefault="006001CE" w:rsidP="003A0820">
      <w:pPr>
        <w:spacing w:after="0" w:line="240" w:lineRule="auto"/>
        <w:jc w:val="both"/>
        <w:rPr>
          <w:rFonts w:ascii="Rockwell" w:eastAsia="Times New Roman" w:hAnsi="Rockwell" w:cs="Times New Roman"/>
          <w:sz w:val="24"/>
          <w:szCs w:val="24"/>
        </w:rPr>
      </w:pPr>
      <w:r w:rsidRPr="00422183">
        <w:rPr>
          <w:rFonts w:ascii="Rockwell" w:hAnsi="Rockwell"/>
          <w:sz w:val="24"/>
          <w:szCs w:val="24"/>
        </w:rPr>
        <w:br w:type="page"/>
      </w:r>
    </w:p>
    <w:p w:rsidR="007365B5" w:rsidRPr="00422183" w:rsidRDefault="0040703D" w:rsidP="0040703D">
      <w:pPr>
        <w:pBdr>
          <w:bottom w:val="single" w:sz="4" w:space="1" w:color="auto"/>
        </w:pBdr>
        <w:rPr>
          <w:rFonts w:ascii="Rockwell" w:hAnsi="Rockwell"/>
          <w:b/>
          <w:sz w:val="28"/>
        </w:rPr>
      </w:pPr>
      <w:r w:rsidRPr="00422183">
        <w:rPr>
          <w:rFonts w:ascii="Rockwell" w:hAnsi="Rockwell"/>
          <w:b/>
          <w:sz w:val="28"/>
        </w:rPr>
        <w:lastRenderedPageBreak/>
        <w:t>SOMMAIRE</w:t>
      </w:r>
    </w:p>
    <w:p w:rsidR="00AC0DED" w:rsidRPr="00422183" w:rsidRDefault="00AC0DED" w:rsidP="003A0820">
      <w:pPr>
        <w:pStyle w:val="TM1"/>
        <w:tabs>
          <w:tab w:val="right" w:leader="dot" w:pos="9628"/>
        </w:tabs>
        <w:spacing w:before="0" w:after="0" w:line="240" w:lineRule="auto"/>
        <w:jc w:val="both"/>
        <w:rPr>
          <w:rFonts w:ascii="Rockwell" w:hAnsi="Rockwell" w:cs="Times New Roman"/>
        </w:rPr>
      </w:pPr>
    </w:p>
    <w:p w:rsidR="0079174A" w:rsidRPr="00422183" w:rsidRDefault="00491B03">
      <w:pPr>
        <w:pStyle w:val="TM1"/>
        <w:tabs>
          <w:tab w:val="right" w:leader="dot" w:pos="9628"/>
        </w:tabs>
        <w:rPr>
          <w:rFonts w:ascii="Rockwell" w:hAnsi="Rockwell"/>
          <w:b w:val="0"/>
          <w:bCs w:val="0"/>
          <w:caps w:val="0"/>
          <w:noProof/>
          <w:sz w:val="22"/>
          <w:szCs w:val="22"/>
        </w:rPr>
      </w:pPr>
      <w:r w:rsidRPr="00422183">
        <w:rPr>
          <w:rFonts w:ascii="Rockwell" w:hAnsi="Rockwell" w:cs="Times New Roman"/>
        </w:rPr>
        <w:fldChar w:fldCharType="begin"/>
      </w:r>
      <w:r w:rsidR="00F97B19" w:rsidRPr="00422183">
        <w:rPr>
          <w:rFonts w:ascii="Rockwell" w:hAnsi="Rockwell" w:cs="Times New Roman"/>
        </w:rPr>
        <w:instrText xml:space="preserve"> TOC \o "1-2" \h \z \u </w:instrText>
      </w:r>
      <w:r w:rsidRPr="00422183">
        <w:rPr>
          <w:rFonts w:ascii="Rockwell" w:hAnsi="Rockwell" w:cs="Times New Roman"/>
        </w:rPr>
        <w:fldChar w:fldCharType="separate"/>
      </w:r>
      <w:hyperlink w:anchor="_Toc455079223" w:history="1">
        <w:r w:rsidR="0079174A" w:rsidRPr="00422183">
          <w:rPr>
            <w:rStyle w:val="Lienhypertexte"/>
            <w:rFonts w:ascii="Rockwell" w:hAnsi="Rockwell"/>
            <w:noProof/>
            <w:color w:val="auto"/>
          </w:rPr>
          <w:t>SIGLES ET ABRÉVIATIONS</w:t>
        </w:r>
        <w:r w:rsidR="0079174A" w:rsidRPr="00422183">
          <w:rPr>
            <w:rFonts w:ascii="Rockwell" w:hAnsi="Rockwell"/>
            <w:noProof/>
            <w:webHidden/>
          </w:rPr>
          <w:tab/>
        </w:r>
        <w:r w:rsidRPr="00422183">
          <w:rPr>
            <w:rFonts w:ascii="Rockwell" w:hAnsi="Rockwell"/>
            <w:noProof/>
            <w:webHidden/>
          </w:rPr>
          <w:fldChar w:fldCharType="begin"/>
        </w:r>
        <w:r w:rsidR="0079174A" w:rsidRPr="00422183">
          <w:rPr>
            <w:rFonts w:ascii="Rockwell" w:hAnsi="Rockwell"/>
            <w:noProof/>
            <w:webHidden/>
          </w:rPr>
          <w:instrText xml:space="preserve"> PAGEREF _Toc455079223 \h </w:instrText>
        </w:r>
        <w:r w:rsidRPr="00422183">
          <w:rPr>
            <w:rFonts w:ascii="Rockwell" w:hAnsi="Rockwell"/>
            <w:noProof/>
            <w:webHidden/>
          </w:rPr>
        </w:r>
        <w:r w:rsidRPr="00422183">
          <w:rPr>
            <w:rFonts w:ascii="Rockwell" w:hAnsi="Rockwell"/>
            <w:noProof/>
            <w:webHidden/>
          </w:rPr>
          <w:fldChar w:fldCharType="separate"/>
        </w:r>
        <w:r w:rsidR="0079174A" w:rsidRPr="00422183">
          <w:rPr>
            <w:rFonts w:ascii="Rockwell" w:hAnsi="Rockwell"/>
            <w:noProof/>
            <w:webHidden/>
          </w:rPr>
          <w:t>3</w:t>
        </w:r>
        <w:r w:rsidRPr="00422183">
          <w:rPr>
            <w:rFonts w:ascii="Rockwell" w:hAnsi="Rockwell"/>
            <w:noProof/>
            <w:webHidden/>
          </w:rPr>
          <w:fldChar w:fldCharType="end"/>
        </w:r>
      </w:hyperlink>
    </w:p>
    <w:p w:rsidR="0079174A" w:rsidRPr="00422183" w:rsidRDefault="00DD31E1">
      <w:pPr>
        <w:pStyle w:val="TM1"/>
        <w:tabs>
          <w:tab w:val="right" w:leader="dot" w:pos="9628"/>
        </w:tabs>
        <w:rPr>
          <w:rFonts w:ascii="Rockwell" w:hAnsi="Rockwell"/>
          <w:b w:val="0"/>
          <w:bCs w:val="0"/>
          <w:caps w:val="0"/>
          <w:noProof/>
          <w:sz w:val="22"/>
          <w:szCs w:val="22"/>
        </w:rPr>
      </w:pPr>
      <w:hyperlink w:anchor="_Toc455079224" w:history="1">
        <w:r w:rsidR="0079174A" w:rsidRPr="00422183">
          <w:rPr>
            <w:rStyle w:val="Lienhypertexte"/>
            <w:rFonts w:ascii="Rockwell" w:hAnsi="Rockwell"/>
            <w:noProof/>
            <w:color w:val="auto"/>
          </w:rPr>
          <w:t>Résumé exécutif</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_Toc455079224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w:t>
        </w:r>
        <w:r w:rsidR="00491B03" w:rsidRPr="00422183">
          <w:rPr>
            <w:rFonts w:ascii="Rockwell" w:hAnsi="Rockwell"/>
            <w:noProof/>
            <w:webHidden/>
          </w:rPr>
          <w:fldChar w:fldCharType="end"/>
        </w:r>
      </w:hyperlink>
    </w:p>
    <w:p w:rsidR="0079174A" w:rsidRPr="00422183" w:rsidRDefault="00DD31E1">
      <w:pPr>
        <w:pStyle w:val="TM1"/>
        <w:tabs>
          <w:tab w:val="right" w:leader="dot" w:pos="9628"/>
        </w:tabs>
        <w:rPr>
          <w:rFonts w:ascii="Rockwell" w:hAnsi="Rockwell"/>
          <w:b w:val="0"/>
          <w:bCs w:val="0"/>
          <w:caps w:val="0"/>
          <w:noProof/>
          <w:sz w:val="22"/>
          <w:szCs w:val="22"/>
        </w:rPr>
      </w:pPr>
      <w:hyperlink w:anchor="_Toc455079225" w:history="1">
        <w:r w:rsidR="0079174A" w:rsidRPr="00422183">
          <w:rPr>
            <w:rStyle w:val="Lienhypertexte"/>
            <w:rFonts w:ascii="Rockwell" w:hAnsi="Rockwell"/>
            <w:noProof/>
            <w:color w:val="auto"/>
          </w:rPr>
          <w:t>INTRODUCTION</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_Toc455079225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11</w:t>
        </w:r>
        <w:r w:rsidR="00491B03" w:rsidRPr="00422183">
          <w:rPr>
            <w:rFonts w:ascii="Rockwell" w:hAnsi="Rockwell"/>
            <w:noProof/>
            <w:webHidden/>
          </w:rPr>
          <w:fldChar w:fldCharType="end"/>
        </w:r>
      </w:hyperlink>
    </w:p>
    <w:p w:rsidR="0079174A" w:rsidRPr="00422183" w:rsidRDefault="00DD31E1">
      <w:pPr>
        <w:pStyle w:val="TM1"/>
        <w:tabs>
          <w:tab w:val="left" w:pos="440"/>
          <w:tab w:val="right" w:leader="dot" w:pos="9628"/>
        </w:tabs>
        <w:rPr>
          <w:rFonts w:ascii="Rockwell" w:hAnsi="Rockwell"/>
          <w:b w:val="0"/>
          <w:bCs w:val="0"/>
          <w:caps w:val="0"/>
          <w:noProof/>
          <w:sz w:val="22"/>
          <w:szCs w:val="22"/>
        </w:rPr>
      </w:pPr>
      <w:hyperlink w:anchor="_Toc455079226" w:history="1">
        <w:r w:rsidR="0079174A" w:rsidRPr="00422183">
          <w:rPr>
            <w:rStyle w:val="Lienhypertexte"/>
            <w:rFonts w:ascii="Rockwell" w:hAnsi="Rockwell"/>
            <w:noProof/>
            <w:color w:val="auto"/>
          </w:rPr>
          <w:t>I.</w:t>
        </w:r>
        <w:r w:rsidR="0079174A" w:rsidRPr="00422183">
          <w:rPr>
            <w:rFonts w:ascii="Rockwell" w:hAnsi="Rockwell"/>
            <w:b w:val="0"/>
            <w:bCs w:val="0"/>
            <w:caps w:val="0"/>
            <w:noProof/>
            <w:sz w:val="22"/>
            <w:szCs w:val="22"/>
          </w:rPr>
          <w:tab/>
        </w:r>
        <w:r w:rsidR="0079174A" w:rsidRPr="00422183">
          <w:rPr>
            <w:rStyle w:val="Lienhypertexte"/>
            <w:rFonts w:ascii="Rockwell" w:hAnsi="Rockwell"/>
            <w:noProof/>
            <w:color w:val="auto"/>
          </w:rPr>
          <w:t>ANALYSE DIAGNOSTIQUE DE LA SITUATION ÉCONOMIQUE ET SOCIALE</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_Toc455079226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15</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27" w:history="1">
        <w:r w:rsidR="0079174A" w:rsidRPr="00422183">
          <w:rPr>
            <w:rStyle w:val="Lienhypertexte"/>
            <w:rFonts w:ascii="Rockwell" w:hAnsi="Rockwell"/>
            <w:noProof/>
            <w:color w:val="auto"/>
          </w:rPr>
          <w:t>1.1.</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Une dynamique sociale peu évolutive et marquée par des inegalités persistantes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_Toc455079227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15</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28" w:history="1">
        <w:r w:rsidR="0079174A" w:rsidRPr="00422183">
          <w:rPr>
            <w:rStyle w:val="Lienhypertexte"/>
            <w:rFonts w:ascii="Rockwell" w:hAnsi="Rockwell"/>
            <w:noProof/>
            <w:color w:val="auto"/>
          </w:rPr>
          <w:t>1.2.</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Une dynamique du système productif national vulnérable, peu inclusif et faiblement créateur d'emplois productifs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_Toc455079228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19</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29" w:history="1">
        <w:r w:rsidR="0079174A" w:rsidRPr="00422183">
          <w:rPr>
            <w:rStyle w:val="Lienhypertexte"/>
            <w:rFonts w:ascii="Rockwell" w:hAnsi="Rockwell"/>
            <w:noProof/>
            <w:color w:val="auto"/>
          </w:rPr>
          <w:t>1.3.</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Un capital humain insuffisant et peu adapté aux besoins du développement du système productif national</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_Toc455079229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27</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0" w:history="1">
        <w:r w:rsidR="0079174A" w:rsidRPr="00422183">
          <w:rPr>
            <w:rStyle w:val="Lienhypertexte"/>
            <w:rFonts w:ascii="Rockwell" w:hAnsi="Rockwell"/>
            <w:noProof/>
            <w:color w:val="auto"/>
          </w:rPr>
          <w:t>1.4.</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Des gouvernances politique, administrative, économique et locale peu performantes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_Toc455079230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31</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1" w:history="1">
        <w:r w:rsidR="0079174A" w:rsidRPr="00422183">
          <w:rPr>
            <w:rStyle w:val="Lienhypertexte"/>
            <w:rFonts w:ascii="Rockwell" w:hAnsi="Rockwell"/>
            <w:noProof/>
            <w:color w:val="auto"/>
          </w:rPr>
          <w:t>1.5.</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Les défis de la transformation structurelle de l'économie burkinabè</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_Toc455079231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32</w:t>
        </w:r>
        <w:r w:rsidR="00491B03" w:rsidRPr="00422183">
          <w:rPr>
            <w:rFonts w:ascii="Rockwell" w:hAnsi="Rockwell"/>
            <w:noProof/>
            <w:webHidden/>
          </w:rPr>
          <w:fldChar w:fldCharType="end"/>
        </w:r>
      </w:hyperlink>
    </w:p>
    <w:p w:rsidR="0079174A" w:rsidRPr="00422183" w:rsidRDefault="00DD31E1">
      <w:pPr>
        <w:pStyle w:val="TM1"/>
        <w:tabs>
          <w:tab w:val="left" w:pos="440"/>
          <w:tab w:val="right" w:leader="dot" w:pos="9628"/>
        </w:tabs>
        <w:rPr>
          <w:rFonts w:ascii="Rockwell" w:hAnsi="Rockwell"/>
          <w:b w:val="0"/>
          <w:bCs w:val="0"/>
          <w:caps w:val="0"/>
          <w:noProof/>
          <w:sz w:val="22"/>
          <w:szCs w:val="22"/>
        </w:rPr>
      </w:pPr>
      <w:hyperlink w:anchor="_Toc455079232" w:history="1">
        <w:r w:rsidR="0079174A" w:rsidRPr="00422183">
          <w:rPr>
            <w:rStyle w:val="Lienhypertexte"/>
            <w:rFonts w:ascii="Rockwell" w:hAnsi="Rockwell"/>
            <w:noProof/>
            <w:color w:val="auto"/>
          </w:rPr>
          <w:t>II.</w:t>
        </w:r>
        <w:r w:rsidR="0079174A" w:rsidRPr="00422183">
          <w:rPr>
            <w:rFonts w:ascii="Rockwell" w:hAnsi="Rockwell"/>
            <w:b w:val="0"/>
            <w:bCs w:val="0"/>
            <w:caps w:val="0"/>
            <w:noProof/>
            <w:sz w:val="22"/>
            <w:szCs w:val="22"/>
          </w:rPr>
          <w:tab/>
        </w:r>
        <w:r w:rsidR="0079174A" w:rsidRPr="00422183">
          <w:rPr>
            <w:rStyle w:val="Lienhypertexte"/>
            <w:rFonts w:ascii="Rockwell" w:hAnsi="Rockwell"/>
            <w:noProof/>
            <w:color w:val="auto"/>
          </w:rPr>
          <w:t>STRATÉGIE DE DÉVELOPPEMENT ÉCONOMIQUE ET SOCIAL 2016-2020</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_Toc455079232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35</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3" w:history="1">
        <w:r w:rsidR="0079174A" w:rsidRPr="00422183">
          <w:rPr>
            <w:rStyle w:val="Lienhypertexte"/>
            <w:rFonts w:ascii="Rockwell" w:hAnsi="Rockwell"/>
            <w:noProof/>
            <w:color w:val="auto"/>
          </w:rPr>
          <w:t>2.1.</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Fondements et vision</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_Toc455079233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35</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4" w:history="1">
        <w:r w:rsidR="0079174A" w:rsidRPr="00422183">
          <w:rPr>
            <w:rStyle w:val="Lienhypertexte"/>
            <w:rFonts w:ascii="Rockwell" w:hAnsi="Rockwell"/>
            <w:noProof/>
            <w:color w:val="auto"/>
          </w:rPr>
          <w:t>2.2.</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Principes-directeurs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_Toc455079234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36</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5" w:history="1">
        <w:r w:rsidR="0079174A" w:rsidRPr="00422183">
          <w:rPr>
            <w:rStyle w:val="Lienhypertexte"/>
            <w:rFonts w:ascii="Rockwell" w:hAnsi="Rockwell"/>
            <w:noProof/>
            <w:color w:val="auto"/>
          </w:rPr>
          <w:t>2.3.</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Objectifs et impacts attendus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_Toc455079235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39</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6" w:history="1">
        <w:r w:rsidR="0079174A" w:rsidRPr="00422183">
          <w:rPr>
            <w:rStyle w:val="Lienhypertexte"/>
            <w:rFonts w:ascii="Rockwell" w:hAnsi="Rockwell"/>
            <w:noProof/>
            <w:color w:val="auto"/>
          </w:rPr>
          <w:t>2.4.</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Orientations stratégiques et effets attendus du PNDES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_Toc455079236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46</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7" w:history="1">
        <w:r w:rsidR="0079174A" w:rsidRPr="00422183">
          <w:rPr>
            <w:rStyle w:val="Lienhypertexte"/>
            <w:rFonts w:ascii="Rockwell" w:hAnsi="Rockwell"/>
            <w:noProof/>
            <w:color w:val="auto"/>
          </w:rPr>
          <w:t>2.5.</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Matrice de réformes stratégiques et d'investissements structurants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_Toc455079237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64</w:t>
        </w:r>
        <w:r w:rsidR="00491B03" w:rsidRPr="00422183">
          <w:rPr>
            <w:rFonts w:ascii="Rockwell" w:hAnsi="Rockwell"/>
            <w:noProof/>
            <w:webHidden/>
          </w:rPr>
          <w:fldChar w:fldCharType="end"/>
        </w:r>
      </w:hyperlink>
    </w:p>
    <w:p w:rsidR="0079174A" w:rsidRPr="00422183" w:rsidRDefault="00DD31E1">
      <w:pPr>
        <w:pStyle w:val="TM1"/>
        <w:tabs>
          <w:tab w:val="left" w:pos="440"/>
          <w:tab w:val="right" w:leader="dot" w:pos="9628"/>
        </w:tabs>
        <w:rPr>
          <w:rFonts w:ascii="Rockwell" w:hAnsi="Rockwell"/>
          <w:b w:val="0"/>
          <w:bCs w:val="0"/>
          <w:caps w:val="0"/>
          <w:noProof/>
          <w:sz w:val="22"/>
          <w:szCs w:val="22"/>
        </w:rPr>
      </w:pPr>
      <w:hyperlink w:anchor="_Toc455079238" w:history="1">
        <w:r w:rsidR="0079174A" w:rsidRPr="00422183">
          <w:rPr>
            <w:rStyle w:val="Lienhypertexte"/>
            <w:rFonts w:ascii="Rockwell" w:hAnsi="Rockwell"/>
            <w:noProof/>
            <w:color w:val="auto"/>
          </w:rPr>
          <w:t>III.</w:t>
        </w:r>
        <w:r w:rsidR="0079174A" w:rsidRPr="00422183">
          <w:rPr>
            <w:rFonts w:ascii="Rockwell" w:hAnsi="Rockwell"/>
            <w:b w:val="0"/>
            <w:bCs w:val="0"/>
            <w:caps w:val="0"/>
            <w:noProof/>
            <w:sz w:val="22"/>
            <w:szCs w:val="22"/>
          </w:rPr>
          <w:tab/>
        </w:r>
        <w:r w:rsidR="0079174A" w:rsidRPr="00422183">
          <w:rPr>
            <w:rStyle w:val="Lienhypertexte"/>
            <w:rFonts w:ascii="Rockwell" w:hAnsi="Rockwell"/>
            <w:noProof/>
            <w:color w:val="auto"/>
          </w:rPr>
          <w:t>DISPOSITIONS DE MISE EN ŒUVRE, DE SUIVI ET D'ÉVALUATION</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_Toc455079238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68</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39" w:history="1">
        <w:r w:rsidR="0079174A" w:rsidRPr="00422183">
          <w:rPr>
            <w:rStyle w:val="Lienhypertexte"/>
            <w:rFonts w:ascii="Rockwell" w:hAnsi="Rockwell"/>
            <w:noProof/>
            <w:color w:val="auto"/>
          </w:rPr>
          <w:t>3.1.</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Dispositif de mise en œuvre</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_Toc455079239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68</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40" w:history="1">
        <w:r w:rsidR="0079174A" w:rsidRPr="00422183">
          <w:rPr>
            <w:rStyle w:val="Lienhypertexte"/>
            <w:rFonts w:ascii="Rockwell" w:hAnsi="Rockwell"/>
            <w:noProof/>
            <w:color w:val="auto"/>
          </w:rPr>
          <w:t>3.2.</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Le suivi et l'évaluation du PNDES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_Toc455079240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71</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41" w:history="1">
        <w:r w:rsidR="0079174A" w:rsidRPr="00422183">
          <w:rPr>
            <w:rStyle w:val="Lienhypertexte"/>
            <w:rFonts w:ascii="Rockwell" w:hAnsi="Rockwell"/>
            <w:noProof/>
            <w:color w:val="auto"/>
          </w:rPr>
          <w:t>3.3.</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Le schéma de financement</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_Toc455079241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75</w:t>
        </w:r>
        <w:r w:rsidR="00491B03" w:rsidRPr="00422183">
          <w:rPr>
            <w:rFonts w:ascii="Rockwell" w:hAnsi="Rockwell"/>
            <w:noProof/>
            <w:webHidden/>
          </w:rPr>
          <w:fldChar w:fldCharType="end"/>
        </w:r>
      </w:hyperlink>
    </w:p>
    <w:p w:rsidR="0079174A" w:rsidRPr="00422183" w:rsidRDefault="00DD31E1">
      <w:pPr>
        <w:pStyle w:val="TM2"/>
        <w:tabs>
          <w:tab w:val="left" w:pos="880"/>
          <w:tab w:val="right" w:leader="dot" w:pos="9628"/>
        </w:tabs>
        <w:rPr>
          <w:rFonts w:ascii="Rockwell" w:hAnsi="Rockwell"/>
          <w:smallCaps w:val="0"/>
          <w:noProof/>
          <w:sz w:val="22"/>
          <w:szCs w:val="22"/>
        </w:rPr>
      </w:pPr>
      <w:hyperlink w:anchor="_Toc455079242" w:history="1">
        <w:r w:rsidR="0079174A" w:rsidRPr="00422183">
          <w:rPr>
            <w:rStyle w:val="Lienhypertexte"/>
            <w:rFonts w:ascii="Rockwell" w:hAnsi="Rockwell"/>
            <w:noProof/>
            <w:color w:val="auto"/>
          </w:rPr>
          <w:t>3.4.</w:t>
        </w:r>
        <w:r w:rsidR="0079174A" w:rsidRPr="00422183">
          <w:rPr>
            <w:rFonts w:ascii="Rockwell" w:hAnsi="Rockwell"/>
            <w:smallCaps w:val="0"/>
            <w:noProof/>
            <w:sz w:val="22"/>
            <w:szCs w:val="22"/>
          </w:rPr>
          <w:tab/>
        </w:r>
        <w:r w:rsidR="0079174A" w:rsidRPr="00422183">
          <w:rPr>
            <w:rStyle w:val="Lienhypertexte"/>
            <w:rFonts w:ascii="Rockwell" w:hAnsi="Rockwell"/>
            <w:noProof/>
            <w:color w:val="auto"/>
          </w:rPr>
          <w:t>Analyse des risques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_Toc455079242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76</w:t>
        </w:r>
        <w:r w:rsidR="00491B03" w:rsidRPr="00422183">
          <w:rPr>
            <w:rFonts w:ascii="Rockwell" w:hAnsi="Rockwell"/>
            <w:noProof/>
            <w:webHidden/>
          </w:rPr>
          <w:fldChar w:fldCharType="end"/>
        </w:r>
      </w:hyperlink>
    </w:p>
    <w:p w:rsidR="0079174A" w:rsidRPr="00422183" w:rsidRDefault="00DD31E1">
      <w:pPr>
        <w:pStyle w:val="TM1"/>
        <w:tabs>
          <w:tab w:val="right" w:leader="dot" w:pos="9628"/>
        </w:tabs>
        <w:rPr>
          <w:rFonts w:ascii="Rockwell" w:hAnsi="Rockwell"/>
          <w:b w:val="0"/>
          <w:bCs w:val="0"/>
          <w:caps w:val="0"/>
          <w:noProof/>
          <w:sz w:val="22"/>
          <w:szCs w:val="22"/>
        </w:rPr>
      </w:pPr>
      <w:hyperlink w:anchor="_Toc455079243" w:history="1">
        <w:r w:rsidR="0079174A" w:rsidRPr="00422183">
          <w:rPr>
            <w:rStyle w:val="Lienhypertexte"/>
            <w:rFonts w:ascii="Rockwell" w:hAnsi="Rockwell"/>
            <w:noProof/>
            <w:color w:val="auto"/>
          </w:rPr>
          <w:t>Annexes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_Toc455079243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80</w:t>
        </w:r>
        <w:r w:rsidR="00491B03" w:rsidRPr="00422183">
          <w:rPr>
            <w:rFonts w:ascii="Rockwell" w:hAnsi="Rockwell"/>
            <w:noProof/>
            <w:webHidden/>
          </w:rPr>
          <w:fldChar w:fldCharType="end"/>
        </w:r>
      </w:hyperlink>
    </w:p>
    <w:p w:rsidR="0079174A" w:rsidRPr="00422183" w:rsidRDefault="00DD31E1">
      <w:pPr>
        <w:pStyle w:val="TM1"/>
        <w:tabs>
          <w:tab w:val="right" w:leader="dot" w:pos="9628"/>
        </w:tabs>
        <w:rPr>
          <w:rFonts w:ascii="Rockwell" w:hAnsi="Rockwell"/>
          <w:b w:val="0"/>
          <w:bCs w:val="0"/>
          <w:caps w:val="0"/>
          <w:noProof/>
          <w:sz w:val="22"/>
          <w:szCs w:val="22"/>
        </w:rPr>
      </w:pPr>
      <w:hyperlink w:anchor="_Toc455079244" w:history="1">
        <w:r w:rsidR="0079174A" w:rsidRPr="00422183">
          <w:rPr>
            <w:rStyle w:val="Lienhypertexte"/>
            <w:rFonts w:ascii="Rockwell" w:hAnsi="Rockwell"/>
            <w:noProof/>
            <w:color w:val="auto"/>
          </w:rPr>
          <w:t>Tables des matières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_Toc455079244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131</w:t>
        </w:r>
        <w:r w:rsidR="00491B03" w:rsidRPr="00422183">
          <w:rPr>
            <w:rFonts w:ascii="Rockwell" w:hAnsi="Rockwell"/>
            <w:noProof/>
            <w:webHidden/>
          </w:rPr>
          <w:fldChar w:fldCharType="end"/>
        </w:r>
      </w:hyperlink>
    </w:p>
    <w:p w:rsidR="0006239A" w:rsidRPr="00422183" w:rsidRDefault="00491B03" w:rsidP="003A0820">
      <w:pPr>
        <w:tabs>
          <w:tab w:val="num" w:pos="720"/>
        </w:tabs>
        <w:spacing w:after="0" w:line="240" w:lineRule="auto"/>
        <w:jc w:val="both"/>
        <w:rPr>
          <w:rFonts w:ascii="Rockwell" w:hAnsi="Rockwell" w:cs="Times New Roman"/>
          <w:sz w:val="20"/>
          <w:szCs w:val="20"/>
        </w:rPr>
      </w:pPr>
      <w:r w:rsidRPr="00422183">
        <w:rPr>
          <w:rFonts w:ascii="Rockwell" w:hAnsi="Rockwell" w:cs="Times New Roman"/>
          <w:sz w:val="20"/>
          <w:szCs w:val="20"/>
        </w:rPr>
        <w:fldChar w:fldCharType="end"/>
      </w:r>
    </w:p>
    <w:p w:rsidR="007365B5" w:rsidRPr="00422183" w:rsidRDefault="007365B5" w:rsidP="003A0820">
      <w:pPr>
        <w:tabs>
          <w:tab w:val="num" w:pos="720"/>
        </w:tabs>
        <w:spacing w:after="0" w:line="240" w:lineRule="auto"/>
        <w:jc w:val="both"/>
        <w:rPr>
          <w:rFonts w:ascii="Rockwell" w:hAnsi="Rockwell" w:cs="Times New Roman"/>
          <w:sz w:val="20"/>
          <w:szCs w:val="20"/>
        </w:rPr>
      </w:pPr>
    </w:p>
    <w:p w:rsidR="00B3094D" w:rsidRPr="00422183" w:rsidRDefault="00B3094D" w:rsidP="003A0820">
      <w:pPr>
        <w:tabs>
          <w:tab w:val="num" w:pos="720"/>
        </w:tabs>
        <w:spacing w:after="0" w:line="240" w:lineRule="auto"/>
        <w:jc w:val="both"/>
        <w:rPr>
          <w:rFonts w:ascii="Rockwell" w:hAnsi="Rockwell" w:cs="Times New Roman"/>
          <w:b/>
          <w:sz w:val="24"/>
          <w:szCs w:val="24"/>
        </w:rPr>
      </w:pPr>
      <w:r w:rsidRPr="00422183">
        <w:rPr>
          <w:rFonts w:ascii="Rockwell" w:hAnsi="Rockwell" w:cs="Times New Roman"/>
          <w:b/>
          <w:sz w:val="24"/>
          <w:szCs w:val="24"/>
        </w:rPr>
        <w:t>TABLE DES ILLUSTRATIONS</w:t>
      </w:r>
    </w:p>
    <w:p w:rsidR="00253AF7" w:rsidRPr="00422183" w:rsidRDefault="00253AF7" w:rsidP="00516FB0">
      <w:pPr>
        <w:spacing w:after="0" w:line="240" w:lineRule="auto"/>
        <w:jc w:val="both"/>
        <w:rPr>
          <w:rFonts w:ascii="Rockwell" w:hAnsi="Rockwell" w:cs="Times New Roman"/>
          <w:sz w:val="24"/>
          <w:szCs w:val="24"/>
        </w:rPr>
      </w:pPr>
    </w:p>
    <w:p w:rsidR="0079174A" w:rsidRPr="00422183" w:rsidRDefault="00491B03">
      <w:pPr>
        <w:pStyle w:val="Tabledesillustrations"/>
        <w:tabs>
          <w:tab w:val="right" w:leader="dot" w:pos="9628"/>
        </w:tabs>
        <w:rPr>
          <w:rFonts w:ascii="Rockwell" w:hAnsi="Rockwell"/>
          <w:noProof/>
        </w:rPr>
      </w:pPr>
      <w:r w:rsidRPr="00422183">
        <w:rPr>
          <w:rFonts w:ascii="Rockwell" w:hAnsi="Rockwell" w:cs="Times New Roman"/>
          <w:sz w:val="20"/>
          <w:szCs w:val="20"/>
        </w:rPr>
        <w:fldChar w:fldCharType="begin"/>
      </w:r>
      <w:r w:rsidR="00253AF7" w:rsidRPr="00422183">
        <w:rPr>
          <w:rFonts w:ascii="Rockwell" w:hAnsi="Rockwell" w:cs="Times New Roman"/>
          <w:sz w:val="20"/>
          <w:szCs w:val="20"/>
        </w:rPr>
        <w:instrText xml:space="preserve"> TOC \h \z \c "Tableau" </w:instrText>
      </w:r>
      <w:r w:rsidRPr="00422183">
        <w:rPr>
          <w:rFonts w:ascii="Rockwell" w:hAnsi="Rockwell" w:cs="Times New Roman"/>
          <w:sz w:val="20"/>
          <w:szCs w:val="20"/>
        </w:rPr>
        <w:fldChar w:fldCharType="separate"/>
      </w:r>
      <w:hyperlink w:anchor="_Toc455079252" w:history="1">
        <w:r w:rsidR="0079174A" w:rsidRPr="00422183">
          <w:rPr>
            <w:rStyle w:val="Lienhypertexte"/>
            <w:rFonts w:ascii="Rockwell" w:hAnsi="Rockwell"/>
            <w:noProof/>
            <w:color w:val="auto"/>
            <w:lang w:bidi="en-US"/>
          </w:rPr>
          <w:t>Tableau 1 : indicateurs du modèle de transformation structurelle</w:t>
        </w:r>
        <w:r w:rsidR="0079174A" w:rsidRPr="00422183">
          <w:rPr>
            <w:rFonts w:ascii="Rockwell" w:hAnsi="Rockwell"/>
            <w:noProof/>
            <w:webHidden/>
          </w:rPr>
          <w:tab/>
        </w:r>
        <w:r w:rsidRPr="00422183">
          <w:rPr>
            <w:rFonts w:ascii="Rockwell" w:hAnsi="Rockwell"/>
            <w:noProof/>
            <w:webHidden/>
          </w:rPr>
          <w:fldChar w:fldCharType="begin"/>
        </w:r>
        <w:r w:rsidR="0079174A" w:rsidRPr="00422183">
          <w:rPr>
            <w:rFonts w:ascii="Rockwell" w:hAnsi="Rockwell"/>
            <w:noProof/>
            <w:webHidden/>
          </w:rPr>
          <w:instrText xml:space="preserve"> PAGEREF _Toc455079252 \h </w:instrText>
        </w:r>
        <w:r w:rsidRPr="00422183">
          <w:rPr>
            <w:rFonts w:ascii="Rockwell" w:hAnsi="Rockwell"/>
            <w:noProof/>
            <w:webHidden/>
          </w:rPr>
        </w:r>
        <w:r w:rsidRPr="00422183">
          <w:rPr>
            <w:rFonts w:ascii="Rockwell" w:hAnsi="Rockwell"/>
            <w:noProof/>
            <w:webHidden/>
          </w:rPr>
          <w:fldChar w:fldCharType="separate"/>
        </w:r>
        <w:r w:rsidR="0079174A" w:rsidRPr="00422183">
          <w:rPr>
            <w:rFonts w:ascii="Rockwell" w:hAnsi="Rockwell"/>
            <w:noProof/>
            <w:webHidden/>
          </w:rPr>
          <w:t>39</w:t>
        </w:r>
        <w:r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3" w:history="1">
        <w:r w:rsidR="0079174A" w:rsidRPr="00422183">
          <w:rPr>
            <w:rStyle w:val="Lienhypertexte"/>
            <w:rFonts w:ascii="Rockwell" w:hAnsi="Rockwell"/>
            <w:noProof/>
            <w:color w:val="auto"/>
            <w:lang w:bidi="en-US"/>
          </w:rPr>
          <w:t>Tableau 2 : évolution de la valeur ajoutée des différents secteurs et du PIB réel</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_Toc455079253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43</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4" w:history="1">
        <w:r w:rsidR="0079174A" w:rsidRPr="00422183">
          <w:rPr>
            <w:rStyle w:val="Lienhypertexte"/>
            <w:rFonts w:ascii="Rockwell" w:hAnsi="Rockwell"/>
            <w:noProof/>
            <w:color w:val="auto"/>
            <w:lang w:bidi="en-US"/>
          </w:rPr>
          <w:t>Tableau 3 : évolution des finances publiques de 2016 à 2020 (en pourcentage du PIB)</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_Toc455079254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44</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5" w:history="1">
        <w:r w:rsidR="0079174A" w:rsidRPr="00422183">
          <w:rPr>
            <w:rStyle w:val="Lienhypertexte"/>
            <w:rFonts w:ascii="Rockwell" w:hAnsi="Rockwell"/>
            <w:noProof/>
            <w:color w:val="auto"/>
            <w:lang w:bidi="en-US"/>
          </w:rPr>
          <w:t>Tableau 4 : cohérence des objectifs stratégiques du PNDES avec les ODD</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_Toc455079255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49</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6" w:history="1">
        <w:r w:rsidR="0079174A" w:rsidRPr="00422183">
          <w:rPr>
            <w:rStyle w:val="Lienhypertexte"/>
            <w:rFonts w:ascii="Rockwell" w:hAnsi="Rockwell"/>
            <w:noProof/>
            <w:color w:val="auto"/>
            <w:lang w:bidi="en-US"/>
          </w:rPr>
          <w:t>Tableau 5 : axes stratégiques, objectifs stratégiques et effets attendus du PNDES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_Toc455079256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62</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7" w:history="1">
        <w:r w:rsidR="0079174A" w:rsidRPr="00422183">
          <w:rPr>
            <w:rStyle w:val="Lienhypertexte"/>
            <w:rFonts w:ascii="Rockwell" w:hAnsi="Rockwell"/>
            <w:noProof/>
            <w:color w:val="auto"/>
            <w:lang w:bidi="en-US"/>
          </w:rPr>
          <w:t>Tableau 6 : Coût des investissements structurants et réformes stratégiques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_Toc455079257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65</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8" w:history="1">
        <w:r w:rsidR="0079174A" w:rsidRPr="00422183">
          <w:rPr>
            <w:rStyle w:val="Lienhypertexte"/>
            <w:rFonts w:ascii="Rockwell" w:hAnsi="Rockwell"/>
            <w:noProof/>
            <w:color w:val="auto"/>
            <w:lang w:bidi="en-US"/>
          </w:rPr>
          <w:t>Tableau 7 : plan de financement du PNDES 2016-2020 (en milliards de F CFA)</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_Toc455079258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76</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59" w:history="1">
        <w:r w:rsidR="0079174A" w:rsidRPr="00422183">
          <w:rPr>
            <w:rStyle w:val="Lienhypertexte"/>
            <w:rFonts w:ascii="Rockwell" w:hAnsi="Rockwell"/>
            <w:noProof/>
            <w:color w:val="auto"/>
            <w:lang w:bidi="en-US"/>
          </w:rPr>
          <w:t>Tableau 8 : liste des risques et des mesures d'atténuation ou de contournement</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_Toc455079259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79</w:t>
        </w:r>
        <w:r w:rsidR="00491B03" w:rsidRPr="00422183">
          <w:rPr>
            <w:rFonts w:ascii="Rockwell" w:hAnsi="Rockwell"/>
            <w:noProof/>
            <w:webHidden/>
          </w:rPr>
          <w:fldChar w:fldCharType="end"/>
        </w:r>
      </w:hyperlink>
    </w:p>
    <w:p w:rsidR="0079174A" w:rsidRPr="00422183" w:rsidRDefault="00491B03">
      <w:pPr>
        <w:pStyle w:val="Tabledesillustrations"/>
        <w:tabs>
          <w:tab w:val="right" w:leader="dot" w:pos="9628"/>
        </w:tabs>
        <w:rPr>
          <w:rFonts w:ascii="Rockwell" w:hAnsi="Rockwell"/>
          <w:noProof/>
        </w:rPr>
      </w:pPr>
      <w:r w:rsidRPr="00422183">
        <w:rPr>
          <w:rFonts w:ascii="Rockwell" w:hAnsi="Rockwell" w:cs="Times New Roman"/>
          <w:sz w:val="20"/>
          <w:szCs w:val="20"/>
        </w:rPr>
        <w:fldChar w:fldCharType="end"/>
      </w:r>
      <w:r w:rsidRPr="00422183">
        <w:rPr>
          <w:rFonts w:ascii="Rockwell" w:hAnsi="Rockwell" w:cs="Times New Roman"/>
          <w:sz w:val="20"/>
          <w:szCs w:val="20"/>
        </w:rPr>
        <w:fldChar w:fldCharType="begin"/>
      </w:r>
      <w:r w:rsidR="00253AF7" w:rsidRPr="00422183">
        <w:rPr>
          <w:rFonts w:ascii="Rockwell" w:hAnsi="Rockwell" w:cs="Times New Roman"/>
          <w:sz w:val="20"/>
          <w:szCs w:val="20"/>
        </w:rPr>
        <w:instrText xml:space="preserve"> TOC \h \z \c "Graphique" </w:instrText>
      </w:r>
      <w:r w:rsidRPr="00422183">
        <w:rPr>
          <w:rFonts w:ascii="Rockwell" w:hAnsi="Rockwell" w:cs="Times New Roman"/>
          <w:sz w:val="20"/>
          <w:szCs w:val="20"/>
        </w:rPr>
        <w:fldChar w:fldCharType="separate"/>
      </w:r>
    </w:p>
    <w:p w:rsidR="0079174A" w:rsidRPr="00422183" w:rsidRDefault="00DD31E1">
      <w:pPr>
        <w:pStyle w:val="Tabledesillustrations"/>
        <w:tabs>
          <w:tab w:val="right" w:leader="dot" w:pos="9628"/>
        </w:tabs>
        <w:rPr>
          <w:rFonts w:ascii="Rockwell" w:hAnsi="Rockwell"/>
          <w:noProof/>
        </w:rPr>
      </w:pPr>
      <w:hyperlink w:anchor="_Toc455079260" w:history="1">
        <w:r w:rsidR="0079174A" w:rsidRPr="00422183">
          <w:rPr>
            <w:rStyle w:val="Lienhypertexte"/>
            <w:rFonts w:ascii="Rockwell" w:hAnsi="Rockwell"/>
            <w:noProof/>
            <w:color w:val="auto"/>
            <w:lang w:bidi="en-US"/>
          </w:rPr>
          <w:t xml:space="preserve">Graphique 1 : </w:t>
        </w:r>
        <w:r w:rsidR="0079174A" w:rsidRPr="00422183">
          <w:rPr>
            <w:rStyle w:val="Lienhypertexte"/>
            <w:rFonts w:ascii="Rockwell" w:eastAsiaTheme="majorEastAsia" w:hAnsi="Rockwell" w:cstheme="majorBidi"/>
            <w:noProof/>
            <w:color w:val="auto"/>
            <w:kern w:val="28"/>
            <w:lang w:bidi="en-US"/>
          </w:rPr>
          <w:t>Incidence de la pauvreté par région en 2009 et 2014</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_Toc455079260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18</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61" w:history="1">
        <w:r w:rsidR="0079174A" w:rsidRPr="00422183">
          <w:rPr>
            <w:rStyle w:val="Lienhypertexte"/>
            <w:rFonts w:ascii="Rockwell" w:hAnsi="Rockwell"/>
            <w:noProof/>
            <w:color w:val="auto"/>
            <w:lang w:bidi="en-US"/>
          </w:rPr>
          <w:t>Graphique 2: parts contributives des branches d'activités du secteur secondaire dans le PIB</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_Toc455079261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22</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62" w:history="1">
        <w:r w:rsidR="0079174A" w:rsidRPr="00422183">
          <w:rPr>
            <w:rStyle w:val="Lienhypertexte"/>
            <w:rFonts w:ascii="Rockwell" w:hAnsi="Rockwell"/>
            <w:noProof/>
            <w:color w:val="auto"/>
            <w:lang w:bidi="en-US"/>
          </w:rPr>
          <w:t>Graphique 3 : évolution des parts contributives des branches du secteur tertiaire au PIB</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_Toc455079262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25</w:t>
        </w:r>
        <w:r w:rsidR="00491B03" w:rsidRPr="00422183">
          <w:rPr>
            <w:rFonts w:ascii="Rockwell" w:hAnsi="Rockwell"/>
            <w:noProof/>
            <w:webHidden/>
          </w:rPr>
          <w:fldChar w:fldCharType="end"/>
        </w:r>
      </w:hyperlink>
    </w:p>
    <w:p w:rsidR="0079174A" w:rsidRPr="00422183" w:rsidRDefault="00DD31E1">
      <w:pPr>
        <w:pStyle w:val="Tabledesillustrations"/>
        <w:tabs>
          <w:tab w:val="right" w:leader="dot" w:pos="9628"/>
        </w:tabs>
        <w:rPr>
          <w:rFonts w:ascii="Rockwell" w:hAnsi="Rockwell"/>
          <w:noProof/>
        </w:rPr>
      </w:pPr>
      <w:hyperlink w:anchor="_Toc455079263" w:history="1">
        <w:r w:rsidR="0079174A" w:rsidRPr="00422183">
          <w:rPr>
            <w:rStyle w:val="Lienhypertexte"/>
            <w:rFonts w:ascii="Rockwell" w:hAnsi="Rockwell"/>
            <w:noProof/>
            <w:color w:val="auto"/>
            <w:lang w:bidi="en-US"/>
          </w:rPr>
          <w:t>Graphique 4 : Schéma fonctionnel du dispositif institutionnel de mise en œuvre du PNDES</w:t>
        </w:r>
        <w:r w:rsidR="0079174A" w:rsidRPr="00422183">
          <w:rPr>
            <w:rFonts w:ascii="Rockwell" w:hAnsi="Rockwell"/>
            <w:noProof/>
            <w:webHidden/>
          </w:rPr>
          <w:tab/>
        </w:r>
        <w:r w:rsidR="00491B03" w:rsidRPr="00422183">
          <w:rPr>
            <w:rFonts w:ascii="Rockwell" w:hAnsi="Rockwell"/>
            <w:noProof/>
            <w:webHidden/>
          </w:rPr>
          <w:fldChar w:fldCharType="begin"/>
        </w:r>
        <w:r w:rsidR="0079174A" w:rsidRPr="00422183">
          <w:rPr>
            <w:rFonts w:ascii="Rockwell" w:hAnsi="Rockwell"/>
            <w:noProof/>
            <w:webHidden/>
          </w:rPr>
          <w:instrText xml:space="preserve"> PAGEREF _Toc455079263 \h </w:instrText>
        </w:r>
        <w:r w:rsidR="00491B03" w:rsidRPr="00422183">
          <w:rPr>
            <w:rFonts w:ascii="Rockwell" w:hAnsi="Rockwell"/>
            <w:noProof/>
            <w:webHidden/>
          </w:rPr>
        </w:r>
        <w:r w:rsidR="00491B03" w:rsidRPr="00422183">
          <w:rPr>
            <w:rFonts w:ascii="Rockwell" w:hAnsi="Rockwell"/>
            <w:noProof/>
            <w:webHidden/>
          </w:rPr>
          <w:fldChar w:fldCharType="separate"/>
        </w:r>
        <w:r w:rsidR="0079174A" w:rsidRPr="00422183">
          <w:rPr>
            <w:rFonts w:ascii="Rockwell" w:hAnsi="Rockwell"/>
            <w:noProof/>
            <w:webHidden/>
          </w:rPr>
          <w:t>75</w:t>
        </w:r>
        <w:r w:rsidR="00491B03" w:rsidRPr="00422183">
          <w:rPr>
            <w:rFonts w:ascii="Rockwell" w:hAnsi="Rockwell"/>
            <w:noProof/>
            <w:webHidden/>
          </w:rPr>
          <w:fldChar w:fldCharType="end"/>
        </w:r>
      </w:hyperlink>
    </w:p>
    <w:p w:rsidR="00253AF7" w:rsidRPr="00422183" w:rsidRDefault="00491B03" w:rsidP="00516FB0">
      <w:pPr>
        <w:spacing w:after="0" w:line="240" w:lineRule="auto"/>
        <w:jc w:val="both"/>
        <w:rPr>
          <w:rFonts w:ascii="Rockwell" w:hAnsi="Rockwell" w:cs="Times New Roman"/>
          <w:sz w:val="24"/>
          <w:szCs w:val="24"/>
        </w:rPr>
      </w:pPr>
      <w:r w:rsidRPr="00422183">
        <w:rPr>
          <w:rFonts w:ascii="Rockwell" w:hAnsi="Rockwell" w:cs="Times New Roman"/>
          <w:sz w:val="20"/>
          <w:szCs w:val="20"/>
        </w:rPr>
        <w:fldChar w:fldCharType="end"/>
      </w:r>
    </w:p>
    <w:p w:rsidR="00253AF7" w:rsidRPr="00422183" w:rsidRDefault="00253AF7" w:rsidP="00516FB0">
      <w:pPr>
        <w:spacing w:after="0" w:line="240" w:lineRule="auto"/>
        <w:jc w:val="both"/>
        <w:rPr>
          <w:rFonts w:ascii="Rockwell" w:hAnsi="Rockwell" w:cs="Times New Roman"/>
          <w:sz w:val="24"/>
          <w:szCs w:val="24"/>
        </w:rPr>
      </w:pPr>
    </w:p>
    <w:p w:rsidR="0020252D" w:rsidRPr="00422183" w:rsidRDefault="0020252D" w:rsidP="00516FB0">
      <w:pPr>
        <w:spacing w:after="0" w:line="240" w:lineRule="auto"/>
        <w:jc w:val="both"/>
        <w:rPr>
          <w:rFonts w:ascii="Rockwell" w:eastAsiaTheme="majorEastAsia" w:hAnsi="Rockwell" w:cstheme="majorBidi"/>
          <w:b/>
          <w:kern w:val="28"/>
          <w:sz w:val="24"/>
          <w:szCs w:val="24"/>
        </w:rPr>
      </w:pPr>
      <w:r w:rsidRPr="00422183">
        <w:rPr>
          <w:rFonts w:ascii="Rockwell" w:hAnsi="Rockwell"/>
          <w:b/>
          <w:sz w:val="24"/>
          <w:szCs w:val="24"/>
        </w:rPr>
        <w:br w:type="page"/>
      </w:r>
    </w:p>
    <w:p w:rsidR="00BC5340" w:rsidRPr="00422183" w:rsidRDefault="00BC5340" w:rsidP="003A0820">
      <w:pPr>
        <w:pStyle w:val="PNDES1"/>
        <w:numPr>
          <w:ilvl w:val="0"/>
          <w:numId w:val="0"/>
        </w:numPr>
        <w:ind w:left="567" w:hanging="283"/>
      </w:pPr>
      <w:bookmarkStart w:id="1" w:name="_Toc452994133"/>
      <w:bookmarkStart w:id="2" w:name="_Toc455079223"/>
      <w:bookmarkStart w:id="3" w:name="_Toc455132701"/>
      <w:r w:rsidRPr="00422183">
        <w:lastRenderedPageBreak/>
        <w:t>SIGLES ET ABRÉVIATIONS</w:t>
      </w:r>
      <w:bookmarkEnd w:id="1"/>
      <w:bookmarkEnd w:id="2"/>
      <w:bookmarkEnd w:id="3"/>
    </w:p>
    <w:p w:rsidR="00BC5340" w:rsidRPr="00422183" w:rsidRDefault="00BC5340" w:rsidP="003A0820">
      <w:pPr>
        <w:tabs>
          <w:tab w:val="num" w:pos="720"/>
        </w:tabs>
        <w:spacing w:after="0" w:line="240" w:lineRule="auto"/>
        <w:jc w:val="both"/>
        <w:rPr>
          <w:rFonts w:ascii="Rockwell" w:hAnsi="Rockwell" w:cs="Times New Roman"/>
          <w:sz w:val="24"/>
          <w:szCs w:val="24"/>
        </w:rPr>
      </w:pPr>
    </w:p>
    <w:tbl>
      <w:tblPr>
        <w:tblW w:w="9605" w:type="dxa"/>
        <w:tblCellMar>
          <w:left w:w="0" w:type="dxa"/>
          <w:right w:w="0" w:type="dxa"/>
        </w:tblCellMar>
        <w:tblLook w:val="04A0" w:firstRow="1" w:lastRow="0" w:firstColumn="1" w:lastColumn="0" w:noHBand="0" w:noVBand="1"/>
      </w:tblPr>
      <w:tblGrid>
        <w:gridCol w:w="1252"/>
        <w:gridCol w:w="8353"/>
      </w:tblGrid>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ASCE/LC</w:t>
            </w:r>
          </w:p>
        </w:tc>
        <w:tc>
          <w:tcPr>
            <w:tcW w:w="8353" w:type="dxa"/>
            <w:shd w:val="clear" w:color="auto" w:fill="auto"/>
            <w:vAlign w:val="center"/>
            <w:hideMark/>
          </w:tcPr>
          <w:p w:rsidR="003C1B8A" w:rsidRPr="00422183" w:rsidRDefault="003C36C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Autorité supérieure de</w:t>
            </w:r>
            <w:r w:rsidR="003C1B8A" w:rsidRPr="00422183">
              <w:rPr>
                <w:rFonts w:ascii="Rockwell" w:eastAsia="Times New Roman" w:hAnsi="Rockwell" w:cs="Times New Roman"/>
                <w:sz w:val="20"/>
                <w:szCs w:val="20"/>
              </w:rPr>
              <w:t xml:space="preserve"> contrôle d'État et de lutte contre la corruption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BCEAO</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Banque centrale des États de l'Afrique de l'ouest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BM</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Banque mondiale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CAIMA</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Centrale d’achat d’intrants et de matériel</w:t>
            </w:r>
            <w:r w:rsidR="003C36CA"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agricole</w:t>
            </w:r>
            <w:r w:rsidR="003C36CA" w:rsidRPr="00422183">
              <w:rPr>
                <w:rFonts w:ascii="Rockwell" w:eastAsia="Times New Roman" w:hAnsi="Rockwell" w:cs="Times New Roman"/>
                <w:sz w:val="20"/>
                <w:szCs w:val="20"/>
              </w:rPr>
              <w:t>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CCR</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Cadre de concertation régional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 xml:space="preserve">CEDEAO </w:t>
            </w:r>
          </w:p>
        </w:tc>
        <w:tc>
          <w:tcPr>
            <w:tcW w:w="8353" w:type="dxa"/>
            <w:shd w:val="clear" w:color="auto" w:fill="auto"/>
            <w:vAlign w:val="center"/>
            <w:hideMark/>
          </w:tcPr>
          <w:p w:rsidR="003C1B8A" w:rsidRPr="00422183" w:rsidRDefault="003C36C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Communauté économique des E</w:t>
            </w:r>
            <w:r w:rsidR="003C1B8A" w:rsidRPr="00422183">
              <w:rPr>
                <w:rFonts w:ascii="Rockwell" w:eastAsia="Times New Roman" w:hAnsi="Rockwell" w:cs="Times New Roman"/>
                <w:sz w:val="20"/>
                <w:szCs w:val="20"/>
              </w:rPr>
              <w:t xml:space="preserve">tats de l'Afrique de l'ouest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CES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Conseil économique et social </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hAnsi="Rockwell"/>
                <w:sz w:val="24"/>
                <w:szCs w:val="24"/>
              </w:rPr>
              <w:t>CFB</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sz w:val="20"/>
                <w:szCs w:val="20"/>
              </w:rPr>
              <w:t>Code fonctionnel du budget.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CGCT</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sz w:val="20"/>
                <w:szCs w:val="20"/>
              </w:rPr>
              <w:t>Code général des collectivités territoriales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CGD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Centre pour la gouvernance démocratique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CHR</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Centre hospitalier régional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CHU</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Centre hospitalier universitaire </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CNP/PNDES</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Comité national de pilotage du plan national de développement économique et social</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CNPD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Commission nationale de planification du développement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COS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Comité d'orientation et de supervision</w:t>
            </w:r>
          </w:p>
        </w:tc>
      </w:tr>
      <w:tr w:rsidR="00422183" w:rsidRPr="00DD31E1"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CPIA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lang w:val="en-US"/>
              </w:rPr>
            </w:pPr>
            <w:r w:rsidRPr="00422183">
              <w:rPr>
                <w:rFonts w:ascii="Rockwell" w:eastAsia="Times New Roman" w:hAnsi="Rockwell" w:cs="Times New Roman"/>
                <w:sz w:val="20"/>
                <w:szCs w:val="20"/>
                <w:lang w:val="en-US"/>
              </w:rPr>
              <w:t>Country Policy and Institutional Assessment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CRD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Cadre régional de dialogue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CSC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Conseil supérieur de la communication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CSD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Cadre sectoriel de dialogue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CSLP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Cadre stratégique de lutte contre la pauvreté</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CSM</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Conseil supérieur de la magistrature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DGB </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Direction générale du budget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DGCOOP </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Direction générale de la coopération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DGEP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Direction générale de l'économie et de la planification </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DGESS</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Direction générale des études et des statistiques sectorielles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DGTCP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Direction générale du trésor et de la comptabilité publique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DMEG</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Direction des médicament</w:t>
            </w:r>
            <w:r w:rsidR="003C36CA"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essentiels génériques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DPBE</w:t>
            </w:r>
          </w:p>
        </w:tc>
        <w:tc>
          <w:tcPr>
            <w:tcW w:w="8353" w:type="dxa"/>
            <w:shd w:val="clear" w:color="auto" w:fill="auto"/>
            <w:vAlign w:val="center"/>
          </w:tcPr>
          <w:p w:rsidR="003C1B8A" w:rsidRPr="00422183" w:rsidRDefault="003C36C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Document de programmation budgétaire et économique pluriannuel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DPG</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Déclaration de politique générale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EA</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Effet attendu</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EDS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Enquête démographique de santé</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EFTP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Enseignement et formation techniques et professionnels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EMC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Enquête multisectorielle continue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ENP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Étude nationale prospective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FCFA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Franc de la communauté financière d'Afrique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FDCT</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Fonds de développement culturel et touristique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FEC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Facilité élargie de crédit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FESPACO</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Festival panafricain du cinéma de Ouagadougou</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FMI</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Fonds monétaire international </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FONEPP</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Fonds national d’étude</w:t>
            </w:r>
            <w:r w:rsidR="003C36CA"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et de préparation des projets et programmes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GAR</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Gestion axée sur les résultats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HD</w:t>
            </w:r>
          </w:p>
        </w:tc>
        <w:tc>
          <w:tcPr>
            <w:tcW w:w="8353" w:type="dxa"/>
            <w:shd w:val="clear" w:color="auto" w:fill="auto"/>
            <w:vAlign w:val="center"/>
          </w:tcPr>
          <w:p w:rsidR="003C1B8A" w:rsidRPr="00422183" w:rsidRDefault="003C36C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Hôpital de Districts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HIMO</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Haute intensité de main d'œuvre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HLM</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Habitat à loyer modéré</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IAP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Instrument automatisé de prévision</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IBP</w:t>
            </w:r>
          </w:p>
        </w:tc>
        <w:tc>
          <w:tcPr>
            <w:tcW w:w="8353" w:type="dxa"/>
            <w:shd w:val="clear" w:color="auto" w:fill="auto"/>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sz w:val="20"/>
                <w:szCs w:val="20"/>
              </w:rPr>
              <w:t xml:space="preserve">Indice sur le budget ouvert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IDH</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Indice de développement humain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INSD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Institut national de la statistique et de la démographie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IPC</w:t>
            </w:r>
          </w:p>
        </w:tc>
        <w:tc>
          <w:tcPr>
            <w:tcW w:w="8353" w:type="dxa"/>
            <w:shd w:val="clear" w:color="auto" w:fill="auto"/>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sz w:val="20"/>
                <w:szCs w:val="20"/>
              </w:rPr>
              <w:t xml:space="preserve">Indice de perception de la corruption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IPE</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Initiative pauvreté-environnement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LMD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License master doctorat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MAAH</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l'agriculture et des aménagements hydrauliques</w:t>
            </w:r>
          </w:p>
        </w:tc>
      </w:tr>
      <w:tr w:rsidR="00422183" w:rsidRPr="00422183" w:rsidTr="0079174A">
        <w:tc>
          <w:tcPr>
            <w:tcW w:w="1252" w:type="dxa"/>
            <w:shd w:val="clear" w:color="auto" w:fill="auto"/>
            <w:vAlign w:val="center"/>
          </w:tcPr>
          <w:p w:rsidR="003C1B8A" w:rsidRPr="00422183" w:rsidRDefault="003C36C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MAECBE</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des affaires étrangère</w:t>
            </w:r>
            <w:r w:rsidR="003C36CA" w:rsidRPr="00422183">
              <w:rPr>
                <w:rFonts w:ascii="Rockwell" w:eastAsia="Times New Roman" w:hAnsi="Rockwell" w:cs="Times New Roman"/>
                <w:sz w:val="20"/>
                <w:szCs w:val="20"/>
              </w:rPr>
              <w:t>s, de la coopération et des burkinabè de l’extérieur</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MATDSI</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l'administration territoriale, de la décentralisation et de la sécurité intérieure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MCAT</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culture</w:t>
            </w:r>
            <w:r w:rsidR="003C36CA" w:rsidRPr="00422183">
              <w:rPr>
                <w:rFonts w:ascii="Rockwell" w:eastAsia="Times New Roman" w:hAnsi="Rockwell" w:cs="Times New Roman"/>
                <w:sz w:val="20"/>
                <w:szCs w:val="20"/>
              </w:rPr>
              <w:t>,</w:t>
            </w:r>
            <w:r w:rsidRPr="00422183">
              <w:rPr>
                <w:rFonts w:ascii="Rockwell" w:eastAsia="Times New Roman" w:hAnsi="Rockwell" w:cs="Times New Roman"/>
                <w:sz w:val="20"/>
                <w:szCs w:val="20"/>
              </w:rPr>
              <w:t xml:space="preserve"> des arts et du tourisme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MCIA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du commerce, de l'industrie et de l'artisanat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MCRP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communication et des relations avec le parlement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MDENP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du développement de l'économie numérique et des postes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MDNAC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défense nationale et des anciens combattants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lastRenderedPageBreak/>
              <w:t>MEA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l'eau et de l'assainissement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MEEVCC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l'environnement, de l'économie verte et du changement climatique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MEMC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l'énergie, des mines et des carrières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MENA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l'éducation nationale et de l'alphabétisation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MESRI</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l'enseignement supérieur, de la recherche scientifique et de l'innovation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MFPTPS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fonction publique, du travail et de la protection sociale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MFSNF</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femme, de la solidarité nationale et de la famille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MI</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des infrastructures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MINEFID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Ministère de l'économie, des finances et du développement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MJDHPC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justice, des droits humains et de la promotion civique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MJFIP</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jeunesse</w:t>
            </w:r>
            <w:r w:rsidR="00324FD7" w:rsidRPr="00422183">
              <w:rPr>
                <w:rFonts w:ascii="Rockwell" w:eastAsia="Times New Roman" w:hAnsi="Rockwell" w:cs="Times New Roman"/>
                <w:sz w:val="20"/>
                <w:szCs w:val="20"/>
              </w:rPr>
              <w:t>,</w:t>
            </w:r>
            <w:r w:rsidRPr="00422183">
              <w:rPr>
                <w:rFonts w:ascii="Rockwell" w:eastAsia="Times New Roman" w:hAnsi="Rockwell" w:cs="Times New Roman"/>
                <w:sz w:val="20"/>
                <w:szCs w:val="20"/>
              </w:rPr>
              <w:t xml:space="preserve"> de la formation et de l’insertion professionnelle</w:t>
            </w:r>
            <w:r w:rsidR="00324FD7" w:rsidRPr="00422183">
              <w:rPr>
                <w:rFonts w:ascii="Rockwell" w:eastAsia="Times New Roman" w:hAnsi="Rockwell" w:cs="Times New Roman"/>
                <w:sz w:val="20"/>
                <w:szCs w:val="20"/>
              </w:rPr>
              <w:t>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MRAH</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des ressources animales et halieutiques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la santé</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MSL</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des sports et loisirs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MUH</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Ministère de l'urbanisme et de l'habitat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NBA</w:t>
            </w:r>
          </w:p>
        </w:tc>
        <w:tc>
          <w:tcPr>
            <w:tcW w:w="8353" w:type="dxa"/>
            <w:shd w:val="clear" w:color="auto" w:fill="auto"/>
            <w:vAlign w:val="center"/>
          </w:tcPr>
          <w:p w:rsidR="003C1B8A" w:rsidRPr="00422183" w:rsidRDefault="003C1B8A" w:rsidP="003C36CA">
            <w:pPr>
              <w:spacing w:after="0" w:line="240" w:lineRule="auto"/>
              <w:jc w:val="both"/>
              <w:rPr>
                <w:rFonts w:ascii="Rockwell" w:hAnsi="Rockwell"/>
                <w:sz w:val="20"/>
                <w:szCs w:val="20"/>
                <w:lang w:eastAsia="en-US"/>
              </w:rPr>
            </w:pPr>
            <w:r w:rsidRPr="00422183">
              <w:rPr>
                <w:rFonts w:ascii="Rockwell" w:hAnsi="Rockwell"/>
                <w:sz w:val="20"/>
                <w:szCs w:val="20"/>
              </w:rPr>
              <w:t>Nomenclature des branches d'activités.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ND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Non disponible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ODD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Objectifs de développement durable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OMD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Objectifs du millénaire pour le développement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OSC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Organisation de la société civile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PAS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Programme d'ajustement structurel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PCD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communal de développement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PIB</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Produit intérieur brut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PIP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Programme d'investissement</w:t>
            </w:r>
            <w:r w:rsidR="00324FD7"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public</w:t>
            </w:r>
            <w:r w:rsidR="00324FD7" w:rsidRPr="00422183">
              <w:rPr>
                <w:rFonts w:ascii="Rockwell" w:eastAsia="Times New Roman" w:hAnsi="Rockwell" w:cs="Times New Roman"/>
                <w:sz w:val="20"/>
                <w:szCs w:val="20"/>
              </w:rPr>
              <w:t>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 xml:space="preserve">PLD </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local de développement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PM</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Premier ministère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PME/PMI</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Petites et moyennes entreprises/Petites et moyennes industries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PN-AEPA</w:t>
            </w:r>
          </w:p>
        </w:tc>
        <w:tc>
          <w:tcPr>
            <w:tcW w:w="8353" w:type="dxa"/>
            <w:shd w:val="clear" w:color="auto" w:fill="auto"/>
            <w:vAlign w:val="center"/>
          </w:tcPr>
          <w:p w:rsidR="003C1B8A" w:rsidRPr="00422183" w:rsidRDefault="003C1B8A" w:rsidP="00324FD7">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Programme national d’a</w:t>
            </w:r>
            <w:r w:rsidR="00324FD7" w:rsidRPr="00422183">
              <w:rPr>
                <w:rFonts w:ascii="Rockwell" w:eastAsia="Times New Roman" w:hAnsi="Rockwell" w:cs="Times New Roman"/>
                <w:sz w:val="20"/>
                <w:szCs w:val="20"/>
              </w:rPr>
              <w:t>pprovisionnement</w:t>
            </w:r>
            <w:r w:rsidRPr="00422183">
              <w:rPr>
                <w:rFonts w:ascii="Rockwell" w:eastAsia="Times New Roman" w:hAnsi="Rockwell" w:cs="Times New Roman"/>
                <w:sz w:val="20"/>
                <w:szCs w:val="20"/>
              </w:rPr>
              <w:t xml:space="preserve"> en eau potable et assainissement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PNDD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Politique nationale de développement durable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PNDES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national de développement économique et social</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POSEF</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Politique sectorielle de l’économie et des finances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PPD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Programme populaire de développement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PPIP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Programmes et projets d'investissements publics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PPP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Partenariat public-privé</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PQDP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quinquennal de développement populaire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PRD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Plan régional de développement </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PTA</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de travail annuel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PTA-M</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Plan de travail annuel ministériel</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PTBA</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cs="Times New Roman"/>
                <w:bCs/>
                <w:sz w:val="20"/>
                <w:szCs w:val="20"/>
              </w:rPr>
              <w:t>plans de travail et de budget annuel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PTF</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Partenaire</w:t>
            </w:r>
            <w:r w:rsidR="00324FD7"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technique</w:t>
            </w:r>
            <w:r w:rsidR="00324FD7" w:rsidRPr="00422183">
              <w:rPr>
                <w:rFonts w:ascii="Rockwell" w:eastAsia="Times New Roman" w:hAnsi="Rockwell" w:cs="Times New Roman"/>
                <w:sz w:val="20"/>
                <w:szCs w:val="20"/>
              </w:rPr>
              <w:t>s</w:t>
            </w:r>
            <w:r w:rsidRPr="00422183">
              <w:rPr>
                <w:rFonts w:ascii="Rockwell" w:eastAsia="Times New Roman" w:hAnsi="Rockwell" w:cs="Times New Roman"/>
                <w:sz w:val="20"/>
                <w:szCs w:val="20"/>
              </w:rPr>
              <w:t xml:space="preserve"> et financier</w:t>
            </w:r>
            <w:r w:rsidR="00324FD7" w:rsidRPr="00422183">
              <w:rPr>
                <w:rFonts w:ascii="Rockwell" w:eastAsia="Times New Roman" w:hAnsi="Rockwell" w:cs="Times New Roman"/>
                <w:sz w:val="20"/>
                <w:szCs w:val="20"/>
              </w:rPr>
              <w:t>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RAMU</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Régime d'assurance maladie universelle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RCD</w:t>
            </w:r>
          </w:p>
        </w:tc>
        <w:tc>
          <w:tcPr>
            <w:tcW w:w="8353" w:type="dxa"/>
            <w:shd w:val="clear" w:color="auto" w:fill="auto"/>
            <w:vAlign w:val="center"/>
          </w:tcPr>
          <w:p w:rsidR="003C1B8A" w:rsidRPr="00422183" w:rsidRDefault="00324FD7"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Rapport sur la coopération au développement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RENLAC</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Réseau national pour la lutte contre la corruption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RGPH</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Recensement général de la population et de l'habitation</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RSIS</w:t>
            </w:r>
          </w:p>
        </w:tc>
        <w:tc>
          <w:tcPr>
            <w:tcW w:w="8353" w:type="dxa"/>
            <w:shd w:val="clear" w:color="auto" w:fill="auto"/>
            <w:vAlign w:val="center"/>
          </w:tcPr>
          <w:p w:rsidR="003C1B8A" w:rsidRPr="00422183" w:rsidRDefault="00324FD7" w:rsidP="00324FD7">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Réformes stratégiques et investissements structurants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SCADD</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Stratégie de croissance accélérée et de développement durable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SDAU</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Schéma directeur d’aménagement urbain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SDS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Schéma directeur de la statistique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SFIM</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bCs/>
                <w:sz w:val="20"/>
                <w:szCs w:val="20"/>
              </w:rPr>
              <w:t>Services d'intermédiation financière indirectement mesurés</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SIAO</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Salon international de l'artisanat de Ouagadougou</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SNADDT</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Schéma national d'aménagement et de développement durable du territoire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SNC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Semaine nationale de la culture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SONABEL</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hAnsi="Rockwell" w:cs="Arial"/>
                <w:sz w:val="20"/>
                <w:szCs w:val="20"/>
              </w:rPr>
              <w:t>Société nationale burkinabè d’électricité</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SP</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permanent</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SP/CNLS</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permanent du conseil national de lutte contre le SIDA</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SP/PNDES</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permanent du plan national de développement économique et social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SPE</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Service public de l'emploi</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SSN</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Système statistique national</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ST/CRD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technique du cadre régional de dialogue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ST/CSD</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technique du cadre sectoriel de dialogue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STN</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Secrétariat technique national</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TIC</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Technologie de l'information et de la communication</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lastRenderedPageBreak/>
              <w:t>TNT</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Télévision numérique terrestre</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TOFE</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Tableau des opérations financières de l'État</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UAS</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 xml:space="preserve">Unité d'action syndicale </w:t>
            </w:r>
          </w:p>
        </w:tc>
      </w:tr>
      <w:tr w:rsidR="00422183" w:rsidRPr="00422183" w:rsidTr="0079174A">
        <w:tc>
          <w:tcPr>
            <w:tcW w:w="1252"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UEMOA</w:t>
            </w:r>
          </w:p>
        </w:tc>
        <w:tc>
          <w:tcPr>
            <w:tcW w:w="8353" w:type="dxa"/>
            <w:shd w:val="clear" w:color="auto" w:fill="auto"/>
            <w:vAlign w:val="center"/>
            <w:hideMark/>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Union économique et monétaire ouest africaine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VIH</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Style w:val="st"/>
                <w:rFonts w:ascii="Rockwell" w:hAnsi="Rockwell"/>
                <w:sz w:val="20"/>
                <w:szCs w:val="20"/>
              </w:rPr>
              <w:t>Virus de l'immunodéficience humaine</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WDI</w:t>
            </w:r>
          </w:p>
        </w:tc>
        <w:tc>
          <w:tcPr>
            <w:tcW w:w="8353" w:type="dxa"/>
            <w:shd w:val="clear" w:color="auto" w:fill="auto"/>
            <w:vAlign w:val="center"/>
          </w:tcPr>
          <w:p w:rsidR="003C1B8A" w:rsidRPr="00422183" w:rsidRDefault="00324FD7"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World Development Indicators</w:t>
            </w:r>
          </w:p>
        </w:tc>
      </w:tr>
      <w:tr w:rsidR="00422183" w:rsidRPr="00422183" w:rsidTr="0079174A">
        <w:tc>
          <w:tcPr>
            <w:tcW w:w="1252"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b/>
                <w:sz w:val="20"/>
                <w:szCs w:val="20"/>
              </w:rPr>
            </w:pPr>
            <w:r w:rsidRPr="00422183">
              <w:rPr>
                <w:rFonts w:ascii="Rockwell" w:eastAsia="Times New Roman" w:hAnsi="Rockwell" w:cs="Times New Roman"/>
                <w:b/>
                <w:sz w:val="20"/>
                <w:szCs w:val="20"/>
              </w:rPr>
              <w:t>ZES</w:t>
            </w:r>
          </w:p>
        </w:tc>
        <w:tc>
          <w:tcPr>
            <w:tcW w:w="8353" w:type="dxa"/>
            <w:shd w:val="clear" w:color="auto" w:fill="auto"/>
            <w:vAlign w:val="center"/>
          </w:tcPr>
          <w:p w:rsidR="003C1B8A" w:rsidRPr="00422183" w:rsidRDefault="003C1B8A" w:rsidP="003C36CA">
            <w:pPr>
              <w:spacing w:after="0" w:line="240" w:lineRule="auto"/>
              <w:jc w:val="both"/>
              <w:rPr>
                <w:rFonts w:ascii="Rockwell" w:eastAsia="Times New Roman" w:hAnsi="Rockwell" w:cs="Times New Roman"/>
                <w:sz w:val="20"/>
                <w:szCs w:val="20"/>
              </w:rPr>
            </w:pPr>
            <w:r w:rsidRPr="00422183">
              <w:rPr>
                <w:rFonts w:ascii="Rockwell" w:eastAsia="Times New Roman" w:hAnsi="Rockwell" w:cs="Times New Roman"/>
                <w:sz w:val="20"/>
                <w:szCs w:val="20"/>
              </w:rPr>
              <w:t>Zone économique spéciale </w:t>
            </w:r>
          </w:p>
        </w:tc>
      </w:tr>
    </w:tbl>
    <w:p w:rsidR="00BC5340" w:rsidRPr="00422183" w:rsidRDefault="00BC5340" w:rsidP="003A0820">
      <w:pPr>
        <w:tabs>
          <w:tab w:val="num" w:pos="720"/>
        </w:tabs>
        <w:spacing w:after="0" w:line="240" w:lineRule="auto"/>
        <w:jc w:val="both"/>
        <w:rPr>
          <w:rFonts w:ascii="Rockwell" w:hAnsi="Rockwell" w:cs="Times New Roman"/>
          <w:sz w:val="24"/>
          <w:szCs w:val="24"/>
        </w:rPr>
      </w:pPr>
    </w:p>
    <w:p w:rsidR="00F21C50" w:rsidRPr="00422183" w:rsidRDefault="00F21C50" w:rsidP="003A0820">
      <w:pPr>
        <w:spacing w:after="0" w:line="240" w:lineRule="auto"/>
        <w:jc w:val="both"/>
        <w:rPr>
          <w:rFonts w:ascii="Rockwell" w:hAnsi="Rockwell"/>
          <w:b/>
          <w:sz w:val="24"/>
          <w:szCs w:val="24"/>
          <w:u w:val="single"/>
        </w:rPr>
      </w:pPr>
      <w:r w:rsidRPr="00422183">
        <w:rPr>
          <w:rFonts w:ascii="Rockwell" w:hAnsi="Rockwell"/>
          <w:b/>
          <w:sz w:val="24"/>
          <w:szCs w:val="24"/>
          <w:u w:val="single"/>
        </w:rPr>
        <w:br w:type="page"/>
      </w:r>
    </w:p>
    <w:p w:rsidR="009D0167" w:rsidRPr="00422183" w:rsidRDefault="009D0167" w:rsidP="003A0820">
      <w:pPr>
        <w:spacing w:after="0" w:line="240" w:lineRule="auto"/>
        <w:jc w:val="both"/>
        <w:rPr>
          <w:rFonts w:ascii="Rockwell" w:hAnsi="Rockwell"/>
          <w:b/>
          <w:sz w:val="24"/>
          <w:szCs w:val="24"/>
          <w:u w:val="single"/>
        </w:rPr>
      </w:pPr>
    </w:p>
    <w:p w:rsidR="009D0167" w:rsidRPr="00422183" w:rsidRDefault="009D0167" w:rsidP="009D0167">
      <w:pPr>
        <w:pStyle w:val="PNDES1"/>
        <w:numPr>
          <w:ilvl w:val="0"/>
          <w:numId w:val="0"/>
        </w:numPr>
        <w:ind w:left="567" w:hanging="283"/>
      </w:pPr>
      <w:bookmarkStart w:id="4" w:name="_Toc455079224"/>
      <w:bookmarkStart w:id="5" w:name="_Toc455132702"/>
      <w:r w:rsidRPr="00422183">
        <w:t>Résumé exécutif</w:t>
      </w:r>
      <w:bookmarkEnd w:id="4"/>
      <w:bookmarkEnd w:id="5"/>
      <w:r w:rsidRPr="00422183">
        <w:t xml:space="preserve"> </w:t>
      </w:r>
    </w:p>
    <w:p w:rsidR="009D0167" w:rsidRPr="00422183" w:rsidRDefault="009D0167" w:rsidP="009D0167">
      <w:pPr>
        <w:jc w:val="both"/>
        <w:rPr>
          <w:rFonts w:ascii="Rockwell" w:hAnsi="Rockwell"/>
          <w:sz w:val="24"/>
        </w:rPr>
      </w:pPr>
    </w:p>
    <w:p w:rsidR="009D0167" w:rsidRPr="00422183" w:rsidRDefault="009D0167" w:rsidP="009D0167">
      <w:pPr>
        <w:jc w:val="both"/>
        <w:rPr>
          <w:rFonts w:ascii="Rockwell" w:hAnsi="Rockwell"/>
          <w:sz w:val="24"/>
        </w:rPr>
      </w:pPr>
      <w:r w:rsidRPr="00422183">
        <w:rPr>
          <w:rFonts w:ascii="Rockwell" w:hAnsi="Rockwell"/>
          <w:sz w:val="24"/>
        </w:rPr>
        <w:t xml:space="preserve">Depuis son indépendance, le Burkina Faso a connu une croissance relativement appréciable qui s’est renforcée durant la période 2011-2015 (5,5% en moyenne). Cependant cette croissance s'accompagne d'une faible évolution du Produit intérieur brut (PIB) par habitant (2,3%), d'une persistance de la pauvreté dont l'incidence se situait toujours à 40,1% en 2014, d'un taux de croissance démographique relativement élevé (3,1%) et d'un fort taux d'analphabétisme des personnes de plus de 14 ans (70%), faisant du Burkina Faso, un pays à faible niveau de développement, suivant l'Indice de développement humain (IDH). </w:t>
      </w:r>
    </w:p>
    <w:p w:rsidR="009D0167" w:rsidRPr="00422183" w:rsidRDefault="009D0167" w:rsidP="009D0167">
      <w:pPr>
        <w:jc w:val="both"/>
        <w:rPr>
          <w:rFonts w:ascii="Rockwell" w:hAnsi="Rockwell"/>
          <w:sz w:val="24"/>
        </w:rPr>
      </w:pPr>
      <w:r w:rsidRPr="00422183">
        <w:rPr>
          <w:rFonts w:ascii="Rockwell" w:hAnsi="Rockwell"/>
          <w:sz w:val="24"/>
        </w:rPr>
        <w:t>Cette situation socioéconomique appelle l'avènement d'un développement économique et social au Burkina Faso, qui permette durablement et cumulativement, la croissance du revenu moyen, la satisfaction des besoins fondamentaux, la réduction de la pauvreté, l'amélioration des capacités humaines, la viabilité environnementale et l'équité sociale. Le Plan national de développement économique et social (PNDES) est le référentiel national des interventions de l’Etat et ses partenaires au développement sur la période 2016-2020 qui devrait permettre de réaliser ces ambitions.</w:t>
      </w:r>
    </w:p>
    <w:p w:rsidR="009D0167" w:rsidRPr="00422183" w:rsidRDefault="009D0167" w:rsidP="009D0167">
      <w:pPr>
        <w:jc w:val="both"/>
        <w:rPr>
          <w:rFonts w:ascii="Rockwell" w:hAnsi="Rockwell"/>
          <w:sz w:val="24"/>
        </w:rPr>
      </w:pPr>
      <w:r w:rsidRPr="00422183">
        <w:rPr>
          <w:rFonts w:ascii="Rockwell" w:hAnsi="Rockwell"/>
          <w:sz w:val="24"/>
        </w:rPr>
        <w:t xml:space="preserve">Ce référentiel se fonde sur une analyse diagnostique de la situation sociale et économique qui a relevé la faible évolution de la dynamique sociale marquée la persistance des inégalités et un système productif national caractérisé par des insuffisances structurelles qui accentuent sa vulnérabilité aux aléas. Les principales insuffisances structurelles sont : (i) la faible productivité du secteur primaire dominé par une agriculture de subsistance, (ii) le déclin du secteur manufacturier lié à la faible compétitivité des industries existantes, ainsi qu'au faible développement de l'agro-industrie, (iii) « l'informalisation » du secteur tertiaire et le faible accès aux services financiers, (iv) la faible diversification des exportations, (v) l'insuffisance de ressources humaines de qualité adaptées aux besoins de la transformation structurelle du système productif. Les principaux aléas sont les variabilités climatiques, la volatilité des prix des produits d'exportation (or et coton) et de l'aide au développement. </w:t>
      </w:r>
    </w:p>
    <w:p w:rsidR="009D0167" w:rsidRPr="00422183" w:rsidRDefault="009D0167" w:rsidP="009D0167">
      <w:pPr>
        <w:jc w:val="both"/>
        <w:rPr>
          <w:rFonts w:ascii="Rockwell" w:hAnsi="Rockwell"/>
          <w:sz w:val="24"/>
        </w:rPr>
      </w:pPr>
      <w:r w:rsidRPr="00422183">
        <w:rPr>
          <w:rFonts w:ascii="Rockwell" w:hAnsi="Rockwell"/>
          <w:sz w:val="24"/>
        </w:rPr>
        <w:t xml:space="preserve">Pourtant, l’économie burkinabè regorge d'énormes potentialités notamment (i) le grand potentiel de production agro-sylvo-pastorale non encore exploité, (ii) le potentiel de développement de l'agro-industrie, (iii) le potentiel de développement des industries de services, (iv) le grand potentiel de développement de l'énergie solaire, (v) la jeunesse de la main d'œuvre, (vi) le grand marché alimentaire ouest africain de plus en plus dynamique, (vii) la libre circulation des biens et des personnes dans l'espace communautaire ouest-africain, (viii) l'accroissement de la demande mondiale de produits agricoles notamment en Europe de l'Est, en Inde et en Chine et (ix) le développement et la baisse des coûts d'accès aux TIC. Pour exploiter ces potentialités, le Burkina devra relever les défis majeurs suivants : (i) la bonne gouvernance et la qualité des institutions ; (ii) la disponibilité et l’employabilité d'un capital humain adapté aux besoins de l'économie nationale ; (iii) le développement des </w:t>
      </w:r>
      <w:r w:rsidRPr="00422183">
        <w:rPr>
          <w:rFonts w:ascii="Rockwell" w:hAnsi="Rockwell"/>
          <w:sz w:val="24"/>
        </w:rPr>
        <w:lastRenderedPageBreak/>
        <w:t>bases productives pour une industrialisation durable et (iv) l’amélioration de la productivité et de la compétitivité des secteurs de production et de transformation des produits locaux, générateurs d'emplois.</w:t>
      </w:r>
    </w:p>
    <w:p w:rsidR="009D0167" w:rsidRPr="00422183" w:rsidRDefault="009D0167" w:rsidP="009D0167">
      <w:pPr>
        <w:jc w:val="both"/>
        <w:rPr>
          <w:rFonts w:ascii="Rockwell" w:hAnsi="Rockwell"/>
          <w:sz w:val="24"/>
        </w:rPr>
      </w:pPr>
      <w:r w:rsidRPr="00422183">
        <w:rPr>
          <w:rFonts w:ascii="Rockwell" w:hAnsi="Rockwell"/>
          <w:sz w:val="24"/>
        </w:rPr>
        <w:t xml:space="preserve">Pour relever ces défis tout en contribuant à la réalisation de la vision Burkina 2025 dans le respect des orientations et engagements internationaux auxquels le Burkina a souscrit, la vision du Plan national de développement économique et social (PNDES) est : « le Burkina Faso, une nation démocratique, unie et solidaire, transformant la structure de son économie et réalisant une croissance forte et inclusive, au moyen de modes de consommation et de production durables ». Pour réaliser cette vision, l'objectif global du PNDES est de transformer structurellement l'économie burkinabè, pour une croissance forte, résiliente, inclusive et créatrice d'emplois décents pour tous. </w:t>
      </w:r>
    </w:p>
    <w:p w:rsidR="009D0167" w:rsidRPr="00422183" w:rsidRDefault="009D0167" w:rsidP="009D0167">
      <w:pPr>
        <w:jc w:val="both"/>
        <w:rPr>
          <w:rFonts w:ascii="Rockwell" w:hAnsi="Rockwell"/>
          <w:sz w:val="24"/>
        </w:rPr>
      </w:pPr>
      <w:r w:rsidRPr="00422183">
        <w:rPr>
          <w:rFonts w:ascii="Rockwell" w:hAnsi="Rockwell"/>
          <w:sz w:val="24"/>
        </w:rPr>
        <w:t>Les principaux axes d’intervention sont Axe 1 : réformer les institutions et moderniser l'administration, Axe 2 : développer le capital humain et Axe 3 : dynamiser les secteurs porteurs pour l'économie et l'emploi. Le processus de transformation structurelle prévoit une première phase caractérisée par le renforcement des secteurs d'appui au développement industriel notamment l'énergie, les infrastructures de transport et la technologie, la réforme du système éducatif et l'amélioration de la productivité du secteur primaire. La deuxième étape portera essentiellement sur la relance d'un développement industriel durable.</w:t>
      </w:r>
    </w:p>
    <w:p w:rsidR="009D0167" w:rsidRPr="00422183" w:rsidRDefault="009D0167" w:rsidP="009D0167">
      <w:pPr>
        <w:jc w:val="both"/>
        <w:rPr>
          <w:rFonts w:ascii="Rockwell" w:hAnsi="Rockwell"/>
          <w:sz w:val="24"/>
        </w:rPr>
      </w:pPr>
      <w:r w:rsidRPr="00422183">
        <w:rPr>
          <w:rFonts w:ascii="Rockwell" w:hAnsi="Rockwell"/>
          <w:sz w:val="24"/>
        </w:rPr>
        <w:t>Les impacts globaux attendus de la mise en œuvre du PNDES sont (i) l'amélioration de l'efficacité de la gouvernance nationale et locale, (ii) l'émergence d'une économie moderne, basée sur un secteur primaire évolutif et des industries de transformation et de services de plus en plus dynamiques, avec une croissance moyenne soutenue de 8,5%, créatrice d'au moins 130 000 emplois productifs par an, (iii) la baisse de l'incidence de pauvreté à moins de 35%, (iv) la maitrise de la croissance démographique à 2,7% à l'horizon 2020, (v) l'accélération du niveau de développement du capital humain et (vi) le changement des modes de production et de consommation s'inscrivant dans une perspective de développement durable.</w:t>
      </w:r>
    </w:p>
    <w:p w:rsidR="009D0167" w:rsidRPr="00422183" w:rsidRDefault="009D0167" w:rsidP="009D0167">
      <w:pPr>
        <w:jc w:val="both"/>
        <w:rPr>
          <w:rFonts w:ascii="Rockwell" w:hAnsi="Rockwell"/>
          <w:sz w:val="24"/>
        </w:rPr>
      </w:pPr>
      <w:r w:rsidRPr="00422183">
        <w:rPr>
          <w:rFonts w:ascii="Rockwell" w:hAnsi="Rockwell"/>
          <w:sz w:val="24"/>
        </w:rPr>
        <w:t xml:space="preserve">La mise en œuvre de l’ensemble des investissements et mesures de réformes prévus nécessitera un budget total estimé à 15 478,2 milliards de Francs CFA dont 60,4% de ressources propres, soit 9 345,8 milliards de francs CFA. Ainsi, il se dégage un besoin de financement de 6 132,2 milliards de francs CFA, soit 39,6% du coût total du plan. </w:t>
      </w:r>
    </w:p>
    <w:p w:rsidR="009D0167" w:rsidRPr="00422183" w:rsidRDefault="009D0167" w:rsidP="009D0167">
      <w:pPr>
        <w:jc w:val="both"/>
        <w:rPr>
          <w:rFonts w:ascii="Rockwell" w:hAnsi="Rockwell"/>
          <w:sz w:val="24"/>
        </w:rPr>
      </w:pPr>
      <w:r w:rsidRPr="00422183">
        <w:rPr>
          <w:rFonts w:ascii="Rockwell" w:hAnsi="Rockwell"/>
          <w:sz w:val="24"/>
        </w:rPr>
        <w:t>Les principaux risques qui pourraient entraver l'atteinte des performances projetées sont : (i) la sécurité nationale, (ii) le risque de troubles sociopolitiques, (iii) le risque financier, (iv) les aléas climatiques, (v) le risque lié à la conjoncture internationale et régionale, (vi) le risque lié à la faible adhésion des acteurs.</w:t>
      </w:r>
    </w:p>
    <w:p w:rsidR="009D0167" w:rsidRPr="00422183" w:rsidRDefault="009D0167" w:rsidP="009D0167">
      <w:pPr>
        <w:pStyle w:val="Lgende"/>
        <w:rPr>
          <w:color w:val="auto"/>
          <w:sz w:val="24"/>
        </w:rPr>
      </w:pPr>
    </w:p>
    <w:p w:rsidR="009D0167" w:rsidRPr="00422183" w:rsidRDefault="009D0167" w:rsidP="009D0167">
      <w:pPr>
        <w:pStyle w:val="Lgende"/>
        <w:rPr>
          <w:color w:val="auto"/>
          <w:sz w:val="24"/>
        </w:rPr>
      </w:pPr>
    </w:p>
    <w:p w:rsidR="009D0167" w:rsidRPr="00422183" w:rsidRDefault="009D0167" w:rsidP="009D0167">
      <w:pPr>
        <w:pStyle w:val="Lgende"/>
        <w:rPr>
          <w:color w:val="auto"/>
          <w:sz w:val="24"/>
        </w:rPr>
      </w:pPr>
    </w:p>
    <w:p w:rsidR="009D0167" w:rsidRPr="00422183" w:rsidRDefault="009D0167" w:rsidP="009D0167">
      <w:pPr>
        <w:pStyle w:val="Lgende"/>
        <w:rPr>
          <w:color w:val="auto"/>
          <w:sz w:val="24"/>
        </w:rPr>
      </w:pPr>
    </w:p>
    <w:p w:rsidR="009D0167" w:rsidRPr="00422183" w:rsidRDefault="009D0167" w:rsidP="009D0167">
      <w:pPr>
        <w:pStyle w:val="Lgende"/>
        <w:rPr>
          <w:color w:val="auto"/>
          <w:sz w:val="24"/>
        </w:rPr>
      </w:pPr>
    </w:p>
    <w:p w:rsidR="009D0167" w:rsidRPr="00422183" w:rsidRDefault="009D0167" w:rsidP="009D0167">
      <w:pPr>
        <w:pStyle w:val="Lgende"/>
        <w:rPr>
          <w:color w:val="auto"/>
          <w:sz w:val="24"/>
        </w:rPr>
      </w:pPr>
    </w:p>
    <w:p w:rsidR="009D0167" w:rsidRPr="00422183" w:rsidRDefault="009D0167" w:rsidP="009D0167">
      <w:pPr>
        <w:pStyle w:val="Lgende"/>
        <w:rPr>
          <w:color w:val="auto"/>
          <w:sz w:val="24"/>
          <w:szCs w:val="24"/>
        </w:rPr>
      </w:pPr>
      <w:r w:rsidRPr="00422183">
        <w:rPr>
          <w:color w:val="auto"/>
          <w:sz w:val="24"/>
        </w:rPr>
        <w:t>Indicateurs du modèle de transformation structurelle</w:t>
      </w:r>
    </w:p>
    <w:tbl>
      <w:tblPr>
        <w:tblStyle w:val="Grilledutableau"/>
        <w:tblW w:w="10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6"/>
        <w:gridCol w:w="3092"/>
        <w:gridCol w:w="1280"/>
        <w:gridCol w:w="886"/>
        <w:gridCol w:w="1178"/>
        <w:gridCol w:w="2503"/>
      </w:tblGrid>
      <w:tr w:rsidR="009D0167" w:rsidRPr="00422183" w:rsidTr="00FB6AB1">
        <w:trPr>
          <w:trHeight w:val="315"/>
          <w:tblHeader/>
        </w:trPr>
        <w:tc>
          <w:tcPr>
            <w:tcW w:w="1346" w:type="dxa"/>
            <w:shd w:val="clear" w:color="auto" w:fill="BFBFBF" w:themeFill="background1" w:themeFillShade="BF"/>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w:t>
            </w:r>
          </w:p>
        </w:tc>
        <w:tc>
          <w:tcPr>
            <w:tcW w:w="3092" w:type="dxa"/>
            <w:shd w:val="clear" w:color="auto" w:fill="BFBFBF" w:themeFill="background1" w:themeFillShade="BF"/>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Indicateurs d'impact</w:t>
            </w:r>
          </w:p>
        </w:tc>
        <w:tc>
          <w:tcPr>
            <w:tcW w:w="1280" w:type="dxa"/>
            <w:shd w:val="clear" w:color="auto" w:fill="BFBFBF" w:themeFill="background1" w:themeFillShade="BF"/>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 xml:space="preserve">Réf. (année) </w:t>
            </w:r>
          </w:p>
        </w:tc>
        <w:tc>
          <w:tcPr>
            <w:tcW w:w="886" w:type="dxa"/>
            <w:shd w:val="clear" w:color="auto" w:fill="BFBFBF" w:themeFill="background1" w:themeFillShade="BF"/>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Cibles 2018</w:t>
            </w:r>
          </w:p>
        </w:tc>
        <w:tc>
          <w:tcPr>
            <w:tcW w:w="1178" w:type="dxa"/>
            <w:shd w:val="clear" w:color="auto" w:fill="BFBFBF" w:themeFill="background1" w:themeFillShade="BF"/>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Cibles 2020</w:t>
            </w:r>
          </w:p>
        </w:tc>
        <w:tc>
          <w:tcPr>
            <w:tcW w:w="2503" w:type="dxa"/>
            <w:shd w:val="clear" w:color="auto" w:fill="BFBFBF" w:themeFill="background1" w:themeFillShade="BF"/>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Hypothèses</w:t>
            </w:r>
          </w:p>
        </w:tc>
      </w:tr>
      <w:tr w:rsidR="009D0167" w:rsidRPr="00422183" w:rsidTr="00FB6AB1">
        <w:trPr>
          <w:trHeight w:val="300"/>
        </w:trPr>
        <w:tc>
          <w:tcPr>
            <w:tcW w:w="1346" w:type="dxa"/>
            <w:vMerge w:val="restart"/>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Secteur primaire</w:t>
            </w: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Productivité du secteur primaire (en milliers de F CFA) par actif</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357 (2015)</w:t>
            </w:r>
          </w:p>
        </w:tc>
        <w:tc>
          <w:tcPr>
            <w:tcW w:w="886"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 415</w:t>
            </w:r>
          </w:p>
        </w:tc>
        <w:tc>
          <w:tcPr>
            <w:tcW w:w="1178"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535,5</w:t>
            </w:r>
          </w:p>
        </w:tc>
        <w:tc>
          <w:tcPr>
            <w:tcW w:w="2503" w:type="dxa"/>
            <w:vMerge w:val="restart"/>
            <w:vAlign w:val="center"/>
            <w:hideMark/>
          </w:tcPr>
          <w:p w:rsidR="009D0167" w:rsidRPr="00422183" w:rsidRDefault="009D0167" w:rsidP="00FB6AB1">
            <w:pPr>
              <w:jc w:val="both"/>
              <w:rPr>
                <w:rFonts w:ascii="Rockwell" w:hAnsi="Rockwell"/>
                <w:bCs/>
                <w:sz w:val="18"/>
                <w:szCs w:val="18"/>
              </w:rPr>
            </w:pPr>
            <w:r w:rsidRPr="00422183">
              <w:rPr>
                <w:rFonts w:ascii="Rockwell" w:hAnsi="Rockwell"/>
                <w:bCs/>
                <w:sz w:val="18"/>
                <w:szCs w:val="18"/>
              </w:rPr>
              <w:t>Maîtrise de l'eau pour l’agriculture, développement des infrastructures rurales, accès au marché, intensification, sécurisation foncière en milieu rural, accès au financement</w:t>
            </w: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Part du secteur primaire dans le PIB</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30,3% (2015)</w:t>
            </w:r>
          </w:p>
        </w:tc>
        <w:tc>
          <w:tcPr>
            <w:tcW w:w="886"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28%</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28%</w:t>
            </w:r>
          </w:p>
        </w:tc>
        <w:tc>
          <w:tcPr>
            <w:tcW w:w="2503" w:type="dxa"/>
            <w:vMerge/>
            <w:vAlign w:val="center"/>
            <w:hideMark/>
          </w:tcPr>
          <w:p w:rsidR="009D0167" w:rsidRPr="00422183" w:rsidRDefault="009D0167" w:rsidP="00FB6AB1">
            <w:pPr>
              <w:jc w:val="both"/>
              <w:rPr>
                <w:rFonts w:ascii="Rockwell" w:hAnsi="Rockwell"/>
                <w:bCs/>
                <w:sz w:val="18"/>
                <w:szCs w:val="18"/>
              </w:rPr>
            </w:pPr>
          </w:p>
        </w:tc>
      </w:tr>
      <w:tr w:rsidR="009D0167" w:rsidRPr="00422183" w:rsidTr="00FB6AB1">
        <w:trPr>
          <w:trHeight w:val="315"/>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Taux de commercialisation des produits agricoles (y compris culture de rente)</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25% (moy. 2005-2010)</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30%</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37,5%</w:t>
            </w:r>
          </w:p>
        </w:tc>
        <w:tc>
          <w:tcPr>
            <w:tcW w:w="2503" w:type="dxa"/>
            <w:vMerge/>
            <w:vAlign w:val="center"/>
            <w:hideMark/>
          </w:tcPr>
          <w:p w:rsidR="009D0167" w:rsidRPr="00422183" w:rsidRDefault="009D0167" w:rsidP="00FB6AB1">
            <w:pPr>
              <w:jc w:val="both"/>
              <w:rPr>
                <w:rFonts w:ascii="Rockwell" w:hAnsi="Rockwell"/>
                <w:bCs/>
                <w:sz w:val="18"/>
                <w:szCs w:val="18"/>
              </w:rPr>
            </w:pPr>
          </w:p>
        </w:tc>
      </w:tr>
      <w:tr w:rsidR="009D0167" w:rsidRPr="00422183" w:rsidTr="00FB6AB1">
        <w:trPr>
          <w:trHeight w:val="315"/>
        </w:trPr>
        <w:tc>
          <w:tcPr>
            <w:tcW w:w="1346" w:type="dxa"/>
            <w:noWrap/>
            <w:vAlign w:val="center"/>
          </w:tcPr>
          <w:p w:rsidR="009D0167" w:rsidRPr="00422183" w:rsidRDefault="009D0167" w:rsidP="00FB6AB1">
            <w:pPr>
              <w:jc w:val="both"/>
              <w:rPr>
                <w:rFonts w:ascii="Rockwell" w:hAnsi="Rockwell"/>
                <w:sz w:val="18"/>
                <w:szCs w:val="18"/>
              </w:rPr>
            </w:pPr>
          </w:p>
        </w:tc>
        <w:tc>
          <w:tcPr>
            <w:tcW w:w="3092"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Taux d’accroissement de l'approvisionnement des agro-industries</w:t>
            </w:r>
          </w:p>
        </w:tc>
        <w:tc>
          <w:tcPr>
            <w:tcW w:w="1280" w:type="dxa"/>
            <w:noWrap/>
            <w:vAlign w:val="center"/>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ND</w:t>
            </w:r>
          </w:p>
        </w:tc>
        <w:tc>
          <w:tcPr>
            <w:tcW w:w="886"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25%</w:t>
            </w:r>
          </w:p>
        </w:tc>
        <w:tc>
          <w:tcPr>
            <w:tcW w:w="1178"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50%</w:t>
            </w:r>
          </w:p>
        </w:tc>
        <w:tc>
          <w:tcPr>
            <w:tcW w:w="2503" w:type="dxa"/>
            <w:vMerge/>
            <w:vAlign w:val="center"/>
          </w:tcPr>
          <w:p w:rsidR="009D0167" w:rsidRPr="00422183" w:rsidRDefault="009D0167" w:rsidP="00FB6AB1">
            <w:pPr>
              <w:jc w:val="both"/>
              <w:rPr>
                <w:rFonts w:ascii="Rockwell" w:hAnsi="Rockwell"/>
                <w:bCs/>
                <w:sz w:val="18"/>
                <w:szCs w:val="18"/>
              </w:rPr>
            </w:pPr>
          </w:p>
        </w:tc>
      </w:tr>
      <w:tr w:rsidR="009D0167" w:rsidRPr="00422183" w:rsidTr="00FB6AB1">
        <w:trPr>
          <w:trHeight w:val="300"/>
        </w:trPr>
        <w:tc>
          <w:tcPr>
            <w:tcW w:w="1346" w:type="dxa"/>
            <w:vMerge w:val="restart"/>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Secteur secondaire</w:t>
            </w: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Part du secteur secondaire dans le PIB</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20,10%</w:t>
            </w:r>
          </w:p>
        </w:tc>
        <w:tc>
          <w:tcPr>
            <w:tcW w:w="886"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21,2%</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21,9%</w:t>
            </w:r>
          </w:p>
        </w:tc>
        <w:tc>
          <w:tcPr>
            <w:tcW w:w="2503" w:type="dxa"/>
            <w:vMerge/>
            <w:vAlign w:val="center"/>
            <w:hideMark/>
          </w:tcPr>
          <w:p w:rsidR="009D0167" w:rsidRPr="00422183" w:rsidRDefault="009D0167" w:rsidP="00FB6AB1">
            <w:pPr>
              <w:jc w:val="both"/>
              <w:rPr>
                <w:rFonts w:ascii="Rockwell" w:hAnsi="Rockwell"/>
                <w:b/>
                <w:bCs/>
                <w:sz w:val="18"/>
                <w:szCs w:val="18"/>
              </w:rPr>
            </w:pP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xml:space="preserve">Part de l'industrie manufacturière dans le PIB </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6,60%</w:t>
            </w:r>
          </w:p>
        </w:tc>
        <w:tc>
          <w:tcPr>
            <w:tcW w:w="886"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8%</w:t>
            </w:r>
          </w:p>
        </w:tc>
        <w:tc>
          <w:tcPr>
            <w:tcW w:w="1178"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12%</w:t>
            </w:r>
          </w:p>
        </w:tc>
        <w:tc>
          <w:tcPr>
            <w:tcW w:w="2503" w:type="dxa"/>
            <w:vMerge/>
            <w:vAlign w:val="center"/>
            <w:hideMark/>
          </w:tcPr>
          <w:p w:rsidR="009D0167" w:rsidRPr="00422183" w:rsidRDefault="009D0167" w:rsidP="00FB6AB1">
            <w:pPr>
              <w:jc w:val="both"/>
              <w:rPr>
                <w:rFonts w:ascii="Rockwell" w:hAnsi="Rockwell"/>
                <w:b/>
                <w:bCs/>
                <w:sz w:val="18"/>
                <w:szCs w:val="18"/>
              </w:rPr>
            </w:pPr>
          </w:p>
        </w:tc>
      </w:tr>
      <w:tr w:rsidR="009D0167" w:rsidRPr="00422183" w:rsidTr="00FB6AB1">
        <w:trPr>
          <w:trHeight w:val="315"/>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Taux de transformation des produits agricoles</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12%</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17%</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25%</w:t>
            </w:r>
          </w:p>
        </w:tc>
        <w:tc>
          <w:tcPr>
            <w:tcW w:w="2503" w:type="dxa"/>
            <w:vMerge/>
            <w:vAlign w:val="center"/>
            <w:hideMark/>
          </w:tcPr>
          <w:p w:rsidR="009D0167" w:rsidRPr="00422183" w:rsidRDefault="009D0167" w:rsidP="00FB6AB1">
            <w:pPr>
              <w:jc w:val="both"/>
              <w:rPr>
                <w:rFonts w:ascii="Rockwell" w:hAnsi="Rockwell"/>
                <w:b/>
                <w:bCs/>
                <w:sz w:val="18"/>
                <w:szCs w:val="18"/>
              </w:rPr>
            </w:pPr>
          </w:p>
        </w:tc>
      </w:tr>
      <w:tr w:rsidR="009D0167" w:rsidRPr="00422183" w:rsidTr="00FB6AB1">
        <w:trPr>
          <w:trHeight w:val="300"/>
        </w:trPr>
        <w:tc>
          <w:tcPr>
            <w:tcW w:w="1346" w:type="dxa"/>
            <w:vMerge w:val="restart"/>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Secteur tertiaire</w:t>
            </w: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xml:space="preserve">Part du secteur informel dans la valeur ajoutée du secteur tertiaire </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20,7 % (2015)</w:t>
            </w:r>
          </w:p>
        </w:tc>
        <w:tc>
          <w:tcPr>
            <w:tcW w:w="886"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18,5%</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15%</w:t>
            </w:r>
          </w:p>
        </w:tc>
        <w:tc>
          <w:tcPr>
            <w:tcW w:w="2503" w:type="dxa"/>
            <w:vMerge w:val="restart"/>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Stabilité, infrastructures, TIC, accès au financement, organisation du secteur informel, accès au marché</w:t>
            </w: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Part des produits manufacturés dans les exportations de biens (WDI)</w:t>
            </w:r>
          </w:p>
        </w:tc>
        <w:tc>
          <w:tcPr>
            <w:tcW w:w="1280" w:type="dxa"/>
            <w:noWrap/>
            <w:vAlign w:val="center"/>
            <w:hideMark/>
          </w:tcPr>
          <w:p w:rsidR="009D0167" w:rsidRPr="00422183" w:rsidRDefault="009D0167" w:rsidP="00FB6AB1">
            <w:pPr>
              <w:jc w:val="both"/>
              <w:rPr>
                <w:rFonts w:ascii="Rockwell" w:hAnsi="Rockwell"/>
                <w:b/>
                <w:bCs/>
                <w:sz w:val="18"/>
                <w:szCs w:val="18"/>
              </w:rPr>
            </w:pPr>
            <w:r w:rsidRPr="00422183">
              <w:rPr>
                <w:rFonts w:ascii="Rockwell" w:hAnsi="Rockwell"/>
                <w:b/>
                <w:bCs/>
                <w:sz w:val="18"/>
                <w:szCs w:val="18"/>
              </w:rPr>
              <w:t>10,6%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15%</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20%</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val="restart"/>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Urbanisation et démographie</w:t>
            </w: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xml:space="preserve">Proportion des populations urbaines  vivant en zone non lotie </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17,2%</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14%</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10%</w:t>
            </w:r>
          </w:p>
        </w:tc>
        <w:tc>
          <w:tcPr>
            <w:tcW w:w="2503" w:type="dxa"/>
            <w:vMerge w:val="restart"/>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Accès universel à une gamme complète de planification familiale, assurance qualité des services de santé, bonne gouvernance</w:t>
            </w: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Indice synthétique de fécondité</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5,4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5</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4,7</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Quotient de mortalité infanto-juvénile</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81,6 pour 1000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69 pour 1000</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54,7 pour 1000</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Rapport de dépendance démographique</w:t>
            </w:r>
          </w:p>
        </w:tc>
        <w:tc>
          <w:tcPr>
            <w:tcW w:w="1280"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100%</w:t>
            </w:r>
          </w:p>
        </w:tc>
        <w:tc>
          <w:tcPr>
            <w:tcW w:w="886"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96%</w:t>
            </w:r>
          </w:p>
        </w:tc>
        <w:tc>
          <w:tcPr>
            <w:tcW w:w="1178" w:type="dxa"/>
            <w:noWrap/>
            <w:vAlign w:val="center"/>
          </w:tcPr>
          <w:p w:rsidR="009D0167" w:rsidRPr="00422183" w:rsidRDefault="009D0167" w:rsidP="00FB6AB1">
            <w:pPr>
              <w:jc w:val="both"/>
              <w:rPr>
                <w:rFonts w:ascii="Rockwell" w:hAnsi="Rockwell"/>
                <w:sz w:val="18"/>
                <w:szCs w:val="18"/>
              </w:rPr>
            </w:pPr>
            <w:r w:rsidRPr="00422183">
              <w:rPr>
                <w:rFonts w:ascii="Rockwell" w:hAnsi="Rockwell"/>
                <w:sz w:val="18"/>
                <w:szCs w:val="18"/>
              </w:rPr>
              <w:t>92%</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15"/>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Taux de mortalité</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11,8 pour 1000 (2006)</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10 pour 1000</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8 pour 1000</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val="restart"/>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Impacts</w:t>
            </w: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Incidence de pauvreté</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40,1%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38%</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35%</w:t>
            </w:r>
          </w:p>
        </w:tc>
        <w:tc>
          <w:tcPr>
            <w:tcW w:w="2503" w:type="dxa"/>
            <w:vMerge w:val="restart"/>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Bonnes gouvernances économique, politique, administrative et locale</w:t>
            </w: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Incidence de pauvreté en milieu rural</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47,5%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44%</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38%</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Profondeur de la pauvreté</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 xml:space="preserve"> 3,3% (2014)</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2,8%</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1,60%</w:t>
            </w:r>
          </w:p>
        </w:tc>
        <w:tc>
          <w:tcPr>
            <w:tcW w:w="2503" w:type="dxa"/>
            <w:vMerge/>
            <w:vAlign w:val="center"/>
            <w:hideMark/>
          </w:tcPr>
          <w:p w:rsidR="009D0167" w:rsidRPr="00422183" w:rsidRDefault="009D0167" w:rsidP="00FB6AB1">
            <w:pPr>
              <w:jc w:val="both"/>
              <w:rPr>
                <w:rFonts w:ascii="Rockwell" w:hAnsi="Rockwell"/>
                <w:sz w:val="18"/>
                <w:szCs w:val="18"/>
              </w:rPr>
            </w:pPr>
          </w:p>
        </w:tc>
      </w:tr>
      <w:tr w:rsidR="009D0167" w:rsidRPr="00422183" w:rsidTr="00FB6AB1">
        <w:trPr>
          <w:trHeight w:val="300"/>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Taux de croissance économique</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4,0% (2015)</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9,5%</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8,9%</w:t>
            </w:r>
          </w:p>
        </w:tc>
        <w:tc>
          <w:tcPr>
            <w:tcW w:w="2503" w:type="dxa"/>
            <w:vMerge/>
            <w:vAlign w:val="center"/>
            <w:hideMark/>
          </w:tcPr>
          <w:p w:rsidR="009D0167" w:rsidRPr="00422183" w:rsidRDefault="009D0167" w:rsidP="00FB6AB1">
            <w:pPr>
              <w:jc w:val="both"/>
              <w:rPr>
                <w:rFonts w:ascii="Rockwell" w:hAnsi="Rockwell"/>
                <w:sz w:val="18"/>
                <w:szCs w:val="18"/>
              </w:rPr>
            </w:pPr>
          </w:p>
        </w:tc>
      </w:tr>
      <w:tr w:rsidR="00422183" w:rsidRPr="00422183" w:rsidTr="00FB6AB1">
        <w:trPr>
          <w:trHeight w:val="315"/>
        </w:trPr>
        <w:tc>
          <w:tcPr>
            <w:tcW w:w="1346" w:type="dxa"/>
            <w:vMerge/>
            <w:noWrap/>
            <w:vAlign w:val="center"/>
            <w:hideMark/>
          </w:tcPr>
          <w:p w:rsidR="009D0167" w:rsidRPr="00422183" w:rsidRDefault="009D0167" w:rsidP="00FB6AB1">
            <w:pPr>
              <w:jc w:val="both"/>
              <w:rPr>
                <w:rFonts w:ascii="Rockwell" w:hAnsi="Rockwell"/>
                <w:sz w:val="18"/>
                <w:szCs w:val="18"/>
              </w:rPr>
            </w:pPr>
          </w:p>
        </w:tc>
        <w:tc>
          <w:tcPr>
            <w:tcW w:w="3092"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Nombre moyen d'emplois productifs créés par an (en milliers)</w:t>
            </w:r>
          </w:p>
        </w:tc>
        <w:tc>
          <w:tcPr>
            <w:tcW w:w="1280"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53,2</w:t>
            </w:r>
          </w:p>
        </w:tc>
        <w:tc>
          <w:tcPr>
            <w:tcW w:w="886"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80</w:t>
            </w:r>
          </w:p>
        </w:tc>
        <w:tc>
          <w:tcPr>
            <w:tcW w:w="1178" w:type="dxa"/>
            <w:noWrap/>
            <w:vAlign w:val="center"/>
            <w:hideMark/>
          </w:tcPr>
          <w:p w:rsidR="009D0167" w:rsidRPr="00422183" w:rsidRDefault="009D0167" w:rsidP="00FB6AB1">
            <w:pPr>
              <w:jc w:val="both"/>
              <w:rPr>
                <w:rFonts w:ascii="Rockwell" w:hAnsi="Rockwell"/>
                <w:sz w:val="18"/>
                <w:szCs w:val="18"/>
              </w:rPr>
            </w:pPr>
            <w:r w:rsidRPr="00422183">
              <w:rPr>
                <w:rFonts w:ascii="Rockwell" w:hAnsi="Rockwell"/>
                <w:sz w:val="18"/>
                <w:szCs w:val="18"/>
              </w:rPr>
              <w:t>130</w:t>
            </w:r>
          </w:p>
        </w:tc>
        <w:tc>
          <w:tcPr>
            <w:tcW w:w="2503" w:type="dxa"/>
            <w:vMerge/>
            <w:vAlign w:val="center"/>
            <w:hideMark/>
          </w:tcPr>
          <w:p w:rsidR="009D0167" w:rsidRPr="00422183" w:rsidRDefault="009D0167" w:rsidP="00FB6AB1">
            <w:pPr>
              <w:jc w:val="both"/>
              <w:rPr>
                <w:rFonts w:ascii="Rockwell" w:hAnsi="Rockwell"/>
                <w:sz w:val="18"/>
                <w:szCs w:val="18"/>
              </w:rPr>
            </w:pPr>
          </w:p>
        </w:tc>
      </w:tr>
    </w:tbl>
    <w:p w:rsidR="009D0167" w:rsidRPr="00422183" w:rsidRDefault="009D0167" w:rsidP="003A0820">
      <w:pPr>
        <w:spacing w:after="0" w:line="240" w:lineRule="auto"/>
        <w:jc w:val="both"/>
        <w:rPr>
          <w:rFonts w:ascii="Rockwell" w:hAnsi="Rockwell"/>
          <w:b/>
          <w:sz w:val="24"/>
          <w:szCs w:val="24"/>
          <w:u w:val="single"/>
        </w:rPr>
      </w:pPr>
    </w:p>
    <w:p w:rsidR="009D0167" w:rsidRPr="00422183" w:rsidRDefault="009D0167">
      <w:pPr>
        <w:rPr>
          <w:rFonts w:ascii="Rockwell" w:hAnsi="Rockwell"/>
          <w:b/>
          <w:sz w:val="24"/>
          <w:szCs w:val="24"/>
          <w:u w:val="single"/>
        </w:rPr>
      </w:pPr>
      <w:r w:rsidRPr="00422183">
        <w:rPr>
          <w:rFonts w:ascii="Rockwell" w:hAnsi="Rockwell"/>
          <w:b/>
          <w:sz w:val="24"/>
          <w:szCs w:val="24"/>
          <w:u w:val="single"/>
        </w:rPr>
        <w:br w:type="page"/>
      </w:r>
    </w:p>
    <w:p w:rsidR="009D0167" w:rsidRPr="00422183" w:rsidRDefault="009D0167" w:rsidP="009D0167">
      <w:pPr>
        <w:pStyle w:val="Lgende"/>
        <w:rPr>
          <w:color w:val="auto"/>
          <w:sz w:val="24"/>
        </w:rPr>
      </w:pPr>
      <w:r w:rsidRPr="00422183">
        <w:rPr>
          <w:color w:val="auto"/>
          <w:sz w:val="24"/>
        </w:rPr>
        <w:lastRenderedPageBreak/>
        <w:t>Axes stratégiques, objectifs stratégiques et effets attendus du PNDES</w:t>
      </w:r>
    </w:p>
    <w:p w:rsidR="009D0167" w:rsidRPr="00422183" w:rsidRDefault="009D0167" w:rsidP="009D0167">
      <w:pPr>
        <w:spacing w:after="0" w:line="240" w:lineRule="auto"/>
        <w:jc w:val="both"/>
        <w:rPr>
          <w:rFonts w:ascii="Rockwell" w:hAnsi="Rockwell" w:cs="Times New Roman"/>
          <w:bCs/>
          <w:sz w:val="24"/>
          <w:szCs w:val="24"/>
        </w:rPr>
      </w:pPr>
    </w:p>
    <w:tbl>
      <w:tblPr>
        <w:tblStyle w:val="Grilledutableau"/>
        <w:tblW w:w="1031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8"/>
        <w:gridCol w:w="3119"/>
        <w:gridCol w:w="4926"/>
      </w:tblGrid>
      <w:tr w:rsidR="00422183" w:rsidRPr="00422183" w:rsidTr="009D0167">
        <w:trPr>
          <w:tblHeader/>
        </w:trPr>
        <w:tc>
          <w:tcPr>
            <w:tcW w:w="2268" w:type="dxa"/>
            <w:shd w:val="clear" w:color="auto" w:fill="D9D9D9" w:themeFill="background1" w:themeFillShade="D9"/>
            <w:vAlign w:val="center"/>
          </w:tcPr>
          <w:p w:rsidR="009D0167" w:rsidRPr="00422183" w:rsidRDefault="009D0167" w:rsidP="00FB6AB1">
            <w:pPr>
              <w:jc w:val="both"/>
              <w:rPr>
                <w:rFonts w:ascii="Rockwell" w:eastAsiaTheme="minorHAnsi" w:hAnsi="Rockwell"/>
                <w:b/>
              </w:rPr>
            </w:pPr>
            <w:r w:rsidRPr="00422183">
              <w:rPr>
                <w:rFonts w:ascii="Rockwell" w:eastAsiaTheme="minorHAnsi" w:hAnsi="Rockwell"/>
                <w:b/>
              </w:rPr>
              <w:t>Axes</w:t>
            </w:r>
          </w:p>
        </w:tc>
        <w:tc>
          <w:tcPr>
            <w:tcW w:w="3119" w:type="dxa"/>
            <w:shd w:val="clear" w:color="auto" w:fill="D9D9D9" w:themeFill="background1" w:themeFillShade="D9"/>
            <w:vAlign w:val="center"/>
          </w:tcPr>
          <w:p w:rsidR="009D0167" w:rsidRPr="00422183" w:rsidRDefault="009D0167" w:rsidP="00FB6AB1">
            <w:pPr>
              <w:jc w:val="both"/>
              <w:rPr>
                <w:rFonts w:ascii="Rockwell" w:eastAsiaTheme="minorHAnsi" w:hAnsi="Rockwell"/>
                <w:b/>
              </w:rPr>
            </w:pPr>
            <w:r w:rsidRPr="00422183">
              <w:rPr>
                <w:rFonts w:ascii="Rockwell" w:eastAsiaTheme="minorHAnsi" w:hAnsi="Rockwell"/>
                <w:b/>
              </w:rPr>
              <w:t>Objectifs stratégiques</w:t>
            </w:r>
          </w:p>
        </w:tc>
        <w:tc>
          <w:tcPr>
            <w:tcW w:w="4926" w:type="dxa"/>
            <w:shd w:val="clear" w:color="auto" w:fill="D9D9D9" w:themeFill="background1" w:themeFillShade="D9"/>
            <w:vAlign w:val="center"/>
          </w:tcPr>
          <w:p w:rsidR="009D0167" w:rsidRPr="00422183" w:rsidRDefault="009D0167" w:rsidP="00FB6AB1">
            <w:pPr>
              <w:jc w:val="both"/>
              <w:rPr>
                <w:rFonts w:ascii="Rockwell" w:eastAsiaTheme="minorHAnsi" w:hAnsi="Rockwell"/>
                <w:b/>
              </w:rPr>
            </w:pPr>
            <w:r w:rsidRPr="00422183">
              <w:rPr>
                <w:rFonts w:ascii="Rockwell" w:eastAsiaTheme="minorHAnsi" w:hAnsi="Rockwell"/>
                <w:b/>
              </w:rPr>
              <w:t xml:space="preserve">Effets attendus </w:t>
            </w:r>
          </w:p>
        </w:tc>
      </w:tr>
      <w:tr w:rsidR="00422183" w:rsidRPr="00422183" w:rsidTr="009D0167">
        <w:trPr>
          <w:trHeight w:val="440"/>
        </w:trPr>
        <w:tc>
          <w:tcPr>
            <w:tcW w:w="2268" w:type="dxa"/>
            <w:vMerge w:val="restart"/>
            <w:vAlign w:val="center"/>
          </w:tcPr>
          <w:p w:rsidR="009D0167" w:rsidRPr="00422183" w:rsidRDefault="009D0167" w:rsidP="00FB6AB1">
            <w:pPr>
              <w:jc w:val="both"/>
              <w:rPr>
                <w:rFonts w:ascii="Rockwell" w:eastAsiaTheme="minorHAnsi" w:hAnsi="Rockwell"/>
                <w:i/>
              </w:rPr>
            </w:pPr>
          </w:p>
          <w:p w:rsidR="009D0167" w:rsidRPr="00422183" w:rsidRDefault="009D0167" w:rsidP="00FB6AB1">
            <w:pPr>
              <w:jc w:val="both"/>
              <w:rPr>
                <w:rFonts w:ascii="Rockwell" w:eastAsiaTheme="minorHAnsi" w:hAnsi="Rockwell"/>
              </w:rPr>
            </w:pPr>
            <w:r w:rsidRPr="00422183">
              <w:rPr>
                <w:rFonts w:ascii="Rockwell" w:eastAsiaTheme="minorHAnsi" w:hAnsi="Rockwell"/>
                <w:i/>
              </w:rPr>
              <w:t>Axe 1 : réformer les institutions et moderniser l'administration</w:t>
            </w: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OS12</w:t>
            </w:r>
            <w:r w:rsidRPr="00422183">
              <w:rPr>
                <w:rFonts w:ascii="Rockwell" w:hAnsi="Rockwell"/>
                <w:b/>
                <w:sz w:val="18"/>
                <w:szCs w:val="18"/>
              </w:rPr>
              <w:t>: Promouvoir la bonne gouvernance politique et administrative</w:t>
            </w:r>
          </w:p>
        </w:tc>
        <w:tc>
          <w:tcPr>
            <w:tcW w:w="4926" w:type="dxa"/>
            <w:vAlign w:val="center"/>
          </w:tcPr>
          <w:p w:rsidR="009D0167" w:rsidRPr="00422183" w:rsidRDefault="009D0167" w:rsidP="00FB6AB1">
            <w:pPr>
              <w:jc w:val="both"/>
              <w:rPr>
                <w:rFonts w:ascii="Rockwell" w:eastAsiaTheme="minorHAnsi" w:hAnsi="Rockwell"/>
              </w:rPr>
            </w:pPr>
            <w:r w:rsidRPr="00422183">
              <w:rPr>
                <w:rFonts w:ascii="Rockwell" w:hAnsi="Rockwell"/>
                <w:sz w:val="18"/>
                <w:szCs w:val="18"/>
              </w:rPr>
              <w:t>EA 1. La démocratie, les droits humains, la justice et la paix sont renforcés</w:t>
            </w:r>
          </w:p>
        </w:tc>
      </w:tr>
      <w:tr w:rsidR="00422183" w:rsidRPr="00422183" w:rsidTr="009D0167">
        <w:trPr>
          <w:trHeight w:val="421"/>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 xml:space="preserve">EA 2.  La sécurité est renforcée </w:t>
            </w:r>
          </w:p>
        </w:tc>
      </w:tr>
      <w:tr w:rsidR="00422183" w:rsidRPr="00422183" w:rsidTr="009D0167">
        <w:trPr>
          <w:trHeight w:val="421"/>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pPr>
              <w:rPr>
                <w:rFonts w:ascii="Rockwell" w:hAnsi="Rockwell"/>
                <w:sz w:val="18"/>
                <w:szCs w:val="18"/>
              </w:rPr>
            </w:pPr>
            <w:r w:rsidRPr="00422183">
              <w:rPr>
                <w:rFonts w:ascii="Rockwell" w:hAnsi="Rockwell"/>
                <w:sz w:val="18"/>
                <w:szCs w:val="18"/>
              </w:rPr>
              <w:t>EA 3. La défense est renforcée</w:t>
            </w:r>
          </w:p>
        </w:tc>
      </w:tr>
      <w:tr w:rsidR="00422183" w:rsidRPr="00422183" w:rsidTr="009D0167">
        <w:trPr>
          <w:trHeight w:val="151"/>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 xml:space="preserve">EA 4. L'accès à l'information juste est assuré pour tous </w:t>
            </w:r>
          </w:p>
        </w:tc>
      </w:tr>
      <w:tr w:rsidR="00422183" w:rsidRPr="00422183" w:rsidTr="009D0167">
        <w:trPr>
          <w:trHeight w:val="33"/>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5. Les coopérations régionale et internationale sont améliorées</w:t>
            </w:r>
          </w:p>
        </w:tc>
      </w:tr>
      <w:tr w:rsidR="00422183" w:rsidRPr="00422183" w:rsidTr="009D0167">
        <w:trPr>
          <w:trHeight w:val="189"/>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6. L’administration publique est efficace et efficiente</w:t>
            </w:r>
          </w:p>
        </w:tc>
      </w:tr>
      <w:tr w:rsidR="00422183" w:rsidRPr="00422183" w:rsidTr="009D0167">
        <w:trPr>
          <w:trHeight w:val="263"/>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pPr>
              <w:jc w:val="both"/>
              <w:rPr>
                <w:rFonts w:ascii="Rockwell" w:hAnsi="Rockwell"/>
              </w:rPr>
            </w:pPr>
            <w:r w:rsidRPr="00422183">
              <w:rPr>
                <w:rFonts w:ascii="Rockwell" w:hAnsi="Rockwell"/>
                <w:sz w:val="18"/>
                <w:szCs w:val="18"/>
              </w:rPr>
              <w:t>EA  7. le système de redevabilité est développé à tous les niveaux</w:t>
            </w:r>
          </w:p>
        </w:tc>
      </w:tr>
      <w:tr w:rsidR="00422183" w:rsidRPr="00422183" w:rsidTr="009D0167">
        <w:trPr>
          <w:trHeight w:val="387"/>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OS12. </w:t>
            </w:r>
            <w:r w:rsidRPr="00422183">
              <w:rPr>
                <w:rFonts w:ascii="Rockwell" w:hAnsi="Rockwell"/>
                <w:b/>
                <w:sz w:val="18"/>
                <w:szCs w:val="18"/>
              </w:rPr>
              <w:t>Promouvoir la bonne gouvernance économique</w:t>
            </w:r>
          </w:p>
        </w:tc>
        <w:tc>
          <w:tcPr>
            <w:tcW w:w="4926" w:type="dxa"/>
            <w:vAlign w:val="center"/>
          </w:tcPr>
          <w:p w:rsidR="009D0167" w:rsidRPr="00422183" w:rsidRDefault="009D0167" w:rsidP="00FB6AB1">
            <w:pPr>
              <w:jc w:val="both"/>
              <w:rPr>
                <w:rFonts w:ascii="Rockwell" w:eastAsiaTheme="minorHAnsi" w:hAnsi="Rockwell"/>
              </w:rPr>
            </w:pPr>
            <w:r w:rsidRPr="00422183">
              <w:rPr>
                <w:rFonts w:ascii="Rockwell" w:hAnsi="Rockwell"/>
              </w:rPr>
              <w:t xml:space="preserve">EA 8. </w:t>
            </w:r>
            <w:r w:rsidRPr="00422183">
              <w:rPr>
                <w:rFonts w:ascii="Rockwell" w:hAnsi="Rockwell"/>
                <w:sz w:val="18"/>
                <w:szCs w:val="18"/>
              </w:rPr>
              <w:t>La planification, la gestion et le financement du processus de développement sont efficaces</w:t>
            </w:r>
          </w:p>
        </w:tc>
      </w:tr>
      <w:tr w:rsidR="00422183" w:rsidRPr="00422183" w:rsidTr="009D0167">
        <w:trPr>
          <w:trHeight w:val="33"/>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.9 : l’environnement des affaires est plus incitatif et le secteur privé renforcé dans ses capacités d’initiatives et de gestion</w:t>
            </w:r>
          </w:p>
        </w:tc>
      </w:tr>
      <w:tr w:rsidR="00422183" w:rsidRPr="00422183" w:rsidTr="009D0167">
        <w:trPr>
          <w:trHeight w:val="642"/>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OS13. </w:t>
            </w:r>
            <w:r w:rsidRPr="00422183">
              <w:rPr>
                <w:rFonts w:ascii="Rockwell" w:hAnsi="Rockwell"/>
                <w:b/>
                <w:sz w:val="18"/>
                <w:szCs w:val="18"/>
              </w:rPr>
              <w:t>Renforcer la décentralisation, la gouvernance locale et le développement régional</w:t>
            </w:r>
          </w:p>
        </w:tc>
        <w:tc>
          <w:tcPr>
            <w:tcW w:w="4926" w:type="dxa"/>
            <w:vAlign w:val="center"/>
          </w:tcPr>
          <w:p w:rsidR="009D0167" w:rsidRPr="00422183" w:rsidRDefault="009D0167" w:rsidP="00FB6AB1">
            <w:r w:rsidRPr="00422183">
              <w:rPr>
                <w:rFonts w:ascii="Rockwell" w:hAnsi="Rockwell"/>
              </w:rPr>
              <w:t xml:space="preserve">EA 10. </w:t>
            </w:r>
            <w:r w:rsidRPr="00422183">
              <w:rPr>
                <w:rFonts w:ascii="Rockwell" w:hAnsi="Rockwell"/>
                <w:sz w:val="18"/>
                <w:szCs w:val="18"/>
              </w:rPr>
              <w:t>L'efficacité de la décentralisation et de la gouvernance locale est améliorée</w:t>
            </w:r>
          </w:p>
        </w:tc>
      </w:tr>
      <w:tr w:rsidR="00422183" w:rsidRPr="00422183" w:rsidTr="009D0167">
        <w:trPr>
          <w:trHeight w:val="276"/>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pPr>
              <w:jc w:val="both"/>
              <w:rPr>
                <w:rFonts w:ascii="Rockwell" w:hAnsi="Rockwell"/>
              </w:rPr>
            </w:pPr>
            <w:r w:rsidRPr="00422183">
              <w:rPr>
                <w:rFonts w:ascii="Rockwell" w:hAnsi="Rockwell"/>
              </w:rPr>
              <w:t xml:space="preserve">EA 11. </w:t>
            </w:r>
            <w:r w:rsidRPr="00422183">
              <w:rPr>
                <w:rFonts w:ascii="Rockwell" w:hAnsi="Rockwell"/>
                <w:sz w:val="18"/>
                <w:szCs w:val="18"/>
              </w:rPr>
              <w:t>Les économies locales sont dynamisées et les disparités régionales sont réduites notamment à travers un aménagement du territoire efficace </w:t>
            </w:r>
            <w:r w:rsidRPr="00422183">
              <w:rPr>
                <w:rFonts w:ascii="Rockwell" w:hAnsi="Rockwell"/>
              </w:rPr>
              <w:t> </w:t>
            </w:r>
          </w:p>
        </w:tc>
      </w:tr>
      <w:tr w:rsidR="00422183" w:rsidRPr="00422183" w:rsidTr="009D0167">
        <w:trPr>
          <w:trHeight w:val="347"/>
        </w:trPr>
        <w:tc>
          <w:tcPr>
            <w:tcW w:w="2268"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i/>
              </w:rPr>
              <w:t>Axe 2 : Développer le capital humain</w:t>
            </w: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OS21.</w:t>
            </w:r>
            <w:r w:rsidRPr="00422183">
              <w:rPr>
                <w:rFonts w:ascii="Rockwell" w:hAnsi="Rockwell"/>
                <w:b/>
                <w:sz w:val="18"/>
                <w:szCs w:val="18"/>
              </w:rPr>
              <w:t>: Promouvoir la santé des populations et accélérer la transition démographique</w:t>
            </w:r>
          </w:p>
        </w:tc>
        <w:tc>
          <w:tcPr>
            <w:tcW w:w="4926" w:type="dxa"/>
            <w:vAlign w:val="center"/>
          </w:tcPr>
          <w:p w:rsidR="009D0167" w:rsidRPr="00422183" w:rsidRDefault="009D0167" w:rsidP="00FB6AB1">
            <w:r w:rsidRPr="00422183">
              <w:rPr>
                <w:rFonts w:ascii="Rockwell" w:hAnsi="Rockwell"/>
              </w:rPr>
              <w:t xml:space="preserve">EA 12. </w:t>
            </w:r>
            <w:r w:rsidRPr="00422183">
              <w:rPr>
                <w:rFonts w:ascii="Rockwell" w:hAnsi="Rockwell"/>
                <w:sz w:val="18"/>
                <w:szCs w:val="18"/>
              </w:rPr>
              <w:t xml:space="preserve">L'accès aux services de santé de qualité est garanti à tous </w:t>
            </w:r>
          </w:p>
        </w:tc>
      </w:tr>
      <w:tr w:rsidR="00422183" w:rsidRPr="00422183" w:rsidTr="009D0167">
        <w:trPr>
          <w:trHeight w:val="347"/>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 xml:space="preserve">EA 13.  L’état nutritionnel de la population en particulier les femmes et les enfants est amélioré </w:t>
            </w:r>
          </w:p>
        </w:tc>
      </w:tr>
      <w:tr w:rsidR="00422183" w:rsidRPr="00422183" w:rsidTr="009D0167">
        <w:trPr>
          <w:trHeight w:val="347"/>
        </w:trPr>
        <w:tc>
          <w:tcPr>
            <w:tcW w:w="2268" w:type="dxa"/>
            <w:vMerge/>
            <w:vAlign w:val="center"/>
          </w:tcPr>
          <w:p w:rsidR="009D0167" w:rsidRPr="00422183" w:rsidRDefault="009D0167" w:rsidP="00FB6AB1">
            <w:pPr>
              <w:jc w:val="both"/>
              <w:rPr>
                <w:rFonts w:ascii="Rockwell" w:eastAsiaTheme="minorHAnsi" w:hAnsi="Rockwell"/>
                <w:i/>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 xml:space="preserve">EA 14. Le processus d’accélération de la transition démographique est réellement mis en mouvement </w:t>
            </w:r>
          </w:p>
        </w:tc>
      </w:tr>
      <w:tr w:rsidR="00422183" w:rsidRPr="00422183" w:rsidTr="009D0167">
        <w:trPr>
          <w:trHeight w:val="207"/>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OS22. </w:t>
            </w:r>
            <w:r w:rsidRPr="00422183">
              <w:rPr>
                <w:rFonts w:ascii="Rockwell" w:hAnsi="Rockwell"/>
                <w:b/>
                <w:sz w:val="18"/>
                <w:szCs w:val="18"/>
              </w:rPr>
              <w:t>Accroitre l’offre et améliorer la qualité de l’éducation, de l’enseignement supérieur et de la formation en adéquation avec les besoins de l’économie</w:t>
            </w:r>
          </w:p>
        </w:tc>
        <w:tc>
          <w:tcPr>
            <w:tcW w:w="4926" w:type="dxa"/>
            <w:vAlign w:val="center"/>
          </w:tcPr>
          <w:p w:rsidR="009D0167" w:rsidRPr="00422183" w:rsidRDefault="009D0167" w:rsidP="00FB6AB1">
            <w:pPr>
              <w:jc w:val="both"/>
            </w:pPr>
            <w:r w:rsidRPr="00422183">
              <w:rPr>
                <w:rFonts w:ascii="Rockwell" w:hAnsi="Rockwell"/>
                <w:sz w:val="18"/>
                <w:szCs w:val="18"/>
              </w:rPr>
              <w:t xml:space="preserve">EA 15. l’accès de tous à une éducation de qualité est amélioré </w:t>
            </w:r>
          </w:p>
        </w:tc>
      </w:tr>
      <w:tr w:rsidR="00422183" w:rsidRPr="00422183" w:rsidTr="009D0167">
        <w:trPr>
          <w:trHeight w:val="347"/>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16.  La disponibilité et l'employabilité des ressources humaines sont améliorées</w:t>
            </w:r>
          </w:p>
        </w:tc>
      </w:tr>
      <w:tr w:rsidR="00422183" w:rsidRPr="00422183" w:rsidTr="009D0167">
        <w:trPr>
          <w:trHeight w:val="340"/>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17. L’accès à un enseignement supérieur de qualité adapté aux besoins de la transformation structurelle de l'économie est assuré</w:t>
            </w:r>
          </w:p>
        </w:tc>
      </w:tr>
      <w:tr w:rsidR="00422183" w:rsidRPr="00422183" w:rsidTr="009D0167">
        <w:trPr>
          <w:trHeight w:val="523"/>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OS23. </w:t>
            </w:r>
            <w:r w:rsidRPr="00422183">
              <w:rPr>
                <w:rFonts w:ascii="Rockwell" w:hAnsi="Rockwell"/>
                <w:b/>
                <w:sz w:val="18"/>
                <w:szCs w:val="18"/>
              </w:rPr>
              <w:t>Promouvoir la recherche et l'innovation au service de la transformation structurelle de l'économie</w:t>
            </w:r>
          </w:p>
        </w:tc>
        <w:tc>
          <w:tcPr>
            <w:tcW w:w="4926" w:type="dxa"/>
            <w:vAlign w:val="center"/>
          </w:tcPr>
          <w:p w:rsidR="009D0167" w:rsidRPr="00422183" w:rsidRDefault="009D0167" w:rsidP="00FB6AB1">
            <w:pPr>
              <w:jc w:val="both"/>
              <w:rPr>
                <w:rFonts w:ascii="Rockwell" w:eastAsiaTheme="minorHAnsi" w:hAnsi="Rockwell"/>
              </w:rPr>
            </w:pPr>
            <w:r w:rsidRPr="00422183">
              <w:rPr>
                <w:rFonts w:ascii="Rockwell" w:hAnsi="Rockwell"/>
              </w:rPr>
              <w:t xml:space="preserve">EA 18. </w:t>
            </w:r>
            <w:r w:rsidRPr="00422183">
              <w:rPr>
                <w:rFonts w:ascii="Rockwell" w:hAnsi="Rockwell"/>
                <w:sz w:val="18"/>
                <w:szCs w:val="18"/>
              </w:rPr>
              <w:t>La recherche et l'innovation sont davantage au service de la transformation structurelle de l'économie</w:t>
            </w:r>
          </w:p>
        </w:tc>
      </w:tr>
      <w:tr w:rsidR="00422183" w:rsidRPr="00422183" w:rsidTr="009D0167">
        <w:trPr>
          <w:trHeight w:val="298"/>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OS24. </w:t>
            </w:r>
            <w:r w:rsidRPr="00422183">
              <w:rPr>
                <w:rFonts w:ascii="Rockwell" w:hAnsi="Rockwell"/>
                <w:b/>
                <w:sz w:val="18"/>
                <w:szCs w:val="18"/>
              </w:rPr>
              <w:t>Promouvoir l'emploi décent et la protection sociale pour tous y compris les jeunes et les femmes</w:t>
            </w:r>
          </w:p>
        </w:tc>
        <w:tc>
          <w:tcPr>
            <w:tcW w:w="4926" w:type="dxa"/>
            <w:vAlign w:val="center"/>
          </w:tcPr>
          <w:p w:rsidR="009D0167" w:rsidRPr="00422183" w:rsidRDefault="009D0167" w:rsidP="00FB6AB1">
            <w:r w:rsidRPr="00422183">
              <w:rPr>
                <w:rFonts w:ascii="Rockwell" w:hAnsi="Rockwell"/>
                <w:sz w:val="18"/>
                <w:szCs w:val="18"/>
              </w:rPr>
              <w:t>EA 19. L'emploi décent et la protection sociale sont garantis à tous</w:t>
            </w:r>
          </w:p>
        </w:tc>
      </w:tr>
      <w:tr w:rsidR="00422183" w:rsidRPr="00422183" w:rsidTr="009D0167">
        <w:trPr>
          <w:trHeight w:val="497"/>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20. Les inégalités sociales et de genre sont réduites et la femme est promue comme acteur dynamique de développement</w:t>
            </w:r>
          </w:p>
        </w:tc>
      </w:tr>
      <w:tr w:rsidR="00422183" w:rsidRPr="00422183" w:rsidTr="009D0167">
        <w:trPr>
          <w:trHeight w:val="591"/>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OS25. </w:t>
            </w:r>
            <w:r w:rsidRPr="00422183">
              <w:rPr>
                <w:rFonts w:ascii="Rockwell" w:hAnsi="Rockwell"/>
                <w:b/>
                <w:sz w:val="18"/>
                <w:szCs w:val="18"/>
              </w:rPr>
              <w:t>Améliorer le cadre de vie, l'accès à l'eau, à l'assainissement et aux services énergétiques de qualité</w:t>
            </w:r>
          </w:p>
        </w:tc>
        <w:tc>
          <w:tcPr>
            <w:tcW w:w="4926" w:type="dxa"/>
            <w:vAlign w:val="center"/>
          </w:tcPr>
          <w:p w:rsidR="009D0167" w:rsidRPr="00422183" w:rsidRDefault="009D0167" w:rsidP="00FB6AB1">
            <w:r w:rsidRPr="00422183">
              <w:rPr>
                <w:rFonts w:ascii="Rockwell" w:hAnsi="Rockwell"/>
                <w:sz w:val="18"/>
                <w:szCs w:val="18"/>
              </w:rPr>
              <w:t>EA 21. L'accès de tous à un cadre de vie décent, à l'eau et à l'assainissement de qualité est garanti</w:t>
            </w:r>
          </w:p>
        </w:tc>
      </w:tr>
      <w:tr w:rsidR="00422183" w:rsidRPr="00422183" w:rsidTr="009D0167">
        <w:trPr>
          <w:trHeight w:val="129"/>
        </w:trPr>
        <w:tc>
          <w:tcPr>
            <w:tcW w:w="2268" w:type="dxa"/>
            <w:vMerge/>
            <w:tcBorders>
              <w:bottom w:val="single" w:sz="12" w:space="0" w:color="000000"/>
            </w:tcBorders>
            <w:vAlign w:val="center"/>
          </w:tcPr>
          <w:p w:rsidR="009D0167" w:rsidRPr="00422183" w:rsidRDefault="009D0167" w:rsidP="00FB6AB1">
            <w:pPr>
              <w:jc w:val="both"/>
              <w:rPr>
                <w:rFonts w:ascii="Rockwell" w:eastAsiaTheme="minorHAnsi" w:hAnsi="Rockwell"/>
                <w:b/>
              </w:rPr>
            </w:pPr>
          </w:p>
        </w:tc>
        <w:tc>
          <w:tcPr>
            <w:tcW w:w="3119" w:type="dxa"/>
            <w:vMerge/>
            <w:tcBorders>
              <w:bottom w:val="single" w:sz="12" w:space="0" w:color="000000"/>
            </w:tcBorders>
            <w:vAlign w:val="center"/>
          </w:tcPr>
          <w:p w:rsidR="009D0167" w:rsidRPr="00422183" w:rsidRDefault="009D0167" w:rsidP="00FB6AB1">
            <w:pPr>
              <w:jc w:val="both"/>
              <w:rPr>
                <w:rFonts w:ascii="Rockwell" w:eastAsiaTheme="minorHAnsi" w:hAnsi="Rockwell"/>
              </w:rPr>
            </w:pPr>
          </w:p>
        </w:tc>
        <w:tc>
          <w:tcPr>
            <w:tcW w:w="4926" w:type="dxa"/>
            <w:tcBorders>
              <w:bottom w:val="single" w:sz="12" w:space="0" w:color="000000"/>
            </w:tcBorders>
            <w:vAlign w:val="center"/>
          </w:tcPr>
          <w:p w:rsidR="009D0167" w:rsidRPr="00422183" w:rsidRDefault="009D0167" w:rsidP="00FB6AB1">
            <w:r w:rsidRPr="00422183">
              <w:rPr>
                <w:rFonts w:ascii="Rockwell" w:hAnsi="Rockwell"/>
                <w:sz w:val="18"/>
                <w:szCs w:val="18"/>
              </w:rPr>
              <w:t>EA 22. L'accès aux services énergétiques de qualité est garanti</w:t>
            </w:r>
          </w:p>
        </w:tc>
      </w:tr>
      <w:tr w:rsidR="00422183" w:rsidRPr="00422183" w:rsidTr="009D0167">
        <w:trPr>
          <w:trHeight w:val="111"/>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23. la croissance urbaine est planifiée et maitrisée</w:t>
            </w:r>
          </w:p>
        </w:tc>
      </w:tr>
      <w:tr w:rsidR="00422183" w:rsidRPr="00422183" w:rsidTr="009D0167">
        <w:trPr>
          <w:trHeight w:val="591"/>
        </w:trPr>
        <w:tc>
          <w:tcPr>
            <w:tcW w:w="2268" w:type="dxa"/>
            <w:vMerge/>
            <w:vAlign w:val="center"/>
          </w:tcPr>
          <w:p w:rsidR="009D0167" w:rsidRPr="00422183" w:rsidRDefault="009D0167" w:rsidP="00FB6AB1">
            <w:pPr>
              <w:jc w:val="both"/>
              <w:rPr>
                <w:rFonts w:ascii="Rockwell" w:eastAsiaTheme="minorHAnsi" w:hAnsi="Rockwell"/>
                <w:b/>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pPr>
              <w:rPr>
                <w:rFonts w:ascii="Rockwell" w:hAnsi="Rockwell"/>
                <w:sz w:val="18"/>
                <w:szCs w:val="18"/>
              </w:rPr>
            </w:pPr>
            <w:r w:rsidRPr="00422183">
              <w:rPr>
                <w:rFonts w:ascii="Rockwell" w:hAnsi="Rockwell"/>
                <w:sz w:val="18"/>
                <w:szCs w:val="18"/>
              </w:rPr>
              <w:t>EA 24. L'accès à des logements décents et aux bâtiments publics est assuré pour tous</w:t>
            </w:r>
          </w:p>
        </w:tc>
      </w:tr>
      <w:tr w:rsidR="00422183" w:rsidRPr="00422183" w:rsidTr="009D0167">
        <w:trPr>
          <w:trHeight w:val="1335"/>
        </w:trPr>
        <w:tc>
          <w:tcPr>
            <w:tcW w:w="2268" w:type="dxa"/>
            <w:vMerge w:val="restart"/>
            <w:vAlign w:val="center"/>
          </w:tcPr>
          <w:p w:rsidR="009D0167" w:rsidRPr="00422183" w:rsidRDefault="009D0167" w:rsidP="00FB6AB1">
            <w:pPr>
              <w:jc w:val="both"/>
              <w:rPr>
                <w:rFonts w:ascii="Rockwell" w:eastAsiaTheme="minorHAnsi" w:hAnsi="Rockwell"/>
                <w:i/>
              </w:rPr>
            </w:pPr>
            <w:r w:rsidRPr="00422183">
              <w:rPr>
                <w:rFonts w:ascii="Rockwell" w:eastAsiaTheme="minorHAnsi" w:hAnsi="Rockwell"/>
                <w:i/>
              </w:rPr>
              <w:t>Axe 3 : Dynamiser les secteurs porteurs pour l'économie et l'emploi</w:t>
            </w:r>
          </w:p>
        </w:tc>
        <w:tc>
          <w:tcPr>
            <w:tcW w:w="3119" w:type="dxa"/>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OS31. </w:t>
            </w:r>
            <w:r w:rsidRPr="00422183">
              <w:rPr>
                <w:rFonts w:ascii="Rockwell" w:hAnsi="Rockwell"/>
                <w:b/>
                <w:sz w:val="18"/>
                <w:szCs w:val="18"/>
              </w:rPr>
              <w:t>Développer un secteur agro-sylvo-pastoral, faunique et halieutique productif et résilient, davantage orienté vers le marché et basé sur les principes de développement durable</w:t>
            </w:r>
          </w:p>
        </w:tc>
        <w:tc>
          <w:tcPr>
            <w:tcW w:w="4926" w:type="dxa"/>
            <w:vAlign w:val="center"/>
          </w:tcPr>
          <w:p w:rsidR="009D0167" w:rsidRPr="00422183" w:rsidRDefault="009D0167" w:rsidP="00FB6AB1">
            <w:pPr>
              <w:jc w:val="both"/>
              <w:rPr>
                <w:rFonts w:ascii="Rockwell" w:eastAsiaTheme="minorHAnsi" w:hAnsi="Rockwell"/>
              </w:rPr>
            </w:pPr>
            <w:r w:rsidRPr="00422183">
              <w:rPr>
                <w:rFonts w:ascii="Rockwell" w:hAnsi="Rockwell"/>
              </w:rPr>
              <w:t xml:space="preserve">EA 25. </w:t>
            </w:r>
            <w:r w:rsidRPr="00422183">
              <w:rPr>
                <w:rFonts w:ascii="Rockwell" w:hAnsi="Rockwell"/>
                <w:sz w:val="18"/>
                <w:szCs w:val="18"/>
              </w:rPr>
              <w:t>Le secteur primaire contribue à la sécurité alimentaire, à l'emploi productif et à l'approvisionnement de l'agro-industrie locale, et est respectueux des principes de développement durable</w:t>
            </w:r>
          </w:p>
        </w:tc>
      </w:tr>
      <w:tr w:rsidR="00422183" w:rsidRPr="00422183" w:rsidTr="009D0167">
        <w:trPr>
          <w:trHeight w:val="594"/>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OS32. </w:t>
            </w:r>
            <w:r w:rsidRPr="00422183">
              <w:rPr>
                <w:rFonts w:ascii="Rockwell" w:hAnsi="Rockwell"/>
                <w:b/>
                <w:sz w:val="18"/>
                <w:szCs w:val="18"/>
              </w:rPr>
              <w:t>Développer un secteur industriel et artisanal compétitif, à forte valeur ajoutée et créateur d'emplois décents.</w:t>
            </w:r>
          </w:p>
        </w:tc>
        <w:tc>
          <w:tcPr>
            <w:tcW w:w="4926" w:type="dxa"/>
            <w:vAlign w:val="center"/>
          </w:tcPr>
          <w:p w:rsidR="009D0167" w:rsidRPr="00422183" w:rsidRDefault="009D0167" w:rsidP="00FB6AB1">
            <w:pPr>
              <w:jc w:val="both"/>
            </w:pPr>
            <w:r w:rsidRPr="00422183">
              <w:rPr>
                <w:rFonts w:ascii="Rockwell" w:hAnsi="Rockwell"/>
              </w:rPr>
              <w:t xml:space="preserve">EA 26. </w:t>
            </w:r>
            <w:r w:rsidRPr="00422183">
              <w:rPr>
                <w:rFonts w:ascii="Rockwell" w:hAnsi="Rockwell"/>
                <w:sz w:val="18"/>
                <w:szCs w:val="18"/>
              </w:rPr>
              <w:t>Le secteur industriel et artisanal est davantage dynamique en matière de création de richesse, d’emplois et d’exportation.</w:t>
            </w:r>
          </w:p>
        </w:tc>
      </w:tr>
      <w:tr w:rsidR="00422183" w:rsidRPr="00422183" w:rsidTr="009D0167">
        <w:trPr>
          <w:trHeight w:val="141"/>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27. La contribution des industries culturelle, touristique et sportive à l’économie est améliorée</w:t>
            </w:r>
          </w:p>
        </w:tc>
      </w:tr>
      <w:tr w:rsidR="00422183" w:rsidRPr="00422183" w:rsidTr="009D0167">
        <w:trPr>
          <w:trHeight w:val="280"/>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28. L’impact du secteur minier sur le reste de l’économie est accru</w:t>
            </w:r>
          </w:p>
        </w:tc>
      </w:tr>
      <w:tr w:rsidR="00422183" w:rsidRPr="00422183" w:rsidTr="009D0167">
        <w:trPr>
          <w:trHeight w:val="545"/>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OS33. </w:t>
            </w:r>
            <w:r w:rsidRPr="00422183">
              <w:rPr>
                <w:rFonts w:ascii="Rockwell" w:hAnsi="Rockwell"/>
                <w:b/>
                <w:sz w:val="18"/>
                <w:szCs w:val="18"/>
              </w:rPr>
              <w:t>Promouvoir l'expansion des industries de services à forte valeur ajoutée et créatrices d'emplois décents.</w:t>
            </w:r>
          </w:p>
        </w:tc>
        <w:tc>
          <w:tcPr>
            <w:tcW w:w="4926" w:type="dxa"/>
            <w:vAlign w:val="center"/>
          </w:tcPr>
          <w:p w:rsidR="009D0167" w:rsidRPr="00422183" w:rsidRDefault="009D0167" w:rsidP="00FB6AB1">
            <w:pPr>
              <w:jc w:val="both"/>
            </w:pPr>
            <w:r w:rsidRPr="00422183">
              <w:rPr>
                <w:rFonts w:ascii="Rockwell" w:hAnsi="Rockwell"/>
              </w:rPr>
              <w:t xml:space="preserve">EA 27. </w:t>
            </w:r>
            <w:r w:rsidRPr="00422183">
              <w:rPr>
                <w:rFonts w:ascii="Rockwell" w:hAnsi="Rockwell"/>
                <w:sz w:val="18"/>
                <w:szCs w:val="18"/>
              </w:rPr>
              <w:t>Le secteur tertiaire se formalise et est davantage dynamique et créateur d'emplois décents</w:t>
            </w:r>
          </w:p>
        </w:tc>
      </w:tr>
      <w:tr w:rsidR="00422183" w:rsidRPr="00422183" w:rsidTr="009D0167">
        <w:trPr>
          <w:trHeight w:val="178"/>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 xml:space="preserve">EA 30. La mise en marché des produits nationaux est renforcée </w:t>
            </w:r>
          </w:p>
        </w:tc>
      </w:tr>
      <w:tr w:rsidR="00422183" w:rsidRPr="00422183" w:rsidTr="009D0167">
        <w:trPr>
          <w:trHeight w:val="681"/>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eastAsiaTheme="minorHAnsi" w:hAnsi="Rockwell"/>
              </w:rPr>
              <w:t xml:space="preserve">OS34. </w:t>
            </w:r>
            <w:r w:rsidRPr="00422183">
              <w:rPr>
                <w:rFonts w:ascii="Rockwell" w:hAnsi="Rockwell"/>
                <w:b/>
                <w:sz w:val="18"/>
                <w:szCs w:val="18"/>
              </w:rPr>
              <w:t>développer des infrastructures de qualité et résilientes pour favoriser la transformation structurelle de l’économie</w:t>
            </w:r>
          </w:p>
        </w:tc>
        <w:tc>
          <w:tcPr>
            <w:tcW w:w="4926" w:type="dxa"/>
            <w:vAlign w:val="center"/>
          </w:tcPr>
          <w:p w:rsidR="009D0167" w:rsidRPr="00422183" w:rsidRDefault="009D0167" w:rsidP="00FB6AB1">
            <w:pPr>
              <w:jc w:val="both"/>
            </w:pPr>
            <w:r w:rsidRPr="00422183">
              <w:rPr>
                <w:rFonts w:ascii="Rockwell" w:hAnsi="Rockwell"/>
              </w:rPr>
              <w:t xml:space="preserve">EA 31. </w:t>
            </w:r>
            <w:r w:rsidRPr="00422183">
              <w:rPr>
                <w:rFonts w:ascii="Rockwell" w:hAnsi="Rockwell"/>
                <w:sz w:val="18"/>
                <w:szCs w:val="18"/>
              </w:rPr>
              <w:t>La qualité, la fiabilité et l'accessibilité des infrastructures sont accrues pour faciliter la transformation structurelle de l’économie</w:t>
            </w:r>
          </w:p>
        </w:tc>
      </w:tr>
      <w:tr w:rsidR="00422183" w:rsidRPr="00422183" w:rsidTr="009D0167">
        <w:trPr>
          <w:trHeight w:val="466"/>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ign w:val="center"/>
          </w:tcPr>
          <w:p w:rsidR="009D0167" w:rsidRPr="00422183" w:rsidRDefault="009D0167" w:rsidP="00FB6AB1">
            <w:pPr>
              <w:jc w:val="both"/>
              <w:rPr>
                <w:rFonts w:ascii="Rockwell" w:eastAsiaTheme="minorHAnsi" w:hAnsi="Rockwell"/>
              </w:rPr>
            </w:pPr>
          </w:p>
        </w:tc>
        <w:tc>
          <w:tcPr>
            <w:tcW w:w="4926" w:type="dxa"/>
            <w:vAlign w:val="center"/>
          </w:tcPr>
          <w:p w:rsidR="009D0167" w:rsidRPr="00422183" w:rsidRDefault="009D0167" w:rsidP="00FB6AB1">
            <w:r w:rsidRPr="00422183">
              <w:rPr>
                <w:rFonts w:ascii="Rockwell" w:hAnsi="Rockwell"/>
                <w:sz w:val="18"/>
                <w:szCs w:val="18"/>
              </w:rPr>
              <w:t>EA 32. La contribution des Pôles de croissance (Agro pôles, technopoles, Zones d’économie spéciales) dans l’économie est accrue</w:t>
            </w:r>
          </w:p>
        </w:tc>
      </w:tr>
      <w:tr w:rsidR="00422183" w:rsidRPr="00422183" w:rsidTr="009D0167">
        <w:trPr>
          <w:trHeight w:val="353"/>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restart"/>
            <w:vAlign w:val="center"/>
          </w:tcPr>
          <w:p w:rsidR="009D0167" w:rsidRPr="00422183" w:rsidRDefault="009D0167" w:rsidP="00FB6AB1">
            <w:pPr>
              <w:jc w:val="both"/>
              <w:rPr>
                <w:rFonts w:ascii="Rockwell" w:eastAsiaTheme="minorHAnsi" w:hAnsi="Rockwell"/>
              </w:rPr>
            </w:pPr>
            <w:r w:rsidRPr="00422183">
              <w:rPr>
                <w:rFonts w:ascii="Rockwell" w:hAnsi="Rockwell"/>
              </w:rPr>
              <w:t xml:space="preserve">OS35. </w:t>
            </w:r>
            <w:r w:rsidRPr="00422183">
              <w:rPr>
                <w:rFonts w:ascii="Rockwell" w:hAnsi="Rockwell"/>
                <w:b/>
                <w:sz w:val="18"/>
                <w:szCs w:val="18"/>
              </w:rPr>
              <w:t>Inverser la tendance de la dégradation de l'environnement et assurer durablement la gestion des ressources naturelles</w:t>
            </w:r>
          </w:p>
        </w:tc>
        <w:tc>
          <w:tcPr>
            <w:tcW w:w="4926" w:type="dxa"/>
            <w:vAlign w:val="center"/>
          </w:tcPr>
          <w:p w:rsidR="009D0167" w:rsidRPr="00422183" w:rsidRDefault="009D0167" w:rsidP="00FB6AB1">
            <w:r w:rsidRPr="00422183">
              <w:rPr>
                <w:rFonts w:ascii="Rockwell" w:hAnsi="Rockwell"/>
                <w:sz w:val="18"/>
                <w:szCs w:val="18"/>
              </w:rPr>
              <w:t xml:space="preserve">EA 33. L'environnement et les ressources naturelles sont gérés durablement </w:t>
            </w:r>
          </w:p>
        </w:tc>
      </w:tr>
      <w:tr w:rsidR="00422183" w:rsidRPr="00422183" w:rsidTr="009D0167">
        <w:trPr>
          <w:trHeight w:val="156"/>
        </w:trPr>
        <w:tc>
          <w:tcPr>
            <w:tcW w:w="2268" w:type="dxa"/>
            <w:vMerge/>
            <w:vAlign w:val="center"/>
          </w:tcPr>
          <w:p w:rsidR="009D0167" w:rsidRPr="00422183" w:rsidRDefault="009D0167" w:rsidP="00FB6AB1">
            <w:pPr>
              <w:ind w:left="360"/>
              <w:jc w:val="both"/>
              <w:rPr>
                <w:rFonts w:ascii="Rockwell" w:eastAsiaTheme="minorHAnsi" w:hAnsi="Rockwell"/>
              </w:rPr>
            </w:pPr>
          </w:p>
        </w:tc>
        <w:tc>
          <w:tcPr>
            <w:tcW w:w="3119" w:type="dxa"/>
            <w:vMerge/>
            <w:vAlign w:val="center"/>
          </w:tcPr>
          <w:p w:rsidR="009D0167" w:rsidRPr="00422183" w:rsidRDefault="009D0167" w:rsidP="00FB6AB1">
            <w:pPr>
              <w:jc w:val="both"/>
              <w:rPr>
                <w:rFonts w:ascii="Rockwell" w:hAnsi="Rockwell"/>
              </w:rPr>
            </w:pPr>
          </w:p>
        </w:tc>
        <w:tc>
          <w:tcPr>
            <w:tcW w:w="4926" w:type="dxa"/>
            <w:vAlign w:val="center"/>
          </w:tcPr>
          <w:p w:rsidR="009D0167" w:rsidRPr="00422183" w:rsidRDefault="009D0167" w:rsidP="00FB6AB1">
            <w:r w:rsidRPr="00422183">
              <w:rPr>
                <w:rFonts w:ascii="Rockwell" w:hAnsi="Rockwell"/>
                <w:sz w:val="18"/>
                <w:szCs w:val="18"/>
              </w:rPr>
              <w:t>EA 34. Les capacités d’atténuation et d’adaptation aux effets néfastes du changement climatique sont renforcées dans une optique de transition vers l'économie verte</w:t>
            </w:r>
          </w:p>
        </w:tc>
      </w:tr>
    </w:tbl>
    <w:p w:rsidR="009D0167" w:rsidRPr="00422183" w:rsidRDefault="009D0167" w:rsidP="003A0820">
      <w:pPr>
        <w:spacing w:after="0" w:line="240" w:lineRule="auto"/>
        <w:jc w:val="both"/>
        <w:rPr>
          <w:rFonts w:ascii="Rockwell" w:hAnsi="Rockwell"/>
          <w:b/>
          <w:sz w:val="24"/>
          <w:szCs w:val="24"/>
          <w:u w:val="single"/>
        </w:rPr>
      </w:pPr>
    </w:p>
    <w:p w:rsidR="009D0167" w:rsidRPr="00422183" w:rsidRDefault="009D0167" w:rsidP="003A0820">
      <w:pPr>
        <w:spacing w:after="0" w:line="240" w:lineRule="auto"/>
        <w:jc w:val="both"/>
        <w:rPr>
          <w:rFonts w:ascii="Rockwell" w:hAnsi="Rockwell"/>
          <w:b/>
          <w:sz w:val="24"/>
          <w:szCs w:val="24"/>
          <w:u w:val="single"/>
        </w:rPr>
      </w:pPr>
    </w:p>
    <w:p w:rsidR="009D0167" w:rsidRPr="00422183" w:rsidRDefault="009D0167" w:rsidP="009D0167">
      <w:pPr>
        <w:pStyle w:val="Lgende"/>
        <w:rPr>
          <w:color w:val="auto"/>
          <w:sz w:val="24"/>
        </w:rPr>
      </w:pPr>
      <w:r w:rsidRPr="00422183">
        <w:rPr>
          <w:color w:val="auto"/>
          <w:sz w:val="24"/>
        </w:rPr>
        <w:t>Plan de financement du PNDES 2016-2020 (en milliards de F CFA)</w:t>
      </w:r>
    </w:p>
    <w:tbl>
      <w:tblPr>
        <w:tblW w:w="5300" w:type="pct"/>
        <w:tblLayout w:type="fixed"/>
        <w:tblCellMar>
          <w:left w:w="70" w:type="dxa"/>
          <w:right w:w="70" w:type="dxa"/>
        </w:tblCellMar>
        <w:tblLook w:val="04A0" w:firstRow="1" w:lastRow="0" w:firstColumn="1" w:lastColumn="0" w:noHBand="0" w:noVBand="1"/>
      </w:tblPr>
      <w:tblGrid>
        <w:gridCol w:w="2293"/>
        <w:gridCol w:w="1010"/>
        <w:gridCol w:w="1153"/>
        <w:gridCol w:w="1007"/>
        <w:gridCol w:w="1153"/>
        <w:gridCol w:w="1010"/>
        <w:gridCol w:w="1153"/>
        <w:gridCol w:w="1586"/>
      </w:tblGrid>
      <w:tr w:rsidR="00422183" w:rsidRPr="00422183" w:rsidTr="00FB6AB1">
        <w:trPr>
          <w:trHeight w:val="735"/>
        </w:trPr>
        <w:tc>
          <w:tcPr>
            <w:tcW w:w="1106"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p>
        </w:tc>
        <w:tc>
          <w:tcPr>
            <w:tcW w:w="487"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2016</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2017</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2018</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2019</w:t>
            </w:r>
          </w:p>
        </w:tc>
        <w:tc>
          <w:tcPr>
            <w:tcW w:w="487"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2020</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Total</w:t>
            </w:r>
          </w:p>
        </w:tc>
        <w:tc>
          <w:tcPr>
            <w:tcW w:w="765" w:type="pct"/>
            <w:tcBorders>
              <w:top w:val="single" w:sz="8" w:space="0" w:color="auto"/>
              <w:left w:val="nil"/>
              <w:bottom w:val="single" w:sz="8" w:space="0" w:color="auto"/>
              <w:right w:val="single" w:sz="8" w:space="0" w:color="auto"/>
            </w:tcBorders>
            <w:shd w:val="clear" w:color="000000" w:fill="BFBFBF"/>
            <w:vAlign w:val="center"/>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Part dans le financement</w:t>
            </w: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Cout du programme</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1 998,0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3 016,0</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3 262,6</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3 512,9</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3 688,8</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15 478,2</w:t>
            </w:r>
          </w:p>
        </w:tc>
        <w:tc>
          <w:tcPr>
            <w:tcW w:w="765" w:type="pct"/>
            <w:tcBorders>
              <w:top w:val="nil"/>
              <w:left w:val="nil"/>
              <w:bottom w:val="single" w:sz="8" w:space="0" w:color="auto"/>
              <w:right w:val="single" w:sz="8" w:space="0" w:color="auto"/>
            </w:tcBorders>
            <w:shd w:val="clear" w:color="000000" w:fill="B1A0C7"/>
            <w:noWrap/>
            <w:vAlign w:val="bottom"/>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100%</w:t>
            </w: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Ressources propres</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1 262,3</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1 652,3</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1 886,0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2 133,1</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2 412,0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9 345,8</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60,4%</w:t>
            </w: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szCs w:val="24"/>
              </w:rPr>
            </w:pPr>
            <w:r w:rsidRPr="00422183">
              <w:rPr>
                <w:rFonts w:ascii="Rockwell" w:eastAsia="Times New Roman" w:hAnsi="Rockwell" w:cs="Arial"/>
                <w:szCs w:val="24"/>
              </w:rPr>
              <w:t xml:space="preserve">Dépenses courantes </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1 048,9</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1 157,7</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1 262,2</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1 377,1</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1 495,8</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6 341,8</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szCs w:val="24"/>
              </w:rPr>
            </w:pP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szCs w:val="24"/>
              </w:rPr>
            </w:pPr>
            <w:r w:rsidRPr="00422183">
              <w:rPr>
                <w:rFonts w:ascii="Rockwell" w:eastAsia="Times New Roman" w:hAnsi="Rockwell" w:cs="Arial"/>
                <w:szCs w:val="24"/>
              </w:rPr>
              <w:t>Amortissement de la dette</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728,3</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szCs w:val="24"/>
              </w:rPr>
            </w:pP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Investissements</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803,4</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1 712,6</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1 854,7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1 990,2</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2 047,3</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8 408,2</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szCs w:val="24"/>
              </w:rPr>
            </w:pP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Besoin de financement</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735,6</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1 363,7</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1 376,5</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1 379,8</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1 276,7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6 132,4</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39,6%</w:t>
            </w: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szCs w:val="24"/>
              </w:rPr>
            </w:pPr>
            <w:r w:rsidRPr="00422183">
              <w:rPr>
                <w:rFonts w:ascii="Rockwell" w:eastAsia="Times New Roman" w:hAnsi="Rockwell" w:cs="Arial"/>
                <w:szCs w:val="24"/>
              </w:rPr>
              <w:t>Emprunts Obligataires</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180,0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rPr>
            </w:pPr>
            <w:r w:rsidRPr="00422183">
              <w:rPr>
                <w:rFonts w:ascii="Rockwell" w:eastAsia="Times New Roman" w:hAnsi="Rockwell" w:cs="Arial"/>
              </w:rPr>
              <w:t>780,0</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5,0%</w:t>
            </w:r>
          </w:p>
        </w:tc>
      </w:tr>
      <w:tr w:rsidR="00422183" w:rsidRPr="00422183" w:rsidTr="00FB6AB1">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9D0167" w:rsidRPr="00422183" w:rsidRDefault="009D0167" w:rsidP="00FB6AB1">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Financement à rechercher</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555,6</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1 213,7</w:t>
            </w:r>
          </w:p>
        </w:tc>
        <w:tc>
          <w:tcPr>
            <w:tcW w:w="48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1 226,5</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1 229,8</w:t>
            </w:r>
          </w:p>
        </w:tc>
        <w:tc>
          <w:tcPr>
            <w:tcW w:w="487"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1 126,7</w:t>
            </w:r>
          </w:p>
        </w:tc>
        <w:tc>
          <w:tcPr>
            <w:tcW w:w="556" w:type="pct"/>
            <w:tcBorders>
              <w:top w:val="nil"/>
              <w:left w:val="nil"/>
              <w:bottom w:val="single" w:sz="8" w:space="0" w:color="auto"/>
              <w:right w:val="single" w:sz="8" w:space="0" w:color="auto"/>
            </w:tcBorders>
            <w:shd w:val="clear" w:color="auto" w:fill="auto"/>
            <w:noWrap/>
            <w:vAlign w:val="center"/>
            <w:hideMark/>
          </w:tcPr>
          <w:p w:rsidR="009D0167" w:rsidRPr="00422183" w:rsidRDefault="009D0167" w:rsidP="00FB6AB1">
            <w:pPr>
              <w:spacing w:after="0" w:line="240" w:lineRule="auto"/>
              <w:jc w:val="both"/>
              <w:rPr>
                <w:rFonts w:ascii="Rockwell" w:eastAsia="Times New Roman" w:hAnsi="Rockwell" w:cs="Arial"/>
                <w:b/>
                <w:bCs/>
              </w:rPr>
            </w:pPr>
            <w:r w:rsidRPr="00422183">
              <w:rPr>
                <w:rFonts w:ascii="Rockwell" w:eastAsia="Times New Roman" w:hAnsi="Rockwell" w:cs="Arial"/>
                <w:b/>
                <w:bCs/>
              </w:rPr>
              <w:t>5 352,4</w:t>
            </w:r>
          </w:p>
        </w:tc>
        <w:tc>
          <w:tcPr>
            <w:tcW w:w="765" w:type="pct"/>
            <w:tcBorders>
              <w:top w:val="nil"/>
              <w:left w:val="nil"/>
              <w:bottom w:val="single" w:sz="8" w:space="0" w:color="auto"/>
              <w:right w:val="single" w:sz="8" w:space="0" w:color="auto"/>
            </w:tcBorders>
            <w:shd w:val="clear" w:color="000000" w:fill="B1A0C7"/>
            <w:noWrap/>
            <w:vAlign w:val="center"/>
            <w:hideMark/>
          </w:tcPr>
          <w:p w:rsidR="009D0167" w:rsidRPr="00422183" w:rsidRDefault="009D0167" w:rsidP="00FB6AB1">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34,6%</w:t>
            </w:r>
          </w:p>
        </w:tc>
      </w:tr>
    </w:tbl>
    <w:p w:rsidR="009D0167" w:rsidRPr="00422183" w:rsidRDefault="009D0167" w:rsidP="003A0820">
      <w:pPr>
        <w:spacing w:after="0" w:line="240" w:lineRule="auto"/>
        <w:jc w:val="both"/>
        <w:rPr>
          <w:rFonts w:ascii="Rockwell" w:hAnsi="Rockwell"/>
          <w:b/>
          <w:sz w:val="24"/>
          <w:szCs w:val="24"/>
          <w:u w:val="single"/>
        </w:rPr>
      </w:pPr>
    </w:p>
    <w:p w:rsidR="009D0167" w:rsidRPr="00422183" w:rsidRDefault="009D0167">
      <w:pPr>
        <w:rPr>
          <w:rFonts w:ascii="Rockwell" w:hAnsi="Rockwell"/>
          <w:b/>
          <w:sz w:val="24"/>
          <w:szCs w:val="24"/>
          <w:u w:val="single"/>
        </w:rPr>
      </w:pPr>
      <w:r w:rsidRPr="00422183">
        <w:rPr>
          <w:rFonts w:ascii="Rockwell" w:hAnsi="Rockwell"/>
          <w:b/>
          <w:sz w:val="24"/>
          <w:szCs w:val="24"/>
          <w:u w:val="single"/>
        </w:rPr>
        <w:br w:type="page"/>
      </w:r>
    </w:p>
    <w:p w:rsidR="009D0167" w:rsidRPr="00422183" w:rsidRDefault="009D0167" w:rsidP="003A0820">
      <w:pPr>
        <w:spacing w:after="0" w:line="240" w:lineRule="auto"/>
        <w:jc w:val="both"/>
        <w:rPr>
          <w:rFonts w:ascii="Rockwell" w:eastAsiaTheme="majorEastAsia" w:hAnsi="Rockwell" w:cstheme="majorBidi"/>
          <w:b/>
          <w:kern w:val="28"/>
          <w:sz w:val="24"/>
          <w:szCs w:val="24"/>
          <w:u w:val="single"/>
        </w:rPr>
      </w:pPr>
    </w:p>
    <w:p w:rsidR="00E05663" w:rsidRPr="00422183" w:rsidRDefault="00D73B80" w:rsidP="003A0820">
      <w:pPr>
        <w:pStyle w:val="PNDES1"/>
        <w:numPr>
          <w:ilvl w:val="0"/>
          <w:numId w:val="0"/>
        </w:numPr>
        <w:ind w:left="567" w:hanging="283"/>
      </w:pPr>
      <w:bookmarkStart w:id="6" w:name="_Toc452994135"/>
      <w:bookmarkStart w:id="7" w:name="_Toc452994583"/>
      <w:bookmarkStart w:id="8" w:name="_Toc452995023"/>
      <w:bookmarkStart w:id="9" w:name="_Toc453158147"/>
      <w:bookmarkStart w:id="10" w:name="_Toc453160723"/>
      <w:bookmarkStart w:id="11" w:name="_Toc453160930"/>
      <w:bookmarkStart w:id="12" w:name="_Toc455079225"/>
      <w:bookmarkStart w:id="13" w:name="_Toc455132703"/>
      <w:r w:rsidRPr="00422183">
        <w:t>INTRODUCTION</w:t>
      </w:r>
      <w:bookmarkEnd w:id="6"/>
      <w:bookmarkEnd w:id="7"/>
      <w:bookmarkEnd w:id="8"/>
      <w:bookmarkEnd w:id="9"/>
      <w:bookmarkEnd w:id="10"/>
      <w:bookmarkEnd w:id="11"/>
      <w:bookmarkEnd w:id="12"/>
      <w:bookmarkEnd w:id="13"/>
    </w:p>
    <w:p w:rsidR="00457A5E" w:rsidRPr="00422183" w:rsidRDefault="00457A5E" w:rsidP="003A0820">
      <w:pPr>
        <w:spacing w:after="0" w:line="240" w:lineRule="auto"/>
        <w:jc w:val="both"/>
        <w:rPr>
          <w:rFonts w:ascii="Rockwell" w:hAnsi="Rockwell"/>
          <w:sz w:val="24"/>
          <w:szCs w:val="24"/>
        </w:rPr>
      </w:pPr>
    </w:p>
    <w:p w:rsidR="007438F7" w:rsidRPr="00422183" w:rsidRDefault="008D003D" w:rsidP="003A0820">
      <w:pPr>
        <w:spacing w:after="0" w:line="240" w:lineRule="auto"/>
        <w:jc w:val="both"/>
        <w:rPr>
          <w:rFonts w:ascii="Rockwell" w:hAnsi="Rockwell"/>
          <w:bCs/>
          <w:sz w:val="24"/>
          <w:szCs w:val="24"/>
        </w:rPr>
      </w:pPr>
      <w:r w:rsidRPr="00422183">
        <w:rPr>
          <w:rFonts w:ascii="Rockwell" w:hAnsi="Rockwell"/>
          <w:sz w:val="24"/>
          <w:szCs w:val="24"/>
        </w:rPr>
        <w:t>La situation socio</w:t>
      </w:r>
      <w:r w:rsidR="00C318B6" w:rsidRPr="00422183">
        <w:rPr>
          <w:rFonts w:ascii="Rockwell" w:hAnsi="Rockwell"/>
          <w:sz w:val="24"/>
          <w:szCs w:val="24"/>
        </w:rPr>
        <w:t>-</w:t>
      </w:r>
      <w:r w:rsidRPr="00422183">
        <w:rPr>
          <w:rFonts w:ascii="Rockwell" w:hAnsi="Rockwell"/>
          <w:sz w:val="24"/>
          <w:szCs w:val="24"/>
        </w:rPr>
        <w:t xml:space="preserve">économique du Burkina Faso, </w:t>
      </w:r>
      <w:r w:rsidR="001442AD" w:rsidRPr="00422183">
        <w:rPr>
          <w:rFonts w:ascii="Rockwell" w:hAnsi="Rockwell"/>
          <w:sz w:val="24"/>
          <w:szCs w:val="24"/>
        </w:rPr>
        <w:t>dont</w:t>
      </w:r>
      <w:r w:rsidRPr="00422183">
        <w:rPr>
          <w:rFonts w:ascii="Rockwell" w:hAnsi="Rockwell"/>
          <w:sz w:val="24"/>
          <w:szCs w:val="24"/>
        </w:rPr>
        <w:t xml:space="preserve"> 40,1% de </w:t>
      </w:r>
      <w:r w:rsidR="001442AD" w:rsidRPr="00422183">
        <w:rPr>
          <w:rFonts w:ascii="Rockwell" w:hAnsi="Rockwell"/>
          <w:sz w:val="24"/>
          <w:szCs w:val="24"/>
        </w:rPr>
        <w:t>l</w:t>
      </w:r>
      <w:r w:rsidRPr="00422183">
        <w:rPr>
          <w:rFonts w:ascii="Rockwell" w:hAnsi="Rockwell"/>
          <w:sz w:val="24"/>
          <w:szCs w:val="24"/>
        </w:rPr>
        <w:t>a population</w:t>
      </w:r>
      <w:r w:rsidR="007438F7" w:rsidRPr="00422183">
        <w:rPr>
          <w:rFonts w:ascii="Rockwell" w:hAnsi="Rockwell"/>
          <w:sz w:val="24"/>
          <w:szCs w:val="24"/>
        </w:rPr>
        <w:t xml:space="preserve"> </w:t>
      </w:r>
      <w:r w:rsidRPr="00422183">
        <w:rPr>
          <w:rFonts w:ascii="Rockwell" w:hAnsi="Rockwell"/>
          <w:sz w:val="24"/>
          <w:szCs w:val="24"/>
        </w:rPr>
        <w:t>viva</w:t>
      </w:r>
      <w:r w:rsidR="001442AD" w:rsidRPr="00422183">
        <w:rPr>
          <w:rFonts w:ascii="Rockwell" w:hAnsi="Rockwell"/>
          <w:sz w:val="24"/>
          <w:szCs w:val="24"/>
        </w:rPr>
        <w:t>i</w:t>
      </w:r>
      <w:r w:rsidRPr="00422183">
        <w:rPr>
          <w:rFonts w:ascii="Rockwell" w:hAnsi="Rockwell"/>
          <w:sz w:val="24"/>
          <w:szCs w:val="24"/>
        </w:rPr>
        <w:t xml:space="preserve">t en dessous du seuil de pauvreté </w:t>
      </w:r>
      <w:r w:rsidR="007438F7" w:rsidRPr="00422183">
        <w:rPr>
          <w:rFonts w:ascii="Rockwell" w:hAnsi="Rockwell"/>
          <w:bCs/>
          <w:sz w:val="24"/>
          <w:szCs w:val="24"/>
        </w:rPr>
        <w:t xml:space="preserve">estimé à 153 530 </w:t>
      </w:r>
      <w:r w:rsidR="004403A3" w:rsidRPr="00422183">
        <w:rPr>
          <w:rFonts w:ascii="Rockwell" w:hAnsi="Rockwell"/>
          <w:bCs/>
          <w:sz w:val="24"/>
          <w:szCs w:val="24"/>
        </w:rPr>
        <w:t>F</w:t>
      </w:r>
      <w:r w:rsidR="007438F7" w:rsidRPr="00422183">
        <w:rPr>
          <w:rFonts w:ascii="Rockwell" w:hAnsi="Rockwell"/>
          <w:bCs/>
          <w:sz w:val="24"/>
          <w:szCs w:val="24"/>
        </w:rPr>
        <w:t>CFA</w:t>
      </w:r>
      <w:r w:rsidR="004403A3" w:rsidRPr="00422183">
        <w:rPr>
          <w:rFonts w:ascii="Rockwell" w:hAnsi="Rockwell"/>
          <w:sz w:val="24"/>
          <w:szCs w:val="24"/>
        </w:rPr>
        <w:t xml:space="preserve"> en 2014,</w:t>
      </w:r>
      <w:r w:rsidR="007438F7" w:rsidRPr="00422183">
        <w:rPr>
          <w:rFonts w:ascii="Rockwell" w:hAnsi="Rockwell"/>
          <w:bCs/>
          <w:sz w:val="24"/>
          <w:szCs w:val="24"/>
        </w:rPr>
        <w:t xml:space="preserve"> contre 46,7% en 2009</w:t>
      </w:r>
      <w:r w:rsidR="004403A3" w:rsidRPr="00422183">
        <w:rPr>
          <w:rFonts w:ascii="Rockwell" w:hAnsi="Rockwell"/>
          <w:bCs/>
          <w:sz w:val="24"/>
          <w:szCs w:val="24"/>
        </w:rPr>
        <w:t xml:space="preserve"> (pour un seuil estimé alors à </w:t>
      </w:r>
      <w:r w:rsidR="004403A3" w:rsidRPr="00422183">
        <w:rPr>
          <w:rFonts w:ascii="Rockwell" w:hAnsi="Rockwell" w:cs="Tahoma"/>
          <w:sz w:val="24"/>
          <w:szCs w:val="24"/>
        </w:rPr>
        <w:t>108</w:t>
      </w:r>
      <w:r w:rsidR="004403A3" w:rsidRPr="00422183">
        <w:rPr>
          <w:rFonts w:ascii="Rockwell" w:eastAsia="Calibri" w:hAnsi="Rockwell" w:cs="Arial"/>
          <w:sz w:val="24"/>
          <w:szCs w:val="24"/>
        </w:rPr>
        <w:t> </w:t>
      </w:r>
      <w:r w:rsidR="004403A3" w:rsidRPr="00422183">
        <w:rPr>
          <w:rFonts w:ascii="Rockwell" w:hAnsi="Rockwell" w:cs="Tahoma"/>
          <w:sz w:val="24"/>
          <w:szCs w:val="24"/>
        </w:rPr>
        <w:t>454 FCFA</w:t>
      </w:r>
      <w:r w:rsidR="004403A3" w:rsidRPr="00422183">
        <w:rPr>
          <w:rFonts w:ascii="Rockwell" w:hAnsi="Rockwell"/>
          <w:bCs/>
          <w:sz w:val="24"/>
          <w:szCs w:val="24"/>
        </w:rPr>
        <w:t>)</w:t>
      </w:r>
      <w:r w:rsidRPr="00422183">
        <w:rPr>
          <w:rFonts w:ascii="Rockwell" w:hAnsi="Rockwell"/>
          <w:sz w:val="24"/>
          <w:szCs w:val="24"/>
        </w:rPr>
        <w:t xml:space="preserve">, </w:t>
      </w:r>
      <w:r w:rsidR="001442AD" w:rsidRPr="00422183">
        <w:rPr>
          <w:rFonts w:ascii="Rockwell" w:hAnsi="Rockwell"/>
          <w:sz w:val="24"/>
          <w:szCs w:val="24"/>
        </w:rPr>
        <w:t xml:space="preserve">interpelle sur </w:t>
      </w:r>
      <w:r w:rsidRPr="00422183">
        <w:rPr>
          <w:rFonts w:ascii="Rockwell" w:hAnsi="Rockwell"/>
          <w:sz w:val="24"/>
          <w:szCs w:val="24"/>
        </w:rPr>
        <w:t>l'efficacité des politiques de développement mises en œuvre</w:t>
      </w:r>
      <w:r w:rsidR="007438F7" w:rsidRPr="00422183">
        <w:rPr>
          <w:rFonts w:ascii="Rockwell" w:hAnsi="Rockwell"/>
          <w:sz w:val="24"/>
          <w:szCs w:val="24"/>
        </w:rPr>
        <w:t>.</w:t>
      </w:r>
      <w:r w:rsidR="004F0F1F" w:rsidRPr="00422183">
        <w:rPr>
          <w:rFonts w:ascii="Rockwell" w:hAnsi="Rockwell"/>
          <w:sz w:val="24"/>
          <w:szCs w:val="24"/>
        </w:rPr>
        <w:t xml:space="preserve"> L'analyse</w:t>
      </w:r>
      <w:r w:rsidR="007438F7" w:rsidRPr="00422183">
        <w:rPr>
          <w:rFonts w:ascii="Rockwell" w:hAnsi="Rockwell"/>
          <w:bCs/>
          <w:sz w:val="24"/>
          <w:szCs w:val="24"/>
        </w:rPr>
        <w:t xml:space="preserve"> des indicateurs de pauvreté monétaire révèle</w:t>
      </w:r>
      <w:r w:rsidR="004F0F1F" w:rsidRPr="00422183">
        <w:rPr>
          <w:rFonts w:ascii="Rockwell" w:hAnsi="Rockwell"/>
          <w:bCs/>
          <w:sz w:val="24"/>
          <w:szCs w:val="24"/>
        </w:rPr>
        <w:t xml:space="preserve"> en outre</w:t>
      </w:r>
      <w:r w:rsidR="007438F7" w:rsidRPr="00422183">
        <w:rPr>
          <w:rFonts w:ascii="Rockwell" w:hAnsi="Rockwell"/>
          <w:sz w:val="24"/>
          <w:szCs w:val="24"/>
        </w:rPr>
        <w:t xml:space="preserve"> : </w:t>
      </w:r>
      <w:r w:rsidR="004F0F1F" w:rsidRPr="00422183">
        <w:rPr>
          <w:rFonts w:ascii="Rockwell" w:hAnsi="Rockwell"/>
          <w:bCs/>
          <w:sz w:val="24"/>
          <w:szCs w:val="24"/>
        </w:rPr>
        <w:t xml:space="preserve">(i) que </w:t>
      </w:r>
      <w:r w:rsidR="007438F7" w:rsidRPr="00422183">
        <w:rPr>
          <w:rFonts w:ascii="Rockwell" w:hAnsi="Rockwell"/>
          <w:bCs/>
          <w:sz w:val="24"/>
          <w:szCs w:val="24"/>
        </w:rPr>
        <w:t>le recul de la pauvreté en milieu</w:t>
      </w:r>
      <w:r w:rsidR="00E41458" w:rsidRPr="00422183">
        <w:rPr>
          <w:rFonts w:ascii="Rockwell" w:hAnsi="Rockwell"/>
          <w:bCs/>
          <w:sz w:val="24"/>
          <w:szCs w:val="24"/>
        </w:rPr>
        <w:t xml:space="preserve"> rural reste faible comparativement</w:t>
      </w:r>
      <w:r w:rsidR="007438F7" w:rsidRPr="00422183">
        <w:rPr>
          <w:rFonts w:ascii="Rockwell" w:hAnsi="Rockwell"/>
          <w:bCs/>
          <w:sz w:val="24"/>
          <w:szCs w:val="24"/>
        </w:rPr>
        <w:t xml:space="preserve"> au milieu</w:t>
      </w:r>
      <w:r w:rsidR="00E41458" w:rsidRPr="00422183">
        <w:rPr>
          <w:rFonts w:ascii="Rockwell" w:hAnsi="Rockwell"/>
          <w:bCs/>
          <w:sz w:val="24"/>
          <w:szCs w:val="24"/>
        </w:rPr>
        <w:t xml:space="preserve"> urbain où il a été divisé par deux</w:t>
      </w:r>
      <w:r w:rsidR="007438F7" w:rsidRPr="00422183">
        <w:rPr>
          <w:rFonts w:ascii="Rockwell" w:hAnsi="Rockwell"/>
          <w:bCs/>
          <w:sz w:val="24"/>
          <w:szCs w:val="24"/>
        </w:rPr>
        <w:t xml:space="preserve"> environ sur la période 2009-2014</w:t>
      </w:r>
      <w:r w:rsidR="00E41458" w:rsidRPr="00422183">
        <w:rPr>
          <w:rFonts w:ascii="Rockwell" w:hAnsi="Rockwell"/>
          <w:bCs/>
          <w:sz w:val="24"/>
          <w:szCs w:val="24"/>
        </w:rPr>
        <w:t>, tandis que neuf pauvres sur dix</w:t>
      </w:r>
      <w:r w:rsidR="007438F7" w:rsidRPr="00422183">
        <w:rPr>
          <w:rFonts w:ascii="Rockwell" w:hAnsi="Rockwell"/>
          <w:bCs/>
          <w:sz w:val="24"/>
          <w:szCs w:val="24"/>
        </w:rPr>
        <w:t xml:space="preserve"> viv</w:t>
      </w:r>
      <w:r w:rsidR="00E41458" w:rsidRPr="00422183">
        <w:rPr>
          <w:rFonts w:ascii="Rockwell" w:hAnsi="Rockwell"/>
          <w:bCs/>
          <w:sz w:val="24"/>
          <w:szCs w:val="24"/>
        </w:rPr>
        <w:t xml:space="preserve">aient en milieu rural, </w:t>
      </w:r>
      <w:r w:rsidR="000519FC" w:rsidRPr="00422183">
        <w:rPr>
          <w:rFonts w:ascii="Rockwell" w:hAnsi="Rockwell"/>
          <w:bCs/>
          <w:sz w:val="24"/>
          <w:szCs w:val="24"/>
        </w:rPr>
        <w:t xml:space="preserve">(ii) que sur la même période, </w:t>
      </w:r>
      <w:r w:rsidR="007438F7" w:rsidRPr="00422183">
        <w:rPr>
          <w:rFonts w:ascii="Rockwell" w:hAnsi="Rockwell"/>
          <w:bCs/>
          <w:sz w:val="24"/>
          <w:szCs w:val="24"/>
        </w:rPr>
        <w:t xml:space="preserve">la pauvreté a augmenté dans </w:t>
      </w:r>
      <w:r w:rsidR="000519FC" w:rsidRPr="00422183">
        <w:rPr>
          <w:rFonts w:ascii="Rockwell" w:hAnsi="Rockwell"/>
          <w:bCs/>
          <w:sz w:val="24"/>
          <w:szCs w:val="24"/>
        </w:rPr>
        <w:t xml:space="preserve">les régions </w:t>
      </w:r>
      <w:r w:rsidR="00A533AB" w:rsidRPr="00422183">
        <w:rPr>
          <w:rFonts w:ascii="Rockwell" w:hAnsi="Rockwell"/>
          <w:bCs/>
          <w:sz w:val="24"/>
          <w:szCs w:val="24"/>
        </w:rPr>
        <w:t>de la Boucle du Mouhoun, du Centre-Ouest, du Centre-Nord</w:t>
      </w:r>
      <w:r w:rsidR="0081415B" w:rsidRPr="00422183">
        <w:rPr>
          <w:rFonts w:ascii="Rockwell" w:hAnsi="Rockwell"/>
          <w:bCs/>
          <w:sz w:val="24"/>
          <w:szCs w:val="24"/>
        </w:rPr>
        <w:t xml:space="preserve"> et </w:t>
      </w:r>
      <w:r w:rsidR="000519FC" w:rsidRPr="00422183">
        <w:rPr>
          <w:rFonts w:ascii="Rockwell" w:hAnsi="Rockwell"/>
          <w:bCs/>
          <w:sz w:val="24"/>
          <w:szCs w:val="24"/>
        </w:rPr>
        <w:t xml:space="preserve">du Nord, </w:t>
      </w:r>
      <w:r w:rsidR="00315FA1" w:rsidRPr="00422183">
        <w:rPr>
          <w:rFonts w:ascii="Rockwell" w:hAnsi="Rockwell"/>
          <w:bCs/>
          <w:sz w:val="24"/>
          <w:szCs w:val="24"/>
        </w:rPr>
        <w:t>(iii) que</w:t>
      </w:r>
      <w:r w:rsidR="007438F7" w:rsidRPr="00422183">
        <w:rPr>
          <w:rFonts w:ascii="Rockwell" w:hAnsi="Rockwell"/>
          <w:bCs/>
          <w:sz w:val="24"/>
          <w:szCs w:val="24"/>
        </w:rPr>
        <w:t xml:space="preserve"> 60,3% des pauvres du pays </w:t>
      </w:r>
      <w:r w:rsidR="005E5662" w:rsidRPr="00422183">
        <w:rPr>
          <w:rFonts w:ascii="Rockwell" w:hAnsi="Rockwell"/>
          <w:bCs/>
          <w:sz w:val="24"/>
          <w:szCs w:val="24"/>
        </w:rPr>
        <w:t xml:space="preserve">étaient localisés </w:t>
      </w:r>
      <w:r w:rsidR="007438F7" w:rsidRPr="00422183">
        <w:rPr>
          <w:rFonts w:ascii="Rockwell" w:hAnsi="Rockwell"/>
          <w:bCs/>
          <w:sz w:val="24"/>
          <w:szCs w:val="24"/>
        </w:rPr>
        <w:t xml:space="preserve">dans les régions de la Boucle du Mouhoun (14,7%), du Nord (14,3%), </w:t>
      </w:r>
      <w:r w:rsidR="005E5662" w:rsidRPr="00422183">
        <w:rPr>
          <w:rFonts w:ascii="Rockwell" w:hAnsi="Rockwell"/>
          <w:bCs/>
          <w:sz w:val="24"/>
          <w:szCs w:val="24"/>
        </w:rPr>
        <w:t xml:space="preserve">de l'Est (10,9%), </w:t>
      </w:r>
      <w:r w:rsidR="007438F7" w:rsidRPr="00422183">
        <w:rPr>
          <w:rFonts w:ascii="Rockwell" w:hAnsi="Rockwell"/>
          <w:bCs/>
          <w:sz w:val="24"/>
          <w:szCs w:val="24"/>
        </w:rPr>
        <w:t>du Centre-Ouest (1</w:t>
      </w:r>
      <w:r w:rsidR="005E5662" w:rsidRPr="00422183">
        <w:rPr>
          <w:rFonts w:ascii="Rockwell" w:hAnsi="Rockwell"/>
          <w:bCs/>
          <w:sz w:val="24"/>
          <w:szCs w:val="24"/>
        </w:rPr>
        <w:t>0,6%) et du Centre-Nord (9,8%).</w:t>
      </w:r>
    </w:p>
    <w:p w:rsidR="007438F7" w:rsidRPr="00422183" w:rsidRDefault="007438F7" w:rsidP="003A0820">
      <w:pPr>
        <w:spacing w:after="0" w:line="240" w:lineRule="auto"/>
        <w:jc w:val="both"/>
        <w:rPr>
          <w:rFonts w:ascii="Rockwell" w:hAnsi="Rockwell"/>
          <w:sz w:val="24"/>
          <w:szCs w:val="24"/>
        </w:rPr>
      </w:pPr>
    </w:p>
    <w:p w:rsidR="008D003D" w:rsidRPr="00422183" w:rsidRDefault="007F37AC" w:rsidP="003A0820">
      <w:pPr>
        <w:spacing w:after="0" w:line="240" w:lineRule="auto"/>
        <w:jc w:val="both"/>
        <w:rPr>
          <w:rFonts w:ascii="Rockwell" w:hAnsi="Rockwell"/>
          <w:sz w:val="24"/>
          <w:szCs w:val="24"/>
        </w:rPr>
      </w:pPr>
      <w:r w:rsidRPr="00422183">
        <w:rPr>
          <w:rFonts w:ascii="Rockwell" w:hAnsi="Rockwell"/>
          <w:sz w:val="24"/>
          <w:szCs w:val="24"/>
        </w:rPr>
        <w:t>Cette situation indique</w:t>
      </w:r>
      <w:r w:rsidR="00203F96" w:rsidRPr="00422183">
        <w:rPr>
          <w:rFonts w:ascii="Rockwell" w:hAnsi="Rockwell"/>
          <w:sz w:val="24"/>
          <w:szCs w:val="24"/>
        </w:rPr>
        <w:t xml:space="preserve"> </w:t>
      </w:r>
      <w:r w:rsidR="000266F5" w:rsidRPr="00422183">
        <w:rPr>
          <w:rFonts w:ascii="Rockwell" w:hAnsi="Rockwell"/>
          <w:sz w:val="24"/>
          <w:szCs w:val="24"/>
        </w:rPr>
        <w:t>que l</w:t>
      </w:r>
      <w:r w:rsidR="00CC1F96" w:rsidRPr="00422183">
        <w:rPr>
          <w:rFonts w:ascii="Rockwell" w:hAnsi="Rockwell"/>
          <w:sz w:val="24"/>
          <w:szCs w:val="24"/>
        </w:rPr>
        <w:t>es politiques</w:t>
      </w:r>
      <w:r w:rsidR="001442AD" w:rsidRPr="00422183">
        <w:rPr>
          <w:rFonts w:ascii="Rockwell" w:hAnsi="Rockwell"/>
          <w:sz w:val="24"/>
          <w:szCs w:val="24"/>
        </w:rPr>
        <w:t xml:space="preserve"> </w:t>
      </w:r>
      <w:r w:rsidR="000266F5" w:rsidRPr="00422183">
        <w:rPr>
          <w:rFonts w:ascii="Rockwell" w:hAnsi="Rockwell"/>
          <w:sz w:val="24"/>
          <w:szCs w:val="24"/>
        </w:rPr>
        <w:t xml:space="preserve">de développement national </w:t>
      </w:r>
      <w:r w:rsidR="001442AD" w:rsidRPr="00422183">
        <w:rPr>
          <w:rFonts w:ascii="Rockwell" w:hAnsi="Rockwell"/>
          <w:sz w:val="24"/>
          <w:szCs w:val="24"/>
        </w:rPr>
        <w:t xml:space="preserve">ont été insuffisantes pour </w:t>
      </w:r>
      <w:r w:rsidRPr="00422183">
        <w:rPr>
          <w:rFonts w:ascii="Rockwell" w:hAnsi="Rockwell"/>
          <w:sz w:val="24"/>
          <w:szCs w:val="24"/>
        </w:rPr>
        <w:t>instaurer</w:t>
      </w:r>
      <w:r w:rsidR="001442AD" w:rsidRPr="00422183">
        <w:rPr>
          <w:rFonts w:ascii="Rockwell" w:hAnsi="Rockwell"/>
          <w:sz w:val="24"/>
          <w:szCs w:val="24"/>
        </w:rPr>
        <w:t xml:space="preserve"> les dynamiques de </w:t>
      </w:r>
      <w:r w:rsidR="008D003D" w:rsidRPr="00422183">
        <w:rPr>
          <w:rFonts w:ascii="Rockwell" w:hAnsi="Rockwell"/>
          <w:sz w:val="24"/>
          <w:szCs w:val="24"/>
        </w:rPr>
        <w:t xml:space="preserve">création de richesses </w:t>
      </w:r>
      <w:r w:rsidR="001442AD" w:rsidRPr="00422183">
        <w:rPr>
          <w:rFonts w:ascii="Rockwell" w:hAnsi="Rockwell"/>
          <w:sz w:val="24"/>
          <w:szCs w:val="24"/>
        </w:rPr>
        <w:t>nécessaires à</w:t>
      </w:r>
      <w:r w:rsidR="008D003D" w:rsidRPr="00422183">
        <w:rPr>
          <w:rFonts w:ascii="Rockwell" w:hAnsi="Rockwell"/>
          <w:sz w:val="24"/>
          <w:szCs w:val="24"/>
        </w:rPr>
        <w:t xml:space="preserve"> l'amélioration du bien-être des Burkinabè</w:t>
      </w:r>
      <w:r w:rsidR="00CC1F96" w:rsidRPr="00422183">
        <w:rPr>
          <w:rFonts w:ascii="Rockwell" w:hAnsi="Rockwell"/>
          <w:sz w:val="24"/>
          <w:szCs w:val="24"/>
        </w:rPr>
        <w:t xml:space="preserve">, par </w:t>
      </w:r>
      <w:r w:rsidR="009B1B3B" w:rsidRPr="00422183">
        <w:rPr>
          <w:rFonts w:ascii="Rockwell" w:hAnsi="Rockwell"/>
          <w:sz w:val="24"/>
          <w:szCs w:val="24"/>
        </w:rPr>
        <w:t>l'avènement d'un</w:t>
      </w:r>
      <w:r w:rsidR="008D003D" w:rsidRPr="00422183">
        <w:rPr>
          <w:rFonts w:ascii="Rockwell" w:hAnsi="Rockwell"/>
          <w:sz w:val="24"/>
          <w:szCs w:val="24"/>
        </w:rPr>
        <w:t xml:space="preserve"> développement économique et social durable</w:t>
      </w:r>
      <w:r w:rsidR="00D04345" w:rsidRPr="00422183">
        <w:rPr>
          <w:rFonts w:ascii="Rockwell" w:hAnsi="Rockwell"/>
          <w:sz w:val="24"/>
          <w:szCs w:val="24"/>
        </w:rPr>
        <w:t>. Ce développement est</w:t>
      </w:r>
      <w:r w:rsidR="008D003D" w:rsidRPr="00422183">
        <w:rPr>
          <w:rFonts w:ascii="Rockwell" w:hAnsi="Rockwell"/>
          <w:sz w:val="24"/>
          <w:szCs w:val="24"/>
        </w:rPr>
        <w:t xml:space="preserve"> entendu comme la transformation des structures économiques, démographiques et sociales qui permet</w:t>
      </w:r>
      <w:r w:rsidR="00C318B6" w:rsidRPr="00422183">
        <w:rPr>
          <w:rFonts w:ascii="Rockwell" w:hAnsi="Rockwell"/>
          <w:sz w:val="24"/>
          <w:szCs w:val="24"/>
        </w:rPr>
        <w:t>te</w:t>
      </w:r>
      <w:r w:rsidR="008D003D" w:rsidRPr="00422183">
        <w:rPr>
          <w:rFonts w:ascii="Rockwell" w:hAnsi="Rockwell"/>
          <w:sz w:val="24"/>
          <w:szCs w:val="24"/>
        </w:rPr>
        <w:t xml:space="preserve"> durablement et cumulativement, la croissance du revenu moyen, la satisfaction des besoins fondamentaux, la réduction de la pauvreté, l'amélioration des capacités humaines, la viabilité environnementale et l'équité sociale.</w:t>
      </w:r>
    </w:p>
    <w:p w:rsidR="008D003D" w:rsidRPr="00422183" w:rsidRDefault="008D003D" w:rsidP="003A0820">
      <w:pPr>
        <w:spacing w:after="0" w:line="240" w:lineRule="auto"/>
        <w:jc w:val="both"/>
        <w:rPr>
          <w:rFonts w:ascii="Rockwell" w:hAnsi="Rockwell"/>
          <w:sz w:val="24"/>
          <w:szCs w:val="24"/>
        </w:rPr>
      </w:pPr>
    </w:p>
    <w:p w:rsidR="00A84E24" w:rsidRPr="00422183" w:rsidRDefault="00203F96" w:rsidP="00A84E24">
      <w:pPr>
        <w:spacing w:after="0" w:line="240" w:lineRule="auto"/>
        <w:jc w:val="both"/>
        <w:rPr>
          <w:rFonts w:ascii="Rockwell" w:hAnsi="Rockwell"/>
          <w:sz w:val="24"/>
          <w:szCs w:val="24"/>
        </w:rPr>
      </w:pPr>
      <w:r w:rsidRPr="00422183">
        <w:rPr>
          <w:rFonts w:ascii="Rockwell" w:hAnsi="Rockwell"/>
          <w:sz w:val="24"/>
          <w:szCs w:val="24"/>
        </w:rPr>
        <w:t xml:space="preserve">En vue de </w:t>
      </w:r>
      <w:r w:rsidR="001C23D9" w:rsidRPr="00422183">
        <w:rPr>
          <w:rFonts w:ascii="Rockwell" w:hAnsi="Rockwell"/>
          <w:sz w:val="24"/>
          <w:szCs w:val="24"/>
        </w:rPr>
        <w:t>poser les bases d'un tel développement économique et social durable</w:t>
      </w:r>
      <w:r w:rsidRPr="00422183">
        <w:rPr>
          <w:rFonts w:ascii="Rockwell" w:hAnsi="Rockwell"/>
          <w:sz w:val="24"/>
          <w:szCs w:val="24"/>
        </w:rPr>
        <w:t xml:space="preserve">, le </w:t>
      </w:r>
      <w:r w:rsidR="001C23D9" w:rsidRPr="00422183">
        <w:rPr>
          <w:rFonts w:ascii="Rockwell" w:hAnsi="Rockwell"/>
          <w:sz w:val="24"/>
          <w:szCs w:val="24"/>
        </w:rPr>
        <w:t>g</w:t>
      </w:r>
      <w:r w:rsidRPr="00422183">
        <w:rPr>
          <w:rFonts w:ascii="Rockwell" w:hAnsi="Rockwell"/>
          <w:sz w:val="24"/>
          <w:szCs w:val="24"/>
        </w:rPr>
        <w:t xml:space="preserve">ouvernement a </w:t>
      </w:r>
      <w:r w:rsidR="006C72DE" w:rsidRPr="00422183">
        <w:rPr>
          <w:rFonts w:ascii="Rockwell" w:hAnsi="Rockwell"/>
          <w:sz w:val="24"/>
          <w:szCs w:val="24"/>
        </w:rPr>
        <w:t>opté pour l'élaboration et la mise en œuvre d'</w:t>
      </w:r>
      <w:r w:rsidRPr="00422183">
        <w:rPr>
          <w:rFonts w:ascii="Rockwell" w:hAnsi="Rockwell"/>
          <w:sz w:val="24"/>
          <w:szCs w:val="24"/>
        </w:rPr>
        <w:t>un Plan national de développement économique et social</w:t>
      </w:r>
      <w:r w:rsidR="006C72DE" w:rsidRPr="00422183">
        <w:rPr>
          <w:rFonts w:ascii="Rockwell" w:hAnsi="Rockwell"/>
          <w:sz w:val="24"/>
          <w:szCs w:val="24"/>
        </w:rPr>
        <w:t xml:space="preserve"> (</w:t>
      </w:r>
      <w:r w:rsidRPr="00422183">
        <w:rPr>
          <w:rFonts w:ascii="Rockwell" w:hAnsi="Rockwell"/>
          <w:sz w:val="24"/>
          <w:szCs w:val="24"/>
        </w:rPr>
        <w:t>PNDES</w:t>
      </w:r>
      <w:r w:rsidR="006C72DE" w:rsidRPr="00422183">
        <w:rPr>
          <w:rFonts w:ascii="Rockwell" w:hAnsi="Rockwell"/>
          <w:sz w:val="24"/>
          <w:szCs w:val="24"/>
        </w:rPr>
        <w:t>), en tenant compte des enseignements tirés de la mise en œuvre des référentiels antérieurs.</w:t>
      </w:r>
      <w:r w:rsidR="00BA0B66" w:rsidRPr="00422183">
        <w:rPr>
          <w:rFonts w:ascii="Rockwell" w:hAnsi="Rockwell"/>
          <w:sz w:val="24"/>
          <w:szCs w:val="24"/>
        </w:rPr>
        <w:t xml:space="preserve"> </w:t>
      </w:r>
      <w:r w:rsidR="006C72DE" w:rsidRPr="00422183">
        <w:rPr>
          <w:rFonts w:ascii="Rockwell" w:hAnsi="Rockwell"/>
          <w:sz w:val="24"/>
          <w:szCs w:val="24"/>
        </w:rPr>
        <w:t>C</w:t>
      </w:r>
      <w:r w:rsidRPr="00422183">
        <w:rPr>
          <w:rFonts w:ascii="Rockwell" w:hAnsi="Rockwell"/>
          <w:sz w:val="24"/>
          <w:szCs w:val="24"/>
        </w:rPr>
        <w:t xml:space="preserve">es référentiels </w:t>
      </w:r>
      <w:r w:rsidR="006C72DE" w:rsidRPr="00422183">
        <w:rPr>
          <w:rFonts w:ascii="Rockwell" w:hAnsi="Rockwell"/>
          <w:sz w:val="24"/>
          <w:szCs w:val="24"/>
        </w:rPr>
        <w:t xml:space="preserve">antérieurs </w:t>
      </w:r>
      <w:r w:rsidR="008F30A8" w:rsidRPr="00422183">
        <w:rPr>
          <w:rFonts w:ascii="Rockwell" w:hAnsi="Rockwell"/>
          <w:sz w:val="24"/>
          <w:szCs w:val="24"/>
        </w:rPr>
        <w:t>ont planifié le développement économique et social du Burkina Faso</w:t>
      </w:r>
      <w:r w:rsidR="00705AD4" w:rsidRPr="00422183">
        <w:rPr>
          <w:rFonts w:ascii="Rockwell" w:hAnsi="Rockwell"/>
          <w:sz w:val="24"/>
          <w:szCs w:val="24"/>
        </w:rPr>
        <w:t xml:space="preserve"> </w:t>
      </w:r>
      <w:r w:rsidR="008F30A8" w:rsidRPr="00422183">
        <w:rPr>
          <w:rFonts w:ascii="Rockwell" w:hAnsi="Rockwell"/>
          <w:sz w:val="24"/>
          <w:szCs w:val="24"/>
        </w:rPr>
        <w:t>dans une optique d'interventionnisme étatique</w:t>
      </w:r>
      <w:r w:rsidR="00E52421" w:rsidRPr="00422183">
        <w:rPr>
          <w:rFonts w:ascii="Rockwell" w:hAnsi="Rockwell"/>
          <w:sz w:val="24"/>
          <w:szCs w:val="24"/>
        </w:rPr>
        <w:t xml:space="preserve"> ou dans</w:t>
      </w:r>
      <w:r w:rsidR="00705AD4" w:rsidRPr="00422183">
        <w:rPr>
          <w:rFonts w:ascii="Rockwell" w:hAnsi="Rockwell"/>
          <w:sz w:val="24"/>
          <w:szCs w:val="24"/>
        </w:rPr>
        <w:t xml:space="preserve"> celle d</w:t>
      </w:r>
      <w:r w:rsidR="00E52421" w:rsidRPr="00422183">
        <w:rPr>
          <w:rFonts w:ascii="Rockwell" w:hAnsi="Rockwell"/>
          <w:sz w:val="24"/>
          <w:szCs w:val="24"/>
        </w:rPr>
        <w:t>e</w:t>
      </w:r>
      <w:r w:rsidR="008F30A8" w:rsidRPr="00422183">
        <w:rPr>
          <w:rFonts w:ascii="Rockwell" w:hAnsi="Rockwell"/>
          <w:sz w:val="24"/>
          <w:szCs w:val="24"/>
        </w:rPr>
        <w:t xml:space="preserve"> libéralisme économique. </w:t>
      </w:r>
      <w:r w:rsidR="00A84E24" w:rsidRPr="00422183">
        <w:rPr>
          <w:rFonts w:ascii="Rockwell" w:hAnsi="Rockwell"/>
          <w:sz w:val="24"/>
          <w:szCs w:val="24"/>
        </w:rPr>
        <w:t>En effet, avec les plans 1960-1962, 1963-1967 (premier plan quinquennal), 1967-1970 (plan-cadre de développement économique et social), 1971 (plan intérimaire), les plans 1972-1976, 1977-1981, le Programme populaire de développement (PPD) 1984-1985 et le Plan quinquennal de développement populaire (PQDP) 1986-1990, l'État a été positionné dans un rôle d'entrepreneur, tandis qu'avec les Programmes d'ajustement structurel (PAS) 1991-2000, le Cadre stratégique de lutte contre la pauvreté (CSLP) 2000-2010 et la Stratégie de croissance accélérée et de développement durable (SCADD) 2011-2015, c'est plutôt l'entreprise privée qui a été considérée comme le moteur du développement.</w:t>
      </w:r>
    </w:p>
    <w:p w:rsidR="00B041B9" w:rsidRPr="00422183" w:rsidRDefault="00B041B9" w:rsidP="00A84E24">
      <w:pPr>
        <w:spacing w:after="0" w:line="240" w:lineRule="auto"/>
        <w:jc w:val="both"/>
        <w:rPr>
          <w:rFonts w:ascii="Rockwell" w:hAnsi="Rockwell"/>
          <w:sz w:val="24"/>
          <w:szCs w:val="24"/>
        </w:rPr>
      </w:pPr>
    </w:p>
    <w:p w:rsidR="00915974" w:rsidRPr="00422183" w:rsidRDefault="002E24B5" w:rsidP="003A0820">
      <w:pPr>
        <w:spacing w:after="0" w:line="240" w:lineRule="auto"/>
        <w:jc w:val="both"/>
        <w:rPr>
          <w:rFonts w:ascii="Rockwell" w:hAnsi="Rockwell"/>
          <w:sz w:val="24"/>
          <w:szCs w:val="24"/>
        </w:rPr>
      </w:pPr>
      <w:r w:rsidRPr="00422183">
        <w:rPr>
          <w:rFonts w:ascii="Rockwell" w:hAnsi="Rockwell"/>
          <w:sz w:val="24"/>
          <w:szCs w:val="24"/>
        </w:rPr>
        <w:t xml:space="preserve">Au regard de l'insuffisance des résultats </w:t>
      </w:r>
      <w:r w:rsidR="00AA440E" w:rsidRPr="00422183">
        <w:rPr>
          <w:rFonts w:ascii="Rockwell" w:hAnsi="Rockwell"/>
          <w:sz w:val="24"/>
          <w:szCs w:val="24"/>
        </w:rPr>
        <w:t xml:space="preserve">obtenus </w:t>
      </w:r>
      <w:r w:rsidRPr="00422183">
        <w:rPr>
          <w:rFonts w:ascii="Rockwell" w:hAnsi="Rockwell"/>
          <w:sz w:val="24"/>
          <w:szCs w:val="24"/>
        </w:rPr>
        <w:t xml:space="preserve">par rapport aux attentes, il en résulte pour </w:t>
      </w:r>
      <w:r w:rsidR="008D44C7" w:rsidRPr="00422183">
        <w:rPr>
          <w:rFonts w:ascii="Rockwell" w:hAnsi="Rockwell"/>
          <w:sz w:val="24"/>
          <w:szCs w:val="24"/>
        </w:rPr>
        <w:t>le</w:t>
      </w:r>
      <w:r w:rsidR="009876AE" w:rsidRPr="00422183">
        <w:rPr>
          <w:rFonts w:ascii="Rockwell" w:hAnsi="Rockwell"/>
          <w:sz w:val="24"/>
          <w:szCs w:val="24"/>
        </w:rPr>
        <w:t xml:space="preserve"> PNDES</w:t>
      </w:r>
      <w:r w:rsidR="008D44C7" w:rsidRPr="00422183">
        <w:rPr>
          <w:rFonts w:ascii="Rockwell" w:hAnsi="Rockwell"/>
          <w:sz w:val="24"/>
          <w:szCs w:val="24"/>
        </w:rPr>
        <w:t>, le choix d'une</w:t>
      </w:r>
      <w:r w:rsidR="009876AE" w:rsidRPr="00422183">
        <w:rPr>
          <w:rFonts w:ascii="Rockwell" w:hAnsi="Rockwell"/>
          <w:sz w:val="24"/>
          <w:szCs w:val="24"/>
        </w:rPr>
        <w:t xml:space="preserve"> approche </w:t>
      </w:r>
      <w:r w:rsidR="00A7118E" w:rsidRPr="00422183">
        <w:rPr>
          <w:rFonts w:ascii="Rockwell" w:hAnsi="Rockwell"/>
          <w:sz w:val="24"/>
          <w:szCs w:val="24"/>
        </w:rPr>
        <w:t xml:space="preserve">pragmatique et </w:t>
      </w:r>
      <w:r w:rsidR="00351674" w:rsidRPr="00422183">
        <w:rPr>
          <w:rFonts w:ascii="Rockwell" w:hAnsi="Rockwell"/>
          <w:sz w:val="24"/>
          <w:szCs w:val="24"/>
        </w:rPr>
        <w:t>audacieuse</w:t>
      </w:r>
      <w:r w:rsidR="009876AE" w:rsidRPr="00422183">
        <w:rPr>
          <w:rFonts w:ascii="Rockwell" w:hAnsi="Rockwell"/>
          <w:sz w:val="24"/>
          <w:szCs w:val="24"/>
        </w:rPr>
        <w:t xml:space="preserve">, favorisant la promotion de l'entreprenariat et faisant intervenir l'État dans les cas d'incapacités </w:t>
      </w:r>
      <w:r w:rsidR="0009661F" w:rsidRPr="00422183">
        <w:rPr>
          <w:rFonts w:ascii="Rockwell" w:hAnsi="Rockwell"/>
          <w:sz w:val="24"/>
          <w:szCs w:val="24"/>
        </w:rPr>
        <w:t xml:space="preserve">critiques </w:t>
      </w:r>
      <w:r w:rsidRPr="00422183">
        <w:rPr>
          <w:rFonts w:ascii="Rockwell" w:hAnsi="Rockwell"/>
          <w:sz w:val="24"/>
          <w:szCs w:val="24"/>
        </w:rPr>
        <w:t xml:space="preserve">de l'entreprise privée, </w:t>
      </w:r>
      <w:r w:rsidR="00A24A30" w:rsidRPr="00422183">
        <w:rPr>
          <w:rFonts w:ascii="Rockwell" w:hAnsi="Rockwell"/>
          <w:sz w:val="24"/>
          <w:szCs w:val="24"/>
        </w:rPr>
        <w:t>suivant</w:t>
      </w:r>
      <w:r w:rsidRPr="00422183">
        <w:rPr>
          <w:rFonts w:ascii="Rockwell" w:hAnsi="Rockwell"/>
          <w:sz w:val="24"/>
          <w:szCs w:val="24"/>
        </w:rPr>
        <w:t xml:space="preserve"> l</w:t>
      </w:r>
      <w:r w:rsidR="002311EF" w:rsidRPr="00422183">
        <w:rPr>
          <w:rFonts w:ascii="Rockwell" w:hAnsi="Rockwell"/>
          <w:sz w:val="24"/>
          <w:szCs w:val="24"/>
        </w:rPr>
        <w:t xml:space="preserve">es </w:t>
      </w:r>
      <w:r w:rsidR="00345D84" w:rsidRPr="00422183">
        <w:rPr>
          <w:rFonts w:ascii="Rockwell" w:hAnsi="Rockwell"/>
          <w:sz w:val="24"/>
          <w:szCs w:val="24"/>
        </w:rPr>
        <w:t xml:space="preserve">cinq </w:t>
      </w:r>
      <w:r w:rsidR="002311EF" w:rsidRPr="00422183">
        <w:rPr>
          <w:rFonts w:ascii="Rockwell" w:hAnsi="Rockwell"/>
          <w:sz w:val="24"/>
          <w:szCs w:val="24"/>
        </w:rPr>
        <w:t xml:space="preserve">valeurs mises en avant par le </w:t>
      </w:r>
      <w:r w:rsidR="0081415B" w:rsidRPr="00422183">
        <w:rPr>
          <w:rFonts w:ascii="Rockwell" w:hAnsi="Rockwell"/>
          <w:sz w:val="24"/>
          <w:szCs w:val="24"/>
        </w:rPr>
        <w:t xml:space="preserve">programme présidentiel </w:t>
      </w:r>
      <w:r w:rsidR="0081415B" w:rsidRPr="00422183">
        <w:rPr>
          <w:rFonts w:ascii="Rockwell" w:eastAsia="Arial Unicode MS" w:hAnsi="Rockwell"/>
          <w:bCs/>
          <w:sz w:val="24"/>
          <w:szCs w:val="24"/>
        </w:rPr>
        <w:t>intitulé</w:t>
      </w:r>
      <w:r w:rsidR="00E3461B" w:rsidRPr="00422183">
        <w:rPr>
          <w:rFonts w:ascii="Rockwell" w:hAnsi="Rockwell"/>
          <w:sz w:val="24"/>
          <w:szCs w:val="24"/>
        </w:rPr>
        <w:t xml:space="preserve"> </w:t>
      </w:r>
      <w:r w:rsidR="004C18B3" w:rsidRPr="00422183">
        <w:rPr>
          <w:rFonts w:ascii="Rockwell" w:eastAsia="Arial Unicode MS" w:hAnsi="Rockwell"/>
          <w:bCs/>
          <w:sz w:val="24"/>
          <w:szCs w:val="24"/>
        </w:rPr>
        <w:t>"</w:t>
      </w:r>
      <w:r w:rsidR="004C18B3" w:rsidRPr="00422183">
        <w:rPr>
          <w:rFonts w:ascii="Rockwell" w:eastAsia="Arial Unicode MS" w:hAnsi="Rockwell"/>
          <w:bCs/>
          <w:i/>
          <w:sz w:val="24"/>
          <w:szCs w:val="24"/>
        </w:rPr>
        <w:t>Bâtir avec le peuple un Burkina Faso de démocratie, de progrès économique et social, de liberté et de justice</w:t>
      </w:r>
      <w:r w:rsidR="00A84E24" w:rsidRPr="00422183">
        <w:rPr>
          <w:rFonts w:ascii="Rockwell" w:eastAsia="Arial Unicode MS" w:hAnsi="Rockwell"/>
          <w:bCs/>
          <w:sz w:val="24"/>
          <w:szCs w:val="24"/>
        </w:rPr>
        <w:t>". Ces cinq valeurs sont</w:t>
      </w:r>
      <w:r w:rsidRPr="00422183">
        <w:rPr>
          <w:rFonts w:ascii="Rockwell" w:eastAsia="Arial Unicode MS" w:hAnsi="Rockwell"/>
          <w:bCs/>
          <w:sz w:val="24"/>
          <w:szCs w:val="24"/>
        </w:rPr>
        <w:t xml:space="preserve"> : </w:t>
      </w:r>
      <w:r w:rsidR="00345D84" w:rsidRPr="00422183">
        <w:rPr>
          <w:rFonts w:ascii="Rockwell" w:hAnsi="Rockwell"/>
          <w:sz w:val="24"/>
          <w:szCs w:val="24"/>
        </w:rPr>
        <w:t xml:space="preserve">(i) </w:t>
      </w:r>
      <w:r w:rsidR="00915974" w:rsidRPr="00422183">
        <w:rPr>
          <w:rFonts w:ascii="Rockwell" w:hAnsi="Rockwell"/>
          <w:sz w:val="24"/>
          <w:szCs w:val="24"/>
        </w:rPr>
        <w:t>la démocratie, la justice sociale et la liberté d'opinion</w:t>
      </w:r>
      <w:r w:rsidR="00345D84" w:rsidRPr="00422183">
        <w:rPr>
          <w:rFonts w:ascii="Rockwell" w:hAnsi="Rockwell"/>
          <w:sz w:val="24"/>
          <w:szCs w:val="24"/>
        </w:rPr>
        <w:t>,</w:t>
      </w:r>
      <w:r w:rsidR="00915974" w:rsidRPr="00422183">
        <w:rPr>
          <w:rFonts w:ascii="Rockwell" w:hAnsi="Rockwell"/>
          <w:sz w:val="24"/>
          <w:szCs w:val="24"/>
        </w:rPr>
        <w:t xml:space="preserve"> en vue d'une participation responsable des citoyens au développement </w:t>
      </w:r>
      <w:r w:rsidR="00345D84" w:rsidRPr="00422183">
        <w:rPr>
          <w:rFonts w:ascii="Rockwell" w:hAnsi="Rockwell"/>
          <w:sz w:val="24"/>
          <w:szCs w:val="24"/>
        </w:rPr>
        <w:t xml:space="preserve">national, (ii) le </w:t>
      </w:r>
      <w:r w:rsidR="00915974" w:rsidRPr="00422183">
        <w:rPr>
          <w:rFonts w:ascii="Rockwell" w:hAnsi="Rockwell"/>
          <w:sz w:val="24"/>
          <w:szCs w:val="24"/>
        </w:rPr>
        <w:t>progrès économique, la solidarité et la participation responsable de tous</w:t>
      </w:r>
      <w:r w:rsidR="00203F96" w:rsidRPr="00422183">
        <w:rPr>
          <w:rFonts w:ascii="Rockwell" w:hAnsi="Rockwell"/>
          <w:sz w:val="24"/>
          <w:szCs w:val="24"/>
        </w:rPr>
        <w:t xml:space="preserve"> </w:t>
      </w:r>
      <w:r w:rsidR="00915974" w:rsidRPr="00422183">
        <w:rPr>
          <w:rFonts w:ascii="Rockwell" w:hAnsi="Rockwell"/>
          <w:sz w:val="24"/>
          <w:szCs w:val="24"/>
        </w:rPr>
        <w:t xml:space="preserve">au développement et à la </w:t>
      </w:r>
      <w:r w:rsidR="00345D84" w:rsidRPr="00422183">
        <w:rPr>
          <w:rFonts w:ascii="Rockwell" w:hAnsi="Rockwell"/>
          <w:sz w:val="24"/>
          <w:szCs w:val="24"/>
        </w:rPr>
        <w:t xml:space="preserve">gestion des affaires publiques, (iii) le </w:t>
      </w:r>
      <w:r w:rsidR="00915974" w:rsidRPr="00422183">
        <w:rPr>
          <w:rFonts w:ascii="Rockwell" w:hAnsi="Rockwell"/>
          <w:sz w:val="24"/>
          <w:szCs w:val="24"/>
        </w:rPr>
        <w:t xml:space="preserve">développement inclusif et </w:t>
      </w:r>
      <w:r w:rsidR="00345D84" w:rsidRPr="00422183">
        <w:rPr>
          <w:rFonts w:ascii="Rockwell" w:hAnsi="Rockwell"/>
          <w:sz w:val="24"/>
          <w:szCs w:val="24"/>
        </w:rPr>
        <w:t>la</w:t>
      </w:r>
      <w:r w:rsidR="00915974" w:rsidRPr="00422183">
        <w:rPr>
          <w:rFonts w:ascii="Rockwell" w:hAnsi="Rockwell"/>
          <w:sz w:val="24"/>
          <w:szCs w:val="24"/>
        </w:rPr>
        <w:t xml:space="preserve"> croissance partag</w:t>
      </w:r>
      <w:r w:rsidR="00345D84" w:rsidRPr="00422183">
        <w:rPr>
          <w:rFonts w:ascii="Rockwell" w:hAnsi="Rockwell"/>
          <w:sz w:val="24"/>
          <w:szCs w:val="24"/>
        </w:rPr>
        <w:t xml:space="preserve">ée, (iv) </w:t>
      </w:r>
      <w:r w:rsidR="00915974" w:rsidRPr="00422183">
        <w:rPr>
          <w:rFonts w:ascii="Rockwell" w:hAnsi="Rockwell"/>
          <w:sz w:val="24"/>
          <w:szCs w:val="24"/>
        </w:rPr>
        <w:t>l'égalité d'accès aux services so</w:t>
      </w:r>
      <w:r w:rsidR="00A24A30" w:rsidRPr="00422183">
        <w:rPr>
          <w:rFonts w:ascii="Rockwell" w:hAnsi="Rockwell"/>
          <w:sz w:val="24"/>
          <w:szCs w:val="24"/>
        </w:rPr>
        <w:t>ciaux de qualité et à l'emploi, (v) la libre entreprise en accord avec les lois, les normes techniques et environnementales du pays.</w:t>
      </w:r>
    </w:p>
    <w:p w:rsidR="002E24B5" w:rsidRPr="00422183" w:rsidRDefault="002E24B5" w:rsidP="003A0820">
      <w:pPr>
        <w:spacing w:after="0" w:line="240" w:lineRule="auto"/>
        <w:jc w:val="both"/>
        <w:rPr>
          <w:rFonts w:ascii="Rockwell" w:hAnsi="Rockwell"/>
          <w:sz w:val="24"/>
          <w:szCs w:val="24"/>
        </w:rPr>
      </w:pPr>
    </w:p>
    <w:p w:rsidR="00915974" w:rsidRPr="00422183" w:rsidRDefault="00A90A09" w:rsidP="003A0820">
      <w:pPr>
        <w:spacing w:after="0" w:line="240" w:lineRule="auto"/>
        <w:jc w:val="both"/>
        <w:rPr>
          <w:rFonts w:ascii="Rockwell" w:hAnsi="Rockwell"/>
          <w:sz w:val="24"/>
          <w:szCs w:val="24"/>
        </w:rPr>
      </w:pPr>
      <w:r w:rsidRPr="00422183">
        <w:rPr>
          <w:rFonts w:ascii="Rockwell" w:hAnsi="Rockwell"/>
          <w:sz w:val="24"/>
          <w:szCs w:val="24"/>
        </w:rPr>
        <w:t>De ce fait, la</w:t>
      </w:r>
      <w:r w:rsidR="002E24B5" w:rsidRPr="00422183">
        <w:rPr>
          <w:rFonts w:ascii="Rockwell" w:hAnsi="Rockwell"/>
          <w:sz w:val="24"/>
          <w:szCs w:val="24"/>
        </w:rPr>
        <w:t xml:space="preserve"> </w:t>
      </w:r>
      <w:r w:rsidR="002E24B5" w:rsidRPr="00422183">
        <w:rPr>
          <w:rFonts w:ascii="Rockwell" w:eastAsia="Arial Unicode MS" w:hAnsi="Rockwell"/>
          <w:bCs/>
          <w:sz w:val="24"/>
          <w:szCs w:val="24"/>
        </w:rPr>
        <w:t>base première de l'élaboration du</w:t>
      </w:r>
      <w:r w:rsidR="002E24B5" w:rsidRPr="00422183">
        <w:rPr>
          <w:rFonts w:ascii="Rockwell" w:hAnsi="Rockwell"/>
          <w:sz w:val="24"/>
          <w:szCs w:val="24"/>
        </w:rPr>
        <w:t xml:space="preserve"> PNDES en tant que cadre de cohérence, sur la période 2016-2020, des mesures et actions sectorielles et locales</w:t>
      </w:r>
      <w:r w:rsidRPr="00422183">
        <w:rPr>
          <w:rFonts w:ascii="Rockwell" w:hAnsi="Rockwell"/>
          <w:sz w:val="24"/>
          <w:szCs w:val="24"/>
        </w:rPr>
        <w:t>, est le programme présidentiel.</w:t>
      </w:r>
    </w:p>
    <w:p w:rsidR="002E24B5" w:rsidRPr="00422183" w:rsidRDefault="002E24B5" w:rsidP="003A0820">
      <w:pPr>
        <w:spacing w:after="0" w:line="240" w:lineRule="auto"/>
        <w:jc w:val="both"/>
        <w:rPr>
          <w:rFonts w:ascii="Rockwell" w:hAnsi="Rockwell"/>
          <w:sz w:val="24"/>
          <w:szCs w:val="24"/>
        </w:rPr>
      </w:pPr>
    </w:p>
    <w:p w:rsidR="00873FD0" w:rsidRPr="00422183" w:rsidRDefault="00DE3ECF" w:rsidP="003A0820">
      <w:pPr>
        <w:spacing w:after="0" w:line="240" w:lineRule="auto"/>
        <w:jc w:val="both"/>
        <w:rPr>
          <w:rFonts w:ascii="Rockwell" w:hAnsi="Rockwell"/>
          <w:sz w:val="24"/>
          <w:szCs w:val="24"/>
        </w:rPr>
      </w:pPr>
      <w:r w:rsidRPr="00422183">
        <w:rPr>
          <w:rFonts w:ascii="Rockwell" w:hAnsi="Rockwell"/>
          <w:sz w:val="24"/>
          <w:szCs w:val="24"/>
        </w:rPr>
        <w:t xml:space="preserve">En phase avec l'engagement du Président du Faso d'œuvrer à un développement économique et social soutenu du Burkina Faso, qui tire ses sources des aspirations légitimes et profondes du peuple, pour une société nouvelle fondée sur ces valeurs, </w:t>
      </w:r>
      <w:r w:rsidR="00A90A09" w:rsidRPr="00422183">
        <w:rPr>
          <w:rFonts w:ascii="Rockwell" w:hAnsi="Rockwell"/>
          <w:sz w:val="24"/>
          <w:szCs w:val="24"/>
        </w:rPr>
        <w:t xml:space="preserve">l'élaboration du PNDES est imprégnée de la conjoncture sociopolitique et sécuritaire récente dont les points culminants ont été l'insurrection populaire des 30 et 31 octobre 2014, la tentative de coup d'État du 16 septembre 2015 et l'attaque terroriste du 15 janvier 2016. </w:t>
      </w:r>
      <w:r w:rsidRPr="00422183">
        <w:rPr>
          <w:rFonts w:ascii="Rockwell" w:hAnsi="Rockwell"/>
          <w:sz w:val="24"/>
          <w:szCs w:val="24"/>
        </w:rPr>
        <w:t>Cette conjoncture met en lumière la forte demande sociale en matière de justice et de sécurité, d'accès à l'emploi, à des infrastructures et des services sociaux de qualité.</w:t>
      </w:r>
    </w:p>
    <w:p w:rsidR="00873FD0" w:rsidRPr="00422183" w:rsidRDefault="00873FD0" w:rsidP="003A0820">
      <w:pPr>
        <w:spacing w:after="0" w:line="240" w:lineRule="auto"/>
        <w:jc w:val="both"/>
        <w:rPr>
          <w:rFonts w:ascii="Rockwell" w:hAnsi="Rockwell"/>
          <w:sz w:val="24"/>
          <w:szCs w:val="24"/>
        </w:rPr>
      </w:pPr>
    </w:p>
    <w:p w:rsidR="00DE3ECF" w:rsidRPr="00422183" w:rsidRDefault="00D238AD" w:rsidP="003A0820">
      <w:pPr>
        <w:spacing w:after="0" w:line="240" w:lineRule="auto"/>
        <w:jc w:val="both"/>
        <w:rPr>
          <w:rFonts w:ascii="Rockwell" w:eastAsia="Arial Unicode MS" w:hAnsi="Rockwell"/>
          <w:bCs/>
          <w:sz w:val="24"/>
          <w:szCs w:val="24"/>
        </w:rPr>
      </w:pPr>
      <w:r w:rsidRPr="00422183">
        <w:rPr>
          <w:rFonts w:ascii="Rockwell" w:hAnsi="Rockwell"/>
          <w:sz w:val="24"/>
          <w:szCs w:val="24"/>
        </w:rPr>
        <w:t>En outre, l</w:t>
      </w:r>
      <w:r w:rsidR="00457A5E" w:rsidRPr="00422183">
        <w:rPr>
          <w:rFonts w:ascii="Rockwell" w:hAnsi="Rockwell"/>
          <w:sz w:val="24"/>
          <w:szCs w:val="24"/>
        </w:rPr>
        <w:t xml:space="preserve">es orientations </w:t>
      </w:r>
      <w:r w:rsidR="0099579E" w:rsidRPr="00422183">
        <w:rPr>
          <w:rFonts w:ascii="Rockwell" w:hAnsi="Rockwell"/>
          <w:sz w:val="24"/>
          <w:szCs w:val="24"/>
        </w:rPr>
        <w:t xml:space="preserve">de l'Étude nationale prospective </w:t>
      </w:r>
      <w:r w:rsidR="008F3A0A" w:rsidRPr="00422183">
        <w:rPr>
          <w:rFonts w:ascii="Rockwell" w:hAnsi="Rockwell"/>
          <w:sz w:val="24"/>
          <w:szCs w:val="24"/>
        </w:rPr>
        <w:t xml:space="preserve">(ENP) </w:t>
      </w:r>
      <w:r w:rsidR="0099579E" w:rsidRPr="00422183">
        <w:rPr>
          <w:rFonts w:ascii="Rockwell" w:hAnsi="Rockwell"/>
          <w:sz w:val="24"/>
          <w:szCs w:val="24"/>
        </w:rPr>
        <w:t xml:space="preserve">Burkina 2025, </w:t>
      </w:r>
      <w:r w:rsidR="00035C89" w:rsidRPr="00422183">
        <w:rPr>
          <w:rFonts w:ascii="Rockwell" w:hAnsi="Rockwell"/>
          <w:sz w:val="24"/>
          <w:szCs w:val="24"/>
        </w:rPr>
        <w:t xml:space="preserve">du Schéma national d'aménagement </w:t>
      </w:r>
      <w:r w:rsidR="002A7F44" w:rsidRPr="00422183">
        <w:rPr>
          <w:rFonts w:ascii="Rockwell" w:hAnsi="Rockwell"/>
          <w:sz w:val="24"/>
          <w:szCs w:val="24"/>
        </w:rPr>
        <w:t xml:space="preserve">et </w:t>
      </w:r>
      <w:r w:rsidR="00035C89" w:rsidRPr="00422183">
        <w:rPr>
          <w:rFonts w:ascii="Rockwell" w:hAnsi="Rockwell"/>
          <w:sz w:val="24"/>
          <w:szCs w:val="24"/>
        </w:rPr>
        <w:t>de développement durable du territoire (SNADDT)</w:t>
      </w:r>
      <w:r w:rsidR="00F72D60" w:rsidRPr="00422183">
        <w:rPr>
          <w:rFonts w:ascii="Rockwell" w:hAnsi="Rockwell"/>
          <w:sz w:val="24"/>
          <w:szCs w:val="24"/>
        </w:rPr>
        <w:t xml:space="preserve">, </w:t>
      </w:r>
      <w:r w:rsidR="0099579E" w:rsidRPr="00422183">
        <w:rPr>
          <w:rFonts w:ascii="Rockwell" w:hAnsi="Rockwell"/>
          <w:sz w:val="24"/>
          <w:szCs w:val="24"/>
        </w:rPr>
        <w:t xml:space="preserve">du </w:t>
      </w:r>
      <w:r w:rsidR="00035C89" w:rsidRPr="00422183">
        <w:rPr>
          <w:rFonts w:ascii="Rockwell" w:hAnsi="Rockwell"/>
          <w:sz w:val="24"/>
          <w:szCs w:val="24"/>
        </w:rPr>
        <w:t>Programme de développement durable à l'horizon 2030</w:t>
      </w:r>
      <w:r w:rsidR="002A7F44" w:rsidRPr="00422183">
        <w:rPr>
          <w:rFonts w:ascii="Rockwell" w:hAnsi="Rockwell"/>
          <w:sz w:val="24"/>
          <w:szCs w:val="24"/>
        </w:rPr>
        <w:t xml:space="preserve"> des Nations Unies</w:t>
      </w:r>
      <w:r w:rsidR="00415C03" w:rsidRPr="00422183">
        <w:rPr>
          <w:rFonts w:ascii="Rockwell" w:hAnsi="Rockwell"/>
          <w:sz w:val="24"/>
          <w:szCs w:val="24"/>
        </w:rPr>
        <w:t>,</w:t>
      </w:r>
      <w:r w:rsidR="00035C89" w:rsidRPr="00422183">
        <w:rPr>
          <w:rFonts w:ascii="Rockwell" w:hAnsi="Rockwell"/>
          <w:sz w:val="24"/>
          <w:szCs w:val="24"/>
        </w:rPr>
        <w:t xml:space="preserve"> contenant les </w:t>
      </w:r>
      <w:r w:rsidR="00035C89" w:rsidRPr="00422183">
        <w:rPr>
          <w:rFonts w:ascii="Rockwell" w:eastAsia="Arial Unicode MS" w:hAnsi="Rockwell"/>
          <w:sz w:val="24"/>
          <w:szCs w:val="24"/>
        </w:rPr>
        <w:t>Objectifs de développement durable (ODD)</w:t>
      </w:r>
      <w:r w:rsidRPr="00422183">
        <w:rPr>
          <w:rFonts w:ascii="Rockwell" w:eastAsia="Arial Unicode MS" w:hAnsi="Rockwell"/>
          <w:sz w:val="24"/>
          <w:szCs w:val="24"/>
        </w:rPr>
        <w:t xml:space="preserve">, </w:t>
      </w:r>
      <w:r w:rsidR="00DE3ECF" w:rsidRPr="00422183">
        <w:rPr>
          <w:rFonts w:ascii="Rockwell" w:hAnsi="Rockwell"/>
          <w:sz w:val="24"/>
          <w:szCs w:val="24"/>
        </w:rPr>
        <w:t>d</w:t>
      </w:r>
      <w:r w:rsidR="00A4297D" w:rsidRPr="00422183">
        <w:rPr>
          <w:rFonts w:ascii="Rockwell" w:hAnsi="Rockwell"/>
          <w:sz w:val="24"/>
          <w:szCs w:val="24"/>
        </w:rPr>
        <w:t>e l</w:t>
      </w:r>
      <w:r w:rsidR="006C72DE" w:rsidRPr="00422183">
        <w:rPr>
          <w:rFonts w:ascii="Rockwell" w:hAnsi="Rockwell"/>
          <w:sz w:val="24"/>
          <w:szCs w:val="24"/>
        </w:rPr>
        <w:t>'</w:t>
      </w:r>
      <w:r w:rsidR="00A4297D" w:rsidRPr="00422183">
        <w:rPr>
          <w:rFonts w:ascii="Rockwell" w:hAnsi="Rockwell"/>
          <w:sz w:val="24"/>
          <w:szCs w:val="24"/>
        </w:rPr>
        <w:t>Agenda 2063 de l</w:t>
      </w:r>
      <w:r w:rsidR="006C72DE" w:rsidRPr="00422183">
        <w:rPr>
          <w:rFonts w:ascii="Rockwell" w:hAnsi="Rockwell"/>
          <w:sz w:val="24"/>
          <w:szCs w:val="24"/>
        </w:rPr>
        <w:t>'</w:t>
      </w:r>
      <w:r w:rsidR="00A4297D" w:rsidRPr="00422183">
        <w:rPr>
          <w:rFonts w:ascii="Rockwell" w:hAnsi="Rockwell"/>
          <w:sz w:val="24"/>
          <w:szCs w:val="24"/>
        </w:rPr>
        <w:t xml:space="preserve">Union Africaine et </w:t>
      </w:r>
      <w:r w:rsidR="00DE3ECF" w:rsidRPr="00422183">
        <w:rPr>
          <w:rFonts w:ascii="Rockwell" w:hAnsi="Rockwell"/>
          <w:sz w:val="24"/>
          <w:szCs w:val="24"/>
        </w:rPr>
        <w:t>du</w:t>
      </w:r>
      <w:r w:rsidR="00A4297D" w:rsidRPr="00422183">
        <w:rPr>
          <w:rFonts w:ascii="Rockwell" w:hAnsi="Rockwell"/>
          <w:sz w:val="24"/>
          <w:szCs w:val="24"/>
        </w:rPr>
        <w:t xml:space="preserve"> cadre stratégique communautaire de la </w:t>
      </w:r>
      <w:r w:rsidR="00577652" w:rsidRPr="00422183">
        <w:rPr>
          <w:rFonts w:ascii="Rockwell" w:hAnsi="Rockwell"/>
          <w:sz w:val="24"/>
          <w:szCs w:val="24"/>
        </w:rPr>
        <w:t>Communauté économique des États de l'Afrique de l'Ouest (</w:t>
      </w:r>
      <w:r w:rsidR="00A4297D" w:rsidRPr="00422183">
        <w:rPr>
          <w:rFonts w:ascii="Rockwell" w:hAnsi="Rockwell"/>
          <w:sz w:val="24"/>
          <w:szCs w:val="24"/>
        </w:rPr>
        <w:t>CEDEAO</w:t>
      </w:r>
      <w:r w:rsidR="00577652" w:rsidRPr="00422183">
        <w:rPr>
          <w:rFonts w:ascii="Rockwell" w:hAnsi="Rockwell"/>
          <w:sz w:val="24"/>
          <w:szCs w:val="24"/>
        </w:rPr>
        <w:t>)</w:t>
      </w:r>
      <w:r w:rsidR="00F72D60" w:rsidRPr="00422183">
        <w:rPr>
          <w:rFonts w:ascii="Rockwell" w:hAnsi="Rockwell"/>
          <w:sz w:val="24"/>
          <w:szCs w:val="24"/>
        </w:rPr>
        <w:t>,</w:t>
      </w:r>
      <w:r w:rsidR="00A4297D" w:rsidRPr="00422183">
        <w:rPr>
          <w:rFonts w:ascii="Rockwell" w:eastAsia="Arial Unicode MS" w:hAnsi="Rockwell"/>
          <w:sz w:val="24"/>
          <w:szCs w:val="24"/>
        </w:rPr>
        <w:t xml:space="preserve"> </w:t>
      </w:r>
      <w:r w:rsidR="00C318B6" w:rsidRPr="00422183">
        <w:rPr>
          <w:rFonts w:ascii="Rockwell" w:eastAsia="Arial Unicode MS" w:hAnsi="Rockwell"/>
          <w:sz w:val="24"/>
          <w:szCs w:val="24"/>
        </w:rPr>
        <w:t xml:space="preserve">ont été pris </w:t>
      </w:r>
      <w:r w:rsidR="000D708C" w:rsidRPr="00422183">
        <w:rPr>
          <w:rFonts w:ascii="Rockwell" w:eastAsia="Arial Unicode MS" w:hAnsi="Rockwell"/>
          <w:sz w:val="24"/>
          <w:szCs w:val="24"/>
        </w:rPr>
        <w:t>en compte dans l</w:t>
      </w:r>
      <w:r w:rsidR="004C18B3" w:rsidRPr="00422183">
        <w:rPr>
          <w:rFonts w:ascii="Rockwell" w:eastAsia="Arial Unicode MS" w:hAnsi="Rockwell"/>
          <w:bCs/>
          <w:sz w:val="24"/>
          <w:szCs w:val="24"/>
        </w:rPr>
        <w:t>a formulation du PNDES</w:t>
      </w:r>
      <w:r w:rsidR="00DE3ECF" w:rsidRPr="00422183">
        <w:rPr>
          <w:rFonts w:ascii="Rockwell" w:eastAsia="Arial Unicode MS" w:hAnsi="Rockwell"/>
          <w:bCs/>
          <w:sz w:val="24"/>
          <w:szCs w:val="24"/>
        </w:rPr>
        <w:t>.</w:t>
      </w:r>
    </w:p>
    <w:p w:rsidR="00DE3ECF" w:rsidRPr="00422183" w:rsidRDefault="00DE3ECF" w:rsidP="003A0820">
      <w:pPr>
        <w:spacing w:after="0" w:line="240" w:lineRule="auto"/>
        <w:jc w:val="both"/>
        <w:rPr>
          <w:rFonts w:ascii="Rockwell" w:eastAsia="Arial Unicode MS" w:hAnsi="Rockwell"/>
          <w:bCs/>
          <w:sz w:val="24"/>
          <w:szCs w:val="24"/>
        </w:rPr>
      </w:pPr>
    </w:p>
    <w:p w:rsidR="004C18B3" w:rsidRPr="00422183" w:rsidRDefault="00DE3ECF" w:rsidP="003A0820">
      <w:pPr>
        <w:spacing w:after="0" w:line="240" w:lineRule="auto"/>
        <w:jc w:val="both"/>
        <w:rPr>
          <w:rFonts w:ascii="Rockwell" w:eastAsia="Arial Unicode MS" w:hAnsi="Rockwell"/>
          <w:bCs/>
          <w:sz w:val="24"/>
          <w:szCs w:val="24"/>
        </w:rPr>
      </w:pPr>
      <w:r w:rsidRPr="00422183">
        <w:rPr>
          <w:rFonts w:ascii="Rockwell" w:eastAsia="Arial Unicode MS" w:hAnsi="Rockwell"/>
          <w:bCs/>
          <w:sz w:val="24"/>
          <w:szCs w:val="24"/>
        </w:rPr>
        <w:t>Cet exercice</w:t>
      </w:r>
      <w:r w:rsidR="000D708C" w:rsidRPr="00422183">
        <w:rPr>
          <w:rFonts w:ascii="Rockwell" w:eastAsia="Arial Unicode MS" w:hAnsi="Rockwell"/>
          <w:bCs/>
          <w:sz w:val="24"/>
          <w:szCs w:val="24"/>
        </w:rPr>
        <w:t xml:space="preserve"> </w:t>
      </w:r>
      <w:r w:rsidR="004C18B3" w:rsidRPr="00422183">
        <w:rPr>
          <w:rFonts w:ascii="Rockwell" w:eastAsia="Arial Unicode MS" w:hAnsi="Rockwell"/>
          <w:bCs/>
          <w:sz w:val="24"/>
          <w:szCs w:val="24"/>
        </w:rPr>
        <w:t xml:space="preserve">s'est </w:t>
      </w:r>
      <w:r w:rsidRPr="00422183">
        <w:rPr>
          <w:rFonts w:ascii="Rockwell" w:eastAsia="Arial Unicode MS" w:hAnsi="Rockwell"/>
          <w:bCs/>
          <w:sz w:val="24"/>
          <w:szCs w:val="24"/>
        </w:rPr>
        <w:t>également et utilement</w:t>
      </w:r>
      <w:r w:rsidR="001046C1" w:rsidRPr="00422183">
        <w:rPr>
          <w:rFonts w:ascii="Rockwell" w:eastAsia="Arial Unicode MS" w:hAnsi="Rockwell"/>
          <w:bCs/>
          <w:sz w:val="24"/>
          <w:szCs w:val="24"/>
        </w:rPr>
        <w:t xml:space="preserve"> </w:t>
      </w:r>
      <w:r w:rsidR="004C18B3" w:rsidRPr="00422183">
        <w:rPr>
          <w:rFonts w:ascii="Rockwell" w:eastAsia="Arial Unicode MS" w:hAnsi="Rockwell"/>
          <w:bCs/>
          <w:sz w:val="24"/>
          <w:szCs w:val="24"/>
        </w:rPr>
        <w:t xml:space="preserve">appuyé sur le processus d'élaboration du deuxième cycle de la SCADD, entamé en février 2015 et </w:t>
      </w:r>
      <w:r w:rsidR="001046C1" w:rsidRPr="00422183">
        <w:rPr>
          <w:rFonts w:ascii="Rockwell" w:eastAsia="Arial Unicode MS" w:hAnsi="Rockwell"/>
          <w:bCs/>
          <w:sz w:val="24"/>
          <w:szCs w:val="24"/>
        </w:rPr>
        <w:t xml:space="preserve">qui </w:t>
      </w:r>
      <w:r w:rsidR="004C18B3" w:rsidRPr="00422183">
        <w:rPr>
          <w:rFonts w:ascii="Rockwell" w:eastAsia="Arial Unicode MS" w:hAnsi="Rockwell"/>
          <w:bCs/>
          <w:sz w:val="24"/>
          <w:szCs w:val="24"/>
        </w:rPr>
        <w:t>visa</w:t>
      </w:r>
      <w:r w:rsidR="001046C1" w:rsidRPr="00422183">
        <w:rPr>
          <w:rFonts w:ascii="Rockwell" w:eastAsia="Arial Unicode MS" w:hAnsi="Rockwell"/>
          <w:bCs/>
          <w:sz w:val="24"/>
          <w:szCs w:val="24"/>
        </w:rPr>
        <w:t>i</w:t>
      </w:r>
      <w:r w:rsidR="004C18B3" w:rsidRPr="00422183">
        <w:rPr>
          <w:rFonts w:ascii="Rockwell" w:eastAsia="Arial Unicode MS" w:hAnsi="Rockwell"/>
          <w:bCs/>
          <w:sz w:val="24"/>
          <w:szCs w:val="24"/>
        </w:rPr>
        <w:t>t à rendre disponible, à travers une démarche inclusive et participative, un cadre d'orientation du développement économique et social du Burkina Faso, sur la période 2016-2020, bâti sur les acquis et défis du premier cycle de la SCADD et fondé sur la contribution à la réalisation de la vision "Burkina 2025".</w:t>
      </w:r>
    </w:p>
    <w:p w:rsidR="004C18B3" w:rsidRPr="00422183" w:rsidRDefault="004C18B3" w:rsidP="003A0820">
      <w:pPr>
        <w:spacing w:after="0" w:line="240" w:lineRule="auto"/>
        <w:jc w:val="both"/>
        <w:rPr>
          <w:rFonts w:ascii="Rockwell" w:eastAsia="Times New Roman" w:hAnsi="Rockwell"/>
          <w:bCs/>
          <w:iCs/>
          <w:sz w:val="24"/>
          <w:szCs w:val="24"/>
        </w:rPr>
      </w:pPr>
    </w:p>
    <w:p w:rsidR="004C18B3" w:rsidRPr="00422183" w:rsidRDefault="00815394" w:rsidP="003A0820">
      <w:pPr>
        <w:spacing w:after="0" w:line="240" w:lineRule="auto"/>
        <w:jc w:val="both"/>
        <w:rPr>
          <w:rFonts w:ascii="Rockwell" w:hAnsi="Rockwell"/>
          <w:sz w:val="24"/>
          <w:szCs w:val="24"/>
        </w:rPr>
      </w:pPr>
      <w:r w:rsidRPr="00422183">
        <w:rPr>
          <w:rFonts w:ascii="Rockwell" w:eastAsia="Times New Roman" w:hAnsi="Rockwell"/>
          <w:bCs/>
          <w:iCs/>
          <w:sz w:val="24"/>
          <w:szCs w:val="24"/>
        </w:rPr>
        <w:t>Cette démarche a permis la c</w:t>
      </w:r>
      <w:r w:rsidR="004C18B3" w:rsidRPr="00422183">
        <w:rPr>
          <w:rFonts w:ascii="Rockwell" w:eastAsia="Times New Roman" w:hAnsi="Rockwell"/>
          <w:bCs/>
          <w:iCs/>
          <w:sz w:val="24"/>
          <w:szCs w:val="24"/>
        </w:rPr>
        <w:t xml:space="preserve">apitalisation </w:t>
      </w:r>
      <w:r w:rsidRPr="00422183">
        <w:rPr>
          <w:rFonts w:ascii="Rockwell" w:eastAsia="Times New Roman" w:hAnsi="Rockwell"/>
          <w:bCs/>
          <w:iCs/>
          <w:sz w:val="24"/>
          <w:szCs w:val="24"/>
        </w:rPr>
        <w:t>d'</w:t>
      </w:r>
      <w:r w:rsidR="004C18B3" w:rsidRPr="00422183">
        <w:rPr>
          <w:rFonts w:ascii="Rockwell" w:eastAsia="Times New Roman" w:hAnsi="Rockwell"/>
          <w:bCs/>
          <w:iCs/>
          <w:sz w:val="24"/>
          <w:szCs w:val="24"/>
        </w:rPr>
        <w:t xml:space="preserve">études, </w:t>
      </w:r>
      <w:r w:rsidR="001908B7" w:rsidRPr="00422183">
        <w:rPr>
          <w:rFonts w:ascii="Rockwell" w:eastAsia="Times New Roman" w:hAnsi="Rockwell"/>
          <w:bCs/>
          <w:iCs/>
          <w:sz w:val="24"/>
          <w:szCs w:val="24"/>
        </w:rPr>
        <w:t>d'</w:t>
      </w:r>
      <w:r w:rsidR="004C18B3" w:rsidRPr="00422183">
        <w:rPr>
          <w:rFonts w:ascii="Rockwell" w:eastAsia="Times New Roman" w:hAnsi="Rockwell"/>
          <w:bCs/>
          <w:iCs/>
          <w:sz w:val="24"/>
          <w:szCs w:val="24"/>
        </w:rPr>
        <w:t xml:space="preserve">enquêtes et </w:t>
      </w:r>
      <w:r w:rsidR="001908B7" w:rsidRPr="00422183">
        <w:rPr>
          <w:rFonts w:ascii="Rockwell" w:eastAsia="Times New Roman" w:hAnsi="Rockwell"/>
          <w:bCs/>
          <w:iCs/>
          <w:sz w:val="24"/>
          <w:szCs w:val="24"/>
        </w:rPr>
        <w:t>d'</w:t>
      </w:r>
      <w:r w:rsidR="004C18B3" w:rsidRPr="00422183">
        <w:rPr>
          <w:rFonts w:ascii="Rockwell" w:eastAsia="Times New Roman" w:hAnsi="Rockwell"/>
          <w:bCs/>
          <w:iCs/>
          <w:sz w:val="24"/>
          <w:szCs w:val="24"/>
        </w:rPr>
        <w:t>évaluations</w:t>
      </w:r>
      <w:r w:rsidRPr="00422183">
        <w:rPr>
          <w:rFonts w:ascii="Rockwell" w:eastAsia="Times New Roman" w:hAnsi="Rockwell"/>
          <w:bCs/>
          <w:iCs/>
          <w:sz w:val="24"/>
          <w:szCs w:val="24"/>
        </w:rPr>
        <w:t xml:space="preserve"> réalisées courant 2014 et 2015, dont l</w:t>
      </w:r>
      <w:r w:rsidR="001908B7" w:rsidRPr="00422183">
        <w:rPr>
          <w:rFonts w:ascii="Rockwell" w:eastAsia="Times New Roman" w:hAnsi="Rockwell"/>
          <w:bCs/>
          <w:iCs/>
          <w:sz w:val="24"/>
          <w:szCs w:val="24"/>
        </w:rPr>
        <w:t>'évaluation de la mise en œuvre</w:t>
      </w:r>
      <w:r w:rsidRPr="00422183">
        <w:rPr>
          <w:rFonts w:ascii="Rockwell" w:eastAsia="Times New Roman" w:hAnsi="Rockwell"/>
          <w:bCs/>
          <w:iCs/>
          <w:sz w:val="24"/>
          <w:szCs w:val="24"/>
        </w:rPr>
        <w:t xml:space="preserve"> de la SCADD, </w:t>
      </w:r>
      <w:r w:rsidR="004C18B3" w:rsidRPr="00422183">
        <w:rPr>
          <w:rFonts w:ascii="Rockwell" w:hAnsi="Rockwell"/>
          <w:sz w:val="24"/>
          <w:szCs w:val="24"/>
        </w:rPr>
        <w:t xml:space="preserve">l'Enquête multisectorielle continue (EMC) sur les conditions de vie des ménages, l'étude diagnostique sur les obstacles à la croissance au Burkina Faso, </w:t>
      </w:r>
      <w:r w:rsidRPr="00422183">
        <w:rPr>
          <w:rFonts w:ascii="Rockwell" w:hAnsi="Rockwell"/>
          <w:sz w:val="24"/>
          <w:szCs w:val="24"/>
        </w:rPr>
        <w:t>l</w:t>
      </w:r>
      <w:r w:rsidR="004C18B3" w:rsidRPr="00422183">
        <w:rPr>
          <w:rFonts w:ascii="Rockwell" w:eastAsia="Microsoft JhengHei" w:hAnsi="Rockwell"/>
          <w:bCs/>
          <w:sz w:val="24"/>
          <w:szCs w:val="24"/>
        </w:rPr>
        <w:t>e diagnosti</w:t>
      </w:r>
      <w:r w:rsidRPr="00422183">
        <w:rPr>
          <w:rFonts w:ascii="Rockwell" w:eastAsia="Microsoft JhengHei" w:hAnsi="Rockwell"/>
          <w:bCs/>
          <w:sz w:val="24"/>
          <w:szCs w:val="24"/>
        </w:rPr>
        <w:t>c de</w:t>
      </w:r>
      <w:r w:rsidR="004C18B3" w:rsidRPr="00422183">
        <w:rPr>
          <w:rFonts w:ascii="Rockwell" w:eastAsia="Microsoft JhengHei" w:hAnsi="Rockwell"/>
          <w:bCs/>
          <w:sz w:val="24"/>
          <w:szCs w:val="24"/>
        </w:rPr>
        <w:t xml:space="preserve"> la situation socioéconomique nationale</w:t>
      </w:r>
      <w:r w:rsidRPr="00422183">
        <w:rPr>
          <w:rFonts w:ascii="Rockwell" w:eastAsia="Microsoft JhengHei" w:hAnsi="Rockwell"/>
          <w:bCs/>
          <w:sz w:val="24"/>
          <w:szCs w:val="24"/>
        </w:rPr>
        <w:t xml:space="preserve"> et l</w:t>
      </w:r>
      <w:r w:rsidR="004C18B3" w:rsidRPr="00422183">
        <w:rPr>
          <w:rFonts w:ascii="Rockwell" w:hAnsi="Rockwell"/>
          <w:sz w:val="24"/>
          <w:szCs w:val="24"/>
        </w:rPr>
        <w:t>'étude sur la cohérence des politiques publiques au Burkina Faso</w:t>
      </w:r>
      <w:r w:rsidR="004C18B3" w:rsidRPr="00422183">
        <w:rPr>
          <w:rFonts w:ascii="Rockwell" w:hAnsi="Rockwell"/>
          <w:bCs/>
          <w:iCs/>
          <w:sz w:val="24"/>
          <w:szCs w:val="24"/>
        </w:rPr>
        <w:t>.</w:t>
      </w:r>
    </w:p>
    <w:p w:rsidR="004C18B3" w:rsidRPr="00422183" w:rsidRDefault="004C18B3" w:rsidP="003A0820">
      <w:pPr>
        <w:spacing w:after="0" w:line="240" w:lineRule="auto"/>
        <w:ind w:right="-1"/>
        <w:jc w:val="both"/>
        <w:rPr>
          <w:rFonts w:ascii="Rockwell" w:eastAsia="Microsoft JhengHei" w:hAnsi="Rockwell"/>
          <w:bCs/>
          <w:sz w:val="24"/>
          <w:szCs w:val="24"/>
        </w:rPr>
      </w:pPr>
    </w:p>
    <w:p w:rsidR="004C18B3" w:rsidRPr="00422183" w:rsidRDefault="00815394" w:rsidP="003A0820">
      <w:pPr>
        <w:spacing w:after="0" w:line="240" w:lineRule="auto"/>
        <w:ind w:right="-1"/>
        <w:jc w:val="both"/>
        <w:rPr>
          <w:rFonts w:ascii="Rockwell" w:hAnsi="Rockwell"/>
          <w:sz w:val="24"/>
          <w:szCs w:val="24"/>
        </w:rPr>
      </w:pPr>
      <w:r w:rsidRPr="00422183">
        <w:rPr>
          <w:rFonts w:ascii="Rockwell" w:hAnsi="Rockwell"/>
          <w:sz w:val="24"/>
          <w:szCs w:val="24"/>
        </w:rPr>
        <w:t xml:space="preserve">Elle a également tiré profit des consultations des entités suivantes, réalisées </w:t>
      </w:r>
      <w:r w:rsidR="004C18B3" w:rsidRPr="00422183">
        <w:rPr>
          <w:rFonts w:ascii="Rockwell" w:hAnsi="Rockwell"/>
          <w:sz w:val="24"/>
          <w:szCs w:val="24"/>
        </w:rPr>
        <w:t>en juillet et août 2015</w:t>
      </w:r>
      <w:r w:rsidR="00EE6794" w:rsidRPr="00422183">
        <w:rPr>
          <w:rFonts w:ascii="Rockwell" w:hAnsi="Rockwell"/>
          <w:sz w:val="24"/>
          <w:szCs w:val="24"/>
        </w:rPr>
        <w:t>, autour de leurs contributions à la définition des priorités de développement économi</w:t>
      </w:r>
      <w:r w:rsidR="000313CB" w:rsidRPr="00422183">
        <w:rPr>
          <w:rFonts w:ascii="Rockwell" w:hAnsi="Rockwell"/>
          <w:sz w:val="24"/>
          <w:szCs w:val="24"/>
        </w:rPr>
        <w:t>qu</w:t>
      </w:r>
      <w:r w:rsidR="00EE6794" w:rsidRPr="00422183">
        <w:rPr>
          <w:rFonts w:ascii="Rockwell" w:hAnsi="Rockwell"/>
          <w:sz w:val="24"/>
          <w:szCs w:val="24"/>
        </w:rPr>
        <w:t>e et social national sur la période 2016-2020</w:t>
      </w:r>
      <w:r w:rsidR="00F9622D" w:rsidRPr="00422183">
        <w:rPr>
          <w:rFonts w:ascii="Rockwell" w:hAnsi="Rockwell"/>
          <w:sz w:val="24"/>
          <w:szCs w:val="24"/>
        </w:rPr>
        <w:t xml:space="preserve"> </w:t>
      </w:r>
      <w:r w:rsidR="004C18B3" w:rsidRPr="00422183">
        <w:rPr>
          <w:rFonts w:ascii="Rockwell" w:hAnsi="Rockwell"/>
          <w:sz w:val="24"/>
          <w:szCs w:val="24"/>
        </w:rPr>
        <w:t xml:space="preserve">: </w:t>
      </w:r>
      <w:r w:rsidR="001908B7" w:rsidRPr="00422183">
        <w:rPr>
          <w:rFonts w:ascii="Rockwell" w:hAnsi="Rockwell"/>
          <w:sz w:val="24"/>
          <w:szCs w:val="24"/>
        </w:rPr>
        <w:t xml:space="preserve">(i) </w:t>
      </w:r>
      <w:r w:rsidR="004C18B3" w:rsidRPr="00422183">
        <w:rPr>
          <w:rFonts w:ascii="Rockwell" w:hAnsi="Rockwell"/>
          <w:sz w:val="24"/>
          <w:szCs w:val="24"/>
        </w:rPr>
        <w:t>Présidence du Faso</w:t>
      </w:r>
      <w:r w:rsidR="001908B7" w:rsidRPr="00422183">
        <w:rPr>
          <w:rFonts w:ascii="Rockwell" w:hAnsi="Rockwell"/>
          <w:sz w:val="24"/>
          <w:szCs w:val="24"/>
        </w:rPr>
        <w:t xml:space="preserve">, </w:t>
      </w:r>
      <w:r w:rsidR="004C18B3" w:rsidRPr="00422183">
        <w:rPr>
          <w:rFonts w:ascii="Rockwell" w:hAnsi="Rockwell"/>
          <w:sz w:val="24"/>
          <w:szCs w:val="24"/>
        </w:rPr>
        <w:t>Premier ministère</w:t>
      </w:r>
      <w:r w:rsidR="001908B7" w:rsidRPr="00422183">
        <w:rPr>
          <w:rFonts w:ascii="Rockwell" w:hAnsi="Rockwell"/>
          <w:sz w:val="24"/>
          <w:szCs w:val="24"/>
        </w:rPr>
        <w:t xml:space="preserve">, </w:t>
      </w:r>
      <w:r w:rsidR="004C18B3" w:rsidRPr="00422183">
        <w:rPr>
          <w:rFonts w:ascii="Rockwell" w:hAnsi="Rockwell"/>
          <w:sz w:val="24"/>
          <w:szCs w:val="24"/>
        </w:rPr>
        <w:t>départements ministériels et régions</w:t>
      </w:r>
      <w:r w:rsidR="001908B7" w:rsidRPr="00422183">
        <w:rPr>
          <w:rFonts w:ascii="Rockwell" w:hAnsi="Rockwell"/>
          <w:sz w:val="24"/>
          <w:szCs w:val="24"/>
        </w:rPr>
        <w:t xml:space="preserve"> administratives, (ii) </w:t>
      </w:r>
      <w:r w:rsidR="004C18B3" w:rsidRPr="00422183">
        <w:rPr>
          <w:rFonts w:ascii="Rockwell" w:hAnsi="Rockwell"/>
          <w:sz w:val="24"/>
          <w:szCs w:val="24"/>
        </w:rPr>
        <w:t>Conseil économique et social (CES), Conseil supérieur de la communication (CSC), Médiateur du Faso</w:t>
      </w:r>
      <w:r w:rsidR="001908B7" w:rsidRPr="00422183">
        <w:rPr>
          <w:rFonts w:ascii="Rockwell" w:hAnsi="Rockwell"/>
          <w:sz w:val="24"/>
          <w:szCs w:val="24"/>
        </w:rPr>
        <w:t xml:space="preserve"> et </w:t>
      </w:r>
      <w:r w:rsidRPr="00422183">
        <w:rPr>
          <w:rFonts w:ascii="Rockwell" w:hAnsi="Rockwell"/>
          <w:sz w:val="24"/>
          <w:szCs w:val="24"/>
        </w:rPr>
        <w:t>Cour des comptes</w:t>
      </w:r>
      <w:r w:rsidR="00A84E24" w:rsidRPr="00422183">
        <w:rPr>
          <w:rFonts w:ascii="Rockwell" w:hAnsi="Rockwell"/>
          <w:sz w:val="24"/>
          <w:szCs w:val="24"/>
        </w:rPr>
        <w:t>, (iii</w:t>
      </w:r>
      <w:r w:rsidR="001908B7" w:rsidRPr="00422183">
        <w:rPr>
          <w:rFonts w:ascii="Rockwell" w:hAnsi="Rockwell"/>
          <w:sz w:val="24"/>
          <w:szCs w:val="24"/>
        </w:rPr>
        <w:t xml:space="preserve">) </w:t>
      </w:r>
      <w:r w:rsidR="004C18B3" w:rsidRPr="00422183">
        <w:rPr>
          <w:rFonts w:ascii="Rockwell" w:hAnsi="Rockwell"/>
          <w:sz w:val="24"/>
          <w:szCs w:val="24"/>
        </w:rPr>
        <w:t>Organisations de la société civile (OSC)</w:t>
      </w:r>
      <w:r w:rsidR="001908B7" w:rsidRPr="00422183">
        <w:rPr>
          <w:rFonts w:ascii="Rockwell" w:hAnsi="Rockwell"/>
          <w:sz w:val="24"/>
          <w:szCs w:val="24"/>
        </w:rPr>
        <w:t>, (</w:t>
      </w:r>
      <w:r w:rsidR="00A84E24" w:rsidRPr="00422183">
        <w:rPr>
          <w:rFonts w:ascii="Rockwell" w:hAnsi="Rockwell"/>
          <w:sz w:val="24"/>
          <w:szCs w:val="24"/>
        </w:rPr>
        <w:t>i</w:t>
      </w:r>
      <w:r w:rsidR="001908B7" w:rsidRPr="00422183">
        <w:rPr>
          <w:rFonts w:ascii="Rockwell" w:hAnsi="Rockwell"/>
          <w:sz w:val="24"/>
          <w:szCs w:val="24"/>
        </w:rPr>
        <w:t xml:space="preserve">v) </w:t>
      </w:r>
      <w:r w:rsidR="004C18B3" w:rsidRPr="00422183">
        <w:rPr>
          <w:rFonts w:ascii="Rockwell" w:hAnsi="Rockwell"/>
          <w:sz w:val="24"/>
          <w:szCs w:val="24"/>
        </w:rPr>
        <w:t>organisations du monde rural</w:t>
      </w:r>
      <w:r w:rsidR="00A84E24" w:rsidRPr="00422183">
        <w:rPr>
          <w:rFonts w:ascii="Rockwell" w:hAnsi="Rockwell"/>
          <w:sz w:val="24"/>
          <w:szCs w:val="24"/>
        </w:rPr>
        <w:t>, (v</w:t>
      </w:r>
      <w:r w:rsidR="001908B7" w:rsidRPr="00422183">
        <w:rPr>
          <w:rFonts w:ascii="Rockwell" w:hAnsi="Rockwell"/>
          <w:sz w:val="24"/>
          <w:szCs w:val="24"/>
        </w:rPr>
        <w:t xml:space="preserve">) </w:t>
      </w:r>
      <w:r w:rsidR="004C18B3" w:rsidRPr="00422183">
        <w:rPr>
          <w:rFonts w:ascii="Rockwell" w:hAnsi="Rockwell"/>
          <w:sz w:val="24"/>
          <w:szCs w:val="24"/>
        </w:rPr>
        <w:t>organisations de jeunesse, mouvements estudiantins et scolaires</w:t>
      </w:r>
      <w:r w:rsidR="001908B7" w:rsidRPr="00422183">
        <w:rPr>
          <w:rFonts w:ascii="Rockwell" w:hAnsi="Rockwell"/>
          <w:sz w:val="24"/>
          <w:szCs w:val="24"/>
        </w:rPr>
        <w:t xml:space="preserve">, (vi) </w:t>
      </w:r>
      <w:r w:rsidR="004C18B3" w:rsidRPr="00422183">
        <w:rPr>
          <w:rFonts w:ascii="Rockwell" w:hAnsi="Rockwell"/>
          <w:sz w:val="24"/>
          <w:szCs w:val="24"/>
        </w:rPr>
        <w:t>Unité d'act</w:t>
      </w:r>
      <w:r w:rsidR="001908B7" w:rsidRPr="00422183">
        <w:rPr>
          <w:rFonts w:ascii="Rockwell" w:hAnsi="Rockwell"/>
          <w:sz w:val="24"/>
          <w:szCs w:val="24"/>
        </w:rPr>
        <w:t xml:space="preserve">ion syndicale (UAS), (vii) </w:t>
      </w:r>
      <w:r w:rsidR="00EE6794" w:rsidRPr="00422183">
        <w:rPr>
          <w:rFonts w:ascii="Rockwell" w:hAnsi="Rockwell"/>
          <w:sz w:val="24"/>
          <w:szCs w:val="24"/>
        </w:rPr>
        <w:t xml:space="preserve">autorités </w:t>
      </w:r>
      <w:r w:rsidR="004C18B3" w:rsidRPr="00422183">
        <w:rPr>
          <w:rFonts w:ascii="Rockwell" w:hAnsi="Rockwell"/>
          <w:sz w:val="24"/>
          <w:szCs w:val="24"/>
        </w:rPr>
        <w:t>religieu</w:t>
      </w:r>
      <w:r w:rsidR="00EE6794" w:rsidRPr="00422183">
        <w:rPr>
          <w:rFonts w:ascii="Rockwell" w:hAnsi="Rockwell"/>
          <w:sz w:val="24"/>
          <w:szCs w:val="24"/>
        </w:rPr>
        <w:t>ses et coutumiè</w:t>
      </w:r>
      <w:r w:rsidR="004C18B3" w:rsidRPr="00422183">
        <w:rPr>
          <w:rFonts w:ascii="Rockwell" w:hAnsi="Rockwell"/>
          <w:sz w:val="24"/>
          <w:szCs w:val="24"/>
        </w:rPr>
        <w:t>r</w:t>
      </w:r>
      <w:r w:rsidR="00EE6794" w:rsidRPr="00422183">
        <w:rPr>
          <w:rFonts w:ascii="Rockwell" w:hAnsi="Rockwell"/>
          <w:sz w:val="24"/>
          <w:szCs w:val="24"/>
        </w:rPr>
        <w:t>e</w:t>
      </w:r>
      <w:r w:rsidR="004C18B3" w:rsidRPr="00422183">
        <w:rPr>
          <w:rFonts w:ascii="Rockwell" w:hAnsi="Rockwell"/>
          <w:sz w:val="24"/>
          <w:szCs w:val="24"/>
        </w:rPr>
        <w:t>s</w:t>
      </w:r>
      <w:r w:rsidR="00A84E24" w:rsidRPr="00422183">
        <w:rPr>
          <w:rFonts w:ascii="Rockwell" w:hAnsi="Rockwell"/>
          <w:sz w:val="24"/>
          <w:szCs w:val="24"/>
        </w:rPr>
        <w:t>, (viii</w:t>
      </w:r>
      <w:r w:rsidR="001908B7" w:rsidRPr="00422183">
        <w:rPr>
          <w:rFonts w:ascii="Rockwell" w:hAnsi="Rockwell"/>
          <w:sz w:val="24"/>
          <w:szCs w:val="24"/>
        </w:rPr>
        <w:t xml:space="preserve">) </w:t>
      </w:r>
      <w:r w:rsidR="004C18B3" w:rsidRPr="00422183">
        <w:rPr>
          <w:rFonts w:ascii="Rockwell" w:hAnsi="Rockwell"/>
          <w:sz w:val="24"/>
          <w:szCs w:val="24"/>
        </w:rPr>
        <w:t>secteur privé</w:t>
      </w:r>
      <w:r w:rsidR="009E51C7" w:rsidRPr="00422183">
        <w:rPr>
          <w:rFonts w:ascii="Rockwell" w:hAnsi="Rockwell"/>
          <w:sz w:val="24"/>
          <w:szCs w:val="24"/>
        </w:rPr>
        <w:t xml:space="preserve"> </w:t>
      </w:r>
      <w:r w:rsidRPr="00422183">
        <w:rPr>
          <w:rFonts w:ascii="Rockwell" w:hAnsi="Rockwell"/>
          <w:sz w:val="24"/>
          <w:szCs w:val="24"/>
        </w:rPr>
        <w:t>et (</w:t>
      </w:r>
      <w:r w:rsidR="00A84E24" w:rsidRPr="00422183">
        <w:rPr>
          <w:rFonts w:ascii="Rockwell" w:hAnsi="Rockwell"/>
          <w:sz w:val="24"/>
          <w:szCs w:val="24"/>
        </w:rPr>
        <w:t>i</w:t>
      </w:r>
      <w:r w:rsidRPr="00422183">
        <w:rPr>
          <w:rFonts w:ascii="Rockwell" w:hAnsi="Rockwell"/>
          <w:sz w:val="24"/>
          <w:szCs w:val="24"/>
        </w:rPr>
        <w:t>x) Partenaires techniques et financiers (</w:t>
      </w:r>
      <w:r w:rsidR="004C18B3" w:rsidRPr="00422183">
        <w:rPr>
          <w:rFonts w:ascii="Rockwell" w:hAnsi="Rockwell"/>
          <w:sz w:val="24"/>
          <w:szCs w:val="24"/>
        </w:rPr>
        <w:t>PTF</w:t>
      </w:r>
      <w:r w:rsidRPr="00422183">
        <w:rPr>
          <w:rFonts w:ascii="Rockwell" w:hAnsi="Rockwell"/>
          <w:sz w:val="24"/>
          <w:szCs w:val="24"/>
        </w:rPr>
        <w:t>)</w:t>
      </w:r>
      <w:r w:rsidR="004C18B3" w:rsidRPr="00422183">
        <w:rPr>
          <w:rFonts w:ascii="Rockwell" w:hAnsi="Rockwell"/>
          <w:sz w:val="24"/>
          <w:szCs w:val="24"/>
        </w:rPr>
        <w:t>.</w:t>
      </w:r>
    </w:p>
    <w:p w:rsidR="004C18B3" w:rsidRPr="00422183" w:rsidRDefault="004C18B3" w:rsidP="003A0820">
      <w:pPr>
        <w:spacing w:after="0" w:line="240" w:lineRule="auto"/>
        <w:ind w:right="-1"/>
        <w:jc w:val="both"/>
        <w:rPr>
          <w:rFonts w:ascii="Rockwell" w:hAnsi="Rockwell"/>
          <w:sz w:val="24"/>
          <w:szCs w:val="24"/>
        </w:rPr>
      </w:pPr>
    </w:p>
    <w:p w:rsidR="00457A5E" w:rsidRPr="00422183" w:rsidRDefault="004A2EE0" w:rsidP="003A0820">
      <w:pPr>
        <w:spacing w:after="0" w:line="240" w:lineRule="auto"/>
        <w:jc w:val="both"/>
        <w:rPr>
          <w:rFonts w:ascii="Rockwell" w:hAnsi="Rockwell"/>
          <w:sz w:val="24"/>
          <w:szCs w:val="24"/>
        </w:rPr>
      </w:pPr>
      <w:r w:rsidRPr="00422183">
        <w:rPr>
          <w:rFonts w:ascii="Rockwell" w:hAnsi="Rockwell"/>
          <w:sz w:val="24"/>
          <w:szCs w:val="24"/>
        </w:rPr>
        <w:t xml:space="preserve">La mise en place d'un dispositif d'élaboration du PNDES par </w:t>
      </w:r>
      <w:r w:rsidRPr="00422183">
        <w:rPr>
          <w:rFonts w:ascii="Rockwell" w:eastAsia="Arial Unicode MS" w:hAnsi="Rockwell"/>
          <w:bCs/>
          <w:sz w:val="24"/>
          <w:szCs w:val="24"/>
        </w:rPr>
        <w:t>Arrêté n° 2016-001/PM/CAB du 4 mars 2016</w:t>
      </w:r>
      <w:r w:rsidR="002C7185" w:rsidRPr="00422183">
        <w:rPr>
          <w:rFonts w:ascii="Rockwell" w:eastAsia="Arial Unicode MS" w:hAnsi="Rockwell"/>
          <w:bCs/>
          <w:sz w:val="24"/>
          <w:szCs w:val="24"/>
        </w:rPr>
        <w:t xml:space="preserve">, a formalisé </w:t>
      </w:r>
      <w:r w:rsidR="00D01965" w:rsidRPr="00422183">
        <w:rPr>
          <w:rFonts w:ascii="Rockwell" w:eastAsia="Arial Unicode MS" w:hAnsi="Rockwell"/>
          <w:bCs/>
          <w:sz w:val="24"/>
          <w:szCs w:val="24"/>
        </w:rPr>
        <w:t>le</w:t>
      </w:r>
      <w:r w:rsidR="002C7185" w:rsidRPr="00422183">
        <w:rPr>
          <w:rFonts w:ascii="Rockwell" w:eastAsia="Arial Unicode MS" w:hAnsi="Rockwell"/>
          <w:bCs/>
          <w:sz w:val="24"/>
          <w:szCs w:val="24"/>
        </w:rPr>
        <w:t xml:space="preserve"> processus</w:t>
      </w:r>
      <w:r w:rsidR="00D01965" w:rsidRPr="00422183">
        <w:rPr>
          <w:rFonts w:ascii="Rockwell" w:eastAsia="Arial Unicode MS" w:hAnsi="Rockwell"/>
          <w:bCs/>
          <w:sz w:val="24"/>
          <w:szCs w:val="24"/>
        </w:rPr>
        <w:t xml:space="preserve"> d'élaboration du PNDES</w:t>
      </w:r>
      <w:r w:rsidR="002C7185" w:rsidRPr="00422183">
        <w:rPr>
          <w:rFonts w:ascii="Rockwell" w:eastAsia="Arial Unicode MS" w:hAnsi="Rockwell"/>
          <w:bCs/>
          <w:sz w:val="24"/>
          <w:szCs w:val="24"/>
        </w:rPr>
        <w:t xml:space="preserve">, sous la conduite </w:t>
      </w:r>
      <w:r w:rsidR="004B2958" w:rsidRPr="00422183">
        <w:rPr>
          <w:rFonts w:ascii="Rockwell" w:eastAsia="Arial Unicode MS" w:hAnsi="Rockwell"/>
          <w:bCs/>
          <w:sz w:val="24"/>
          <w:szCs w:val="24"/>
        </w:rPr>
        <w:t>d'un</w:t>
      </w:r>
      <w:r w:rsidR="002C7185" w:rsidRPr="00422183">
        <w:rPr>
          <w:rFonts w:ascii="Rockwell" w:eastAsia="Arial Unicode MS" w:hAnsi="Rockwell"/>
          <w:bCs/>
          <w:sz w:val="24"/>
          <w:szCs w:val="24"/>
        </w:rPr>
        <w:t xml:space="preserve"> C</w:t>
      </w:r>
      <w:r w:rsidR="002C7185" w:rsidRPr="00422183">
        <w:rPr>
          <w:rFonts w:ascii="Rockwell" w:hAnsi="Rockwell"/>
          <w:sz w:val="24"/>
          <w:szCs w:val="24"/>
        </w:rPr>
        <w:t xml:space="preserve">omité d'orientation et de supervision (COS), </w:t>
      </w:r>
      <w:r w:rsidR="004B2958" w:rsidRPr="00422183">
        <w:rPr>
          <w:rFonts w:ascii="Rockwell" w:hAnsi="Rockwell"/>
          <w:sz w:val="24"/>
          <w:szCs w:val="24"/>
        </w:rPr>
        <w:t xml:space="preserve">de </w:t>
      </w:r>
      <w:r w:rsidR="002C7185" w:rsidRPr="00422183">
        <w:rPr>
          <w:rFonts w:ascii="Rockwell" w:hAnsi="Rockwell"/>
          <w:sz w:val="24"/>
          <w:szCs w:val="24"/>
        </w:rPr>
        <w:t xml:space="preserve">comités thématiques, </w:t>
      </w:r>
      <w:r w:rsidR="004B2958" w:rsidRPr="00422183">
        <w:rPr>
          <w:rFonts w:ascii="Rockwell" w:hAnsi="Rockwell"/>
          <w:sz w:val="24"/>
          <w:szCs w:val="24"/>
        </w:rPr>
        <w:t xml:space="preserve">d'un </w:t>
      </w:r>
      <w:r w:rsidR="002C7185" w:rsidRPr="00422183">
        <w:rPr>
          <w:rFonts w:ascii="Rockwell" w:hAnsi="Rockwell"/>
          <w:sz w:val="24"/>
          <w:szCs w:val="24"/>
        </w:rPr>
        <w:t xml:space="preserve">secrétariat technique, </w:t>
      </w:r>
      <w:r w:rsidR="004B2958" w:rsidRPr="00422183">
        <w:rPr>
          <w:rFonts w:ascii="Rockwell" w:hAnsi="Rockwell"/>
          <w:sz w:val="24"/>
          <w:szCs w:val="24"/>
        </w:rPr>
        <w:t xml:space="preserve">de </w:t>
      </w:r>
      <w:r w:rsidR="002C7185" w:rsidRPr="00422183">
        <w:rPr>
          <w:rFonts w:ascii="Rockwell" w:hAnsi="Rockwell"/>
          <w:sz w:val="24"/>
          <w:szCs w:val="24"/>
        </w:rPr>
        <w:t xml:space="preserve">groupes spécialisés et </w:t>
      </w:r>
      <w:r w:rsidR="004B2958" w:rsidRPr="00422183">
        <w:rPr>
          <w:rFonts w:ascii="Rockwell" w:hAnsi="Rockwell"/>
          <w:sz w:val="24"/>
          <w:szCs w:val="24"/>
        </w:rPr>
        <w:t xml:space="preserve">d'un </w:t>
      </w:r>
      <w:r w:rsidR="002C7185" w:rsidRPr="00422183">
        <w:rPr>
          <w:rFonts w:ascii="Rockwell" w:hAnsi="Rockwell"/>
          <w:sz w:val="24"/>
          <w:szCs w:val="24"/>
        </w:rPr>
        <w:t>groupe de rédaction.</w:t>
      </w:r>
    </w:p>
    <w:p w:rsidR="002C7185" w:rsidRPr="00422183" w:rsidRDefault="002C7185" w:rsidP="003A0820">
      <w:pPr>
        <w:spacing w:after="0" w:line="240" w:lineRule="auto"/>
        <w:jc w:val="both"/>
        <w:rPr>
          <w:rFonts w:ascii="Rockwell" w:hAnsi="Rockwell"/>
          <w:sz w:val="24"/>
          <w:szCs w:val="24"/>
        </w:rPr>
      </w:pPr>
    </w:p>
    <w:p w:rsidR="00067A96" w:rsidRPr="00422183" w:rsidRDefault="002C7185" w:rsidP="003A0820">
      <w:pPr>
        <w:spacing w:after="0" w:line="240" w:lineRule="auto"/>
        <w:jc w:val="both"/>
        <w:rPr>
          <w:rFonts w:ascii="Rockwell" w:hAnsi="Rockwell"/>
          <w:sz w:val="24"/>
          <w:szCs w:val="24"/>
        </w:rPr>
      </w:pPr>
      <w:r w:rsidRPr="00422183">
        <w:rPr>
          <w:rFonts w:ascii="Rockwell" w:hAnsi="Rockwell"/>
          <w:sz w:val="24"/>
          <w:szCs w:val="24"/>
        </w:rPr>
        <w:t xml:space="preserve">Le COS, présidé par le Premier ministre et comprenant les représentants du gouvernement, des collectivités territoriales, du secteur privé, de la société civile et des PTF, </w:t>
      </w:r>
      <w:r w:rsidR="00067A96" w:rsidRPr="00422183">
        <w:rPr>
          <w:rFonts w:ascii="Rockwell" w:hAnsi="Rockwell"/>
          <w:sz w:val="24"/>
          <w:szCs w:val="24"/>
        </w:rPr>
        <w:t>a donné les directives nécessaires au bon déroulement du processus, validé la démarche d'élaboration et le projet de document de PNDES.</w:t>
      </w:r>
    </w:p>
    <w:p w:rsidR="00067A96" w:rsidRPr="00422183" w:rsidRDefault="00067A96" w:rsidP="003A0820">
      <w:pPr>
        <w:spacing w:after="0" w:line="240" w:lineRule="auto"/>
        <w:jc w:val="both"/>
        <w:rPr>
          <w:rFonts w:ascii="Rockwell" w:hAnsi="Rockwell"/>
          <w:sz w:val="24"/>
          <w:szCs w:val="24"/>
        </w:rPr>
      </w:pPr>
    </w:p>
    <w:p w:rsidR="006A2407" w:rsidRPr="00422183" w:rsidRDefault="006A2407" w:rsidP="003A0820">
      <w:pPr>
        <w:spacing w:after="0" w:line="240" w:lineRule="auto"/>
        <w:jc w:val="both"/>
        <w:rPr>
          <w:rFonts w:ascii="Rockwell" w:hAnsi="Rockwell"/>
          <w:sz w:val="24"/>
          <w:szCs w:val="24"/>
        </w:rPr>
      </w:pPr>
      <w:r w:rsidRPr="00422183">
        <w:rPr>
          <w:rFonts w:ascii="Rockwell" w:hAnsi="Rockwell"/>
          <w:sz w:val="24"/>
          <w:szCs w:val="24"/>
        </w:rPr>
        <w:t>Les</w:t>
      </w:r>
      <w:r w:rsidR="002C7185" w:rsidRPr="00422183">
        <w:rPr>
          <w:rFonts w:ascii="Rockwell" w:hAnsi="Rockwell"/>
          <w:sz w:val="24"/>
          <w:szCs w:val="24"/>
        </w:rPr>
        <w:t xml:space="preserve"> comités thématiques</w:t>
      </w:r>
      <w:r w:rsidRPr="00422183">
        <w:rPr>
          <w:rFonts w:ascii="Rockwell" w:hAnsi="Rockwell"/>
          <w:sz w:val="24"/>
          <w:szCs w:val="24"/>
        </w:rPr>
        <w:t>, au nombre de trois et</w:t>
      </w:r>
      <w:r w:rsidR="002C7185" w:rsidRPr="00422183">
        <w:rPr>
          <w:rFonts w:ascii="Rockwell" w:hAnsi="Rockwell"/>
          <w:sz w:val="24"/>
          <w:szCs w:val="24"/>
        </w:rPr>
        <w:t xml:space="preserve"> correspondant aux parties du </w:t>
      </w:r>
      <w:r w:rsidRPr="00422183">
        <w:rPr>
          <w:rFonts w:ascii="Rockwell" w:hAnsi="Rockwell"/>
          <w:sz w:val="24"/>
          <w:szCs w:val="24"/>
        </w:rPr>
        <w:t>p</w:t>
      </w:r>
      <w:r w:rsidR="002C7185" w:rsidRPr="00422183">
        <w:rPr>
          <w:rFonts w:ascii="Rockwell" w:hAnsi="Rockwell"/>
          <w:sz w:val="24"/>
          <w:szCs w:val="24"/>
        </w:rPr>
        <w:t>rogramme présidentiel</w:t>
      </w:r>
      <w:r w:rsidRPr="00422183">
        <w:rPr>
          <w:rFonts w:ascii="Rockwell" w:hAnsi="Rockwell"/>
          <w:sz w:val="24"/>
          <w:szCs w:val="24"/>
        </w:rPr>
        <w:t xml:space="preserve">, ont été présidés par les secrétaires généraux des ministères assurant leur présidence et ont été constitués de l'ensemble des ministères concernés, ainsi que des représentants du secteur privé, de la société civile et des PTF. Ces comités thématiques ont </w:t>
      </w:r>
      <w:r w:rsidR="005D7B49" w:rsidRPr="00422183">
        <w:rPr>
          <w:rFonts w:ascii="Rockwell" w:hAnsi="Rockwell"/>
          <w:sz w:val="24"/>
          <w:szCs w:val="24"/>
        </w:rPr>
        <w:t xml:space="preserve">chacun </w:t>
      </w:r>
      <w:r w:rsidRPr="00422183">
        <w:rPr>
          <w:rFonts w:ascii="Rockwell" w:hAnsi="Rockwell"/>
          <w:sz w:val="24"/>
          <w:szCs w:val="24"/>
        </w:rPr>
        <w:t xml:space="preserve">produit, entre le 18 mars et le </w:t>
      </w:r>
      <w:r w:rsidR="0017372E" w:rsidRPr="00422183">
        <w:rPr>
          <w:rFonts w:ascii="Rockwell" w:hAnsi="Rockwell"/>
          <w:sz w:val="24"/>
          <w:szCs w:val="24"/>
        </w:rPr>
        <w:t>8</w:t>
      </w:r>
      <w:r w:rsidRPr="00422183">
        <w:rPr>
          <w:rFonts w:ascii="Rockwell" w:hAnsi="Rockwell"/>
          <w:sz w:val="24"/>
          <w:szCs w:val="24"/>
        </w:rPr>
        <w:t xml:space="preserve"> avril 2016, un rapport de contribution au projet de document de PNDES comprenant : (i) </w:t>
      </w:r>
      <w:r w:rsidR="00777B95" w:rsidRPr="00422183">
        <w:rPr>
          <w:rFonts w:ascii="Rockwell" w:hAnsi="Rockwell"/>
          <w:sz w:val="24"/>
          <w:szCs w:val="24"/>
        </w:rPr>
        <w:t xml:space="preserve">une </w:t>
      </w:r>
      <w:r w:rsidRPr="00422183">
        <w:rPr>
          <w:rFonts w:ascii="Rockwell" w:hAnsi="Rockwell"/>
          <w:sz w:val="24"/>
          <w:szCs w:val="24"/>
        </w:rPr>
        <w:t>analyse de la situation nationale relativement au</w:t>
      </w:r>
      <w:r w:rsidR="00777B95" w:rsidRPr="00422183">
        <w:rPr>
          <w:rFonts w:ascii="Rockwell" w:hAnsi="Rockwell"/>
          <w:sz w:val="24"/>
          <w:szCs w:val="24"/>
        </w:rPr>
        <w:t>x</w:t>
      </w:r>
      <w:r w:rsidRPr="00422183">
        <w:rPr>
          <w:rFonts w:ascii="Rockwell" w:hAnsi="Rockwell"/>
          <w:sz w:val="24"/>
          <w:szCs w:val="24"/>
        </w:rPr>
        <w:t xml:space="preserve"> th</w:t>
      </w:r>
      <w:r w:rsidR="00777B95" w:rsidRPr="00422183">
        <w:rPr>
          <w:rFonts w:ascii="Rockwell" w:hAnsi="Rockwell"/>
          <w:sz w:val="24"/>
          <w:szCs w:val="24"/>
        </w:rPr>
        <w:t>é</w:t>
      </w:r>
      <w:r w:rsidRPr="00422183">
        <w:rPr>
          <w:rFonts w:ascii="Rockwell" w:hAnsi="Rockwell"/>
          <w:sz w:val="24"/>
          <w:szCs w:val="24"/>
        </w:rPr>
        <w:t>m</w:t>
      </w:r>
      <w:r w:rsidR="00777B95" w:rsidRPr="00422183">
        <w:rPr>
          <w:rFonts w:ascii="Rockwell" w:hAnsi="Rockwell"/>
          <w:sz w:val="24"/>
          <w:szCs w:val="24"/>
        </w:rPr>
        <w:t>atiques</w:t>
      </w:r>
      <w:r w:rsidRPr="00422183">
        <w:rPr>
          <w:rFonts w:ascii="Rockwell" w:hAnsi="Rockwell"/>
          <w:sz w:val="24"/>
          <w:szCs w:val="24"/>
        </w:rPr>
        <w:t xml:space="preserve"> considéré</w:t>
      </w:r>
      <w:r w:rsidR="00777B95" w:rsidRPr="00422183">
        <w:rPr>
          <w:rFonts w:ascii="Rockwell" w:hAnsi="Rockwell"/>
          <w:sz w:val="24"/>
          <w:szCs w:val="24"/>
        </w:rPr>
        <w:t xml:space="preserve">es, (ii) la </w:t>
      </w:r>
      <w:r w:rsidRPr="00422183">
        <w:rPr>
          <w:rFonts w:ascii="Rockwell" w:hAnsi="Rockwell"/>
          <w:sz w:val="24"/>
          <w:szCs w:val="24"/>
        </w:rPr>
        <w:t xml:space="preserve">formulation de stratégies de réponses adaptées à la situation, </w:t>
      </w:r>
      <w:r w:rsidR="00777B95" w:rsidRPr="00422183">
        <w:rPr>
          <w:rFonts w:ascii="Rockwell" w:hAnsi="Rockwell"/>
          <w:sz w:val="24"/>
          <w:szCs w:val="24"/>
        </w:rPr>
        <w:t>(iii) l'</w:t>
      </w:r>
      <w:r w:rsidRPr="00422183">
        <w:rPr>
          <w:rFonts w:ascii="Rockwell" w:hAnsi="Rockwell"/>
          <w:sz w:val="24"/>
          <w:szCs w:val="24"/>
        </w:rPr>
        <w:t xml:space="preserve">identification de domaines de résultats prioritaires du PNDES et </w:t>
      </w:r>
      <w:r w:rsidR="00777B95" w:rsidRPr="00422183">
        <w:rPr>
          <w:rFonts w:ascii="Rockwell" w:hAnsi="Rockwell"/>
          <w:sz w:val="24"/>
          <w:szCs w:val="24"/>
        </w:rPr>
        <w:t xml:space="preserve">la </w:t>
      </w:r>
      <w:r w:rsidRPr="00422183">
        <w:rPr>
          <w:rFonts w:ascii="Rockwell" w:hAnsi="Rockwell"/>
          <w:sz w:val="24"/>
          <w:szCs w:val="24"/>
        </w:rPr>
        <w:t xml:space="preserve">déclinaison de chacun de ces domaines en résultats (stratégiques, intermédiaires et immédiats) à atteindre d'ici à </w:t>
      </w:r>
      <w:r w:rsidR="00777B95" w:rsidRPr="00422183">
        <w:rPr>
          <w:rFonts w:ascii="Rockwell" w:hAnsi="Rockwell"/>
          <w:sz w:val="24"/>
          <w:szCs w:val="24"/>
        </w:rPr>
        <w:t>2020</w:t>
      </w:r>
      <w:r w:rsidRPr="00422183">
        <w:rPr>
          <w:rFonts w:ascii="Rockwell" w:hAnsi="Rockwell"/>
          <w:sz w:val="24"/>
          <w:szCs w:val="24"/>
        </w:rPr>
        <w:t>.</w:t>
      </w:r>
    </w:p>
    <w:p w:rsidR="006A2407" w:rsidRPr="00422183" w:rsidRDefault="006A2407" w:rsidP="003A0820">
      <w:pPr>
        <w:spacing w:after="0" w:line="240" w:lineRule="auto"/>
        <w:jc w:val="both"/>
        <w:rPr>
          <w:rFonts w:ascii="Rockwell" w:hAnsi="Rockwell"/>
          <w:sz w:val="24"/>
          <w:szCs w:val="24"/>
        </w:rPr>
      </w:pPr>
    </w:p>
    <w:p w:rsidR="006A2407" w:rsidRPr="00422183" w:rsidRDefault="003760F4" w:rsidP="003A0820">
      <w:pPr>
        <w:spacing w:after="0" w:line="240" w:lineRule="auto"/>
        <w:jc w:val="both"/>
        <w:rPr>
          <w:rFonts w:ascii="Rockwell" w:hAnsi="Rockwell"/>
          <w:sz w:val="24"/>
          <w:szCs w:val="24"/>
        </w:rPr>
      </w:pPr>
      <w:r w:rsidRPr="00422183">
        <w:rPr>
          <w:rFonts w:ascii="Rockwell" w:hAnsi="Rockwell"/>
          <w:sz w:val="24"/>
          <w:szCs w:val="24"/>
        </w:rPr>
        <w:t>Le secrétariat technique, confié au Secrétariat technique</w:t>
      </w:r>
      <w:r w:rsidR="00386106" w:rsidRPr="00422183">
        <w:rPr>
          <w:rFonts w:ascii="Rockwell" w:hAnsi="Rockwell"/>
          <w:sz w:val="24"/>
          <w:szCs w:val="24"/>
        </w:rPr>
        <w:t xml:space="preserve"> national</w:t>
      </w:r>
      <w:r w:rsidRPr="00422183">
        <w:rPr>
          <w:rFonts w:ascii="Rockwell" w:hAnsi="Rockwell"/>
          <w:sz w:val="24"/>
          <w:szCs w:val="24"/>
        </w:rPr>
        <w:t xml:space="preserve"> de la SCADD (STN/SCADD), a assuré la coordination technique de l'ensemble des activités du processus d'élaboration du PNDES, exécutant les activités de secrétariat du COS, de rédaction du projet de démarche d'élaboration du PNDES, de synthèse des contributions des comités thématiques, de facilitation des travaux des groupes spécialisés, d'animation du groupe de rédaction et de communication sur le processus.</w:t>
      </w:r>
    </w:p>
    <w:p w:rsidR="006A2407" w:rsidRPr="00422183" w:rsidRDefault="006A2407" w:rsidP="003A0820">
      <w:pPr>
        <w:spacing w:after="0" w:line="240" w:lineRule="auto"/>
        <w:jc w:val="both"/>
        <w:rPr>
          <w:rFonts w:ascii="Rockwell" w:hAnsi="Rockwell"/>
          <w:sz w:val="24"/>
          <w:szCs w:val="24"/>
        </w:rPr>
      </w:pPr>
    </w:p>
    <w:p w:rsidR="000E3529" w:rsidRPr="00422183" w:rsidRDefault="000E3529" w:rsidP="003A0820">
      <w:pPr>
        <w:spacing w:after="0" w:line="240" w:lineRule="auto"/>
        <w:jc w:val="both"/>
        <w:rPr>
          <w:rFonts w:ascii="Rockwell" w:hAnsi="Rockwell"/>
          <w:sz w:val="24"/>
          <w:szCs w:val="24"/>
        </w:rPr>
      </w:pPr>
      <w:r w:rsidRPr="00422183">
        <w:rPr>
          <w:rFonts w:ascii="Rockwell" w:hAnsi="Rockwell"/>
          <w:sz w:val="24"/>
          <w:szCs w:val="24"/>
        </w:rPr>
        <w:t>Le groupe de rédaction</w:t>
      </w:r>
      <w:r w:rsidR="005D7B49" w:rsidRPr="00422183">
        <w:rPr>
          <w:rFonts w:ascii="Rockwell" w:hAnsi="Rockwell"/>
          <w:sz w:val="24"/>
          <w:szCs w:val="24"/>
        </w:rPr>
        <w:t xml:space="preserve"> a été constitué</w:t>
      </w:r>
      <w:r w:rsidRPr="00422183">
        <w:rPr>
          <w:rFonts w:ascii="Rockwell" w:hAnsi="Rockwell"/>
          <w:sz w:val="24"/>
          <w:szCs w:val="24"/>
        </w:rPr>
        <w:t xml:space="preserve"> de rédacteurs d</w:t>
      </w:r>
      <w:r w:rsidR="00386106" w:rsidRPr="00422183">
        <w:rPr>
          <w:rFonts w:ascii="Rockwell" w:hAnsi="Rockwell"/>
          <w:sz w:val="24"/>
          <w:szCs w:val="24"/>
        </w:rPr>
        <w:t>u</w:t>
      </w:r>
      <w:r w:rsidRPr="00422183">
        <w:rPr>
          <w:rFonts w:ascii="Rockwell" w:hAnsi="Rockwell"/>
          <w:sz w:val="24"/>
          <w:szCs w:val="24"/>
        </w:rPr>
        <w:t xml:space="preserve"> programme présidentiel, de cadres de la Présidence du Faso, du Premier ministère, </w:t>
      </w:r>
      <w:r w:rsidR="00B804DF" w:rsidRPr="00422183">
        <w:rPr>
          <w:rFonts w:ascii="Rockwell" w:hAnsi="Rockwell"/>
          <w:sz w:val="24"/>
          <w:szCs w:val="24"/>
        </w:rPr>
        <w:t>des ministères en charge de l'emploi et de l'économie</w:t>
      </w:r>
      <w:r w:rsidR="00386106" w:rsidRPr="00422183">
        <w:rPr>
          <w:rFonts w:ascii="Rockwell" w:hAnsi="Rockwell"/>
          <w:sz w:val="24"/>
          <w:szCs w:val="24"/>
        </w:rPr>
        <w:t xml:space="preserve">, des ministères assurant les présidences des comités thématiques et des groupes spécialisés, d'universitaires et </w:t>
      </w:r>
      <w:r w:rsidR="00964906" w:rsidRPr="00422183">
        <w:rPr>
          <w:rFonts w:ascii="Rockwell" w:hAnsi="Rockwell"/>
          <w:sz w:val="24"/>
          <w:szCs w:val="24"/>
        </w:rPr>
        <w:t xml:space="preserve">de </w:t>
      </w:r>
      <w:r w:rsidR="00386106" w:rsidRPr="00422183">
        <w:rPr>
          <w:rFonts w:ascii="Rockwell" w:hAnsi="Rockwell"/>
          <w:sz w:val="24"/>
          <w:szCs w:val="24"/>
        </w:rPr>
        <w:t>chercheurs</w:t>
      </w:r>
      <w:r w:rsidR="005D7B49" w:rsidRPr="00422183">
        <w:rPr>
          <w:rFonts w:ascii="Rockwell" w:hAnsi="Rockwell"/>
          <w:sz w:val="24"/>
          <w:szCs w:val="24"/>
        </w:rPr>
        <w:t>. Il</w:t>
      </w:r>
      <w:r w:rsidR="00B804DF" w:rsidRPr="00422183">
        <w:rPr>
          <w:rFonts w:ascii="Rockwell" w:hAnsi="Rockwell"/>
          <w:sz w:val="24"/>
          <w:szCs w:val="24"/>
        </w:rPr>
        <w:t xml:space="preserve"> </w:t>
      </w:r>
      <w:r w:rsidRPr="00422183">
        <w:rPr>
          <w:rFonts w:ascii="Rockwell" w:hAnsi="Rockwell"/>
          <w:sz w:val="24"/>
          <w:szCs w:val="24"/>
        </w:rPr>
        <w:t xml:space="preserve">a rédigé les différentes versions du projet de document de </w:t>
      </w:r>
      <w:r w:rsidR="00386106" w:rsidRPr="00422183">
        <w:rPr>
          <w:rFonts w:ascii="Rockwell" w:hAnsi="Rockwell"/>
          <w:sz w:val="24"/>
          <w:szCs w:val="24"/>
        </w:rPr>
        <w:t>PNDES.</w:t>
      </w:r>
    </w:p>
    <w:p w:rsidR="000E3529" w:rsidRPr="00422183" w:rsidRDefault="000E3529" w:rsidP="003A0820">
      <w:pPr>
        <w:spacing w:after="0" w:line="240" w:lineRule="auto"/>
        <w:jc w:val="both"/>
        <w:rPr>
          <w:rFonts w:ascii="Rockwell" w:hAnsi="Rockwell"/>
          <w:sz w:val="24"/>
          <w:szCs w:val="24"/>
        </w:rPr>
      </w:pPr>
    </w:p>
    <w:p w:rsidR="005D7B49" w:rsidRPr="00422183" w:rsidRDefault="005D7B49" w:rsidP="003A0820">
      <w:pPr>
        <w:spacing w:after="0" w:line="240" w:lineRule="auto"/>
        <w:jc w:val="both"/>
        <w:rPr>
          <w:rFonts w:ascii="Rockwell" w:hAnsi="Rockwell"/>
          <w:sz w:val="24"/>
          <w:szCs w:val="24"/>
        </w:rPr>
      </w:pPr>
      <w:r w:rsidRPr="00422183">
        <w:rPr>
          <w:rFonts w:ascii="Rockwell" w:hAnsi="Rockwell"/>
          <w:sz w:val="24"/>
          <w:szCs w:val="24"/>
        </w:rPr>
        <w:t xml:space="preserve">Les groupes spécialisés, cadrage macroéconomique, cadrage budgétaire et financement, programmes et projets d'investissements publics, démographie et développement, ont été composés de structures techniques du </w:t>
      </w:r>
      <w:r w:rsidR="00B804DF" w:rsidRPr="00422183">
        <w:rPr>
          <w:rFonts w:ascii="Rockwell" w:hAnsi="Rockwell"/>
          <w:sz w:val="24"/>
          <w:szCs w:val="24"/>
        </w:rPr>
        <w:t>ministère en charge de l'économie</w:t>
      </w:r>
      <w:r w:rsidRPr="00422183">
        <w:rPr>
          <w:rFonts w:ascii="Rockwell" w:hAnsi="Rockwell"/>
          <w:sz w:val="24"/>
          <w:szCs w:val="24"/>
        </w:rPr>
        <w:t xml:space="preserve"> : Direction générale de l'économie et de la planification (DGEP), Direction générale du budget (DGB), Direction générale du trésor et de la comptabilité publique (DGTCP), Direction</w:t>
      </w:r>
      <w:r w:rsidR="001207CC" w:rsidRPr="00422183">
        <w:rPr>
          <w:rFonts w:ascii="Rockwell" w:hAnsi="Rockwell"/>
          <w:sz w:val="24"/>
          <w:szCs w:val="24"/>
        </w:rPr>
        <w:t xml:space="preserve"> générale de la coopération (DG</w:t>
      </w:r>
      <w:r w:rsidRPr="00422183">
        <w:rPr>
          <w:rFonts w:ascii="Rockwell" w:hAnsi="Rockwell"/>
          <w:sz w:val="24"/>
          <w:szCs w:val="24"/>
        </w:rPr>
        <w:t xml:space="preserve">COOP) et Institut national de la statistique et de la démographie (INSD). Ils ont chacun produit, </w:t>
      </w:r>
      <w:r w:rsidR="00A84E24" w:rsidRPr="00422183">
        <w:rPr>
          <w:rFonts w:ascii="Rockwell" w:hAnsi="Rockwell"/>
          <w:sz w:val="24"/>
          <w:szCs w:val="24"/>
        </w:rPr>
        <w:t>du</w:t>
      </w:r>
      <w:r w:rsidRPr="00422183">
        <w:rPr>
          <w:rFonts w:ascii="Rockwell" w:hAnsi="Rockwell"/>
          <w:sz w:val="24"/>
          <w:szCs w:val="24"/>
        </w:rPr>
        <w:t xml:space="preserve"> 18 mars </w:t>
      </w:r>
      <w:r w:rsidR="00A84E24" w:rsidRPr="00422183">
        <w:rPr>
          <w:rFonts w:ascii="Rockwell" w:hAnsi="Rockwell"/>
          <w:sz w:val="24"/>
          <w:szCs w:val="24"/>
        </w:rPr>
        <w:t xml:space="preserve">au </w:t>
      </w:r>
      <w:r w:rsidRPr="00422183">
        <w:rPr>
          <w:rFonts w:ascii="Rockwell" w:hAnsi="Rockwell"/>
          <w:sz w:val="24"/>
          <w:szCs w:val="24"/>
        </w:rPr>
        <w:t>11 avril 2016, un rapport de contribution au projet de document de PNDES relativement à leur problématique.</w:t>
      </w:r>
    </w:p>
    <w:p w:rsidR="00C15E35" w:rsidRPr="00422183" w:rsidRDefault="00C15E35" w:rsidP="003A0820">
      <w:pPr>
        <w:spacing w:after="0" w:line="240" w:lineRule="auto"/>
        <w:jc w:val="both"/>
        <w:rPr>
          <w:rFonts w:ascii="Rockwell" w:hAnsi="Rockwell"/>
          <w:sz w:val="24"/>
          <w:szCs w:val="24"/>
        </w:rPr>
      </w:pPr>
    </w:p>
    <w:p w:rsidR="00C15E35" w:rsidRPr="00422183" w:rsidRDefault="00E90C29" w:rsidP="003A0820">
      <w:pPr>
        <w:spacing w:after="0" w:line="240" w:lineRule="auto"/>
        <w:jc w:val="both"/>
        <w:rPr>
          <w:rFonts w:ascii="Rockwell" w:hAnsi="Rockwell"/>
          <w:sz w:val="24"/>
          <w:szCs w:val="24"/>
        </w:rPr>
      </w:pPr>
      <w:r w:rsidRPr="00422183">
        <w:rPr>
          <w:rFonts w:ascii="Rockwell" w:hAnsi="Rockwell"/>
          <w:sz w:val="24"/>
          <w:szCs w:val="24"/>
        </w:rPr>
        <w:t xml:space="preserve">Enfin, le processus d'élaboration du PNDES a bénéficié des </w:t>
      </w:r>
      <w:r w:rsidR="00A94474" w:rsidRPr="00422183">
        <w:rPr>
          <w:rFonts w:ascii="Rockwell" w:hAnsi="Rockwell"/>
          <w:sz w:val="24"/>
          <w:szCs w:val="24"/>
        </w:rPr>
        <w:t>travaux</w:t>
      </w:r>
      <w:r w:rsidRPr="00422183">
        <w:rPr>
          <w:rFonts w:ascii="Rockwell" w:hAnsi="Rockwell"/>
          <w:sz w:val="24"/>
          <w:szCs w:val="24"/>
        </w:rPr>
        <w:t xml:space="preserve"> de l'atelier national d'appropriation et de priorisation des cibles des ODD qui a eu lieu du 4 au 9 avril 2016, de même que des prestations d'experts internationaux</w:t>
      </w:r>
      <w:r w:rsidR="00A94474" w:rsidRPr="00422183">
        <w:rPr>
          <w:rFonts w:ascii="Rockwell" w:hAnsi="Rockwell"/>
          <w:sz w:val="24"/>
          <w:szCs w:val="24"/>
        </w:rPr>
        <w:t>, en appui à la réalisation et au contrôle-qualité des travaux et produits</w:t>
      </w:r>
      <w:r w:rsidR="00B36540" w:rsidRPr="00422183">
        <w:rPr>
          <w:rFonts w:ascii="Rockwell" w:hAnsi="Rockwell"/>
          <w:sz w:val="24"/>
          <w:szCs w:val="24"/>
        </w:rPr>
        <w:t xml:space="preserve"> </w:t>
      </w:r>
      <w:r w:rsidR="00A94474" w:rsidRPr="00422183">
        <w:rPr>
          <w:rFonts w:ascii="Rockwell" w:hAnsi="Rockwell"/>
          <w:sz w:val="24"/>
          <w:szCs w:val="24"/>
        </w:rPr>
        <w:t>retenus</w:t>
      </w:r>
      <w:r w:rsidRPr="00422183">
        <w:rPr>
          <w:rFonts w:ascii="Rockwell" w:hAnsi="Rockwell"/>
          <w:sz w:val="24"/>
          <w:szCs w:val="24"/>
        </w:rPr>
        <w:t>.</w:t>
      </w:r>
    </w:p>
    <w:p w:rsidR="005D7B49" w:rsidRPr="00422183" w:rsidRDefault="005D7B49" w:rsidP="003A0820">
      <w:pPr>
        <w:spacing w:after="0" w:line="240" w:lineRule="auto"/>
        <w:jc w:val="both"/>
        <w:rPr>
          <w:rFonts w:ascii="Rockwell" w:hAnsi="Rockwell"/>
          <w:sz w:val="24"/>
          <w:szCs w:val="24"/>
        </w:rPr>
      </w:pPr>
    </w:p>
    <w:p w:rsidR="00A84E24" w:rsidRPr="00422183" w:rsidRDefault="00C65009" w:rsidP="003A0820">
      <w:pPr>
        <w:spacing w:after="0" w:line="240" w:lineRule="auto"/>
        <w:jc w:val="both"/>
        <w:rPr>
          <w:rFonts w:ascii="Rockwell" w:hAnsi="Rockwell"/>
          <w:sz w:val="24"/>
          <w:szCs w:val="24"/>
        </w:rPr>
      </w:pPr>
      <w:r w:rsidRPr="00422183">
        <w:rPr>
          <w:rFonts w:ascii="Rockwell" w:hAnsi="Rockwell"/>
          <w:sz w:val="24"/>
          <w:szCs w:val="24"/>
        </w:rPr>
        <w:t>Le document de PNDES résulte de l'ensemble de ces travaux dont le traitement</w:t>
      </w:r>
      <w:r w:rsidR="0017372E" w:rsidRPr="00422183">
        <w:rPr>
          <w:rFonts w:ascii="Rockwell" w:hAnsi="Rockwell"/>
          <w:sz w:val="24"/>
          <w:szCs w:val="24"/>
        </w:rPr>
        <w:t xml:space="preserve">, </w:t>
      </w:r>
      <w:r w:rsidR="00F61221" w:rsidRPr="00422183">
        <w:rPr>
          <w:rFonts w:ascii="Rockwell" w:hAnsi="Rockwell"/>
          <w:sz w:val="24"/>
          <w:szCs w:val="24"/>
        </w:rPr>
        <w:t>avec les règles</w:t>
      </w:r>
      <w:r w:rsidR="0017372E" w:rsidRPr="00422183">
        <w:rPr>
          <w:rFonts w:ascii="Rockwell" w:hAnsi="Rockwell"/>
          <w:sz w:val="24"/>
          <w:szCs w:val="24"/>
        </w:rPr>
        <w:t xml:space="preserve"> de la Gestion axée sur les résultats (GAR), </w:t>
      </w:r>
      <w:r w:rsidRPr="00422183">
        <w:rPr>
          <w:rFonts w:ascii="Rockwell" w:hAnsi="Rockwell"/>
          <w:sz w:val="24"/>
          <w:szCs w:val="24"/>
        </w:rPr>
        <w:t xml:space="preserve">a donné lieu à une structuration en </w:t>
      </w:r>
      <w:r w:rsidR="004B35C7" w:rsidRPr="00422183">
        <w:rPr>
          <w:rFonts w:ascii="Rockwell" w:hAnsi="Rockwell"/>
          <w:sz w:val="24"/>
          <w:szCs w:val="24"/>
        </w:rPr>
        <w:t>trois</w:t>
      </w:r>
      <w:r w:rsidR="00223B01" w:rsidRPr="00422183">
        <w:rPr>
          <w:rFonts w:ascii="Rockwell" w:hAnsi="Rockwell"/>
          <w:sz w:val="24"/>
          <w:szCs w:val="24"/>
        </w:rPr>
        <w:t xml:space="preserve"> parties principales</w:t>
      </w:r>
      <w:r w:rsidR="0017372E" w:rsidRPr="00422183">
        <w:rPr>
          <w:rFonts w:ascii="Rockwell" w:hAnsi="Rockwell"/>
          <w:sz w:val="24"/>
          <w:szCs w:val="24"/>
        </w:rPr>
        <w:t>,</w:t>
      </w:r>
      <w:r w:rsidR="00223B01" w:rsidRPr="00422183">
        <w:rPr>
          <w:rFonts w:ascii="Rockwell" w:hAnsi="Rockwell"/>
          <w:sz w:val="24"/>
          <w:szCs w:val="24"/>
        </w:rPr>
        <w:t xml:space="preserve"> à savoir</w:t>
      </w:r>
      <w:r w:rsidR="00E44B54" w:rsidRPr="00422183">
        <w:rPr>
          <w:rFonts w:ascii="Rockwell" w:hAnsi="Rockwell"/>
          <w:sz w:val="24"/>
          <w:szCs w:val="24"/>
        </w:rPr>
        <w:t xml:space="preserve"> : (i)</w:t>
      </w:r>
      <w:r w:rsidR="00223B01" w:rsidRPr="00422183">
        <w:rPr>
          <w:rFonts w:ascii="Rockwell" w:hAnsi="Rockwell"/>
          <w:sz w:val="24"/>
          <w:szCs w:val="24"/>
        </w:rPr>
        <w:t xml:space="preserve"> </w:t>
      </w:r>
      <w:r w:rsidR="00C318B6" w:rsidRPr="00422183">
        <w:rPr>
          <w:rFonts w:ascii="Rockwell" w:hAnsi="Rockwell"/>
          <w:sz w:val="24"/>
          <w:szCs w:val="24"/>
        </w:rPr>
        <w:t>l</w:t>
      </w:r>
      <w:r w:rsidR="006C72DE" w:rsidRPr="00422183">
        <w:rPr>
          <w:rFonts w:ascii="Rockwell" w:hAnsi="Rockwell"/>
          <w:sz w:val="24"/>
          <w:szCs w:val="24"/>
        </w:rPr>
        <w:t>'</w:t>
      </w:r>
      <w:r w:rsidR="00C318B6" w:rsidRPr="00422183">
        <w:rPr>
          <w:rFonts w:ascii="Rockwell" w:hAnsi="Rockwell"/>
          <w:sz w:val="24"/>
          <w:szCs w:val="24"/>
        </w:rPr>
        <w:t xml:space="preserve">analyse diagnostique de la situation économique et sociale, </w:t>
      </w:r>
      <w:r w:rsidR="00C54FE5" w:rsidRPr="00422183">
        <w:rPr>
          <w:rFonts w:ascii="Rockwell" w:hAnsi="Rockwell"/>
          <w:sz w:val="24"/>
          <w:szCs w:val="24"/>
        </w:rPr>
        <w:t xml:space="preserve">(ii) </w:t>
      </w:r>
      <w:r w:rsidR="00C318B6" w:rsidRPr="00422183">
        <w:rPr>
          <w:rFonts w:ascii="Rockwell" w:hAnsi="Rockwell"/>
          <w:sz w:val="24"/>
          <w:szCs w:val="24"/>
        </w:rPr>
        <w:t>la stratégie de dév</w:t>
      </w:r>
      <w:r w:rsidR="00A84E24" w:rsidRPr="00422183">
        <w:rPr>
          <w:rFonts w:ascii="Rockwell" w:hAnsi="Rockwell"/>
          <w:sz w:val="24"/>
          <w:szCs w:val="24"/>
        </w:rPr>
        <w:t>eloppement économique et social</w:t>
      </w:r>
      <w:r w:rsidR="00C318B6" w:rsidRPr="00422183">
        <w:rPr>
          <w:rFonts w:ascii="Rockwell" w:hAnsi="Rockwell"/>
          <w:sz w:val="24"/>
          <w:szCs w:val="24"/>
        </w:rPr>
        <w:t xml:space="preserve"> </w:t>
      </w:r>
      <w:r w:rsidR="00C54FE5" w:rsidRPr="00422183">
        <w:rPr>
          <w:rFonts w:ascii="Rockwell" w:hAnsi="Rockwell"/>
          <w:sz w:val="24"/>
          <w:szCs w:val="24"/>
        </w:rPr>
        <w:t>2016-2020 et (iii)</w:t>
      </w:r>
      <w:r w:rsidR="00B36540" w:rsidRPr="00422183">
        <w:rPr>
          <w:rFonts w:ascii="Rockwell" w:hAnsi="Rockwell"/>
          <w:sz w:val="24"/>
          <w:szCs w:val="24"/>
        </w:rPr>
        <w:t xml:space="preserve"> </w:t>
      </w:r>
      <w:r w:rsidR="00E44B54" w:rsidRPr="00422183">
        <w:rPr>
          <w:rFonts w:ascii="Rockwell" w:hAnsi="Rockwell"/>
          <w:sz w:val="24"/>
          <w:szCs w:val="24"/>
        </w:rPr>
        <w:t xml:space="preserve">les </w:t>
      </w:r>
      <w:r w:rsidR="003F0607" w:rsidRPr="00422183">
        <w:rPr>
          <w:rFonts w:ascii="Rockwell" w:hAnsi="Rockwell"/>
          <w:sz w:val="24"/>
          <w:szCs w:val="24"/>
        </w:rPr>
        <w:t>dispositions</w:t>
      </w:r>
      <w:r w:rsidR="00E44B54" w:rsidRPr="00422183">
        <w:rPr>
          <w:rFonts w:ascii="Rockwell" w:hAnsi="Rockwell"/>
          <w:sz w:val="24"/>
          <w:szCs w:val="24"/>
        </w:rPr>
        <w:t xml:space="preserve"> de mise en œuvre</w:t>
      </w:r>
      <w:r w:rsidR="003F0607" w:rsidRPr="00422183">
        <w:rPr>
          <w:rFonts w:ascii="Rockwell" w:hAnsi="Rockwell"/>
          <w:sz w:val="24"/>
          <w:szCs w:val="24"/>
        </w:rPr>
        <w:t>, de suivi et d'évaluation.</w:t>
      </w:r>
    </w:p>
    <w:p w:rsidR="00A84E24" w:rsidRPr="00422183" w:rsidRDefault="00A84E24" w:rsidP="003A0820">
      <w:pPr>
        <w:spacing w:after="0" w:line="240" w:lineRule="auto"/>
        <w:jc w:val="both"/>
        <w:rPr>
          <w:rFonts w:ascii="Rockwell" w:hAnsi="Rockwell"/>
          <w:sz w:val="24"/>
          <w:szCs w:val="24"/>
        </w:rPr>
      </w:pPr>
    </w:p>
    <w:p w:rsidR="00A84E24" w:rsidRPr="00422183" w:rsidRDefault="00A84E24">
      <w:pPr>
        <w:rPr>
          <w:rFonts w:ascii="Rockwell" w:hAnsi="Rockwell"/>
          <w:sz w:val="24"/>
          <w:szCs w:val="24"/>
        </w:rPr>
      </w:pPr>
      <w:r w:rsidRPr="00422183">
        <w:rPr>
          <w:rFonts w:ascii="Rockwell" w:hAnsi="Rockwell"/>
          <w:sz w:val="24"/>
          <w:szCs w:val="24"/>
        </w:rPr>
        <w:br w:type="page"/>
      </w:r>
    </w:p>
    <w:p w:rsidR="002F142E" w:rsidRPr="00422183" w:rsidRDefault="002F142E" w:rsidP="003A0820">
      <w:pPr>
        <w:pStyle w:val="PNDES1"/>
      </w:pPr>
      <w:bookmarkStart w:id="14" w:name="_Toc452994136"/>
      <w:bookmarkStart w:id="15" w:name="_Toc452994584"/>
      <w:bookmarkStart w:id="16" w:name="_Toc452995024"/>
      <w:bookmarkStart w:id="17" w:name="_Toc453158148"/>
      <w:bookmarkStart w:id="18" w:name="_Toc453160724"/>
      <w:bookmarkStart w:id="19" w:name="_Toc453160931"/>
      <w:bookmarkStart w:id="20" w:name="_Toc455079226"/>
      <w:bookmarkStart w:id="21" w:name="_Toc455132704"/>
      <w:r w:rsidRPr="00422183">
        <w:t xml:space="preserve">ANALYSE DIAGNOSTIQUE DE LA SITUATION </w:t>
      </w:r>
      <w:r w:rsidR="00F61221" w:rsidRPr="00422183">
        <w:t>ÉCONOMIQUE</w:t>
      </w:r>
      <w:r w:rsidRPr="00422183">
        <w:t xml:space="preserve"> ET SOCIAL</w:t>
      </w:r>
      <w:r w:rsidR="003D0F2F" w:rsidRPr="00422183">
        <w:t>E</w:t>
      </w:r>
      <w:bookmarkEnd w:id="14"/>
      <w:bookmarkEnd w:id="15"/>
      <w:bookmarkEnd w:id="16"/>
      <w:bookmarkEnd w:id="17"/>
      <w:bookmarkEnd w:id="18"/>
      <w:bookmarkEnd w:id="19"/>
      <w:bookmarkEnd w:id="20"/>
      <w:bookmarkEnd w:id="21"/>
    </w:p>
    <w:p w:rsidR="00BA11D8" w:rsidRPr="00422183" w:rsidRDefault="00BA11D8" w:rsidP="003A0820">
      <w:pPr>
        <w:tabs>
          <w:tab w:val="left" w:pos="1965"/>
        </w:tabs>
        <w:spacing w:after="0" w:line="240" w:lineRule="auto"/>
        <w:jc w:val="both"/>
        <w:rPr>
          <w:rFonts w:ascii="Rockwell" w:eastAsiaTheme="majorEastAsia" w:hAnsi="Rockwell" w:cstheme="majorBidi"/>
          <w:kern w:val="28"/>
          <w:sz w:val="24"/>
          <w:szCs w:val="24"/>
        </w:rPr>
      </w:pPr>
    </w:p>
    <w:p w:rsidR="007A4EFA" w:rsidRPr="00422183" w:rsidRDefault="003D0F2F" w:rsidP="003A0820">
      <w:pPr>
        <w:tabs>
          <w:tab w:val="left" w:pos="1965"/>
        </w:tabs>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kern w:val="28"/>
          <w:sz w:val="24"/>
          <w:szCs w:val="24"/>
        </w:rPr>
        <w:t>Le Burkina Faso connaît une croissance économique continue depuis son indépendance</w:t>
      </w:r>
      <w:r w:rsidR="007A4EFA"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Cette croissance s'accompagne d'une faible évolution du Produit intérieur brut (PIB) par habitant (2,3%), d'une </w:t>
      </w:r>
      <w:r w:rsidR="007A4EFA" w:rsidRPr="00422183">
        <w:rPr>
          <w:rFonts w:ascii="Rockwell" w:eastAsiaTheme="majorEastAsia" w:hAnsi="Rockwell" w:cstheme="majorBidi"/>
          <w:kern w:val="28"/>
          <w:sz w:val="24"/>
          <w:szCs w:val="24"/>
        </w:rPr>
        <w:t xml:space="preserve">persistance </w:t>
      </w:r>
      <w:r w:rsidRPr="00422183">
        <w:rPr>
          <w:rFonts w:ascii="Rockwell" w:eastAsiaTheme="majorEastAsia" w:hAnsi="Rockwell" w:cstheme="majorBidi"/>
          <w:kern w:val="28"/>
          <w:sz w:val="24"/>
          <w:szCs w:val="24"/>
        </w:rPr>
        <w:t xml:space="preserve">de la </w:t>
      </w:r>
      <w:r w:rsidR="00BA11D8" w:rsidRPr="00422183">
        <w:rPr>
          <w:rFonts w:ascii="Rockwell" w:eastAsiaTheme="majorEastAsia" w:hAnsi="Rockwell" w:cstheme="majorBidi"/>
          <w:kern w:val="28"/>
          <w:sz w:val="24"/>
          <w:szCs w:val="24"/>
        </w:rPr>
        <w:t>pauvreté dont</w:t>
      </w:r>
      <w:r w:rsidR="007A4EFA" w:rsidRPr="00422183">
        <w:rPr>
          <w:rFonts w:ascii="Rockwell" w:eastAsiaTheme="majorEastAsia" w:hAnsi="Rockwell" w:cstheme="majorBidi"/>
          <w:kern w:val="28"/>
          <w:sz w:val="24"/>
          <w:szCs w:val="24"/>
        </w:rPr>
        <w:t xml:space="preserve"> </w:t>
      </w:r>
      <w:r w:rsidR="006D07CD"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006D07CD" w:rsidRPr="00422183">
        <w:rPr>
          <w:rFonts w:ascii="Rockwell" w:eastAsiaTheme="majorEastAsia" w:hAnsi="Rockwell" w:cstheme="majorBidi"/>
          <w:kern w:val="28"/>
          <w:sz w:val="24"/>
          <w:szCs w:val="24"/>
        </w:rPr>
        <w:t>incidence se</w:t>
      </w:r>
      <w:r w:rsidR="007A4EFA" w:rsidRPr="00422183">
        <w:rPr>
          <w:rFonts w:ascii="Rockwell" w:eastAsiaTheme="majorEastAsia" w:hAnsi="Rockwell" w:cstheme="majorBidi"/>
          <w:kern w:val="28"/>
          <w:sz w:val="24"/>
          <w:szCs w:val="24"/>
        </w:rPr>
        <w:t xml:space="preserve"> situait toujours à </w:t>
      </w:r>
      <w:r w:rsidRPr="00422183">
        <w:rPr>
          <w:rFonts w:ascii="Rockwell" w:eastAsiaTheme="majorEastAsia" w:hAnsi="Rockwell" w:cstheme="majorBidi"/>
          <w:kern w:val="28"/>
          <w:sz w:val="24"/>
          <w:szCs w:val="24"/>
        </w:rPr>
        <w:t>40,1%</w:t>
      </w:r>
      <w:r w:rsidR="007A4EFA" w:rsidRPr="00422183">
        <w:rPr>
          <w:rFonts w:ascii="Rockwell" w:eastAsiaTheme="majorEastAsia" w:hAnsi="Rockwell" w:cstheme="majorBidi"/>
          <w:kern w:val="28"/>
          <w:sz w:val="24"/>
          <w:szCs w:val="24"/>
        </w:rPr>
        <w:t xml:space="preserve"> en 2014</w:t>
      </w:r>
      <w:r w:rsidR="006606F4" w:rsidRPr="00422183">
        <w:rPr>
          <w:rFonts w:ascii="Rockwell" w:eastAsiaTheme="majorEastAsia" w:hAnsi="Rockwell" w:cstheme="majorBidi"/>
          <w:kern w:val="28"/>
          <w:sz w:val="24"/>
          <w:szCs w:val="24"/>
        </w:rPr>
        <w:t>, d'</w:t>
      </w:r>
      <w:r w:rsidR="007A4EFA" w:rsidRPr="00422183">
        <w:rPr>
          <w:rFonts w:ascii="Rockwell" w:eastAsiaTheme="majorEastAsia" w:hAnsi="Rockwell" w:cstheme="majorBidi"/>
          <w:kern w:val="28"/>
          <w:sz w:val="24"/>
          <w:szCs w:val="24"/>
        </w:rPr>
        <w:t xml:space="preserve">un taux de croissance démographique </w:t>
      </w:r>
      <w:r w:rsidR="006606F4" w:rsidRPr="00422183">
        <w:rPr>
          <w:rFonts w:ascii="Rockwell" w:eastAsiaTheme="majorEastAsia" w:hAnsi="Rockwell" w:cstheme="majorBidi"/>
          <w:kern w:val="28"/>
          <w:sz w:val="24"/>
          <w:szCs w:val="24"/>
        </w:rPr>
        <w:t xml:space="preserve">relativement élevé </w:t>
      </w:r>
      <w:r w:rsidR="007A4EFA" w:rsidRPr="00422183">
        <w:rPr>
          <w:rFonts w:ascii="Rockwell" w:eastAsiaTheme="majorEastAsia" w:hAnsi="Rockwell" w:cstheme="majorBidi"/>
          <w:kern w:val="28"/>
          <w:sz w:val="24"/>
          <w:szCs w:val="24"/>
        </w:rPr>
        <w:t xml:space="preserve">(3,1%), </w:t>
      </w:r>
      <w:r w:rsidR="006606F4" w:rsidRPr="00422183">
        <w:rPr>
          <w:rFonts w:ascii="Rockwell" w:eastAsiaTheme="majorEastAsia" w:hAnsi="Rockwell" w:cstheme="majorBidi"/>
          <w:kern w:val="28"/>
          <w:sz w:val="24"/>
          <w:szCs w:val="24"/>
        </w:rPr>
        <w:t>d'</w:t>
      </w:r>
      <w:r w:rsidR="007A4EFA" w:rsidRPr="00422183">
        <w:rPr>
          <w:rFonts w:ascii="Rockwell" w:eastAsiaTheme="majorEastAsia" w:hAnsi="Rockwell" w:cstheme="majorBidi"/>
          <w:kern w:val="28"/>
          <w:sz w:val="24"/>
          <w:szCs w:val="24"/>
        </w:rPr>
        <w:t>un fort taux d</w:t>
      </w:r>
      <w:r w:rsidR="006C72DE" w:rsidRPr="00422183">
        <w:rPr>
          <w:rFonts w:ascii="Rockwell" w:eastAsiaTheme="majorEastAsia" w:hAnsi="Rockwell" w:cstheme="majorBidi"/>
          <w:kern w:val="28"/>
          <w:sz w:val="24"/>
          <w:szCs w:val="24"/>
        </w:rPr>
        <w:t>'</w:t>
      </w:r>
      <w:r w:rsidR="007A4EFA" w:rsidRPr="00422183">
        <w:rPr>
          <w:rFonts w:ascii="Rockwell" w:eastAsiaTheme="majorEastAsia" w:hAnsi="Rockwell" w:cstheme="majorBidi"/>
          <w:kern w:val="28"/>
          <w:sz w:val="24"/>
          <w:szCs w:val="24"/>
        </w:rPr>
        <w:t xml:space="preserve">analphabétisme </w:t>
      </w:r>
      <w:r w:rsidR="00BF1ED0" w:rsidRPr="00422183">
        <w:rPr>
          <w:rFonts w:ascii="Rockwell" w:eastAsiaTheme="majorEastAsia" w:hAnsi="Rockwell" w:cstheme="majorBidi"/>
          <w:kern w:val="28"/>
          <w:sz w:val="24"/>
          <w:szCs w:val="24"/>
        </w:rPr>
        <w:t xml:space="preserve">des personnes de plus de 14 ans </w:t>
      </w:r>
      <w:r w:rsidR="007A4EFA" w:rsidRPr="00422183">
        <w:rPr>
          <w:rFonts w:ascii="Rockwell" w:eastAsiaTheme="majorEastAsia" w:hAnsi="Rockwell" w:cstheme="majorBidi"/>
          <w:kern w:val="28"/>
          <w:sz w:val="24"/>
          <w:szCs w:val="24"/>
        </w:rPr>
        <w:t>(70</w:t>
      </w:r>
      <w:r w:rsidR="006D07CD" w:rsidRPr="00422183">
        <w:rPr>
          <w:rFonts w:ascii="Rockwell" w:eastAsiaTheme="majorEastAsia" w:hAnsi="Rockwell" w:cstheme="majorBidi"/>
          <w:kern w:val="28"/>
          <w:sz w:val="24"/>
          <w:szCs w:val="24"/>
        </w:rPr>
        <w:t>%</w:t>
      </w:r>
      <w:r w:rsidR="00D04345" w:rsidRPr="00422183">
        <w:rPr>
          <w:rFonts w:ascii="Rockwell" w:eastAsiaTheme="majorEastAsia" w:hAnsi="Rockwell" w:cstheme="majorBidi"/>
          <w:kern w:val="28"/>
          <w:sz w:val="24"/>
          <w:szCs w:val="24"/>
        </w:rPr>
        <w:t xml:space="preserve">), </w:t>
      </w:r>
      <w:r w:rsidR="006606F4" w:rsidRPr="00422183">
        <w:rPr>
          <w:rFonts w:ascii="Rockwell" w:eastAsiaTheme="majorEastAsia" w:hAnsi="Rockwell" w:cstheme="majorBidi"/>
          <w:kern w:val="28"/>
          <w:sz w:val="24"/>
          <w:szCs w:val="24"/>
        </w:rPr>
        <w:t>d'</w:t>
      </w:r>
      <w:r w:rsidR="007A4EFA" w:rsidRPr="00422183">
        <w:rPr>
          <w:rFonts w:ascii="Rockwell" w:eastAsiaTheme="majorEastAsia" w:hAnsi="Rockwell" w:cstheme="majorBidi"/>
          <w:kern w:val="28"/>
          <w:sz w:val="24"/>
          <w:szCs w:val="24"/>
        </w:rPr>
        <w:t xml:space="preserve">une espérance </w:t>
      </w:r>
      <w:r w:rsidR="00C318B6" w:rsidRPr="00422183">
        <w:rPr>
          <w:rFonts w:ascii="Rockwell" w:eastAsiaTheme="majorEastAsia" w:hAnsi="Rockwell" w:cstheme="majorBidi"/>
          <w:kern w:val="28"/>
          <w:sz w:val="24"/>
          <w:szCs w:val="24"/>
        </w:rPr>
        <w:t xml:space="preserve">de vie </w:t>
      </w:r>
      <w:r w:rsidR="007A4EFA" w:rsidRPr="00422183">
        <w:rPr>
          <w:rFonts w:ascii="Rockwell" w:eastAsiaTheme="majorEastAsia" w:hAnsi="Rockwell" w:cstheme="majorBidi"/>
          <w:kern w:val="28"/>
          <w:sz w:val="24"/>
          <w:szCs w:val="24"/>
        </w:rPr>
        <w:t>de moins de 60 ans</w:t>
      </w:r>
      <w:r w:rsidR="00D04345" w:rsidRPr="00422183">
        <w:rPr>
          <w:rFonts w:ascii="Rockwell" w:eastAsiaTheme="majorEastAsia" w:hAnsi="Rockwell" w:cstheme="majorBidi"/>
          <w:kern w:val="28"/>
          <w:sz w:val="24"/>
          <w:szCs w:val="24"/>
        </w:rPr>
        <w:t xml:space="preserve"> et d’une forte consommation en ressources naturelles,</w:t>
      </w:r>
      <w:r w:rsidR="007A4EFA" w:rsidRPr="00422183">
        <w:rPr>
          <w:rFonts w:ascii="Rockwell" w:eastAsiaTheme="majorEastAsia" w:hAnsi="Rockwell" w:cstheme="majorBidi"/>
          <w:kern w:val="28"/>
          <w:sz w:val="24"/>
          <w:szCs w:val="24"/>
        </w:rPr>
        <w:t xml:space="preserve"> </w:t>
      </w:r>
      <w:r w:rsidR="009A4D49" w:rsidRPr="00422183">
        <w:rPr>
          <w:rFonts w:ascii="Rockwell" w:eastAsiaTheme="majorEastAsia" w:hAnsi="Rockwell" w:cstheme="majorBidi"/>
          <w:kern w:val="28"/>
          <w:sz w:val="24"/>
          <w:szCs w:val="24"/>
        </w:rPr>
        <w:t>faisant du Burkina Faso, un</w:t>
      </w:r>
      <w:r w:rsidR="007A4EFA" w:rsidRPr="00422183">
        <w:rPr>
          <w:rFonts w:ascii="Rockwell" w:eastAsiaTheme="majorEastAsia" w:hAnsi="Rockwell" w:cstheme="majorBidi"/>
          <w:kern w:val="28"/>
          <w:sz w:val="24"/>
          <w:szCs w:val="24"/>
        </w:rPr>
        <w:t xml:space="preserve"> pays à faible niveau de développement humain</w:t>
      </w:r>
      <w:r w:rsidR="009927F2" w:rsidRPr="00422183">
        <w:rPr>
          <w:rFonts w:ascii="Rockwell" w:eastAsiaTheme="majorEastAsia" w:hAnsi="Rockwell" w:cstheme="majorBidi"/>
          <w:kern w:val="28"/>
          <w:sz w:val="24"/>
          <w:szCs w:val="24"/>
        </w:rPr>
        <w:t>,</w:t>
      </w:r>
      <w:r w:rsidR="007A4EFA" w:rsidRPr="00422183">
        <w:rPr>
          <w:rFonts w:ascii="Rockwell" w:eastAsiaTheme="majorEastAsia" w:hAnsi="Rockwell" w:cstheme="majorBidi"/>
          <w:kern w:val="28"/>
          <w:sz w:val="24"/>
          <w:szCs w:val="24"/>
        </w:rPr>
        <w:t xml:space="preserve"> s</w:t>
      </w:r>
      <w:r w:rsidR="009927F2" w:rsidRPr="00422183">
        <w:rPr>
          <w:rFonts w:ascii="Rockwell" w:eastAsiaTheme="majorEastAsia" w:hAnsi="Rockwell" w:cstheme="majorBidi"/>
          <w:kern w:val="28"/>
          <w:sz w:val="24"/>
          <w:szCs w:val="24"/>
        </w:rPr>
        <w:t>uivant</w:t>
      </w:r>
      <w:r w:rsidR="007A4EFA" w:rsidRPr="00422183">
        <w:rPr>
          <w:rFonts w:ascii="Rockwell" w:eastAsiaTheme="majorEastAsia" w:hAnsi="Rockwell" w:cstheme="majorBidi"/>
          <w:kern w:val="28"/>
          <w:sz w:val="24"/>
          <w:szCs w:val="24"/>
        </w:rPr>
        <w:t xml:space="preserve"> l'Indice de développement humain (IDH).</w:t>
      </w:r>
      <w:r w:rsidR="00D576CE" w:rsidRPr="00422183">
        <w:rPr>
          <w:rFonts w:ascii="Rockwell" w:eastAsiaTheme="majorEastAsia" w:hAnsi="Rockwell" w:cstheme="majorBidi"/>
          <w:kern w:val="28"/>
          <w:sz w:val="24"/>
          <w:szCs w:val="24"/>
        </w:rPr>
        <w:t xml:space="preserve"> </w:t>
      </w:r>
      <w:r w:rsidR="00D23EF0" w:rsidRPr="00422183">
        <w:rPr>
          <w:rFonts w:ascii="Rockwell" w:eastAsiaTheme="majorEastAsia" w:hAnsi="Rockwell" w:cstheme="majorBidi"/>
          <w:kern w:val="28"/>
          <w:sz w:val="24"/>
          <w:szCs w:val="24"/>
        </w:rPr>
        <w:t xml:space="preserve">Le pays est également marqué par des mouvements migratoires qui se traduisent notamment par un exode rural notable et par une migration internationale ancienne et importante. De plus, </w:t>
      </w:r>
      <w:r w:rsidR="00D23EF0" w:rsidRPr="00422183">
        <w:rPr>
          <w:rFonts w:ascii="Rockwell" w:eastAsiaTheme="majorEastAsia" w:hAnsi="Rockwell" w:cstheme="majorBidi"/>
          <w:bCs/>
          <w:kern w:val="28"/>
          <w:sz w:val="24"/>
          <w:szCs w:val="24"/>
        </w:rPr>
        <w:t>d</w:t>
      </w:r>
      <w:r w:rsidR="007A4EFA" w:rsidRPr="00422183">
        <w:rPr>
          <w:rFonts w:ascii="Rockwell" w:eastAsiaTheme="majorEastAsia" w:hAnsi="Rockwell" w:cstheme="majorBidi"/>
          <w:bCs/>
          <w:kern w:val="28"/>
          <w:sz w:val="24"/>
          <w:szCs w:val="24"/>
        </w:rPr>
        <w:t>ans la perspective de la réalisation d</w:t>
      </w:r>
      <w:r w:rsidR="006C72DE" w:rsidRPr="00422183">
        <w:rPr>
          <w:rFonts w:ascii="Rockwell" w:eastAsiaTheme="majorEastAsia" w:hAnsi="Rockwell" w:cstheme="majorBidi"/>
          <w:bCs/>
          <w:kern w:val="28"/>
          <w:sz w:val="24"/>
          <w:szCs w:val="24"/>
        </w:rPr>
        <w:t>'</w:t>
      </w:r>
      <w:r w:rsidR="007A4EFA" w:rsidRPr="00422183">
        <w:rPr>
          <w:rFonts w:ascii="Rockwell" w:eastAsiaTheme="majorEastAsia" w:hAnsi="Rockwell" w:cstheme="majorBidi"/>
          <w:bCs/>
          <w:kern w:val="28"/>
          <w:sz w:val="24"/>
          <w:szCs w:val="24"/>
        </w:rPr>
        <w:t>un développement humain inclusif,</w:t>
      </w:r>
      <w:r w:rsidR="009D028C" w:rsidRPr="00422183">
        <w:rPr>
          <w:rFonts w:ascii="Rockwell" w:eastAsiaTheme="majorEastAsia" w:hAnsi="Rockwell" w:cstheme="majorBidi"/>
          <w:bCs/>
          <w:kern w:val="28"/>
          <w:sz w:val="24"/>
          <w:szCs w:val="24"/>
        </w:rPr>
        <w:t xml:space="preserve"> intégral et durable,</w:t>
      </w:r>
      <w:r w:rsidR="00D23EF0" w:rsidRPr="00422183">
        <w:rPr>
          <w:rFonts w:ascii="Rockwell" w:eastAsiaTheme="majorEastAsia" w:hAnsi="Rockwell" w:cstheme="majorBidi"/>
          <w:bCs/>
          <w:kern w:val="28"/>
          <w:sz w:val="24"/>
          <w:szCs w:val="24"/>
        </w:rPr>
        <w:t xml:space="preserve"> </w:t>
      </w:r>
      <w:r w:rsidR="007A4EFA" w:rsidRPr="00422183">
        <w:rPr>
          <w:rFonts w:ascii="Rockwell" w:eastAsiaTheme="majorEastAsia" w:hAnsi="Rockwell" w:cstheme="majorBidi"/>
          <w:bCs/>
          <w:kern w:val="28"/>
          <w:sz w:val="24"/>
          <w:szCs w:val="24"/>
        </w:rPr>
        <w:t>les principales problématiques qui se posent s</w:t>
      </w:r>
      <w:r w:rsidR="002D44CC" w:rsidRPr="00422183">
        <w:rPr>
          <w:rFonts w:ascii="Rockwell" w:eastAsiaTheme="majorEastAsia" w:hAnsi="Rockwell" w:cstheme="majorBidi"/>
          <w:bCs/>
          <w:kern w:val="28"/>
          <w:sz w:val="24"/>
          <w:szCs w:val="24"/>
        </w:rPr>
        <w:t>ont relatives</w:t>
      </w:r>
      <w:r w:rsidR="007A4EFA" w:rsidRPr="00422183">
        <w:rPr>
          <w:rFonts w:ascii="Rockwell" w:eastAsiaTheme="majorEastAsia" w:hAnsi="Rockwell" w:cstheme="majorBidi"/>
          <w:bCs/>
          <w:kern w:val="28"/>
          <w:sz w:val="24"/>
          <w:szCs w:val="24"/>
        </w:rPr>
        <w:t xml:space="preserve"> </w:t>
      </w:r>
      <w:r w:rsidR="003761FA" w:rsidRPr="00422183">
        <w:rPr>
          <w:rFonts w:ascii="Rockwell" w:eastAsiaTheme="majorEastAsia" w:hAnsi="Rockwell" w:cstheme="majorBidi"/>
          <w:bCs/>
          <w:kern w:val="28"/>
          <w:sz w:val="24"/>
          <w:szCs w:val="24"/>
        </w:rPr>
        <w:t xml:space="preserve">à la persistance des inégalités sociales, </w:t>
      </w:r>
      <w:r w:rsidR="002D44CC" w:rsidRPr="00422183">
        <w:rPr>
          <w:rFonts w:ascii="Rockwell" w:eastAsiaTheme="majorEastAsia" w:hAnsi="Rockwell" w:cstheme="majorBidi"/>
          <w:bCs/>
          <w:kern w:val="28"/>
          <w:sz w:val="24"/>
          <w:szCs w:val="24"/>
        </w:rPr>
        <w:t xml:space="preserve">aux insuffisances du système productif national, à la </w:t>
      </w:r>
      <w:r w:rsidR="003761FA" w:rsidRPr="00422183">
        <w:rPr>
          <w:rFonts w:ascii="Rockwell" w:eastAsiaTheme="majorEastAsia" w:hAnsi="Rockwell" w:cstheme="majorBidi"/>
          <w:bCs/>
          <w:kern w:val="28"/>
          <w:sz w:val="24"/>
          <w:szCs w:val="24"/>
        </w:rPr>
        <w:t xml:space="preserve">faible </w:t>
      </w:r>
      <w:r w:rsidR="002D44CC" w:rsidRPr="00422183">
        <w:rPr>
          <w:rFonts w:ascii="Rockwell" w:eastAsiaTheme="majorEastAsia" w:hAnsi="Rockwell" w:cstheme="majorBidi"/>
          <w:bCs/>
          <w:kern w:val="28"/>
          <w:sz w:val="24"/>
          <w:szCs w:val="24"/>
        </w:rPr>
        <w:t xml:space="preserve">qualité </w:t>
      </w:r>
      <w:r w:rsidR="009927F2" w:rsidRPr="00422183">
        <w:rPr>
          <w:rFonts w:ascii="Rockwell" w:eastAsiaTheme="majorEastAsia" w:hAnsi="Rockwell" w:cstheme="majorBidi"/>
          <w:bCs/>
          <w:kern w:val="28"/>
          <w:sz w:val="24"/>
          <w:szCs w:val="24"/>
        </w:rPr>
        <w:t>des ressources humaines et</w:t>
      </w:r>
      <w:r w:rsidR="007A4EFA" w:rsidRPr="00422183">
        <w:rPr>
          <w:rFonts w:ascii="Rockwell" w:eastAsiaTheme="majorEastAsia" w:hAnsi="Rockwell" w:cstheme="majorBidi"/>
          <w:bCs/>
          <w:kern w:val="28"/>
          <w:sz w:val="24"/>
          <w:szCs w:val="24"/>
        </w:rPr>
        <w:t xml:space="preserve"> </w:t>
      </w:r>
      <w:r w:rsidR="002D44CC" w:rsidRPr="00422183">
        <w:rPr>
          <w:rFonts w:ascii="Rockwell" w:eastAsiaTheme="majorEastAsia" w:hAnsi="Rockwell" w:cstheme="majorBidi"/>
          <w:bCs/>
          <w:kern w:val="28"/>
          <w:sz w:val="24"/>
          <w:szCs w:val="24"/>
        </w:rPr>
        <w:t>à l</w:t>
      </w:r>
      <w:r w:rsidR="007A4EFA" w:rsidRPr="00422183">
        <w:rPr>
          <w:rFonts w:ascii="Rockwell" w:eastAsiaTheme="majorEastAsia" w:hAnsi="Rockwell" w:cstheme="majorBidi"/>
          <w:bCs/>
          <w:kern w:val="28"/>
          <w:sz w:val="24"/>
          <w:szCs w:val="24"/>
        </w:rPr>
        <w:t xml:space="preserve">a </w:t>
      </w:r>
      <w:r w:rsidR="002D44CC" w:rsidRPr="00422183">
        <w:rPr>
          <w:rFonts w:ascii="Rockwell" w:eastAsiaTheme="majorEastAsia" w:hAnsi="Rockwell" w:cstheme="majorBidi"/>
          <w:bCs/>
          <w:kern w:val="28"/>
          <w:sz w:val="24"/>
          <w:szCs w:val="24"/>
        </w:rPr>
        <w:t>faiblesse de la gouvernance</w:t>
      </w:r>
      <w:r w:rsidR="007A4EFA" w:rsidRPr="00422183">
        <w:rPr>
          <w:rFonts w:ascii="Rockwell" w:eastAsiaTheme="majorEastAsia" w:hAnsi="Rockwell" w:cstheme="majorBidi"/>
          <w:bCs/>
          <w:kern w:val="28"/>
          <w:sz w:val="24"/>
          <w:szCs w:val="24"/>
        </w:rPr>
        <w:t>.</w:t>
      </w:r>
      <w:r w:rsidR="003761FA" w:rsidRPr="00422183">
        <w:rPr>
          <w:rFonts w:ascii="Rockwell" w:eastAsiaTheme="majorEastAsia" w:hAnsi="Rockwell" w:cstheme="majorBidi"/>
          <w:bCs/>
          <w:kern w:val="28"/>
          <w:sz w:val="24"/>
          <w:szCs w:val="24"/>
        </w:rPr>
        <w:t xml:space="preserve"> </w:t>
      </w:r>
    </w:p>
    <w:p w:rsidR="00034305" w:rsidRPr="00422183" w:rsidRDefault="00034305" w:rsidP="003A0820">
      <w:pPr>
        <w:tabs>
          <w:tab w:val="left" w:pos="1965"/>
        </w:tabs>
        <w:spacing w:after="0" w:line="240" w:lineRule="auto"/>
        <w:jc w:val="both"/>
        <w:rPr>
          <w:rFonts w:ascii="Rockwell" w:eastAsiaTheme="majorEastAsia" w:hAnsi="Rockwell" w:cstheme="majorBidi"/>
          <w:bCs/>
          <w:kern w:val="28"/>
          <w:sz w:val="24"/>
          <w:szCs w:val="24"/>
        </w:rPr>
      </w:pPr>
    </w:p>
    <w:p w:rsidR="002E0DA0" w:rsidRPr="00422183" w:rsidRDefault="002E0DA0" w:rsidP="003A0820">
      <w:pPr>
        <w:tabs>
          <w:tab w:val="left" w:pos="1965"/>
        </w:tabs>
        <w:spacing w:after="0" w:line="240" w:lineRule="auto"/>
        <w:jc w:val="both"/>
        <w:rPr>
          <w:rFonts w:ascii="Rockwell" w:eastAsiaTheme="majorEastAsia" w:hAnsi="Rockwell" w:cstheme="majorBidi"/>
          <w:bCs/>
          <w:kern w:val="28"/>
          <w:sz w:val="24"/>
          <w:szCs w:val="24"/>
        </w:rPr>
      </w:pPr>
    </w:p>
    <w:p w:rsidR="00034305" w:rsidRPr="00422183" w:rsidRDefault="00034305" w:rsidP="003A0820">
      <w:pPr>
        <w:pStyle w:val="PNDES2"/>
        <w:spacing w:before="40" w:line="259" w:lineRule="auto"/>
      </w:pPr>
      <w:bookmarkStart w:id="22" w:name="_Toc454705698"/>
      <w:bookmarkStart w:id="23" w:name="_Toc455079227"/>
      <w:bookmarkStart w:id="24" w:name="_Toc455132705"/>
      <w:r w:rsidRPr="00422183">
        <w:t>U</w:t>
      </w:r>
      <w:r w:rsidR="00D558FB" w:rsidRPr="00422183">
        <w:t xml:space="preserve">ne dynamique sociale peu </w:t>
      </w:r>
      <w:r w:rsidR="003761FA" w:rsidRPr="00422183">
        <w:t xml:space="preserve">évolutive </w:t>
      </w:r>
      <w:r w:rsidR="00D558FB" w:rsidRPr="00422183">
        <w:t xml:space="preserve">et marquée par des inegalités </w:t>
      </w:r>
      <w:bookmarkEnd w:id="22"/>
      <w:r w:rsidR="00D558FB" w:rsidRPr="00422183">
        <w:t>persistantes</w:t>
      </w:r>
      <w:bookmarkEnd w:id="23"/>
      <w:bookmarkEnd w:id="24"/>
    </w:p>
    <w:p w:rsidR="00034305" w:rsidRPr="00422183" w:rsidRDefault="00034305" w:rsidP="003A0820">
      <w:pPr>
        <w:tabs>
          <w:tab w:val="left" w:pos="1965"/>
        </w:tabs>
        <w:spacing w:after="0" w:line="240" w:lineRule="auto"/>
        <w:jc w:val="both"/>
        <w:rPr>
          <w:rFonts w:ascii="Rockwell" w:eastAsiaTheme="majorEastAsia" w:hAnsi="Rockwell" w:cstheme="majorBidi"/>
          <w:bCs/>
          <w:kern w:val="28"/>
          <w:sz w:val="24"/>
          <w:szCs w:val="24"/>
        </w:rPr>
      </w:pPr>
    </w:p>
    <w:p w:rsidR="00034305" w:rsidRPr="00422183" w:rsidRDefault="00CD3B87" w:rsidP="003A0820">
      <w:pPr>
        <w:pStyle w:val="PNDES3"/>
      </w:pPr>
      <w:bookmarkStart w:id="25" w:name="_Toc455132706"/>
      <w:r w:rsidRPr="00422183">
        <w:t>A</w:t>
      </w:r>
      <w:r w:rsidR="00034305" w:rsidRPr="00422183">
        <w:t>cquis majeurs des politiques antérieures</w:t>
      </w:r>
      <w:bookmarkEnd w:id="25"/>
      <w:r w:rsidR="00034305" w:rsidRPr="00422183">
        <w:t xml:space="preserve">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La période 2000-2015 a connu la mise en œuvre du CSLP et la </w:t>
      </w:r>
      <w:r w:rsidR="003761FA" w:rsidRPr="00422183">
        <w:rPr>
          <w:rFonts w:ascii="Rockwell" w:eastAsiaTheme="majorEastAsia" w:hAnsi="Rockwell" w:cstheme="majorBidi"/>
          <w:kern w:val="28"/>
          <w:sz w:val="24"/>
          <w:szCs w:val="24"/>
        </w:rPr>
        <w:t>SCADD</w:t>
      </w:r>
      <w:r w:rsidRPr="00422183">
        <w:rPr>
          <w:rFonts w:ascii="Rockwell" w:eastAsiaTheme="majorEastAsia" w:hAnsi="Rockwell" w:cstheme="majorBidi"/>
          <w:kern w:val="28"/>
          <w:sz w:val="24"/>
          <w:szCs w:val="24"/>
        </w:rPr>
        <w:t xml:space="preserve">. Ces référentiels de développement ont permis d’enregistrer des acquis notamment sur le plan de la gestion de l’économie, sur le plan social et en matière d’infrastructures économiques.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pStyle w:val="Paragraphedeliste"/>
        <w:autoSpaceDE w:val="0"/>
        <w:autoSpaceDN w:val="0"/>
        <w:adjustRightInd w:val="0"/>
        <w:spacing w:after="0" w:line="240" w:lineRule="auto"/>
        <w:ind w:left="0"/>
        <w:jc w:val="both"/>
        <w:rPr>
          <w:rFonts w:ascii="Rockwell" w:hAnsi="Rockwell" w:cs="Times New Roman"/>
          <w:sz w:val="24"/>
          <w:szCs w:val="24"/>
        </w:rPr>
      </w:pPr>
      <w:r w:rsidRPr="00422183">
        <w:rPr>
          <w:rFonts w:ascii="Rockwell" w:hAnsi="Rockwell" w:cs="Times New Roman"/>
          <w:sz w:val="24"/>
          <w:szCs w:val="24"/>
        </w:rPr>
        <w:t>La gestion de l'économie a été marquée par l'amélioration de la planification et du suivi-évaluation du développement, avec : (i) l'inscription des réponses aux problématiques du développement dans des approche</w:t>
      </w:r>
      <w:r w:rsidR="003761FA" w:rsidRPr="00422183">
        <w:rPr>
          <w:rFonts w:ascii="Rockwell" w:hAnsi="Rockwell" w:cs="Times New Roman"/>
          <w:sz w:val="24"/>
          <w:szCs w:val="24"/>
        </w:rPr>
        <w:t>s</w:t>
      </w:r>
      <w:r w:rsidRPr="00422183">
        <w:rPr>
          <w:rFonts w:ascii="Rockwell" w:hAnsi="Rockwell" w:cs="Times New Roman"/>
          <w:sz w:val="24"/>
          <w:szCs w:val="24"/>
        </w:rPr>
        <w:t xml:space="preserve"> prospectives globale, thématique ou sectorielle, (ii) le recours systématique aux instruments et outils de planification dans la gestion de l'action publique, (iii) la mise en place de la Commission nationale de planification du développement (CNPD), afin de renforcer la cohérence entre les instruments et dispositifs institutionnels de suivi de l'action publique, (iv) la mise en place du Fonds national de préparation des projets et programmes (FONEPP), dans le but d'assurer une meilleure formulation des projets et programmes nécessaires à la mise en œuvre des stratégies de développement.</w:t>
      </w:r>
    </w:p>
    <w:p w:rsidR="00034305" w:rsidRPr="00422183" w:rsidRDefault="00034305" w:rsidP="003A0820">
      <w:pPr>
        <w:pStyle w:val="Paragraphedeliste"/>
        <w:autoSpaceDE w:val="0"/>
        <w:autoSpaceDN w:val="0"/>
        <w:adjustRightInd w:val="0"/>
        <w:spacing w:after="0" w:line="240" w:lineRule="auto"/>
        <w:ind w:left="0"/>
        <w:jc w:val="both"/>
        <w:rPr>
          <w:rFonts w:ascii="Rockwell" w:hAnsi="Rockwell" w:cs="Times New Roman"/>
          <w:sz w:val="24"/>
          <w:szCs w:val="24"/>
        </w:rPr>
      </w:pPr>
    </w:p>
    <w:p w:rsidR="00034305" w:rsidRPr="00422183" w:rsidRDefault="00034305" w:rsidP="003A0820">
      <w:pPr>
        <w:pStyle w:val="Paragraphedeliste"/>
        <w:autoSpaceDE w:val="0"/>
        <w:autoSpaceDN w:val="0"/>
        <w:adjustRightInd w:val="0"/>
        <w:spacing w:after="0" w:line="240" w:lineRule="auto"/>
        <w:ind w:left="0"/>
        <w:jc w:val="both"/>
        <w:rPr>
          <w:rFonts w:ascii="Rockwell" w:hAnsi="Rockwell" w:cs="Times New Roman"/>
          <w:sz w:val="24"/>
          <w:szCs w:val="24"/>
        </w:rPr>
      </w:pPr>
      <w:r w:rsidRPr="00422183">
        <w:rPr>
          <w:rFonts w:ascii="Rockwell" w:hAnsi="Rockwell" w:cs="Times New Roman"/>
          <w:sz w:val="24"/>
          <w:szCs w:val="24"/>
        </w:rPr>
        <w:t xml:space="preserve">En outre, la gestion des finances publiques, s’est </w:t>
      </w:r>
      <w:r w:rsidR="006B4F3A" w:rsidRPr="00422183">
        <w:rPr>
          <w:rFonts w:ascii="Rockwell" w:hAnsi="Rockwell" w:cs="Times New Roman"/>
          <w:sz w:val="24"/>
          <w:szCs w:val="24"/>
        </w:rPr>
        <w:t>consolidée au</w:t>
      </w:r>
      <w:r w:rsidRPr="00422183">
        <w:rPr>
          <w:rFonts w:ascii="Rockwell" w:hAnsi="Rockwell" w:cs="Times New Roman"/>
          <w:sz w:val="24"/>
          <w:szCs w:val="24"/>
        </w:rPr>
        <w:t xml:space="preserve"> fil du temps. Le déficit budgétaire est passé de 3,8% en 2000 à 2% du PIB en 2015. Le ratio de la dette sur le PIB est passé de 58,2% en 2000 à 32,4% en 2015.  </w:t>
      </w:r>
    </w:p>
    <w:p w:rsidR="00034305" w:rsidRPr="00422183" w:rsidRDefault="00034305" w:rsidP="003A0820">
      <w:pPr>
        <w:pStyle w:val="Paragraphedeliste"/>
        <w:autoSpaceDE w:val="0"/>
        <w:autoSpaceDN w:val="0"/>
        <w:adjustRightInd w:val="0"/>
        <w:spacing w:after="0" w:line="240" w:lineRule="auto"/>
        <w:ind w:left="0"/>
        <w:jc w:val="both"/>
        <w:rPr>
          <w:rFonts w:ascii="Rockwell" w:hAnsi="Rockwell" w:cs="Times New Roman"/>
          <w:sz w:val="24"/>
          <w:szCs w:val="24"/>
        </w:rPr>
      </w:pPr>
    </w:p>
    <w:p w:rsidR="00034305" w:rsidRPr="00422183" w:rsidRDefault="00034305" w:rsidP="003A0820">
      <w:pPr>
        <w:spacing w:after="0" w:line="240" w:lineRule="auto"/>
        <w:jc w:val="both"/>
        <w:rPr>
          <w:rFonts w:ascii="Rockwell" w:hAnsi="Rockwell"/>
          <w:bCs/>
          <w:sz w:val="24"/>
          <w:szCs w:val="24"/>
        </w:rPr>
      </w:pPr>
      <w:r w:rsidRPr="00422183">
        <w:rPr>
          <w:rFonts w:ascii="Rockwell" w:hAnsi="Rockwell"/>
          <w:sz w:val="24"/>
          <w:szCs w:val="24"/>
        </w:rPr>
        <w:t xml:space="preserve">Au niveau local, en phase avec les dispositions de la loi portant Code général des collectivités territoriales (CGCT), toutes les régions disposent d'un Plan régional de développement (PRD) ou d'une Stratégie </w:t>
      </w:r>
      <w:r w:rsidR="003761FA" w:rsidRPr="00422183">
        <w:rPr>
          <w:rFonts w:ascii="Rockwell" w:hAnsi="Rockwell"/>
          <w:sz w:val="24"/>
          <w:szCs w:val="24"/>
        </w:rPr>
        <w:t>de développement régional</w:t>
      </w:r>
      <w:r w:rsidRPr="00422183">
        <w:rPr>
          <w:rFonts w:ascii="Rockwell" w:hAnsi="Rockwell"/>
          <w:sz w:val="24"/>
          <w:szCs w:val="24"/>
        </w:rPr>
        <w:t xml:space="preserve"> (SDR) et quasiment toutes les communes, d'un Plan communal de développement (PCD)</w:t>
      </w:r>
      <w:r w:rsidRPr="00422183">
        <w:rPr>
          <w:rFonts w:ascii="Rockwell" w:hAnsi="Rockwell"/>
          <w:bCs/>
          <w:sz w:val="24"/>
          <w:szCs w:val="24"/>
        </w:rPr>
        <w:t xml:space="preserve">. </w:t>
      </w:r>
    </w:p>
    <w:p w:rsidR="00034305" w:rsidRPr="00422183" w:rsidRDefault="00034305" w:rsidP="003A0820">
      <w:pPr>
        <w:spacing w:after="0" w:line="240" w:lineRule="auto"/>
        <w:jc w:val="both"/>
        <w:rPr>
          <w:rFonts w:ascii="Rockwell" w:hAnsi="Rockwell"/>
          <w:bCs/>
          <w:sz w:val="24"/>
          <w:szCs w:val="24"/>
        </w:rPr>
      </w:pPr>
    </w:p>
    <w:p w:rsidR="00034305" w:rsidRPr="00422183" w:rsidRDefault="00034305" w:rsidP="003A0820">
      <w:pPr>
        <w:spacing w:after="0" w:line="240" w:lineRule="auto"/>
        <w:jc w:val="both"/>
        <w:rPr>
          <w:rFonts w:ascii="Rockwell" w:hAnsi="Rockwell"/>
          <w:bCs/>
          <w:sz w:val="24"/>
          <w:szCs w:val="24"/>
        </w:rPr>
      </w:pPr>
      <w:r w:rsidRPr="00422183">
        <w:rPr>
          <w:rFonts w:ascii="Rockwell" w:hAnsi="Rockwell"/>
          <w:bCs/>
          <w:sz w:val="24"/>
          <w:szCs w:val="24"/>
        </w:rPr>
        <w:t>Au plan social, les avancées majeures ont été enregistrées dans les domaines de la santé, de l’accès à l’éducatio</w:t>
      </w:r>
      <w:r w:rsidR="003761FA" w:rsidRPr="00422183">
        <w:rPr>
          <w:rFonts w:ascii="Rockwell" w:hAnsi="Rockwell"/>
          <w:bCs/>
          <w:sz w:val="24"/>
          <w:szCs w:val="24"/>
        </w:rPr>
        <w:t xml:space="preserve">n de base et à l’eau potable. </w:t>
      </w:r>
      <w:r w:rsidRPr="00422183">
        <w:rPr>
          <w:rFonts w:ascii="Rockwell" w:hAnsi="Rockwell"/>
          <w:bCs/>
          <w:sz w:val="24"/>
          <w:szCs w:val="24"/>
        </w:rPr>
        <w:t xml:space="preserve">En effet, le taux brut de scolarisation au primaire est passé de 45,9% en 2000 à 83% en 2014. En matière de santé, bien que les taux de mortalité infantile et maternelle soient toujours élevés par rapport aux valeurs ciblées en 2015, ils ont fortement reculé. Ainsi, le taux de mortalité des enfants de moins de 5 ans est passé de 224,1‰ en 1998 à 82‰ en 2010. La mortalité maternelle est passée de 440 pour 100 000 naissances vivantes à 341 pour 100 000. </w:t>
      </w:r>
    </w:p>
    <w:p w:rsidR="00034305" w:rsidRPr="00422183" w:rsidRDefault="00034305" w:rsidP="003A0820">
      <w:pPr>
        <w:spacing w:after="0" w:line="240" w:lineRule="auto"/>
        <w:jc w:val="both"/>
        <w:rPr>
          <w:rFonts w:ascii="Rockwell" w:hAnsi="Rockwell"/>
          <w:bCs/>
          <w:sz w:val="24"/>
          <w:szCs w:val="24"/>
        </w:rPr>
      </w:pPr>
    </w:p>
    <w:p w:rsidR="00034305" w:rsidRPr="00422183" w:rsidRDefault="00034305" w:rsidP="003A0820">
      <w:pPr>
        <w:spacing w:after="0" w:line="240" w:lineRule="auto"/>
        <w:jc w:val="both"/>
        <w:rPr>
          <w:rFonts w:ascii="Rockwell" w:hAnsi="Rockwell"/>
          <w:bCs/>
          <w:sz w:val="24"/>
          <w:szCs w:val="24"/>
        </w:rPr>
      </w:pPr>
      <w:r w:rsidRPr="00422183">
        <w:rPr>
          <w:rFonts w:ascii="Rockwell" w:hAnsi="Rockwell"/>
          <w:bCs/>
          <w:sz w:val="24"/>
          <w:szCs w:val="24"/>
        </w:rPr>
        <w:t xml:space="preserve">L’accès à l’eau potable s’est également </w:t>
      </w:r>
      <w:r w:rsidR="003761FA" w:rsidRPr="00422183">
        <w:rPr>
          <w:rFonts w:ascii="Rockwell" w:hAnsi="Rockwell"/>
          <w:bCs/>
          <w:sz w:val="24"/>
          <w:szCs w:val="24"/>
        </w:rPr>
        <w:t xml:space="preserve">amélioré. En effet, </w:t>
      </w:r>
      <w:r w:rsidR="00C742FC" w:rsidRPr="00422183">
        <w:rPr>
          <w:rFonts w:ascii="Rockwell" w:hAnsi="Rockwell"/>
          <w:bCs/>
          <w:sz w:val="24"/>
          <w:szCs w:val="24"/>
        </w:rPr>
        <w:t xml:space="preserve">entre 2011 et 2015, </w:t>
      </w:r>
      <w:r w:rsidR="003761FA" w:rsidRPr="00422183">
        <w:rPr>
          <w:rFonts w:ascii="Rockwell" w:hAnsi="Rockwell"/>
          <w:bCs/>
          <w:sz w:val="24"/>
          <w:szCs w:val="24"/>
        </w:rPr>
        <w:t xml:space="preserve">les </w:t>
      </w:r>
      <w:r w:rsidRPr="00422183">
        <w:rPr>
          <w:rFonts w:ascii="Rockwell" w:hAnsi="Rockwell"/>
          <w:bCs/>
          <w:sz w:val="24"/>
          <w:szCs w:val="24"/>
        </w:rPr>
        <w:t>taux d’accès en milieu rural</w:t>
      </w:r>
      <w:r w:rsidR="003761FA" w:rsidRPr="00422183">
        <w:rPr>
          <w:rFonts w:ascii="Rockwell" w:hAnsi="Rockwell"/>
          <w:bCs/>
          <w:sz w:val="24"/>
          <w:szCs w:val="24"/>
        </w:rPr>
        <w:t xml:space="preserve"> et en milieu urbain sont passés respectivement de </w:t>
      </w:r>
      <w:r w:rsidRPr="00422183">
        <w:rPr>
          <w:rFonts w:ascii="Rockwell" w:hAnsi="Rockwell"/>
          <w:bCs/>
          <w:sz w:val="24"/>
          <w:szCs w:val="24"/>
        </w:rPr>
        <w:t>58</w:t>
      </w:r>
      <w:r w:rsidR="003761FA" w:rsidRPr="00422183">
        <w:rPr>
          <w:rFonts w:ascii="Rockwell" w:hAnsi="Rockwell"/>
          <w:bCs/>
          <w:sz w:val="24"/>
          <w:szCs w:val="24"/>
        </w:rPr>
        <w:t>,5% en à 65%</w:t>
      </w:r>
      <w:r w:rsidR="0019137E" w:rsidRPr="00422183">
        <w:rPr>
          <w:rFonts w:ascii="Rockwell" w:hAnsi="Rockwell"/>
          <w:bCs/>
          <w:sz w:val="24"/>
          <w:szCs w:val="24"/>
        </w:rPr>
        <w:t xml:space="preserve"> </w:t>
      </w:r>
      <w:r w:rsidR="003761FA" w:rsidRPr="00422183">
        <w:rPr>
          <w:rFonts w:ascii="Rockwell" w:hAnsi="Rockwell"/>
          <w:bCs/>
          <w:sz w:val="24"/>
          <w:szCs w:val="24"/>
        </w:rPr>
        <w:t xml:space="preserve">et de </w:t>
      </w:r>
      <w:r w:rsidRPr="00422183">
        <w:rPr>
          <w:rFonts w:ascii="Rockwell" w:hAnsi="Rockwell"/>
          <w:bCs/>
          <w:sz w:val="24"/>
          <w:szCs w:val="24"/>
        </w:rPr>
        <w:t xml:space="preserve">80% </w:t>
      </w:r>
      <w:r w:rsidR="003761FA" w:rsidRPr="00422183">
        <w:rPr>
          <w:rFonts w:ascii="Rockwell" w:hAnsi="Rockwell"/>
          <w:bCs/>
          <w:sz w:val="24"/>
          <w:szCs w:val="24"/>
        </w:rPr>
        <w:t>à 89,9</w:t>
      </w:r>
      <w:r w:rsidR="00C742FC" w:rsidRPr="00422183">
        <w:rPr>
          <w:rFonts w:ascii="Rockwell" w:hAnsi="Rockwell"/>
          <w:bCs/>
          <w:sz w:val="24"/>
          <w:szCs w:val="24"/>
        </w:rPr>
        <w:t>%.</w:t>
      </w:r>
    </w:p>
    <w:p w:rsidR="00034305" w:rsidRPr="00422183" w:rsidRDefault="00034305" w:rsidP="003A0820">
      <w:pPr>
        <w:spacing w:after="0" w:line="240" w:lineRule="auto"/>
        <w:jc w:val="both"/>
        <w:rPr>
          <w:rFonts w:ascii="Rockwell" w:hAnsi="Rockwell"/>
          <w:sz w:val="24"/>
          <w:szCs w:val="24"/>
        </w:rPr>
      </w:pPr>
    </w:p>
    <w:p w:rsidR="00034305" w:rsidRPr="00422183" w:rsidRDefault="00034305" w:rsidP="003A0820">
      <w:pPr>
        <w:spacing w:after="0" w:line="240" w:lineRule="auto"/>
        <w:jc w:val="both"/>
        <w:rPr>
          <w:rFonts w:ascii="Rockwell" w:hAnsi="Rockwell"/>
          <w:bCs/>
          <w:sz w:val="24"/>
          <w:szCs w:val="24"/>
        </w:rPr>
      </w:pPr>
      <w:r w:rsidRPr="00422183">
        <w:rPr>
          <w:rFonts w:ascii="Rockwell" w:hAnsi="Rockwell"/>
          <w:bCs/>
          <w:sz w:val="24"/>
          <w:szCs w:val="24"/>
        </w:rPr>
        <w:t xml:space="preserve">En matière d’infrastructures routières, la part du réseau routier bitumé dans le réseau routier classé a </w:t>
      </w:r>
      <w:r w:rsidR="006B4F3A" w:rsidRPr="00422183">
        <w:rPr>
          <w:rFonts w:ascii="Rockwell" w:hAnsi="Rockwell"/>
          <w:bCs/>
          <w:sz w:val="24"/>
          <w:szCs w:val="24"/>
        </w:rPr>
        <w:t xml:space="preserve">connu </w:t>
      </w:r>
      <w:r w:rsidR="00FF4E36" w:rsidRPr="00422183">
        <w:rPr>
          <w:rFonts w:ascii="Rockwell" w:hAnsi="Rockwell"/>
          <w:bCs/>
          <w:sz w:val="24"/>
          <w:szCs w:val="24"/>
        </w:rPr>
        <w:t xml:space="preserve">une </w:t>
      </w:r>
      <w:r w:rsidR="006B4F3A" w:rsidRPr="00422183">
        <w:rPr>
          <w:rFonts w:ascii="Rockwell" w:hAnsi="Rockwell"/>
          <w:bCs/>
          <w:sz w:val="24"/>
          <w:szCs w:val="24"/>
        </w:rPr>
        <w:t>évolution</w:t>
      </w:r>
      <w:r w:rsidRPr="00422183">
        <w:rPr>
          <w:rFonts w:ascii="Rockwell" w:hAnsi="Rockwell"/>
          <w:bCs/>
          <w:sz w:val="24"/>
          <w:szCs w:val="24"/>
        </w:rPr>
        <w:t xml:space="preserve"> sensible passant de 15,75% en 2004 à 24% en 2015.  </w:t>
      </w:r>
    </w:p>
    <w:p w:rsidR="00034305" w:rsidRPr="00422183" w:rsidRDefault="00034305" w:rsidP="003A0820">
      <w:pPr>
        <w:spacing w:after="0" w:line="240" w:lineRule="auto"/>
        <w:jc w:val="both"/>
        <w:rPr>
          <w:rFonts w:ascii="Rockwell" w:hAnsi="Rockwell"/>
          <w:bCs/>
          <w:sz w:val="24"/>
          <w:szCs w:val="24"/>
        </w:rPr>
      </w:pPr>
    </w:p>
    <w:p w:rsidR="00034305" w:rsidRPr="00422183" w:rsidRDefault="00034305" w:rsidP="003A0820">
      <w:pPr>
        <w:spacing w:after="0" w:line="240" w:lineRule="auto"/>
        <w:jc w:val="both"/>
        <w:rPr>
          <w:rFonts w:ascii="Rockwell" w:hAnsi="Rockwell"/>
          <w:bCs/>
          <w:sz w:val="24"/>
          <w:szCs w:val="24"/>
        </w:rPr>
      </w:pPr>
      <w:r w:rsidRPr="00422183">
        <w:rPr>
          <w:rFonts w:ascii="Rockwell" w:hAnsi="Rockwell"/>
          <w:bCs/>
          <w:sz w:val="24"/>
          <w:szCs w:val="24"/>
        </w:rPr>
        <w:t xml:space="preserve">En dépit de ces acquis, la pauvreté, les inégalités et l’exclusion sociale persistent. </w:t>
      </w:r>
    </w:p>
    <w:p w:rsidR="00034305" w:rsidRPr="00422183" w:rsidRDefault="00034305" w:rsidP="003A0820">
      <w:pPr>
        <w:spacing w:after="0" w:line="240" w:lineRule="auto"/>
        <w:jc w:val="both"/>
        <w:rPr>
          <w:rFonts w:ascii="Rockwell" w:hAnsi="Rockwell" w:cs="Times New Roman"/>
          <w:sz w:val="24"/>
          <w:szCs w:val="24"/>
        </w:rPr>
      </w:pPr>
    </w:p>
    <w:p w:rsidR="00034305" w:rsidRPr="00422183" w:rsidRDefault="00114D64" w:rsidP="003A0820">
      <w:pPr>
        <w:pStyle w:val="PNDES3"/>
      </w:pPr>
      <w:bookmarkStart w:id="26" w:name="_Toc455132707"/>
      <w:r w:rsidRPr="00422183">
        <w:t xml:space="preserve">Un faible recul </w:t>
      </w:r>
      <w:r w:rsidR="00034305" w:rsidRPr="00422183">
        <w:t>de la pauvreté monétaire</w:t>
      </w:r>
      <w:r w:rsidRPr="00422183">
        <w:t xml:space="preserve"> entre 2009 et 2014</w:t>
      </w:r>
      <w:bookmarkEnd w:id="26"/>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Vu sous l'angle monétaire, entre 2009 et 2014, la proportion des personnes vivant en dessous du seuil de pauvreté a baissé. En effet, les résultats de l'Enquête multisectorielle continue (EMC) sur les conditions de vie des ménages, réalisée en 2014, font ressortir un repli de l'incidence de la pauvreté </w:t>
      </w:r>
      <w:r w:rsidR="00114D64" w:rsidRPr="00422183">
        <w:rPr>
          <w:rFonts w:ascii="Rockwell" w:eastAsiaTheme="majorEastAsia" w:hAnsi="Rockwell" w:cstheme="majorBidi"/>
          <w:kern w:val="28"/>
          <w:sz w:val="24"/>
          <w:szCs w:val="24"/>
        </w:rPr>
        <w:t xml:space="preserve">au niveau national </w:t>
      </w:r>
      <w:r w:rsidRPr="00422183">
        <w:rPr>
          <w:rFonts w:ascii="Rockwell" w:eastAsiaTheme="majorEastAsia" w:hAnsi="Rockwell" w:cstheme="majorBidi"/>
          <w:kern w:val="28"/>
          <w:sz w:val="24"/>
          <w:szCs w:val="24"/>
        </w:rPr>
        <w:t>d'environ 6 points de pourcentage par rapport à 2009. En 2014, 40,1% de la population vivait en-dessous du seuil de pauvreté estimé à 154 061 FCFA, contre 46,7% en 2009, pour un seuil alors estimé à 108 454 FCFA.</w:t>
      </w:r>
      <w:r w:rsidR="00FF4E36" w:rsidRPr="00422183">
        <w:rPr>
          <w:rFonts w:ascii="Rockwell" w:eastAsiaTheme="majorEastAsia" w:hAnsi="Rockwell" w:cstheme="majorBidi"/>
          <w:kern w:val="28"/>
          <w:sz w:val="24"/>
          <w:szCs w:val="24"/>
        </w:rPr>
        <w:t xml:space="preserve"> </w:t>
      </w:r>
      <w:r w:rsidRPr="00422183">
        <w:rPr>
          <w:rFonts w:ascii="Rockwell" w:eastAsiaTheme="majorEastAsia" w:hAnsi="Rockwell" w:cstheme="majorBidi"/>
          <w:kern w:val="28"/>
          <w:sz w:val="24"/>
          <w:szCs w:val="24"/>
        </w:rPr>
        <w:t>Par ailleurs, la profondeur et la sévérité de la pauvreté monétaire ont baissé en passant respectivement de 15,1% et 6,7% à 9,7% et 3,3% entre 2009 et 2014.</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Le milieu urbain a été la principale source de recul de la pauvreté, ce qui signifie une accentuation des disparités entre </w:t>
      </w:r>
      <w:r w:rsidR="00114D64" w:rsidRPr="00422183">
        <w:rPr>
          <w:rFonts w:ascii="Rockwell" w:eastAsiaTheme="majorEastAsia" w:hAnsi="Rockwell" w:cstheme="majorBidi"/>
          <w:kern w:val="28"/>
          <w:sz w:val="24"/>
          <w:szCs w:val="24"/>
        </w:rPr>
        <w:t>le milieu rural et le milieu urbain.</w:t>
      </w:r>
      <w:r w:rsidRPr="00422183">
        <w:rPr>
          <w:rFonts w:ascii="Rockwell" w:eastAsiaTheme="majorEastAsia" w:hAnsi="Rockwell" w:cstheme="majorBidi"/>
          <w:kern w:val="28"/>
          <w:sz w:val="24"/>
          <w:szCs w:val="24"/>
        </w:rPr>
        <w:t xml:space="preserve"> En effet, en milieu urbain, la proportion de la population vivant en dessous du seuil de pauvre</w:t>
      </w:r>
      <w:r w:rsidR="00DB35EE" w:rsidRPr="00422183">
        <w:rPr>
          <w:rFonts w:ascii="Rockwell" w:eastAsiaTheme="majorEastAsia" w:hAnsi="Rockwell" w:cstheme="majorBidi"/>
          <w:kern w:val="28"/>
          <w:sz w:val="24"/>
          <w:szCs w:val="24"/>
        </w:rPr>
        <w:t xml:space="preserve">té est passée de 25,2% à 13,6% </w:t>
      </w:r>
      <w:r w:rsidRPr="00422183">
        <w:rPr>
          <w:rFonts w:ascii="Rockwell" w:eastAsiaTheme="majorEastAsia" w:hAnsi="Rockwell" w:cstheme="majorBidi"/>
          <w:kern w:val="28"/>
          <w:sz w:val="24"/>
          <w:szCs w:val="24"/>
        </w:rPr>
        <w:t>tandis qu’en milieu rural, elle a baissé de 52,8% à 47,5%. Il ressort en outre de l’enquête EMC que 9 personnes vivant</w:t>
      </w:r>
      <w:r w:rsidR="00FF4E36" w:rsidRPr="00422183">
        <w:rPr>
          <w:rFonts w:ascii="Rockwell" w:eastAsiaTheme="majorEastAsia" w:hAnsi="Rockwell" w:cstheme="majorBidi"/>
          <w:kern w:val="28"/>
          <w:sz w:val="24"/>
          <w:szCs w:val="24"/>
        </w:rPr>
        <w:t>es</w:t>
      </w:r>
      <w:r w:rsidRPr="00422183">
        <w:rPr>
          <w:rFonts w:ascii="Rockwell" w:eastAsiaTheme="majorEastAsia" w:hAnsi="Rockwell" w:cstheme="majorBidi"/>
          <w:kern w:val="28"/>
          <w:sz w:val="24"/>
          <w:szCs w:val="24"/>
        </w:rPr>
        <w:t xml:space="preserve"> en dessous du seuil de pauvreté sur 10 vivent en milieu rural.</w:t>
      </w:r>
      <w:r w:rsidR="00114D64" w:rsidRPr="00422183">
        <w:rPr>
          <w:rFonts w:ascii="Rockwell" w:eastAsiaTheme="majorEastAsia" w:hAnsi="Rockwell" w:cstheme="majorBidi"/>
          <w:kern w:val="28"/>
          <w:sz w:val="24"/>
          <w:szCs w:val="24"/>
        </w:rPr>
        <w:t xml:space="preserve">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FF4E36">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En outre, les disparités de niveau</w:t>
      </w:r>
      <w:r w:rsidR="00114D64" w:rsidRPr="00422183">
        <w:rPr>
          <w:rFonts w:ascii="Rockwell" w:eastAsiaTheme="majorEastAsia" w:hAnsi="Rockwell" w:cstheme="majorBidi"/>
          <w:kern w:val="28"/>
          <w:sz w:val="24"/>
          <w:szCs w:val="24"/>
        </w:rPr>
        <w:t xml:space="preserve"> de</w:t>
      </w:r>
      <w:r w:rsidRPr="00422183">
        <w:rPr>
          <w:rFonts w:ascii="Rockwell" w:eastAsiaTheme="majorEastAsia" w:hAnsi="Rockwell" w:cstheme="majorBidi"/>
          <w:kern w:val="28"/>
          <w:sz w:val="24"/>
          <w:szCs w:val="24"/>
        </w:rPr>
        <w:t xml:space="preserve"> vie entre </w:t>
      </w:r>
      <w:r w:rsidR="00114D64" w:rsidRPr="00422183">
        <w:rPr>
          <w:rFonts w:ascii="Rockwell" w:eastAsiaTheme="majorEastAsia" w:hAnsi="Rockwell" w:cstheme="majorBidi"/>
          <w:kern w:val="28"/>
          <w:sz w:val="24"/>
          <w:szCs w:val="24"/>
        </w:rPr>
        <w:t xml:space="preserve">les </w:t>
      </w:r>
      <w:r w:rsidRPr="00422183">
        <w:rPr>
          <w:rFonts w:ascii="Rockwell" w:eastAsiaTheme="majorEastAsia" w:hAnsi="Rockwell" w:cstheme="majorBidi"/>
          <w:kern w:val="28"/>
          <w:sz w:val="24"/>
          <w:szCs w:val="24"/>
        </w:rPr>
        <w:t xml:space="preserve">régions persistent. En 2014, les plus fortes incidences de la pauvreté sont observées dans les régions du Nord (70,4%), de la Boucle du Mouhoun (59,7%) et du Centre-Est (51,7%). Les faibles incidences de pauvreté sont observées dans les régions du Centre (9,3%), du Sahel (21%) et des Cascades (22,7%). </w:t>
      </w:r>
      <w:r w:rsidR="00FF4E36" w:rsidRPr="00422183">
        <w:rPr>
          <w:rFonts w:ascii="Rockwell" w:eastAsiaTheme="majorEastAsia" w:hAnsi="Rockwell" w:cstheme="majorBidi"/>
          <w:kern w:val="28"/>
          <w:sz w:val="24"/>
          <w:szCs w:val="24"/>
        </w:rPr>
        <w:t xml:space="preserve">Le recul de la pauvreté constaté au niveau national n'a pas concerné toutes les régions car entre 2009 et 2014, l’incidence de la pauvreté monétaire s’est aggravée dans les régions </w:t>
      </w:r>
      <w:r w:rsidRPr="00422183">
        <w:rPr>
          <w:rFonts w:ascii="Rockwell" w:eastAsiaTheme="majorEastAsia" w:hAnsi="Rockwell" w:cstheme="majorBidi"/>
          <w:kern w:val="28"/>
          <w:sz w:val="24"/>
          <w:szCs w:val="24"/>
        </w:rPr>
        <w:t>de la Bou</w:t>
      </w:r>
      <w:r w:rsidR="00FF4E36" w:rsidRPr="00422183">
        <w:rPr>
          <w:rFonts w:ascii="Rockwell" w:eastAsiaTheme="majorEastAsia" w:hAnsi="Rockwell" w:cstheme="majorBidi"/>
          <w:kern w:val="28"/>
          <w:sz w:val="24"/>
          <w:szCs w:val="24"/>
        </w:rPr>
        <w:t xml:space="preserve">cle du Mouhoun, du Centre-Ouest, </w:t>
      </w:r>
      <w:r w:rsidRPr="00422183">
        <w:rPr>
          <w:rFonts w:ascii="Rockwell" w:eastAsiaTheme="majorEastAsia" w:hAnsi="Rockwell" w:cstheme="majorBidi"/>
          <w:kern w:val="28"/>
          <w:sz w:val="24"/>
          <w:szCs w:val="24"/>
        </w:rPr>
        <w:t>du Nord</w:t>
      </w:r>
      <w:r w:rsidR="00FF4E36" w:rsidRPr="00422183">
        <w:rPr>
          <w:rFonts w:ascii="Rockwell" w:eastAsiaTheme="majorEastAsia" w:hAnsi="Rockwell" w:cstheme="majorBidi"/>
          <w:kern w:val="28"/>
          <w:sz w:val="24"/>
          <w:szCs w:val="24"/>
        </w:rPr>
        <w:t xml:space="preserve"> et du Centre-Nord. </w:t>
      </w:r>
      <w:r w:rsidRPr="00422183">
        <w:rPr>
          <w:rFonts w:ascii="Rockwell" w:eastAsiaTheme="majorEastAsia" w:hAnsi="Rockwell" w:cstheme="majorBidi"/>
          <w:kern w:val="28"/>
          <w:sz w:val="24"/>
          <w:szCs w:val="24"/>
        </w:rPr>
        <w:t>(graphique n°1).</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516FB0" w:rsidRPr="00422183" w:rsidRDefault="00516FB0" w:rsidP="003A0820">
      <w:pPr>
        <w:spacing w:after="0" w:line="240" w:lineRule="auto"/>
        <w:jc w:val="both"/>
        <w:rPr>
          <w:rFonts w:ascii="Rockwell" w:eastAsiaTheme="majorEastAsia" w:hAnsi="Rockwell" w:cstheme="majorBidi"/>
          <w:kern w:val="28"/>
          <w:sz w:val="24"/>
          <w:szCs w:val="24"/>
        </w:rPr>
      </w:pPr>
    </w:p>
    <w:p w:rsidR="00516FB0" w:rsidRPr="00422183" w:rsidRDefault="00516FB0" w:rsidP="003A0820">
      <w:pPr>
        <w:spacing w:after="0" w:line="240" w:lineRule="auto"/>
        <w:jc w:val="both"/>
        <w:rPr>
          <w:rFonts w:ascii="Rockwell" w:eastAsiaTheme="majorEastAsia" w:hAnsi="Rockwell" w:cstheme="majorBidi"/>
          <w:kern w:val="28"/>
          <w:sz w:val="24"/>
          <w:szCs w:val="24"/>
        </w:rPr>
      </w:pPr>
    </w:p>
    <w:p w:rsidR="00516FB0" w:rsidRPr="00422183" w:rsidRDefault="00516FB0" w:rsidP="003A0820">
      <w:pPr>
        <w:spacing w:after="0" w:line="240" w:lineRule="auto"/>
        <w:jc w:val="both"/>
        <w:rPr>
          <w:rFonts w:ascii="Rockwell" w:eastAsiaTheme="majorEastAsia" w:hAnsi="Rockwell" w:cstheme="majorBidi"/>
          <w:kern w:val="28"/>
          <w:sz w:val="24"/>
          <w:szCs w:val="24"/>
        </w:rPr>
      </w:pPr>
    </w:p>
    <w:p w:rsidR="00516FB0" w:rsidRPr="00422183" w:rsidRDefault="00516FB0" w:rsidP="003A0820">
      <w:pPr>
        <w:spacing w:after="0" w:line="240" w:lineRule="auto"/>
        <w:jc w:val="both"/>
        <w:rPr>
          <w:rFonts w:ascii="Rockwell" w:eastAsiaTheme="majorEastAsia" w:hAnsi="Rockwell" w:cstheme="majorBidi"/>
          <w:kern w:val="28"/>
          <w:sz w:val="24"/>
          <w:szCs w:val="24"/>
        </w:rPr>
      </w:pPr>
    </w:p>
    <w:p w:rsidR="00516FB0" w:rsidRPr="00422183" w:rsidRDefault="00516FB0" w:rsidP="003A0820">
      <w:pPr>
        <w:spacing w:after="0" w:line="240" w:lineRule="auto"/>
        <w:jc w:val="both"/>
        <w:rPr>
          <w:rFonts w:ascii="Rockwell" w:eastAsiaTheme="majorEastAsia" w:hAnsi="Rockwell" w:cstheme="majorBidi"/>
          <w:kern w:val="28"/>
          <w:sz w:val="24"/>
          <w:szCs w:val="24"/>
        </w:rPr>
      </w:pPr>
    </w:p>
    <w:p w:rsidR="002E0DA0" w:rsidRPr="00422183" w:rsidRDefault="002E0DA0" w:rsidP="003A0820">
      <w:pPr>
        <w:spacing w:after="0" w:line="240" w:lineRule="auto"/>
        <w:jc w:val="both"/>
        <w:rPr>
          <w:rFonts w:ascii="Rockwell" w:eastAsiaTheme="majorEastAsia" w:hAnsi="Rockwell" w:cstheme="majorBidi"/>
          <w:kern w:val="28"/>
          <w:sz w:val="24"/>
          <w:szCs w:val="24"/>
        </w:rPr>
      </w:pPr>
    </w:p>
    <w:p w:rsidR="002E0DA0" w:rsidRPr="00422183" w:rsidRDefault="002E0DA0" w:rsidP="003A0820">
      <w:pPr>
        <w:spacing w:after="0" w:line="240" w:lineRule="auto"/>
        <w:jc w:val="both"/>
        <w:rPr>
          <w:rFonts w:ascii="Rockwell" w:eastAsiaTheme="majorEastAsia" w:hAnsi="Rockwell" w:cstheme="majorBidi"/>
          <w:kern w:val="28"/>
          <w:sz w:val="24"/>
          <w:szCs w:val="24"/>
        </w:rPr>
      </w:pPr>
    </w:p>
    <w:p w:rsidR="002E0DA0" w:rsidRPr="00422183" w:rsidRDefault="002E0DA0" w:rsidP="003A0820">
      <w:pPr>
        <w:spacing w:after="0" w:line="240" w:lineRule="auto"/>
        <w:jc w:val="both"/>
        <w:rPr>
          <w:rFonts w:ascii="Rockwell" w:eastAsiaTheme="majorEastAsia" w:hAnsi="Rockwell" w:cstheme="majorBidi"/>
          <w:kern w:val="28"/>
          <w:sz w:val="24"/>
          <w:szCs w:val="24"/>
        </w:rPr>
      </w:pPr>
    </w:p>
    <w:p w:rsidR="002E0DA0" w:rsidRPr="00422183" w:rsidRDefault="002E0DA0" w:rsidP="003A0820">
      <w:pPr>
        <w:spacing w:after="0" w:line="240" w:lineRule="auto"/>
        <w:jc w:val="both"/>
        <w:rPr>
          <w:rFonts w:ascii="Rockwell" w:eastAsiaTheme="majorEastAsia" w:hAnsi="Rockwell" w:cstheme="majorBidi"/>
          <w:kern w:val="28"/>
          <w:sz w:val="24"/>
          <w:szCs w:val="24"/>
        </w:rPr>
      </w:pPr>
    </w:p>
    <w:p w:rsidR="002E0DA0" w:rsidRPr="00422183" w:rsidRDefault="002E0DA0" w:rsidP="003A0820">
      <w:pPr>
        <w:spacing w:after="0" w:line="240" w:lineRule="auto"/>
        <w:jc w:val="both"/>
        <w:rPr>
          <w:rFonts w:ascii="Rockwell" w:eastAsiaTheme="majorEastAsia" w:hAnsi="Rockwell" w:cstheme="majorBidi"/>
          <w:kern w:val="28"/>
          <w:sz w:val="24"/>
          <w:szCs w:val="24"/>
        </w:rPr>
      </w:pPr>
    </w:p>
    <w:p w:rsidR="00034305" w:rsidRPr="00422183" w:rsidRDefault="00516FB0" w:rsidP="003A0820">
      <w:pPr>
        <w:pStyle w:val="Lgende"/>
        <w:rPr>
          <w:rFonts w:eastAsiaTheme="majorEastAsia" w:cstheme="majorBidi"/>
          <w:color w:val="auto"/>
          <w:kern w:val="28"/>
          <w:sz w:val="24"/>
          <w:szCs w:val="24"/>
        </w:rPr>
      </w:pPr>
      <w:bookmarkStart w:id="27" w:name="_Toc455079260"/>
      <w:r w:rsidRPr="00422183">
        <w:rPr>
          <w:color w:val="auto"/>
        </w:rPr>
        <w:t xml:space="preserve">Graphique </w:t>
      </w:r>
      <w:r w:rsidR="00491B03" w:rsidRPr="00422183">
        <w:rPr>
          <w:color w:val="auto"/>
        </w:rPr>
        <w:fldChar w:fldCharType="begin"/>
      </w:r>
      <w:r w:rsidR="00EC128B" w:rsidRPr="00422183">
        <w:rPr>
          <w:color w:val="auto"/>
        </w:rPr>
        <w:instrText xml:space="preserve"> SEQ Graphique \* ARABIC </w:instrText>
      </w:r>
      <w:r w:rsidR="00491B03" w:rsidRPr="00422183">
        <w:rPr>
          <w:color w:val="auto"/>
        </w:rPr>
        <w:fldChar w:fldCharType="separate"/>
      </w:r>
      <w:r w:rsidRPr="00422183">
        <w:rPr>
          <w:noProof/>
          <w:color w:val="auto"/>
        </w:rPr>
        <w:t>1</w:t>
      </w:r>
      <w:r w:rsidR="00491B03" w:rsidRPr="00422183">
        <w:rPr>
          <w:noProof/>
          <w:color w:val="auto"/>
        </w:rPr>
        <w:fldChar w:fldCharType="end"/>
      </w:r>
      <w:r w:rsidRPr="00422183">
        <w:rPr>
          <w:color w:val="auto"/>
        </w:rPr>
        <w:t xml:space="preserve"> : </w:t>
      </w:r>
      <w:r w:rsidR="00034305" w:rsidRPr="00422183">
        <w:rPr>
          <w:rFonts w:eastAsiaTheme="majorEastAsia" w:cstheme="majorBidi"/>
          <w:color w:val="auto"/>
          <w:kern w:val="28"/>
          <w:sz w:val="24"/>
          <w:szCs w:val="24"/>
        </w:rPr>
        <w:t>Incidence de la pauvreté par région en 2009 et 2014</w:t>
      </w:r>
      <w:bookmarkEnd w:id="27"/>
    </w:p>
    <w:p w:rsidR="00034305" w:rsidRPr="00422183" w:rsidRDefault="00034305" w:rsidP="00516FB0">
      <w:pPr>
        <w:spacing w:after="0" w:line="240" w:lineRule="auto"/>
        <w:jc w:val="both"/>
        <w:rPr>
          <w:rFonts w:ascii="Tahoma" w:hAnsi="Tahoma" w:cs="Tahoma"/>
          <w:b/>
          <w:bCs/>
          <w:spacing w:val="-1"/>
          <w:sz w:val="20"/>
          <w:szCs w:val="20"/>
          <w:u w:val="single"/>
        </w:rPr>
      </w:pPr>
    </w:p>
    <w:p w:rsidR="00034305" w:rsidRPr="00422183" w:rsidRDefault="00034305" w:rsidP="003A0820">
      <w:pPr>
        <w:spacing w:after="0" w:line="240" w:lineRule="auto"/>
        <w:jc w:val="both"/>
        <w:rPr>
          <w:rFonts w:ascii="Tahoma" w:hAnsi="Tahoma" w:cs="Tahoma"/>
          <w:b/>
          <w:bCs/>
          <w:spacing w:val="-1"/>
          <w:sz w:val="20"/>
          <w:szCs w:val="20"/>
          <w:u w:val="single"/>
        </w:rPr>
      </w:pPr>
      <w:r w:rsidRPr="00422183">
        <w:rPr>
          <w:rFonts w:ascii="Tahoma" w:hAnsi="Tahoma" w:cs="Tahoma"/>
          <w:b/>
          <w:bCs/>
          <w:noProof/>
          <w:spacing w:val="-1"/>
          <w:sz w:val="20"/>
          <w:szCs w:val="20"/>
          <w:u w:val="single"/>
        </w:rPr>
        <w:drawing>
          <wp:inline distT="0" distB="0" distL="0" distR="0">
            <wp:extent cx="5773420" cy="3152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20" cy="3152140"/>
                    </a:xfrm>
                    <a:prstGeom prst="rect">
                      <a:avLst/>
                    </a:prstGeom>
                    <a:noFill/>
                  </pic:spPr>
                </pic:pic>
              </a:graphicData>
            </a:graphic>
          </wp:inline>
        </w:drawing>
      </w:r>
    </w:p>
    <w:p w:rsidR="00034305" w:rsidRPr="00422183" w:rsidRDefault="00034305" w:rsidP="003A0820">
      <w:pPr>
        <w:spacing w:after="0" w:line="240" w:lineRule="auto"/>
        <w:jc w:val="both"/>
        <w:rPr>
          <w:rFonts w:ascii="Tahoma" w:hAnsi="Tahoma" w:cs="Tahoma"/>
          <w:sz w:val="20"/>
          <w:szCs w:val="20"/>
        </w:rPr>
      </w:pPr>
      <w:r w:rsidRPr="00422183">
        <w:rPr>
          <w:rFonts w:ascii="Tahoma" w:hAnsi="Tahoma" w:cs="Tahoma"/>
          <w:b/>
          <w:bCs/>
          <w:spacing w:val="-1"/>
          <w:sz w:val="20"/>
          <w:szCs w:val="20"/>
          <w:u w:val="single"/>
        </w:rPr>
        <w:t>S</w:t>
      </w:r>
      <w:r w:rsidRPr="00422183">
        <w:rPr>
          <w:rFonts w:ascii="Tahoma" w:hAnsi="Tahoma" w:cs="Tahoma"/>
          <w:b/>
          <w:bCs/>
          <w:spacing w:val="1"/>
          <w:sz w:val="20"/>
          <w:szCs w:val="20"/>
          <w:u w:val="single"/>
        </w:rPr>
        <w:t>ou</w:t>
      </w:r>
      <w:r w:rsidRPr="00422183">
        <w:rPr>
          <w:rFonts w:ascii="Tahoma" w:hAnsi="Tahoma" w:cs="Tahoma"/>
          <w:b/>
          <w:bCs/>
          <w:spacing w:val="-1"/>
          <w:sz w:val="20"/>
          <w:szCs w:val="20"/>
          <w:u w:val="single"/>
        </w:rPr>
        <w:t>r</w:t>
      </w:r>
      <w:r w:rsidRPr="00422183">
        <w:rPr>
          <w:rFonts w:ascii="Tahoma" w:hAnsi="Tahoma" w:cs="Tahoma"/>
          <w:b/>
          <w:bCs/>
          <w:sz w:val="20"/>
          <w:szCs w:val="20"/>
          <w:u w:val="single"/>
        </w:rPr>
        <w:t>ce</w:t>
      </w:r>
      <w:r w:rsidRPr="00422183">
        <w:rPr>
          <w:rFonts w:ascii="Tahoma" w:hAnsi="Tahoma" w:cs="Tahoma"/>
          <w:b/>
          <w:bCs/>
          <w:spacing w:val="-6"/>
          <w:sz w:val="20"/>
          <w:szCs w:val="20"/>
        </w:rPr>
        <w:t xml:space="preserve"> </w:t>
      </w:r>
      <w:r w:rsidRPr="00422183">
        <w:rPr>
          <w:rFonts w:ascii="Tahoma" w:hAnsi="Tahoma" w:cs="Tahoma"/>
          <w:sz w:val="20"/>
          <w:szCs w:val="20"/>
        </w:rPr>
        <w:t xml:space="preserve">: Données </w:t>
      </w:r>
      <w:r w:rsidRPr="00422183">
        <w:rPr>
          <w:rFonts w:ascii="Tahoma" w:hAnsi="Tahoma" w:cs="Tahoma"/>
          <w:spacing w:val="-1"/>
          <w:sz w:val="20"/>
          <w:szCs w:val="20"/>
        </w:rPr>
        <w:t>E</w:t>
      </w:r>
      <w:r w:rsidRPr="00422183">
        <w:rPr>
          <w:rFonts w:ascii="Tahoma" w:hAnsi="Tahoma" w:cs="Tahoma"/>
          <w:sz w:val="20"/>
          <w:szCs w:val="20"/>
        </w:rPr>
        <w:t>MC 2014,</w:t>
      </w:r>
      <w:r w:rsidRPr="00422183">
        <w:rPr>
          <w:rFonts w:ascii="Tahoma" w:hAnsi="Tahoma" w:cs="Tahoma"/>
          <w:spacing w:val="-8"/>
          <w:sz w:val="20"/>
          <w:szCs w:val="20"/>
        </w:rPr>
        <w:t xml:space="preserve"> </w:t>
      </w:r>
      <w:r w:rsidRPr="00422183">
        <w:rPr>
          <w:rFonts w:ascii="Tahoma" w:hAnsi="Tahoma" w:cs="Tahoma"/>
          <w:sz w:val="20"/>
          <w:szCs w:val="20"/>
        </w:rPr>
        <w:t>IN</w:t>
      </w:r>
      <w:r w:rsidRPr="00422183">
        <w:rPr>
          <w:rFonts w:ascii="Tahoma" w:hAnsi="Tahoma" w:cs="Tahoma"/>
          <w:spacing w:val="-1"/>
          <w:sz w:val="20"/>
          <w:szCs w:val="20"/>
        </w:rPr>
        <w:t>S</w:t>
      </w:r>
      <w:r w:rsidRPr="00422183">
        <w:rPr>
          <w:rFonts w:ascii="Tahoma" w:hAnsi="Tahoma" w:cs="Tahoma"/>
          <w:sz w:val="20"/>
          <w:szCs w:val="20"/>
        </w:rPr>
        <w:t>D</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F45AEF" w:rsidP="003A0820">
      <w:pPr>
        <w:pStyle w:val="PNDES3"/>
        <w:rPr>
          <w:rFonts w:eastAsia="Calibri"/>
        </w:rPr>
      </w:pPr>
      <w:bookmarkStart w:id="28" w:name="_Toc455132708"/>
      <w:r w:rsidRPr="00422183">
        <w:rPr>
          <w:rFonts w:eastAsia="Calibri"/>
        </w:rPr>
        <w:t>Des disparités dans l’é</w:t>
      </w:r>
      <w:r w:rsidR="00034305" w:rsidRPr="00422183">
        <w:rPr>
          <w:rFonts w:eastAsia="Calibri"/>
        </w:rPr>
        <w:t>volution de la pauvreté non monétaire</w:t>
      </w:r>
      <w:bookmarkEnd w:id="28"/>
      <w:r w:rsidRPr="00422183">
        <w:rPr>
          <w:rFonts w:eastAsia="Calibri"/>
        </w:rPr>
        <w:t xml:space="preserve"> </w:t>
      </w:r>
    </w:p>
    <w:p w:rsidR="00034305" w:rsidRPr="00422183" w:rsidRDefault="00034305" w:rsidP="003A0820">
      <w:pPr>
        <w:spacing w:after="0" w:line="240" w:lineRule="auto"/>
        <w:jc w:val="both"/>
        <w:rPr>
          <w:rFonts w:ascii="Tahoma" w:hAnsi="Tahoma" w:cs="Tahoma"/>
          <w:spacing w:val="1"/>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Outre le revenu monétaire, les conditions de vie des populations dépendent de leur accès aux biens et services tels que l’électricité, le logement, l’eau potable et l’assainissement. </w:t>
      </w:r>
    </w:p>
    <w:p w:rsidR="00034305" w:rsidRPr="00422183" w:rsidRDefault="00034305" w:rsidP="003A0820">
      <w:pPr>
        <w:spacing w:after="0" w:line="240" w:lineRule="auto"/>
        <w:jc w:val="both"/>
        <w:rPr>
          <w:rFonts w:ascii="Rockwell" w:hAnsi="Rockwell" w:cs="Arial"/>
          <w:sz w:val="24"/>
          <w:szCs w:val="24"/>
        </w:rPr>
      </w:pPr>
    </w:p>
    <w:p w:rsidR="00034305" w:rsidRPr="00422183" w:rsidRDefault="00034305" w:rsidP="003A0820">
      <w:pPr>
        <w:spacing w:after="0" w:line="240" w:lineRule="auto"/>
        <w:jc w:val="both"/>
        <w:rPr>
          <w:rFonts w:ascii="Rockwell" w:hAnsi="Rockwell" w:cs="Arial"/>
          <w:sz w:val="24"/>
          <w:szCs w:val="24"/>
        </w:rPr>
      </w:pPr>
      <w:r w:rsidRPr="00422183">
        <w:rPr>
          <w:rFonts w:ascii="Rockwell" w:hAnsi="Rockwell" w:cs="Arial"/>
          <w:sz w:val="24"/>
          <w:szCs w:val="24"/>
        </w:rPr>
        <w:t>En matière d’électricité, l’accès des ménages est globalement faible. En effet, selon les données de l’EMC, qui prennent en compte l’énergie fournie par la SONABEL et les sources alternatives, le taux d’accès des ménages à l’électricité s’est accru en passant de 14,9% à 24,4% entre 2009 et 2014</w:t>
      </w:r>
      <w:r w:rsidRPr="00422183">
        <w:rPr>
          <w:rStyle w:val="Appelnotedebasdep"/>
          <w:rFonts w:ascii="Rockwell" w:hAnsi="Rockwell" w:cs="Arial"/>
          <w:sz w:val="24"/>
          <w:szCs w:val="24"/>
        </w:rPr>
        <w:footnoteReference w:id="1"/>
      </w:r>
      <w:r w:rsidRPr="00422183">
        <w:rPr>
          <w:rFonts w:ascii="Rockwell" w:hAnsi="Rockwell" w:cs="Arial"/>
          <w:sz w:val="24"/>
          <w:szCs w:val="24"/>
        </w:rPr>
        <w:t>. L’accès à l’électricité se caractérise en outre par des disparités entre les milieux de résidence et les régions.  Les taux d’accès sont de 62,7% respectivement 9,3% pou</w:t>
      </w:r>
      <w:r w:rsidR="00F45AEF" w:rsidRPr="00422183">
        <w:rPr>
          <w:rFonts w:ascii="Rockwell" w:hAnsi="Rockwell" w:cs="Arial"/>
          <w:sz w:val="24"/>
          <w:szCs w:val="24"/>
        </w:rPr>
        <w:t xml:space="preserve">r les milieux urbain et rural. </w:t>
      </w:r>
      <w:r w:rsidRPr="00422183">
        <w:rPr>
          <w:rFonts w:ascii="Rockwell" w:hAnsi="Rockwell" w:cs="Arial"/>
          <w:sz w:val="24"/>
          <w:szCs w:val="24"/>
        </w:rPr>
        <w:t xml:space="preserve">Entre régions, les disparités sont également fortes. Ainsi, les régions les plus favorisées sont le Centre (60,6%), les Cascades (43,0%), les Hauts Bassins (41,3%). Les autres régions se situent en-dessous de la moyenne nationale (24,4%) avec, les plus faibles taux d’accès enregistrés dans les régions du Centre Sud (5,8%), du Sahel (5,9%) et de l’Est (7,1%). </w:t>
      </w:r>
    </w:p>
    <w:p w:rsidR="00034305" w:rsidRPr="00422183" w:rsidRDefault="00034305" w:rsidP="003A0820">
      <w:pPr>
        <w:spacing w:after="0" w:line="240" w:lineRule="auto"/>
        <w:jc w:val="both"/>
        <w:rPr>
          <w:rFonts w:ascii="Rockwell" w:hAnsi="Rockwell" w:cs="Arial"/>
          <w:sz w:val="24"/>
          <w:szCs w:val="24"/>
        </w:rPr>
      </w:pPr>
    </w:p>
    <w:p w:rsidR="00F45AEF" w:rsidRPr="00422183" w:rsidRDefault="00034305" w:rsidP="003A0820">
      <w:pPr>
        <w:spacing w:after="0" w:line="240" w:lineRule="auto"/>
        <w:jc w:val="both"/>
        <w:rPr>
          <w:rFonts w:ascii="Rockwell" w:hAnsi="Rockwell" w:cs="Arial"/>
          <w:sz w:val="24"/>
          <w:szCs w:val="24"/>
        </w:rPr>
      </w:pPr>
      <w:r w:rsidRPr="00422183">
        <w:rPr>
          <w:rFonts w:ascii="Rockwell" w:hAnsi="Rockwell" w:cs="Arial"/>
          <w:sz w:val="24"/>
          <w:szCs w:val="24"/>
        </w:rPr>
        <w:t xml:space="preserve">En matière d’habitat, les conditions de logement des ménages sont globalement précaires avec une forte disparité entre urbains et ruraux. En effet, au plan national, les données de l’EMC 2014 montrent qu’un peu plus de 7 ménages sur 10 habitent dans des zones non loties caractérisées par un faible niveau d’assainissement, une précarité des logements et </w:t>
      </w:r>
      <w:r w:rsidR="006B4F3A" w:rsidRPr="00422183">
        <w:rPr>
          <w:rFonts w:ascii="Rockwell" w:hAnsi="Rockwell" w:cs="Arial"/>
          <w:sz w:val="24"/>
          <w:szCs w:val="24"/>
        </w:rPr>
        <w:t>un faible accès</w:t>
      </w:r>
      <w:r w:rsidRPr="00422183">
        <w:rPr>
          <w:rFonts w:ascii="Rockwell" w:hAnsi="Rockwell" w:cs="Arial"/>
          <w:sz w:val="24"/>
          <w:szCs w:val="24"/>
        </w:rPr>
        <w:t xml:space="preserve"> à l’eau potable, l’assainissement et à l’électricité.  Ainsi, 77% des </w:t>
      </w:r>
      <w:r w:rsidR="006B4F3A" w:rsidRPr="00422183">
        <w:rPr>
          <w:rFonts w:ascii="Rockwell" w:hAnsi="Rockwell" w:cs="Arial"/>
          <w:sz w:val="24"/>
          <w:szCs w:val="24"/>
        </w:rPr>
        <w:t>ménages habitent</w:t>
      </w:r>
      <w:r w:rsidRPr="00422183">
        <w:rPr>
          <w:rFonts w:ascii="Rockwell" w:hAnsi="Rockwell" w:cs="Arial"/>
          <w:sz w:val="24"/>
          <w:szCs w:val="24"/>
        </w:rPr>
        <w:t xml:space="preserve"> dans des logements précaires (matériaux non définitifs) dont 39,5</w:t>
      </w:r>
      <w:r w:rsidR="002E0DA0" w:rsidRPr="00422183">
        <w:rPr>
          <w:rFonts w:ascii="Rockwell" w:hAnsi="Rockwell" w:cs="Arial"/>
          <w:sz w:val="24"/>
          <w:szCs w:val="24"/>
        </w:rPr>
        <w:t>%</w:t>
      </w:r>
      <w:r w:rsidRPr="00422183">
        <w:rPr>
          <w:rFonts w:ascii="Rockwell" w:hAnsi="Rockwell" w:cs="Arial"/>
          <w:sz w:val="24"/>
          <w:szCs w:val="24"/>
        </w:rPr>
        <w:t xml:space="preserve"> en milieu urbain et 92% en milieu rural. </w:t>
      </w:r>
    </w:p>
    <w:p w:rsidR="00034305" w:rsidRPr="00422183" w:rsidRDefault="00034305" w:rsidP="003A0820">
      <w:pPr>
        <w:spacing w:after="0" w:line="240" w:lineRule="auto"/>
        <w:jc w:val="both"/>
        <w:rPr>
          <w:rFonts w:eastAsiaTheme="majorEastAsia"/>
        </w:rPr>
      </w:pPr>
      <w:r w:rsidRPr="00422183">
        <w:rPr>
          <w:rFonts w:ascii="Rockwell" w:hAnsi="Rockwell" w:cs="Arial"/>
          <w:sz w:val="24"/>
          <w:szCs w:val="24"/>
        </w:rPr>
        <w:t>En matière d’assainissement, les données de</w:t>
      </w:r>
      <w:r w:rsidR="00F45AEF" w:rsidRPr="00422183">
        <w:rPr>
          <w:rFonts w:ascii="Rockwell" w:hAnsi="Rockwell" w:cs="Arial"/>
          <w:sz w:val="24"/>
          <w:szCs w:val="24"/>
        </w:rPr>
        <w:t xml:space="preserve"> l’enquête multisectorielle continue 2014 </w:t>
      </w:r>
      <w:r w:rsidRPr="00422183">
        <w:rPr>
          <w:rFonts w:ascii="Rockwell" w:hAnsi="Rockwell" w:cs="Arial"/>
          <w:sz w:val="24"/>
          <w:szCs w:val="24"/>
        </w:rPr>
        <w:t xml:space="preserve">montrent que le taux d’accès aux infrastructures s’est accru entre 2007 et 2014, passant de 4,7% à 8,1%. Malgré cette amélioration de l’accès, les disparités entre milieu persistent.  Le taux d’accès en milieu urbain est passé de 14,2% à 18,2% contre 1,1% à 3,9% pour le milieu rural.  Selon les régions, les disparités d’accès sont également fortes. En effet, le taux d’accès est de 25,1% au Centre, 17,5% au Plateau Central. Les régions du Centre Est, des Cascades et du Centre Nord ont des taux d’accès aux infrastructures d’assainissement compris entre 5% et 10%. Les huit autres régions ont des taux d’accès inférieurs à 5%.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F45AEF" w:rsidP="003A0820">
      <w:pPr>
        <w:pStyle w:val="PNDES3"/>
      </w:pPr>
      <w:bookmarkStart w:id="29" w:name="_Toc455132709"/>
      <w:bookmarkStart w:id="30" w:name="_Toc449528567"/>
      <w:r w:rsidRPr="00422183">
        <w:t>Des efforts à faire en matière de g</w:t>
      </w:r>
      <w:r w:rsidR="00034305" w:rsidRPr="00422183">
        <w:t xml:space="preserve">enre et </w:t>
      </w:r>
      <w:r w:rsidRPr="00422183">
        <w:t>d’</w:t>
      </w:r>
      <w:r w:rsidR="00034305" w:rsidRPr="00422183">
        <w:t>inclusion sociale</w:t>
      </w:r>
      <w:bookmarkEnd w:id="29"/>
      <w:r w:rsidR="00034305" w:rsidRPr="00422183">
        <w:t xml:space="preserve"> </w:t>
      </w:r>
      <w:bookmarkEnd w:id="30"/>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Dans le domaine du genre et de l’inclusion sociale, en dépit des avancées enregistrées, il subsiste des inégalités en termes de pauvreté monétaire, d’éducation, d’emploi, d’accès aux ressources de production et aux postes électifs.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Sur le plan du revenu, l’inclusion sociale apparait comme globalement faible. En effet, les dépenses de consommation de 20% des ménages les plus défavorisés représentent 8,4% des dépenses de consommation totales des ménages contre 44,1% pour les 20% de ménages les plus favorisés.  Ainsi, en dépit des politiques et des instruments de promotion de la cohésion et de la solidarité nationale déployés, le pays fait face aux contraintes suivantes : (i) l'exclusion sociale des personnes âgées et celles vivant avec un handicap, (ii) l'expansion du phénomène des enfants et adolescents en situation de rue, </w:t>
      </w:r>
      <w:r w:rsidR="006B4F3A" w:rsidRPr="00422183">
        <w:rPr>
          <w:rFonts w:ascii="Rockwell" w:eastAsiaTheme="majorEastAsia" w:hAnsi="Rockwell" w:cstheme="majorBidi"/>
          <w:kern w:val="28"/>
          <w:sz w:val="24"/>
          <w:szCs w:val="24"/>
        </w:rPr>
        <w:t>et (</w:t>
      </w:r>
      <w:r w:rsidRPr="00422183">
        <w:rPr>
          <w:rFonts w:ascii="Rockwell" w:eastAsiaTheme="majorEastAsia" w:hAnsi="Rockwell" w:cstheme="majorBidi"/>
          <w:kern w:val="28"/>
          <w:sz w:val="24"/>
          <w:szCs w:val="24"/>
        </w:rPr>
        <w:t>iii) l'essor des pires formes du travail des enfants.</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En matière d’éducation notamment d’enseignement secondaire, le ratio fille garçon est passé de 0,51 en 2004 à 0,62 en 2014, soit une progression moyenne annuelle lente de 0,011. Au niveau du supérieur, le ratio fille garçon est passé de 0,29 en 1997 à 0,48 en 2013. En matière d’EFTP, la proportion des femmes de 16 à 64 ans formées était de 3,1% en 2010 contre une moyenne nationale de 4,5%.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En matière d’emploi, les femmes représentaient 20,10% des effectifs dans le secteur public et privé formel. Cette proportion a été portée à 24,17% en 2013, dégageant un gap à combler de 25,83% pour atteindre la parité entre les deux sexes en matière d’emploi formel.  En outre, en milieu urbain le chômage touche davantage, les jeunes   de moins de 25 ans (14,1% en 2014) et les femmes (9,9%).  </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03430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En matière de participation politique des femmes, en 2000, sur 111 sièges de députés seules 10 étaient occupées par des femmes (9% des sièges).  En 2012, le parlement comptait 24 femmes parmi les 127 députés de la mandature 2012-2014, soit une proportion de 18,89%. </w:t>
      </w:r>
      <w:r w:rsidR="002E0DA0" w:rsidRPr="00422183">
        <w:rPr>
          <w:rFonts w:ascii="Rockwell" w:eastAsiaTheme="majorEastAsia" w:hAnsi="Rockwell" w:cstheme="majorBidi"/>
          <w:kern w:val="28"/>
          <w:sz w:val="24"/>
          <w:szCs w:val="24"/>
        </w:rPr>
        <w:t>Malgré</w:t>
      </w:r>
      <w:r w:rsidRPr="00422183">
        <w:rPr>
          <w:rFonts w:ascii="Rockwell" w:eastAsiaTheme="majorEastAsia" w:hAnsi="Rockwell" w:cstheme="majorBidi"/>
          <w:kern w:val="28"/>
          <w:sz w:val="24"/>
          <w:szCs w:val="24"/>
        </w:rPr>
        <w:t xml:space="preserve"> cet accroissement de la participation des femmes au parlement, la proportion de sièges occupés demeure toujours en dessous de la cible de l’OMD 3 fixé pour 2015</w:t>
      </w:r>
      <w:r w:rsidR="002E0DA0" w:rsidRPr="00422183">
        <w:rPr>
          <w:rFonts w:ascii="Rockwell" w:eastAsiaTheme="majorEastAsia" w:hAnsi="Rockwell" w:cstheme="majorBidi"/>
          <w:kern w:val="28"/>
          <w:sz w:val="24"/>
          <w:szCs w:val="24"/>
        </w:rPr>
        <w:t xml:space="preserve"> (30% des sièges)</w:t>
      </w:r>
      <w:r w:rsidRPr="00422183">
        <w:rPr>
          <w:rFonts w:ascii="Rockwell" w:eastAsiaTheme="majorEastAsia" w:hAnsi="Rockwell" w:cstheme="majorBidi"/>
          <w:kern w:val="28"/>
          <w:sz w:val="24"/>
          <w:szCs w:val="24"/>
        </w:rPr>
        <w:t>.</w:t>
      </w:r>
    </w:p>
    <w:p w:rsidR="00034305" w:rsidRPr="00422183" w:rsidRDefault="00034305" w:rsidP="003A0820">
      <w:pPr>
        <w:spacing w:after="0" w:line="240" w:lineRule="auto"/>
        <w:jc w:val="both"/>
        <w:rPr>
          <w:rFonts w:ascii="Rockwell" w:eastAsiaTheme="majorEastAsia" w:hAnsi="Rockwell" w:cstheme="majorBidi"/>
          <w:kern w:val="28"/>
          <w:sz w:val="24"/>
          <w:szCs w:val="24"/>
        </w:rPr>
      </w:pPr>
    </w:p>
    <w:p w:rsidR="00034305" w:rsidRPr="00422183" w:rsidRDefault="006828F0" w:rsidP="003A0820">
      <w:pPr>
        <w:tabs>
          <w:tab w:val="left" w:pos="1965"/>
        </w:tabs>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kern w:val="28"/>
          <w:sz w:val="24"/>
          <w:szCs w:val="24"/>
        </w:rPr>
        <w:t>En revanche, l</w:t>
      </w:r>
      <w:r w:rsidR="00034305" w:rsidRPr="00422183">
        <w:rPr>
          <w:rFonts w:ascii="Rockwell" w:eastAsiaTheme="majorEastAsia" w:hAnsi="Rockwell" w:cstheme="majorBidi"/>
          <w:kern w:val="28"/>
          <w:sz w:val="24"/>
          <w:szCs w:val="24"/>
        </w:rPr>
        <w:t>a participation de la femme dans l’animation des instances locales a</w:t>
      </w:r>
      <w:r w:rsidRPr="00422183">
        <w:rPr>
          <w:rFonts w:ascii="Rockwell" w:eastAsiaTheme="majorEastAsia" w:hAnsi="Rockwell" w:cstheme="majorBidi"/>
          <w:kern w:val="28"/>
          <w:sz w:val="24"/>
          <w:szCs w:val="24"/>
        </w:rPr>
        <w:t xml:space="preserve"> </w:t>
      </w:r>
      <w:r w:rsidR="00034305" w:rsidRPr="00422183">
        <w:rPr>
          <w:rFonts w:ascii="Rockwell" w:eastAsiaTheme="majorEastAsia" w:hAnsi="Rockwell" w:cstheme="majorBidi"/>
          <w:kern w:val="28"/>
          <w:sz w:val="24"/>
          <w:szCs w:val="24"/>
        </w:rPr>
        <w:t>connu un recul entre 2006 et 2012, passant de 35,80% de sièges de conseillers municipaux à 21% en 2012.</w:t>
      </w:r>
    </w:p>
    <w:p w:rsidR="003D0F2F" w:rsidRPr="00422183" w:rsidRDefault="003D0F2F" w:rsidP="003A0820">
      <w:pPr>
        <w:spacing w:after="0" w:line="240" w:lineRule="auto"/>
        <w:jc w:val="both"/>
        <w:rPr>
          <w:rFonts w:ascii="Rockwell" w:eastAsiaTheme="majorEastAsia" w:hAnsi="Rockwell" w:cstheme="majorBidi"/>
          <w:bCs/>
          <w:kern w:val="28"/>
          <w:sz w:val="24"/>
          <w:szCs w:val="24"/>
        </w:rPr>
      </w:pPr>
    </w:p>
    <w:p w:rsidR="006828F0" w:rsidRPr="00422183" w:rsidRDefault="006828F0">
      <w:pPr>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br w:type="page"/>
      </w:r>
    </w:p>
    <w:p w:rsidR="00B354F3" w:rsidRPr="00422183" w:rsidRDefault="006D07CD" w:rsidP="003A0820">
      <w:pPr>
        <w:pStyle w:val="PNDES2"/>
      </w:pPr>
      <w:bookmarkStart w:id="31" w:name="_Toc449528553"/>
      <w:bookmarkStart w:id="32" w:name="_Toc452994137"/>
      <w:bookmarkStart w:id="33" w:name="_Toc452994585"/>
      <w:bookmarkStart w:id="34" w:name="_Toc452995025"/>
      <w:bookmarkStart w:id="35" w:name="_Toc453158149"/>
      <w:bookmarkStart w:id="36" w:name="_Toc453160725"/>
      <w:bookmarkStart w:id="37" w:name="_Toc453160932"/>
      <w:bookmarkStart w:id="38" w:name="_Toc455079228"/>
      <w:bookmarkStart w:id="39" w:name="_Toc455132710"/>
      <w:r w:rsidRPr="00422183">
        <w:t>U</w:t>
      </w:r>
      <w:r w:rsidR="006B4F3A" w:rsidRPr="00422183">
        <w:t>ne</w:t>
      </w:r>
      <w:r w:rsidRPr="00422183">
        <w:t xml:space="preserve"> </w:t>
      </w:r>
      <w:r w:rsidR="006B4F3A" w:rsidRPr="00422183">
        <w:t>dynamique</w:t>
      </w:r>
      <w:r w:rsidR="00D576CE" w:rsidRPr="00422183">
        <w:t xml:space="preserve"> </w:t>
      </w:r>
      <w:bookmarkEnd w:id="31"/>
      <w:r w:rsidR="006B4F3A" w:rsidRPr="00422183">
        <w:t xml:space="preserve">du </w:t>
      </w:r>
      <w:r w:rsidR="00D576CE" w:rsidRPr="00422183">
        <w:t xml:space="preserve">système </w:t>
      </w:r>
      <w:r w:rsidR="00BF1ED0" w:rsidRPr="00422183">
        <w:t>producti</w:t>
      </w:r>
      <w:r w:rsidR="007711B5" w:rsidRPr="00422183">
        <w:t>f</w:t>
      </w:r>
      <w:r w:rsidR="002014EF" w:rsidRPr="00422183">
        <w:t xml:space="preserve"> </w:t>
      </w:r>
      <w:r w:rsidR="00D576CE" w:rsidRPr="00422183">
        <w:t>national vulnérable, peu inclusi</w:t>
      </w:r>
      <w:r w:rsidR="007711B5" w:rsidRPr="00422183">
        <w:t>f</w:t>
      </w:r>
      <w:r w:rsidR="00D576CE" w:rsidRPr="00422183">
        <w:t xml:space="preserve"> et faiblement créate</w:t>
      </w:r>
      <w:r w:rsidR="009D028C" w:rsidRPr="00422183">
        <w:t>ur</w:t>
      </w:r>
      <w:r w:rsidR="00D576CE" w:rsidRPr="00422183">
        <w:t xml:space="preserve"> d</w:t>
      </w:r>
      <w:r w:rsidR="006C72DE" w:rsidRPr="00422183">
        <w:t>'</w:t>
      </w:r>
      <w:r w:rsidR="00D576CE" w:rsidRPr="00422183">
        <w:t>emplois productifs</w:t>
      </w:r>
      <w:bookmarkEnd w:id="32"/>
      <w:bookmarkEnd w:id="33"/>
      <w:bookmarkEnd w:id="34"/>
      <w:bookmarkEnd w:id="35"/>
      <w:bookmarkEnd w:id="36"/>
      <w:bookmarkEnd w:id="37"/>
      <w:bookmarkEnd w:id="38"/>
      <w:bookmarkEnd w:id="39"/>
    </w:p>
    <w:p w:rsidR="00590460" w:rsidRPr="00422183" w:rsidRDefault="00590460" w:rsidP="003A0820">
      <w:pPr>
        <w:spacing w:after="0" w:line="240" w:lineRule="auto"/>
        <w:jc w:val="both"/>
        <w:rPr>
          <w:rFonts w:ascii="Rockwell" w:eastAsiaTheme="majorEastAsia" w:hAnsi="Rockwell" w:cstheme="majorBidi"/>
          <w:bCs/>
          <w:kern w:val="28"/>
          <w:sz w:val="24"/>
          <w:szCs w:val="24"/>
        </w:rPr>
      </w:pPr>
    </w:p>
    <w:p w:rsidR="00B354F3" w:rsidRPr="00422183" w:rsidRDefault="00590460"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L</w:t>
      </w:r>
      <w:r w:rsidR="00B354F3" w:rsidRPr="00422183">
        <w:rPr>
          <w:rFonts w:ascii="Rockwell" w:eastAsiaTheme="majorEastAsia" w:hAnsi="Rockwell" w:cstheme="majorBidi"/>
          <w:bCs/>
          <w:kern w:val="28"/>
          <w:sz w:val="24"/>
          <w:szCs w:val="24"/>
        </w:rPr>
        <w:t xml:space="preserve">e Burkina Faso connaît une croissance économique </w:t>
      </w:r>
      <w:r w:rsidRPr="00422183">
        <w:rPr>
          <w:rFonts w:ascii="Rockwell" w:eastAsiaTheme="majorEastAsia" w:hAnsi="Rockwell" w:cstheme="majorBidi"/>
          <w:bCs/>
          <w:kern w:val="28"/>
          <w:sz w:val="24"/>
          <w:szCs w:val="24"/>
        </w:rPr>
        <w:t>moyenne d</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au </w:t>
      </w:r>
      <w:r w:rsidR="006D07CD" w:rsidRPr="00422183">
        <w:rPr>
          <w:rFonts w:ascii="Rockwell" w:eastAsiaTheme="majorEastAsia" w:hAnsi="Rockwell" w:cstheme="majorBidi"/>
          <w:bCs/>
          <w:kern w:val="28"/>
          <w:sz w:val="24"/>
          <w:szCs w:val="24"/>
        </w:rPr>
        <w:t>moins 5</w:t>
      </w:r>
      <w:r w:rsidRPr="00422183">
        <w:rPr>
          <w:rFonts w:ascii="Rockwell" w:eastAsiaTheme="majorEastAsia" w:hAnsi="Rockwell" w:cstheme="majorBidi"/>
          <w:bCs/>
          <w:kern w:val="28"/>
          <w:sz w:val="24"/>
          <w:szCs w:val="24"/>
        </w:rPr>
        <w:t xml:space="preserve">% </w:t>
      </w:r>
      <w:r w:rsidR="00B354F3" w:rsidRPr="00422183">
        <w:rPr>
          <w:rFonts w:ascii="Rockwell" w:eastAsiaTheme="majorEastAsia" w:hAnsi="Rockwell" w:cstheme="majorBidi"/>
          <w:bCs/>
          <w:kern w:val="28"/>
          <w:sz w:val="24"/>
          <w:szCs w:val="24"/>
        </w:rPr>
        <w:t xml:space="preserve">depuis </w:t>
      </w:r>
      <w:r w:rsidRPr="00422183">
        <w:rPr>
          <w:rFonts w:ascii="Rockwell" w:eastAsiaTheme="majorEastAsia" w:hAnsi="Rockwell" w:cstheme="majorBidi"/>
          <w:bCs/>
          <w:kern w:val="28"/>
          <w:sz w:val="24"/>
          <w:szCs w:val="24"/>
        </w:rPr>
        <w:t xml:space="preserve">1994. </w:t>
      </w:r>
      <w:r w:rsidR="00B354F3" w:rsidRPr="00422183">
        <w:rPr>
          <w:rFonts w:ascii="Rockwell" w:eastAsiaTheme="majorEastAsia" w:hAnsi="Rockwell" w:cstheme="majorBidi"/>
          <w:bCs/>
          <w:kern w:val="28"/>
          <w:sz w:val="24"/>
          <w:szCs w:val="24"/>
        </w:rPr>
        <w:t xml:space="preserve">Cette croissance s'accompagne d'une faible </w:t>
      </w:r>
      <w:r w:rsidRPr="00422183">
        <w:rPr>
          <w:rFonts w:ascii="Rockwell" w:eastAsiaTheme="majorEastAsia" w:hAnsi="Rockwell" w:cstheme="majorBidi"/>
          <w:bCs/>
          <w:kern w:val="28"/>
          <w:sz w:val="24"/>
          <w:szCs w:val="24"/>
        </w:rPr>
        <w:t>variation de</w:t>
      </w:r>
      <w:r w:rsidR="009D028C" w:rsidRPr="00422183">
        <w:rPr>
          <w:rFonts w:ascii="Rockwell" w:eastAsiaTheme="majorEastAsia" w:hAnsi="Rockwell" w:cstheme="majorBidi"/>
          <w:bCs/>
          <w:kern w:val="28"/>
          <w:sz w:val="24"/>
          <w:szCs w:val="24"/>
        </w:rPr>
        <w:t xml:space="preserve"> la part</w:t>
      </w:r>
      <w:r w:rsidRPr="00422183">
        <w:rPr>
          <w:rFonts w:ascii="Rockwell" w:eastAsiaTheme="majorEastAsia" w:hAnsi="Rockwell" w:cstheme="majorBidi"/>
          <w:bCs/>
          <w:kern w:val="28"/>
          <w:sz w:val="24"/>
          <w:szCs w:val="24"/>
        </w:rPr>
        <w:t xml:space="preserve"> des secteurs économiques. En effet, </w:t>
      </w:r>
      <w:r w:rsidR="00BF1ED0" w:rsidRPr="00422183">
        <w:rPr>
          <w:rFonts w:ascii="Rockwell" w:eastAsiaTheme="majorEastAsia" w:hAnsi="Rockwell" w:cstheme="majorBidi"/>
          <w:bCs/>
          <w:kern w:val="28"/>
          <w:sz w:val="24"/>
          <w:szCs w:val="24"/>
        </w:rPr>
        <w:t xml:space="preserve">le système de production </w:t>
      </w:r>
      <w:r w:rsidRPr="00422183">
        <w:rPr>
          <w:rFonts w:ascii="Rockwell" w:eastAsiaTheme="majorEastAsia" w:hAnsi="Rockwell" w:cstheme="majorBidi"/>
          <w:bCs/>
          <w:kern w:val="28"/>
          <w:sz w:val="24"/>
          <w:szCs w:val="24"/>
        </w:rPr>
        <w:t xml:space="preserve">est marqué par une prépondérance du secteur tertiaire, dont la </w:t>
      </w:r>
      <w:r w:rsidR="009D028C" w:rsidRPr="00422183">
        <w:rPr>
          <w:rFonts w:ascii="Rockwell" w:eastAsiaTheme="majorEastAsia" w:hAnsi="Rockwell" w:cstheme="majorBidi"/>
          <w:bCs/>
          <w:kern w:val="28"/>
          <w:sz w:val="24"/>
          <w:szCs w:val="24"/>
        </w:rPr>
        <w:t xml:space="preserve">part </w:t>
      </w:r>
      <w:r w:rsidRPr="00422183">
        <w:rPr>
          <w:rFonts w:ascii="Rockwell" w:eastAsiaTheme="majorEastAsia" w:hAnsi="Rockwell" w:cstheme="majorBidi"/>
          <w:bCs/>
          <w:kern w:val="28"/>
          <w:sz w:val="24"/>
          <w:szCs w:val="24"/>
        </w:rPr>
        <w:t>est supérieure à 45%</w:t>
      </w:r>
      <w:r w:rsidR="00B354F3"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 L</w:t>
      </w:r>
      <w:r w:rsidR="009D028C" w:rsidRPr="00422183">
        <w:rPr>
          <w:rFonts w:ascii="Rockwell" w:eastAsiaTheme="majorEastAsia" w:hAnsi="Rockwell" w:cstheme="majorBidi"/>
          <w:bCs/>
          <w:kern w:val="28"/>
          <w:sz w:val="24"/>
          <w:szCs w:val="24"/>
        </w:rPr>
        <w:t xml:space="preserve">e poids </w:t>
      </w:r>
      <w:r w:rsidRPr="00422183">
        <w:rPr>
          <w:rFonts w:ascii="Rockwell" w:eastAsiaTheme="majorEastAsia" w:hAnsi="Rockwell" w:cstheme="majorBidi"/>
          <w:bCs/>
          <w:kern w:val="28"/>
          <w:sz w:val="24"/>
          <w:szCs w:val="24"/>
        </w:rPr>
        <w:t xml:space="preserve">du secteur primaire varie entre 28 et 31% alors </w:t>
      </w:r>
      <w:r w:rsidR="0005668E" w:rsidRPr="00422183">
        <w:rPr>
          <w:rFonts w:ascii="Rockwell" w:eastAsiaTheme="majorEastAsia" w:hAnsi="Rockwell" w:cstheme="majorBidi"/>
          <w:bCs/>
          <w:kern w:val="28"/>
          <w:sz w:val="24"/>
          <w:szCs w:val="24"/>
        </w:rPr>
        <w:t xml:space="preserve">que </w:t>
      </w:r>
      <w:r w:rsidR="009D028C" w:rsidRPr="00422183">
        <w:rPr>
          <w:rFonts w:ascii="Rockwell" w:eastAsiaTheme="majorEastAsia" w:hAnsi="Rockwell" w:cstheme="majorBidi"/>
          <w:bCs/>
          <w:kern w:val="28"/>
          <w:sz w:val="24"/>
          <w:szCs w:val="24"/>
        </w:rPr>
        <w:t xml:space="preserve">celui </w:t>
      </w:r>
      <w:r w:rsidRPr="00422183">
        <w:rPr>
          <w:rFonts w:ascii="Rockwell" w:eastAsiaTheme="majorEastAsia" w:hAnsi="Rockwell" w:cstheme="majorBidi"/>
          <w:bCs/>
          <w:kern w:val="28"/>
          <w:sz w:val="24"/>
          <w:szCs w:val="24"/>
        </w:rPr>
        <w:t xml:space="preserve">du secteur </w:t>
      </w:r>
      <w:r w:rsidR="006D07CD" w:rsidRPr="00422183">
        <w:rPr>
          <w:rFonts w:ascii="Rockwell" w:eastAsiaTheme="majorEastAsia" w:hAnsi="Rockwell" w:cstheme="majorBidi"/>
          <w:bCs/>
          <w:kern w:val="28"/>
          <w:sz w:val="24"/>
          <w:szCs w:val="24"/>
        </w:rPr>
        <w:t>secondaire fluctue</w:t>
      </w:r>
      <w:r w:rsidRPr="00422183">
        <w:rPr>
          <w:rFonts w:ascii="Rockwell" w:eastAsiaTheme="majorEastAsia" w:hAnsi="Rockwell" w:cstheme="majorBidi"/>
          <w:bCs/>
          <w:kern w:val="28"/>
          <w:sz w:val="24"/>
          <w:szCs w:val="24"/>
        </w:rPr>
        <w:t xml:space="preserve"> entre 1</w:t>
      </w:r>
      <w:r w:rsidR="00791808" w:rsidRPr="00422183">
        <w:rPr>
          <w:rFonts w:ascii="Rockwell" w:eastAsiaTheme="majorEastAsia" w:hAnsi="Rockwell" w:cstheme="majorBidi"/>
          <w:bCs/>
          <w:kern w:val="28"/>
          <w:sz w:val="24"/>
          <w:szCs w:val="24"/>
        </w:rPr>
        <w:t>4</w:t>
      </w:r>
      <w:r w:rsidRPr="00422183">
        <w:rPr>
          <w:rFonts w:ascii="Rockwell" w:eastAsiaTheme="majorEastAsia" w:hAnsi="Rockwell" w:cstheme="majorBidi"/>
          <w:bCs/>
          <w:kern w:val="28"/>
          <w:sz w:val="24"/>
          <w:szCs w:val="24"/>
        </w:rPr>
        <w:t>% et 2</w:t>
      </w:r>
      <w:r w:rsidR="00791808" w:rsidRPr="00422183">
        <w:rPr>
          <w:rFonts w:ascii="Rockwell" w:eastAsiaTheme="majorEastAsia" w:hAnsi="Rockwell" w:cstheme="majorBidi"/>
          <w:bCs/>
          <w:kern w:val="28"/>
          <w:sz w:val="24"/>
          <w:szCs w:val="24"/>
        </w:rPr>
        <w:t>4</w:t>
      </w:r>
      <w:r w:rsidRPr="00422183">
        <w:rPr>
          <w:rFonts w:ascii="Rockwell" w:eastAsiaTheme="majorEastAsia" w:hAnsi="Rockwell" w:cstheme="majorBidi"/>
          <w:bCs/>
          <w:kern w:val="28"/>
          <w:sz w:val="24"/>
          <w:szCs w:val="24"/>
        </w:rPr>
        <w:t xml:space="preserve">%. </w:t>
      </w:r>
    </w:p>
    <w:p w:rsidR="00F01A4B" w:rsidRPr="00422183" w:rsidRDefault="00F01A4B" w:rsidP="003A0820">
      <w:pPr>
        <w:spacing w:after="0" w:line="240" w:lineRule="auto"/>
        <w:jc w:val="both"/>
        <w:rPr>
          <w:rFonts w:ascii="Rockwell" w:eastAsiaTheme="majorEastAsia" w:hAnsi="Rockwell" w:cstheme="majorBidi"/>
          <w:bCs/>
          <w:kern w:val="28"/>
          <w:sz w:val="24"/>
          <w:szCs w:val="24"/>
        </w:rPr>
      </w:pPr>
    </w:p>
    <w:p w:rsidR="00791808" w:rsidRPr="00422183" w:rsidRDefault="00791808"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 xml:space="preserve">Cette </w:t>
      </w:r>
      <w:r w:rsidR="00770866" w:rsidRPr="00422183">
        <w:rPr>
          <w:rFonts w:ascii="Rockwell" w:eastAsiaTheme="majorEastAsia" w:hAnsi="Rockwell" w:cstheme="majorBidi"/>
          <w:bCs/>
          <w:kern w:val="28"/>
          <w:sz w:val="24"/>
          <w:szCs w:val="24"/>
        </w:rPr>
        <w:t xml:space="preserve">évolution </w:t>
      </w:r>
      <w:r w:rsidRPr="00422183">
        <w:rPr>
          <w:rFonts w:ascii="Rockwell" w:eastAsiaTheme="majorEastAsia" w:hAnsi="Rockwell" w:cstheme="majorBidi"/>
          <w:bCs/>
          <w:kern w:val="28"/>
          <w:sz w:val="24"/>
          <w:szCs w:val="24"/>
        </w:rPr>
        <w:t xml:space="preserve">des </w:t>
      </w:r>
      <w:r w:rsidR="009D028C" w:rsidRPr="00422183">
        <w:rPr>
          <w:rFonts w:ascii="Rockwell" w:eastAsiaTheme="majorEastAsia" w:hAnsi="Rockwell" w:cstheme="majorBidi"/>
          <w:bCs/>
          <w:kern w:val="28"/>
          <w:sz w:val="24"/>
          <w:szCs w:val="24"/>
        </w:rPr>
        <w:t xml:space="preserve">parts </w:t>
      </w:r>
      <w:r w:rsidRPr="00422183">
        <w:rPr>
          <w:rFonts w:ascii="Rockwell" w:eastAsiaTheme="majorEastAsia" w:hAnsi="Rockwell" w:cstheme="majorBidi"/>
          <w:bCs/>
          <w:kern w:val="28"/>
          <w:sz w:val="24"/>
          <w:szCs w:val="24"/>
        </w:rPr>
        <w:t xml:space="preserve">sectorielles au PIB </w:t>
      </w:r>
      <w:r w:rsidR="00F01A4B" w:rsidRPr="00422183">
        <w:rPr>
          <w:rFonts w:ascii="Rockwell" w:eastAsiaTheme="majorEastAsia" w:hAnsi="Rockwell" w:cstheme="majorBidi"/>
          <w:bCs/>
          <w:kern w:val="28"/>
          <w:sz w:val="24"/>
          <w:szCs w:val="24"/>
        </w:rPr>
        <w:t>de 1994-2014 dénote d</w:t>
      </w:r>
      <w:r w:rsidR="006C72DE" w:rsidRPr="00422183">
        <w:rPr>
          <w:rFonts w:ascii="Rockwell" w:eastAsiaTheme="majorEastAsia" w:hAnsi="Rockwell" w:cstheme="majorBidi"/>
          <w:bCs/>
          <w:kern w:val="28"/>
          <w:sz w:val="24"/>
          <w:szCs w:val="24"/>
        </w:rPr>
        <w:t>'</w:t>
      </w:r>
      <w:r w:rsidR="00F01A4B" w:rsidRPr="00422183">
        <w:rPr>
          <w:rFonts w:ascii="Rockwell" w:eastAsiaTheme="majorEastAsia" w:hAnsi="Rockwell" w:cstheme="majorBidi"/>
          <w:bCs/>
          <w:kern w:val="28"/>
          <w:sz w:val="24"/>
          <w:szCs w:val="24"/>
        </w:rPr>
        <w:t>une faible trans</w:t>
      </w:r>
      <w:r w:rsidR="00534075" w:rsidRPr="00422183">
        <w:rPr>
          <w:rFonts w:ascii="Rockwell" w:eastAsiaTheme="majorEastAsia" w:hAnsi="Rockwell" w:cstheme="majorBidi"/>
          <w:bCs/>
          <w:kern w:val="28"/>
          <w:sz w:val="24"/>
          <w:szCs w:val="24"/>
        </w:rPr>
        <w:t>formation</w:t>
      </w:r>
      <w:r w:rsidR="0062419C" w:rsidRPr="00422183">
        <w:rPr>
          <w:rFonts w:ascii="Rockwell" w:eastAsiaTheme="majorEastAsia" w:hAnsi="Rockwell" w:cstheme="majorBidi"/>
          <w:bCs/>
          <w:kern w:val="28"/>
          <w:sz w:val="24"/>
          <w:szCs w:val="24"/>
        </w:rPr>
        <w:t xml:space="preserve"> des productions</w:t>
      </w:r>
      <w:r w:rsidR="00534075" w:rsidRPr="00422183">
        <w:rPr>
          <w:rFonts w:ascii="Rockwell" w:eastAsiaTheme="majorEastAsia" w:hAnsi="Rockwell" w:cstheme="majorBidi"/>
          <w:bCs/>
          <w:kern w:val="28"/>
          <w:sz w:val="24"/>
          <w:szCs w:val="24"/>
        </w:rPr>
        <w:t xml:space="preserve"> caractérisée par</w:t>
      </w:r>
      <w:r w:rsidR="00F01A4B" w:rsidRPr="00422183">
        <w:rPr>
          <w:rFonts w:ascii="Rockwell" w:eastAsiaTheme="majorEastAsia" w:hAnsi="Rockwell" w:cstheme="majorBidi"/>
          <w:bCs/>
          <w:kern w:val="28"/>
          <w:sz w:val="24"/>
          <w:szCs w:val="24"/>
        </w:rPr>
        <w:t xml:space="preserve"> une faible évolution de la productivité </w:t>
      </w:r>
      <w:r w:rsidR="0062419C" w:rsidRPr="00422183">
        <w:rPr>
          <w:rFonts w:ascii="Rockwell" w:eastAsiaTheme="majorEastAsia" w:hAnsi="Rockwell" w:cstheme="majorBidi"/>
          <w:bCs/>
          <w:kern w:val="28"/>
          <w:sz w:val="24"/>
          <w:szCs w:val="24"/>
        </w:rPr>
        <w:t>du secteur rural</w:t>
      </w:r>
      <w:r w:rsidR="00F01A4B" w:rsidRPr="00422183">
        <w:rPr>
          <w:rFonts w:ascii="Rockwell" w:eastAsiaTheme="majorEastAsia" w:hAnsi="Rockwell" w:cstheme="majorBidi"/>
          <w:bCs/>
          <w:kern w:val="28"/>
          <w:sz w:val="24"/>
          <w:szCs w:val="24"/>
        </w:rPr>
        <w:t xml:space="preserve"> dominée par une </w:t>
      </w:r>
      <w:r w:rsidR="0062419C" w:rsidRPr="00422183">
        <w:rPr>
          <w:rFonts w:ascii="Rockwell" w:eastAsiaTheme="majorEastAsia" w:hAnsi="Rockwell" w:cstheme="majorBidi"/>
          <w:bCs/>
          <w:kern w:val="28"/>
          <w:sz w:val="24"/>
          <w:szCs w:val="24"/>
        </w:rPr>
        <w:t xml:space="preserve">activité agropastorale </w:t>
      </w:r>
      <w:r w:rsidR="00F01A4B" w:rsidRPr="00422183">
        <w:rPr>
          <w:rFonts w:ascii="Rockwell" w:eastAsiaTheme="majorEastAsia" w:hAnsi="Rockwell" w:cstheme="majorBidi"/>
          <w:bCs/>
          <w:kern w:val="28"/>
          <w:sz w:val="24"/>
          <w:szCs w:val="24"/>
        </w:rPr>
        <w:t>de subsistance</w:t>
      </w:r>
      <w:r w:rsidR="00534075" w:rsidRPr="00422183">
        <w:rPr>
          <w:rFonts w:ascii="Rockwell" w:eastAsiaTheme="majorEastAsia" w:hAnsi="Rockwell" w:cstheme="majorBidi"/>
          <w:bCs/>
          <w:kern w:val="28"/>
          <w:sz w:val="24"/>
          <w:szCs w:val="24"/>
        </w:rPr>
        <w:t xml:space="preserve">, </w:t>
      </w:r>
      <w:r w:rsidR="00F01A4B" w:rsidRPr="00422183">
        <w:rPr>
          <w:rFonts w:ascii="Rockwell" w:eastAsiaTheme="majorEastAsia" w:hAnsi="Rockwell" w:cstheme="majorBidi"/>
          <w:bCs/>
          <w:kern w:val="28"/>
          <w:sz w:val="24"/>
          <w:szCs w:val="24"/>
        </w:rPr>
        <w:t xml:space="preserve">une industrie </w:t>
      </w:r>
      <w:r w:rsidR="00770866" w:rsidRPr="00422183">
        <w:rPr>
          <w:rFonts w:ascii="Rockwell" w:eastAsiaTheme="majorEastAsia" w:hAnsi="Rockwell" w:cstheme="majorBidi"/>
          <w:bCs/>
          <w:kern w:val="28"/>
          <w:sz w:val="24"/>
          <w:szCs w:val="24"/>
        </w:rPr>
        <w:t>manufacturière</w:t>
      </w:r>
      <w:r w:rsidR="00F01A4B" w:rsidRPr="00422183">
        <w:rPr>
          <w:rFonts w:ascii="Rockwell" w:eastAsiaTheme="majorEastAsia" w:hAnsi="Rockwell" w:cstheme="majorBidi"/>
          <w:bCs/>
          <w:kern w:val="28"/>
          <w:sz w:val="24"/>
          <w:szCs w:val="24"/>
        </w:rPr>
        <w:t xml:space="preserve"> déclinante</w:t>
      </w:r>
      <w:r w:rsidR="00534075" w:rsidRPr="00422183">
        <w:rPr>
          <w:rFonts w:ascii="Rockwell" w:eastAsiaTheme="majorEastAsia" w:hAnsi="Rockwell" w:cstheme="majorBidi"/>
          <w:bCs/>
          <w:kern w:val="28"/>
          <w:sz w:val="24"/>
          <w:szCs w:val="24"/>
        </w:rPr>
        <w:t xml:space="preserve"> et</w:t>
      </w:r>
      <w:r w:rsidR="00F01A4B" w:rsidRPr="00422183">
        <w:rPr>
          <w:rFonts w:ascii="Rockwell" w:eastAsiaTheme="majorEastAsia" w:hAnsi="Rockwell" w:cstheme="majorBidi"/>
          <w:bCs/>
          <w:kern w:val="28"/>
          <w:sz w:val="24"/>
          <w:szCs w:val="24"/>
        </w:rPr>
        <w:t xml:space="preserve"> des industries</w:t>
      </w:r>
      <w:r w:rsidR="0005668E" w:rsidRPr="00422183">
        <w:rPr>
          <w:rFonts w:ascii="Rockwell" w:eastAsiaTheme="majorEastAsia" w:hAnsi="Rockwell" w:cstheme="majorBidi"/>
          <w:bCs/>
          <w:kern w:val="28"/>
          <w:sz w:val="24"/>
          <w:szCs w:val="24"/>
        </w:rPr>
        <w:t xml:space="preserve"> de</w:t>
      </w:r>
      <w:r w:rsidR="00F01A4B" w:rsidRPr="00422183">
        <w:rPr>
          <w:rFonts w:ascii="Rockwell" w:eastAsiaTheme="majorEastAsia" w:hAnsi="Rockwell" w:cstheme="majorBidi"/>
          <w:bCs/>
          <w:kern w:val="28"/>
          <w:sz w:val="24"/>
          <w:szCs w:val="24"/>
        </w:rPr>
        <w:t xml:space="preserve"> services do</w:t>
      </w:r>
      <w:r w:rsidR="00534075" w:rsidRPr="00422183">
        <w:rPr>
          <w:rFonts w:ascii="Rockwell" w:eastAsiaTheme="majorEastAsia" w:hAnsi="Rockwell" w:cstheme="majorBidi"/>
          <w:bCs/>
          <w:kern w:val="28"/>
          <w:sz w:val="24"/>
          <w:szCs w:val="24"/>
        </w:rPr>
        <w:t>minées par le secteur informel.</w:t>
      </w:r>
    </w:p>
    <w:p w:rsidR="00791808" w:rsidRPr="00422183" w:rsidRDefault="00791808" w:rsidP="003A0820">
      <w:pPr>
        <w:spacing w:after="0" w:line="240" w:lineRule="auto"/>
        <w:jc w:val="both"/>
        <w:rPr>
          <w:rFonts w:ascii="Rockwell" w:eastAsiaTheme="majorEastAsia" w:hAnsi="Rockwell" w:cstheme="majorBidi"/>
          <w:bCs/>
          <w:kern w:val="28"/>
          <w:sz w:val="24"/>
          <w:szCs w:val="24"/>
        </w:rPr>
      </w:pPr>
    </w:p>
    <w:p w:rsidR="00F01A4B" w:rsidRPr="00422183" w:rsidRDefault="00B674C4" w:rsidP="003A0820">
      <w:pPr>
        <w:pStyle w:val="PNDES3"/>
        <w:rPr>
          <w:rFonts w:ascii="Rockwell" w:hAnsi="Rockwell"/>
          <w:i/>
        </w:rPr>
      </w:pPr>
      <w:bookmarkStart w:id="40" w:name="_Toc452994138"/>
      <w:bookmarkStart w:id="41" w:name="_Toc452994586"/>
      <w:bookmarkStart w:id="42" w:name="_Toc452995026"/>
      <w:bookmarkStart w:id="43" w:name="_Toc453160726"/>
      <w:bookmarkStart w:id="44" w:name="_Toc455132711"/>
      <w:r w:rsidRPr="00422183">
        <w:rPr>
          <w:rFonts w:ascii="Rockwell" w:hAnsi="Rockwell"/>
        </w:rPr>
        <w:t>Un</w:t>
      </w:r>
      <w:r w:rsidR="00F01A4B" w:rsidRPr="00422183">
        <w:rPr>
          <w:rFonts w:ascii="Rockwell" w:hAnsi="Rockwell"/>
        </w:rPr>
        <w:t xml:space="preserve"> secteur</w:t>
      </w:r>
      <w:r w:rsidR="009073A9" w:rsidRPr="00422183">
        <w:rPr>
          <w:rFonts w:ascii="Rockwell" w:hAnsi="Rockwell"/>
        </w:rPr>
        <w:t xml:space="preserve"> primaire</w:t>
      </w:r>
      <w:r w:rsidR="00DB7697" w:rsidRPr="00422183">
        <w:rPr>
          <w:rFonts w:ascii="Rockwell" w:hAnsi="Rockwell"/>
        </w:rPr>
        <w:t xml:space="preserve"> </w:t>
      </w:r>
      <w:r w:rsidRPr="00422183">
        <w:rPr>
          <w:rFonts w:ascii="Rockwell" w:hAnsi="Rockwell"/>
        </w:rPr>
        <w:t>peu productif et vulnérable</w:t>
      </w:r>
      <w:bookmarkEnd w:id="40"/>
      <w:bookmarkEnd w:id="41"/>
      <w:bookmarkEnd w:id="42"/>
      <w:bookmarkEnd w:id="43"/>
      <w:bookmarkEnd w:id="44"/>
    </w:p>
    <w:p w:rsidR="00DB7697" w:rsidRPr="00422183" w:rsidRDefault="00DB7697" w:rsidP="003A0820">
      <w:pPr>
        <w:spacing w:after="0" w:line="240" w:lineRule="auto"/>
        <w:jc w:val="both"/>
        <w:rPr>
          <w:rFonts w:ascii="Rockwell" w:eastAsiaTheme="majorEastAsia" w:hAnsi="Rockwell" w:cstheme="majorBidi"/>
          <w:bCs/>
          <w:kern w:val="28"/>
          <w:sz w:val="24"/>
          <w:szCs w:val="24"/>
        </w:rPr>
      </w:pPr>
    </w:p>
    <w:p w:rsidR="00F01A4B" w:rsidRPr="00422183" w:rsidRDefault="00B674C4" w:rsidP="003A0820">
      <w:pPr>
        <w:pStyle w:val="PNDES4"/>
        <w:rPr>
          <w:rFonts w:ascii="Rockwell" w:hAnsi="Rockwell"/>
        </w:rPr>
      </w:pPr>
      <w:bookmarkStart w:id="45" w:name="_Toc452994139"/>
      <w:bookmarkStart w:id="46" w:name="_Toc452994587"/>
      <w:bookmarkStart w:id="47" w:name="_Toc452995027"/>
      <w:bookmarkStart w:id="48" w:name="_Toc453160727"/>
      <w:bookmarkStart w:id="49" w:name="_Toc455132712"/>
      <w:r w:rsidRPr="00422183">
        <w:rPr>
          <w:rFonts w:ascii="Rockwell" w:hAnsi="Rockwell"/>
        </w:rPr>
        <w:t>Un</w:t>
      </w:r>
      <w:r w:rsidR="00D56BF5" w:rsidRPr="00422183">
        <w:rPr>
          <w:rFonts w:ascii="Rockwell" w:hAnsi="Rockwell"/>
        </w:rPr>
        <w:t xml:space="preserve"> s</w:t>
      </w:r>
      <w:r w:rsidR="00DB7697" w:rsidRPr="00422183">
        <w:rPr>
          <w:rFonts w:ascii="Rockwell" w:hAnsi="Rockwell"/>
        </w:rPr>
        <w:t xml:space="preserve">ous-secteur de </w:t>
      </w:r>
      <w:r w:rsidR="0005668E" w:rsidRPr="00422183">
        <w:rPr>
          <w:rFonts w:ascii="Rockwell" w:hAnsi="Rockwell"/>
        </w:rPr>
        <w:t>l'agriculture</w:t>
      </w:r>
      <w:r w:rsidR="002014EF" w:rsidRPr="00422183">
        <w:rPr>
          <w:rFonts w:ascii="Rockwell" w:hAnsi="Rockwell"/>
        </w:rPr>
        <w:t xml:space="preserve"> à</w:t>
      </w:r>
      <w:r w:rsidR="0005668E" w:rsidRPr="00422183">
        <w:rPr>
          <w:rFonts w:ascii="Rockwell" w:hAnsi="Rockwell"/>
        </w:rPr>
        <w:t xml:space="preserve"> faible </w:t>
      </w:r>
      <w:r w:rsidR="00DB7697" w:rsidRPr="00422183">
        <w:rPr>
          <w:rFonts w:ascii="Rockwell" w:hAnsi="Rockwell"/>
        </w:rPr>
        <w:t>productivité et sujet aux risques agricoles</w:t>
      </w:r>
      <w:bookmarkEnd w:id="45"/>
      <w:bookmarkEnd w:id="46"/>
      <w:bookmarkEnd w:id="47"/>
      <w:bookmarkEnd w:id="48"/>
      <w:bookmarkEnd w:id="49"/>
    </w:p>
    <w:p w:rsidR="00DB7697" w:rsidRPr="00422183" w:rsidRDefault="00DB7697" w:rsidP="003A0820">
      <w:pPr>
        <w:spacing w:after="0" w:line="240" w:lineRule="auto"/>
        <w:jc w:val="both"/>
        <w:rPr>
          <w:rFonts w:ascii="Rockwell" w:hAnsi="Rockwell" w:cs="Tahoma"/>
          <w:sz w:val="24"/>
          <w:szCs w:val="24"/>
        </w:rPr>
      </w:pPr>
    </w:p>
    <w:p w:rsidR="00DB7697" w:rsidRPr="00422183" w:rsidRDefault="00D51D3C" w:rsidP="003A0820">
      <w:pPr>
        <w:spacing w:after="0" w:line="240" w:lineRule="auto"/>
        <w:jc w:val="both"/>
        <w:rPr>
          <w:rFonts w:ascii="Rockwell" w:hAnsi="Rockwell" w:cs="Tahoma"/>
          <w:sz w:val="24"/>
          <w:szCs w:val="24"/>
        </w:rPr>
      </w:pPr>
      <w:r w:rsidRPr="00422183">
        <w:rPr>
          <w:rFonts w:ascii="Rockwell" w:hAnsi="Rockwell" w:cs="Tahoma"/>
          <w:sz w:val="24"/>
          <w:szCs w:val="24"/>
        </w:rPr>
        <w:t>Les interventions de l’Etat et ses partenaires dans le secteur agricole ont permis d’</w:t>
      </w:r>
      <w:r w:rsidR="00992C1D" w:rsidRPr="00422183">
        <w:rPr>
          <w:rFonts w:ascii="Rockwell" w:hAnsi="Rockwell" w:cs="Tahoma"/>
          <w:sz w:val="24"/>
          <w:szCs w:val="24"/>
        </w:rPr>
        <w:t>enregistr</w:t>
      </w:r>
      <w:r w:rsidRPr="00422183">
        <w:rPr>
          <w:rFonts w:ascii="Rockwell" w:hAnsi="Rockwell" w:cs="Tahoma"/>
          <w:sz w:val="24"/>
          <w:szCs w:val="24"/>
        </w:rPr>
        <w:t>er des progrès notamment</w:t>
      </w:r>
      <w:r w:rsidR="00992C1D" w:rsidRPr="00422183">
        <w:rPr>
          <w:rFonts w:ascii="Rockwell" w:hAnsi="Rockwell" w:cs="Tahoma"/>
          <w:sz w:val="24"/>
          <w:szCs w:val="24"/>
        </w:rPr>
        <w:t xml:space="preserve"> </w:t>
      </w:r>
      <w:r w:rsidRPr="00422183">
        <w:rPr>
          <w:rFonts w:ascii="Rockwell" w:hAnsi="Rockwell" w:cs="Tahoma"/>
          <w:sz w:val="24"/>
          <w:szCs w:val="24"/>
        </w:rPr>
        <w:t>une augmentation moyenne de la production céréalière de 2%, un accroissement moyen du PIB agricole de 1,8% (base 1999) et une réduction de l’incidence moyenne de la pauvreté en milieu rural à 47,5%. D’une manière générale, ces performances sont en deçà des résultats escomptés, excepté la balance commerciale agricole et alimentaire</w:t>
      </w:r>
      <w:r w:rsidR="00992C1D" w:rsidRPr="00422183">
        <w:rPr>
          <w:rFonts w:ascii="Rockwell" w:hAnsi="Rockwell" w:cs="Tahoma"/>
          <w:sz w:val="24"/>
          <w:szCs w:val="24"/>
        </w:rPr>
        <w:t xml:space="preserve">, en raison </w:t>
      </w:r>
      <w:r w:rsidR="00DB7697" w:rsidRPr="00422183">
        <w:rPr>
          <w:rFonts w:ascii="Rockwell" w:hAnsi="Rockwell" w:cs="Tahoma"/>
          <w:sz w:val="24"/>
          <w:szCs w:val="24"/>
        </w:rPr>
        <w:t>: (i)</w:t>
      </w:r>
      <w:r w:rsidR="00992C1D" w:rsidRPr="00422183">
        <w:rPr>
          <w:rFonts w:ascii="Rockwell" w:hAnsi="Rockwell" w:cs="Tahoma"/>
          <w:sz w:val="24"/>
          <w:szCs w:val="24"/>
        </w:rPr>
        <w:t xml:space="preserve"> de</w:t>
      </w:r>
      <w:r w:rsidR="00DB7697" w:rsidRPr="00422183">
        <w:rPr>
          <w:rFonts w:ascii="Rockwell" w:hAnsi="Rockwell" w:cs="Tahoma"/>
          <w:sz w:val="24"/>
          <w:szCs w:val="24"/>
        </w:rPr>
        <w:t xml:space="preserve"> la dépendance d</w:t>
      </w:r>
      <w:r w:rsidR="001A25C8" w:rsidRPr="00422183">
        <w:rPr>
          <w:rFonts w:ascii="Rockwell" w:hAnsi="Rockwell" w:cs="Tahoma"/>
          <w:sz w:val="24"/>
          <w:szCs w:val="24"/>
        </w:rPr>
        <w:t>u s</w:t>
      </w:r>
      <w:r w:rsidR="00DB7697" w:rsidRPr="00422183">
        <w:rPr>
          <w:rFonts w:ascii="Rockwell" w:hAnsi="Rockwell" w:cs="Tahoma"/>
          <w:sz w:val="24"/>
          <w:szCs w:val="24"/>
        </w:rPr>
        <w:t xml:space="preserve">ous-secteur </w:t>
      </w:r>
      <w:r w:rsidR="001A25C8" w:rsidRPr="00422183">
        <w:rPr>
          <w:rFonts w:ascii="Rockwell" w:hAnsi="Rockwell" w:cs="Tahoma"/>
          <w:sz w:val="24"/>
          <w:szCs w:val="24"/>
        </w:rPr>
        <w:t xml:space="preserve">de l'agriculture </w:t>
      </w:r>
      <w:r w:rsidR="00DB7697" w:rsidRPr="00422183">
        <w:rPr>
          <w:rFonts w:ascii="Rockwell" w:hAnsi="Rockwell" w:cs="Tahoma"/>
          <w:sz w:val="24"/>
          <w:szCs w:val="24"/>
        </w:rPr>
        <w:t xml:space="preserve">aux risques agricoles, (ii) </w:t>
      </w:r>
      <w:r w:rsidR="001A25C8" w:rsidRPr="00422183">
        <w:rPr>
          <w:rFonts w:ascii="Rockwell" w:hAnsi="Rockwell" w:cs="Tahoma"/>
          <w:sz w:val="24"/>
          <w:szCs w:val="24"/>
        </w:rPr>
        <w:t xml:space="preserve">de </w:t>
      </w:r>
      <w:r w:rsidR="00DB7697" w:rsidRPr="00422183">
        <w:rPr>
          <w:rFonts w:ascii="Rockwell" w:hAnsi="Rockwell" w:cs="Tahoma"/>
          <w:sz w:val="24"/>
          <w:szCs w:val="24"/>
        </w:rPr>
        <w:t>l'intensification insuffisante de la production,</w:t>
      </w:r>
      <w:r w:rsidR="002A1F56" w:rsidRPr="00422183">
        <w:rPr>
          <w:rFonts w:ascii="Rockwell" w:hAnsi="Rockwell" w:cs="Tahoma"/>
          <w:sz w:val="24"/>
          <w:szCs w:val="24"/>
        </w:rPr>
        <w:t xml:space="preserve"> (iii) </w:t>
      </w:r>
      <w:r w:rsidR="006828F0" w:rsidRPr="00422183">
        <w:rPr>
          <w:rFonts w:ascii="Rockwell" w:hAnsi="Rockwell" w:cs="Tahoma"/>
          <w:sz w:val="24"/>
          <w:szCs w:val="24"/>
        </w:rPr>
        <w:t xml:space="preserve">de </w:t>
      </w:r>
      <w:r w:rsidR="002A1F56" w:rsidRPr="00422183">
        <w:rPr>
          <w:rFonts w:ascii="Rockwell" w:hAnsi="Rockwell" w:cs="Tahoma"/>
          <w:sz w:val="24"/>
          <w:szCs w:val="24"/>
        </w:rPr>
        <w:t>la faible durabilité du système agricole notamment son impact sur les écosystèmes et l’environnement</w:t>
      </w:r>
      <w:r w:rsidR="00DB7697" w:rsidRPr="00422183">
        <w:rPr>
          <w:rFonts w:ascii="Rockwell" w:hAnsi="Rockwell" w:cs="Tahoma"/>
          <w:sz w:val="24"/>
          <w:szCs w:val="24"/>
        </w:rPr>
        <w:t xml:space="preserve"> (i</w:t>
      </w:r>
      <w:r w:rsidR="002A1F56" w:rsidRPr="00422183">
        <w:rPr>
          <w:rFonts w:ascii="Rockwell" w:hAnsi="Rockwell" w:cs="Tahoma"/>
          <w:sz w:val="24"/>
          <w:szCs w:val="24"/>
        </w:rPr>
        <w:t>v</w:t>
      </w:r>
      <w:r w:rsidR="00DB7697" w:rsidRPr="00422183">
        <w:rPr>
          <w:rFonts w:ascii="Rockwell" w:hAnsi="Rockwell" w:cs="Tahoma"/>
          <w:sz w:val="24"/>
          <w:szCs w:val="24"/>
        </w:rPr>
        <w:t xml:space="preserve">) </w:t>
      </w:r>
      <w:r w:rsidR="001A25C8" w:rsidRPr="00422183">
        <w:rPr>
          <w:rFonts w:ascii="Rockwell" w:hAnsi="Rockwell" w:cs="Tahoma"/>
          <w:sz w:val="24"/>
          <w:szCs w:val="24"/>
        </w:rPr>
        <w:t>du</w:t>
      </w:r>
      <w:r w:rsidR="0005668E" w:rsidRPr="00422183">
        <w:rPr>
          <w:rFonts w:ascii="Rockwell" w:hAnsi="Rockwell" w:cs="Tahoma"/>
          <w:sz w:val="24"/>
          <w:szCs w:val="24"/>
        </w:rPr>
        <w:t xml:space="preserve"> </w:t>
      </w:r>
      <w:r w:rsidR="00DB7697" w:rsidRPr="00422183">
        <w:rPr>
          <w:rFonts w:ascii="Rockwell" w:hAnsi="Rockwell" w:cs="Tahoma"/>
          <w:sz w:val="24"/>
          <w:szCs w:val="24"/>
        </w:rPr>
        <w:t xml:space="preserve">faible niveau d'équipement des exploitations agricoles, (v) </w:t>
      </w:r>
      <w:r w:rsidR="001A25C8" w:rsidRPr="00422183">
        <w:rPr>
          <w:rFonts w:ascii="Rockwell" w:hAnsi="Rockwell" w:cs="Tahoma"/>
          <w:sz w:val="24"/>
          <w:szCs w:val="24"/>
        </w:rPr>
        <w:t>du</w:t>
      </w:r>
      <w:r w:rsidR="0005668E" w:rsidRPr="00422183">
        <w:rPr>
          <w:rFonts w:ascii="Rockwell" w:hAnsi="Rockwell" w:cs="Tahoma"/>
          <w:sz w:val="24"/>
          <w:szCs w:val="24"/>
        </w:rPr>
        <w:t xml:space="preserve"> </w:t>
      </w:r>
      <w:r w:rsidR="00DB7697" w:rsidRPr="00422183">
        <w:rPr>
          <w:rFonts w:ascii="Rockwell" w:hAnsi="Rockwell" w:cs="Tahoma"/>
          <w:sz w:val="24"/>
          <w:szCs w:val="24"/>
        </w:rPr>
        <w:t>faible niveau d'accès au crédit agricole (moins de 15% des producteurs)</w:t>
      </w:r>
      <w:r w:rsidR="00D323B4" w:rsidRPr="00422183">
        <w:rPr>
          <w:rFonts w:ascii="Rockwell" w:hAnsi="Rockwell" w:cs="Tahoma"/>
          <w:sz w:val="24"/>
          <w:szCs w:val="24"/>
        </w:rPr>
        <w:t xml:space="preserve">, </w:t>
      </w:r>
      <w:r w:rsidR="00DB7697" w:rsidRPr="00422183">
        <w:rPr>
          <w:rFonts w:ascii="Rockwell" w:hAnsi="Rockwell" w:cs="Tahoma"/>
          <w:sz w:val="24"/>
          <w:szCs w:val="24"/>
        </w:rPr>
        <w:t>(v</w:t>
      </w:r>
      <w:r w:rsidR="002A1F56" w:rsidRPr="00422183">
        <w:rPr>
          <w:rFonts w:ascii="Rockwell" w:hAnsi="Rockwell" w:cs="Tahoma"/>
          <w:sz w:val="24"/>
          <w:szCs w:val="24"/>
        </w:rPr>
        <w:t>i</w:t>
      </w:r>
      <w:r w:rsidR="00DB7697" w:rsidRPr="00422183">
        <w:rPr>
          <w:rFonts w:ascii="Rockwell" w:hAnsi="Rockwell" w:cs="Tahoma"/>
          <w:sz w:val="24"/>
          <w:szCs w:val="24"/>
        </w:rPr>
        <w:t xml:space="preserve">) </w:t>
      </w:r>
      <w:r w:rsidR="001A25C8" w:rsidRPr="00422183">
        <w:rPr>
          <w:rFonts w:ascii="Rockwell" w:hAnsi="Rockwell" w:cs="Tahoma"/>
          <w:sz w:val="24"/>
          <w:szCs w:val="24"/>
        </w:rPr>
        <w:t>du</w:t>
      </w:r>
      <w:r w:rsidR="0005668E" w:rsidRPr="00422183">
        <w:rPr>
          <w:rFonts w:ascii="Rockwell" w:hAnsi="Rockwell" w:cs="Tahoma"/>
          <w:sz w:val="24"/>
          <w:szCs w:val="24"/>
        </w:rPr>
        <w:t xml:space="preserve"> </w:t>
      </w:r>
      <w:r w:rsidR="00DB7697" w:rsidRPr="00422183">
        <w:rPr>
          <w:rFonts w:ascii="Rockwell" w:hAnsi="Rockwell" w:cs="Tahoma"/>
          <w:sz w:val="24"/>
          <w:szCs w:val="24"/>
        </w:rPr>
        <w:t>faible développement de la transformation</w:t>
      </w:r>
      <w:r w:rsidR="001A25C8" w:rsidRPr="00422183">
        <w:rPr>
          <w:rFonts w:ascii="Rockwell" w:hAnsi="Rockwell" w:cs="Tahoma"/>
          <w:sz w:val="24"/>
          <w:szCs w:val="24"/>
        </w:rPr>
        <w:t>,</w:t>
      </w:r>
      <w:r w:rsidR="00DB7697" w:rsidRPr="00422183">
        <w:rPr>
          <w:rFonts w:ascii="Rockwell" w:hAnsi="Rockwell" w:cs="Tahoma"/>
          <w:sz w:val="24"/>
          <w:szCs w:val="24"/>
        </w:rPr>
        <w:t xml:space="preserve"> </w:t>
      </w:r>
      <w:r w:rsidR="00D323B4" w:rsidRPr="00422183">
        <w:rPr>
          <w:rFonts w:ascii="Rockwell" w:hAnsi="Rockwell" w:cs="Tahoma"/>
          <w:sz w:val="24"/>
          <w:szCs w:val="24"/>
        </w:rPr>
        <w:t>(v</w:t>
      </w:r>
      <w:r w:rsidR="002A1F56" w:rsidRPr="00422183">
        <w:rPr>
          <w:rFonts w:ascii="Rockwell" w:hAnsi="Rockwell" w:cs="Tahoma"/>
          <w:sz w:val="24"/>
          <w:szCs w:val="24"/>
        </w:rPr>
        <w:t>i</w:t>
      </w:r>
      <w:r w:rsidR="00D323B4" w:rsidRPr="00422183">
        <w:rPr>
          <w:rFonts w:ascii="Rockwell" w:hAnsi="Rockwell" w:cs="Tahoma"/>
          <w:sz w:val="24"/>
          <w:szCs w:val="24"/>
        </w:rPr>
        <w:t>i) d’</w:t>
      </w:r>
      <w:r w:rsidR="00DB7697" w:rsidRPr="00422183">
        <w:rPr>
          <w:rFonts w:ascii="Rockwell" w:hAnsi="Rockwell" w:cs="Tahoma"/>
          <w:sz w:val="24"/>
          <w:szCs w:val="24"/>
        </w:rPr>
        <w:t>une faible commercialisation (moins de 20% de la production)</w:t>
      </w:r>
      <w:r w:rsidR="00D323B4" w:rsidRPr="00422183">
        <w:rPr>
          <w:rFonts w:ascii="Rockwell" w:hAnsi="Rockwell" w:cs="Tahoma"/>
          <w:sz w:val="24"/>
          <w:szCs w:val="24"/>
        </w:rPr>
        <w:t>, (vii</w:t>
      </w:r>
      <w:r w:rsidR="002A1F56" w:rsidRPr="00422183">
        <w:rPr>
          <w:rFonts w:ascii="Rockwell" w:hAnsi="Rockwell" w:cs="Tahoma"/>
          <w:sz w:val="24"/>
          <w:szCs w:val="24"/>
        </w:rPr>
        <w:t>i</w:t>
      </w:r>
      <w:r w:rsidR="00D323B4" w:rsidRPr="00422183">
        <w:rPr>
          <w:rFonts w:ascii="Rockwell" w:hAnsi="Rockwell" w:cs="Tahoma"/>
          <w:sz w:val="24"/>
          <w:szCs w:val="24"/>
        </w:rPr>
        <w:t>) de la faible diversification de la production et (</w:t>
      </w:r>
      <w:r w:rsidR="002A1F56" w:rsidRPr="00422183">
        <w:rPr>
          <w:rFonts w:ascii="Rockwell" w:hAnsi="Rockwell" w:cs="Tahoma"/>
          <w:sz w:val="24"/>
          <w:szCs w:val="24"/>
        </w:rPr>
        <w:t>ix</w:t>
      </w:r>
      <w:r w:rsidR="00D323B4" w:rsidRPr="00422183">
        <w:rPr>
          <w:rFonts w:ascii="Rockwell" w:hAnsi="Rockwell" w:cs="Tahoma"/>
          <w:sz w:val="24"/>
          <w:szCs w:val="24"/>
        </w:rPr>
        <w:t>) du fort taux d’analphabétisme.</w:t>
      </w:r>
    </w:p>
    <w:p w:rsidR="00DB7697" w:rsidRPr="00422183" w:rsidRDefault="00DB7697" w:rsidP="003A0820">
      <w:pPr>
        <w:spacing w:after="0" w:line="240" w:lineRule="auto"/>
        <w:jc w:val="both"/>
        <w:rPr>
          <w:rFonts w:ascii="Rockwell" w:hAnsi="Rockwell" w:cs="Tahoma"/>
          <w:sz w:val="24"/>
          <w:szCs w:val="24"/>
        </w:rPr>
      </w:pPr>
    </w:p>
    <w:p w:rsidR="00DB7697" w:rsidRPr="00422183" w:rsidRDefault="00DB7697" w:rsidP="003A0820">
      <w:pPr>
        <w:tabs>
          <w:tab w:val="left" w:pos="2596"/>
        </w:tabs>
        <w:spacing w:after="0" w:line="240" w:lineRule="auto"/>
        <w:jc w:val="both"/>
        <w:rPr>
          <w:rFonts w:ascii="Rockwell" w:hAnsi="Rockwell" w:cs="Tahoma"/>
          <w:sz w:val="24"/>
          <w:szCs w:val="24"/>
        </w:rPr>
      </w:pPr>
      <w:r w:rsidRPr="00422183">
        <w:rPr>
          <w:rFonts w:ascii="Rockwell" w:hAnsi="Rockwell" w:cs="Tahoma"/>
          <w:sz w:val="24"/>
          <w:szCs w:val="24"/>
        </w:rPr>
        <w:t>Ainsi</w:t>
      </w:r>
      <w:r w:rsidR="00770866" w:rsidRPr="00422183">
        <w:rPr>
          <w:rFonts w:ascii="Rockwell" w:hAnsi="Rockwell" w:cs="Tahoma"/>
          <w:sz w:val="24"/>
          <w:szCs w:val="24"/>
        </w:rPr>
        <w:t>,</w:t>
      </w:r>
      <w:r w:rsidRPr="00422183">
        <w:rPr>
          <w:rFonts w:ascii="Rockwell" w:hAnsi="Rockwell" w:cs="Tahoma"/>
          <w:sz w:val="24"/>
          <w:szCs w:val="24"/>
        </w:rPr>
        <w:t xml:space="preserve"> les défis majeurs que le</w:t>
      </w:r>
      <w:r w:rsidR="00E02BC4" w:rsidRPr="00422183">
        <w:rPr>
          <w:rFonts w:ascii="Rockwell" w:hAnsi="Rockwell" w:cs="Tahoma"/>
          <w:sz w:val="24"/>
          <w:szCs w:val="24"/>
        </w:rPr>
        <w:t xml:space="preserve"> sous-</w:t>
      </w:r>
      <w:r w:rsidRPr="00422183">
        <w:rPr>
          <w:rFonts w:ascii="Rockwell" w:hAnsi="Rockwell" w:cs="Tahoma"/>
          <w:sz w:val="24"/>
          <w:szCs w:val="24"/>
        </w:rPr>
        <w:t>secteur de la product</w:t>
      </w:r>
      <w:r w:rsidR="00D56BF5" w:rsidRPr="00422183">
        <w:rPr>
          <w:rFonts w:ascii="Rockwell" w:hAnsi="Rockwell" w:cs="Tahoma"/>
          <w:sz w:val="24"/>
          <w:szCs w:val="24"/>
        </w:rPr>
        <w:t>ion agricole devra relever sont</w:t>
      </w:r>
      <w:r w:rsidR="0056670E" w:rsidRPr="00422183">
        <w:rPr>
          <w:rFonts w:ascii="Rockwell" w:hAnsi="Rockwell" w:cs="Tahoma"/>
          <w:sz w:val="24"/>
          <w:szCs w:val="24"/>
        </w:rPr>
        <w:t xml:space="preserve"> </w:t>
      </w:r>
      <w:r w:rsidRPr="00422183">
        <w:rPr>
          <w:rFonts w:ascii="Rockwell" w:hAnsi="Rockwell" w:cs="Tahoma"/>
          <w:sz w:val="24"/>
          <w:szCs w:val="24"/>
        </w:rPr>
        <w:t xml:space="preserve">: (i) </w:t>
      </w:r>
      <w:r w:rsidR="00D323B4" w:rsidRPr="00422183">
        <w:rPr>
          <w:rFonts w:ascii="Rockwell" w:hAnsi="Rockwell" w:cs="Tahoma"/>
          <w:bCs/>
          <w:sz w:val="24"/>
          <w:szCs w:val="24"/>
        </w:rPr>
        <w:t xml:space="preserve">l’amélioration </w:t>
      </w:r>
      <w:r w:rsidRPr="00422183">
        <w:rPr>
          <w:rFonts w:ascii="Rockwell" w:hAnsi="Rockwell" w:cs="Tahoma"/>
          <w:bCs/>
          <w:sz w:val="24"/>
          <w:szCs w:val="24"/>
        </w:rPr>
        <w:t xml:space="preserve">de la maitrise de l'eau </w:t>
      </w:r>
      <w:r w:rsidR="00D323B4" w:rsidRPr="00422183">
        <w:rPr>
          <w:rFonts w:ascii="Rockwell" w:hAnsi="Rockwell" w:cs="Tahoma"/>
          <w:bCs/>
          <w:sz w:val="24"/>
          <w:szCs w:val="24"/>
        </w:rPr>
        <w:t>à des fins agricoles</w:t>
      </w:r>
      <w:r w:rsidRPr="00422183">
        <w:rPr>
          <w:rFonts w:ascii="Rockwell" w:hAnsi="Rockwell" w:cs="Tahoma"/>
          <w:bCs/>
          <w:sz w:val="24"/>
          <w:szCs w:val="24"/>
        </w:rPr>
        <w:t xml:space="preserve">, (ii) </w:t>
      </w:r>
      <w:r w:rsidRPr="00422183">
        <w:rPr>
          <w:rFonts w:ascii="Rockwell" w:hAnsi="Rockwell" w:cs="Tahoma"/>
          <w:sz w:val="24"/>
          <w:szCs w:val="24"/>
        </w:rPr>
        <w:t xml:space="preserve">l'amélioration de la productivité agricole, </w:t>
      </w:r>
      <w:r w:rsidR="002A1F56" w:rsidRPr="00422183">
        <w:rPr>
          <w:rFonts w:ascii="Rockwell" w:hAnsi="Rockwell" w:cs="Tahoma"/>
          <w:sz w:val="24"/>
          <w:szCs w:val="24"/>
        </w:rPr>
        <w:t xml:space="preserve">(iii) le découplage de la production agricole et la dégradation de l’environnement dans la logique de l’économie verte, </w:t>
      </w:r>
      <w:r w:rsidRPr="00422183">
        <w:rPr>
          <w:rFonts w:ascii="Rockwell" w:hAnsi="Rockwell" w:cs="Tahoma"/>
          <w:sz w:val="24"/>
          <w:szCs w:val="24"/>
        </w:rPr>
        <w:t>(</w:t>
      </w:r>
      <w:r w:rsidR="0005668E" w:rsidRPr="00422183">
        <w:rPr>
          <w:rFonts w:ascii="Rockwell" w:hAnsi="Rockwell" w:cs="Tahoma"/>
          <w:sz w:val="24"/>
          <w:szCs w:val="24"/>
        </w:rPr>
        <w:t>i</w:t>
      </w:r>
      <w:r w:rsidR="002A1F56" w:rsidRPr="00422183">
        <w:rPr>
          <w:rFonts w:ascii="Rockwell" w:hAnsi="Rockwell" w:cs="Tahoma"/>
          <w:sz w:val="24"/>
          <w:szCs w:val="24"/>
        </w:rPr>
        <w:t>v</w:t>
      </w:r>
      <w:r w:rsidRPr="00422183">
        <w:rPr>
          <w:rFonts w:ascii="Rockwell" w:hAnsi="Rockwell" w:cs="Tahoma"/>
          <w:sz w:val="24"/>
          <w:szCs w:val="24"/>
        </w:rPr>
        <w:t>) l</w:t>
      </w:r>
      <w:r w:rsidR="00D323B4" w:rsidRPr="00422183">
        <w:rPr>
          <w:rFonts w:ascii="Rockwell" w:hAnsi="Rockwell" w:cs="Tahoma"/>
          <w:sz w:val="24"/>
          <w:szCs w:val="24"/>
        </w:rPr>
        <w:t>e</w:t>
      </w:r>
      <w:r w:rsidRPr="00422183">
        <w:rPr>
          <w:rFonts w:ascii="Rockwell" w:hAnsi="Rockwell" w:cs="Tahoma"/>
          <w:sz w:val="24"/>
          <w:szCs w:val="24"/>
        </w:rPr>
        <w:t xml:space="preserve"> </w:t>
      </w:r>
      <w:r w:rsidR="00770866" w:rsidRPr="00422183">
        <w:rPr>
          <w:rFonts w:ascii="Rockwell" w:hAnsi="Rockwell" w:cs="Tahoma"/>
          <w:sz w:val="24"/>
          <w:szCs w:val="24"/>
        </w:rPr>
        <w:t xml:space="preserve">développement </w:t>
      </w:r>
      <w:r w:rsidRPr="00422183">
        <w:rPr>
          <w:rFonts w:ascii="Rockwell" w:hAnsi="Rockwell" w:cs="Tahoma"/>
          <w:sz w:val="24"/>
          <w:szCs w:val="24"/>
        </w:rPr>
        <w:t xml:space="preserve">de l'entreprenariat agricole et agroalimentaire, (v) l'amélioration de la résilience de l'agriculture </w:t>
      </w:r>
      <w:r w:rsidR="0005668E" w:rsidRPr="00422183">
        <w:rPr>
          <w:rFonts w:ascii="Rockwell" w:hAnsi="Rockwell" w:cs="Tahoma"/>
          <w:sz w:val="24"/>
          <w:szCs w:val="24"/>
        </w:rPr>
        <w:t>aux</w:t>
      </w:r>
      <w:r w:rsidRPr="00422183">
        <w:rPr>
          <w:rFonts w:ascii="Rockwell" w:hAnsi="Rockwell" w:cs="Tahoma"/>
          <w:sz w:val="24"/>
          <w:szCs w:val="24"/>
        </w:rPr>
        <w:t xml:space="preserve"> risques </w:t>
      </w:r>
      <w:r w:rsidR="002975C8" w:rsidRPr="00422183">
        <w:rPr>
          <w:rFonts w:ascii="Rockwell" w:hAnsi="Rockwell" w:cs="Tahoma"/>
          <w:sz w:val="24"/>
          <w:szCs w:val="24"/>
        </w:rPr>
        <w:t xml:space="preserve">Agricoles </w:t>
      </w:r>
      <w:r w:rsidRPr="00422183">
        <w:rPr>
          <w:rFonts w:ascii="Rockwell" w:hAnsi="Rockwell" w:cs="Tahoma"/>
          <w:sz w:val="24"/>
          <w:szCs w:val="24"/>
        </w:rPr>
        <w:t xml:space="preserve">et </w:t>
      </w:r>
      <w:r w:rsidR="00C03BC3" w:rsidRPr="00422183">
        <w:rPr>
          <w:rFonts w:ascii="Rockwell" w:hAnsi="Rockwell" w:cs="Tahoma"/>
          <w:sz w:val="24"/>
          <w:szCs w:val="24"/>
        </w:rPr>
        <w:t xml:space="preserve">aux </w:t>
      </w:r>
      <w:r w:rsidRPr="00422183">
        <w:rPr>
          <w:rFonts w:ascii="Rockwell" w:hAnsi="Rockwell" w:cs="Tahoma"/>
          <w:sz w:val="24"/>
          <w:szCs w:val="24"/>
        </w:rPr>
        <w:t xml:space="preserve">catastrophes </w:t>
      </w:r>
      <w:r w:rsidR="002975C8" w:rsidRPr="00422183">
        <w:rPr>
          <w:rFonts w:ascii="Rockwell" w:hAnsi="Rockwell" w:cs="Tahoma"/>
          <w:sz w:val="24"/>
          <w:szCs w:val="24"/>
        </w:rPr>
        <w:t>naturelles</w:t>
      </w:r>
      <w:r w:rsidRPr="00422183">
        <w:rPr>
          <w:rFonts w:ascii="Rockwell" w:hAnsi="Rockwell" w:cs="Tahoma"/>
          <w:sz w:val="24"/>
          <w:szCs w:val="24"/>
        </w:rPr>
        <w:t>, (v</w:t>
      </w:r>
      <w:r w:rsidR="002A1F56" w:rsidRPr="00422183">
        <w:rPr>
          <w:rFonts w:ascii="Rockwell" w:hAnsi="Rockwell" w:cs="Tahoma"/>
          <w:sz w:val="24"/>
          <w:szCs w:val="24"/>
        </w:rPr>
        <w:t>i</w:t>
      </w:r>
      <w:r w:rsidRPr="00422183">
        <w:rPr>
          <w:rFonts w:ascii="Rockwell" w:hAnsi="Rockwell" w:cs="Tahoma"/>
          <w:sz w:val="24"/>
          <w:szCs w:val="24"/>
        </w:rPr>
        <w:t>) le renforcement du système de recherche</w:t>
      </w:r>
      <w:r w:rsidR="002A1F56" w:rsidRPr="00422183">
        <w:rPr>
          <w:rFonts w:ascii="Rockwell" w:hAnsi="Rockwell" w:cs="Tahoma"/>
          <w:sz w:val="24"/>
          <w:szCs w:val="24"/>
        </w:rPr>
        <w:t>-</w:t>
      </w:r>
      <w:r w:rsidRPr="00422183">
        <w:rPr>
          <w:rFonts w:ascii="Rockwell" w:hAnsi="Rockwell" w:cs="Tahoma"/>
          <w:sz w:val="24"/>
          <w:szCs w:val="24"/>
        </w:rPr>
        <w:t>développement en agriculture et la valorisation des résultats de la recherche</w:t>
      </w:r>
      <w:r w:rsidR="00604D95" w:rsidRPr="00422183">
        <w:rPr>
          <w:rFonts w:ascii="Rockwell" w:hAnsi="Rockwell" w:cs="Tahoma"/>
          <w:sz w:val="24"/>
          <w:szCs w:val="24"/>
        </w:rPr>
        <w:t>,</w:t>
      </w:r>
      <w:r w:rsidRPr="00422183">
        <w:rPr>
          <w:rFonts w:ascii="Rockwell" w:hAnsi="Rockwell" w:cs="Tahoma"/>
          <w:sz w:val="24"/>
          <w:szCs w:val="24"/>
        </w:rPr>
        <w:t xml:space="preserve"> </w:t>
      </w:r>
      <w:r w:rsidR="009073A9" w:rsidRPr="00422183">
        <w:rPr>
          <w:rFonts w:ascii="Rockwell" w:hAnsi="Rockwell" w:cs="Tahoma"/>
          <w:sz w:val="24"/>
          <w:szCs w:val="24"/>
        </w:rPr>
        <w:t>(v</w:t>
      </w:r>
      <w:r w:rsidRPr="00422183">
        <w:rPr>
          <w:rFonts w:ascii="Rockwell" w:hAnsi="Rockwell" w:cs="Tahoma"/>
          <w:sz w:val="24"/>
          <w:szCs w:val="24"/>
        </w:rPr>
        <w:t>i</w:t>
      </w:r>
      <w:r w:rsidR="002A1F56" w:rsidRPr="00422183">
        <w:rPr>
          <w:rFonts w:ascii="Rockwell" w:hAnsi="Rockwell" w:cs="Tahoma"/>
          <w:sz w:val="24"/>
          <w:szCs w:val="24"/>
        </w:rPr>
        <w:t>i</w:t>
      </w:r>
      <w:r w:rsidRPr="00422183">
        <w:rPr>
          <w:rFonts w:ascii="Rockwell" w:hAnsi="Rockwell" w:cs="Tahoma"/>
          <w:sz w:val="24"/>
          <w:szCs w:val="24"/>
        </w:rPr>
        <w:t>) l'accélération du processus de la sécurisation foncière des</w:t>
      </w:r>
      <w:r w:rsidR="009073A9" w:rsidRPr="00422183">
        <w:rPr>
          <w:rFonts w:ascii="Rockwell" w:hAnsi="Rockwell" w:cs="Tahoma"/>
          <w:sz w:val="24"/>
          <w:szCs w:val="24"/>
        </w:rPr>
        <w:t xml:space="preserve"> ex</w:t>
      </w:r>
      <w:r w:rsidR="00992C1D" w:rsidRPr="00422183">
        <w:rPr>
          <w:rFonts w:ascii="Rockwell" w:hAnsi="Rockwell" w:cs="Tahoma"/>
          <w:sz w:val="24"/>
          <w:szCs w:val="24"/>
        </w:rPr>
        <w:t>ploitations agricoles</w:t>
      </w:r>
      <w:r w:rsidR="0005668E" w:rsidRPr="00422183">
        <w:rPr>
          <w:rFonts w:ascii="Rockwell" w:hAnsi="Rockwell" w:cs="Tahoma"/>
          <w:sz w:val="24"/>
          <w:szCs w:val="24"/>
        </w:rPr>
        <w:t xml:space="preserve">, </w:t>
      </w:r>
      <w:r w:rsidR="009073A9" w:rsidRPr="00422183">
        <w:rPr>
          <w:rFonts w:ascii="Rockwell" w:hAnsi="Rockwell" w:cs="Tahoma"/>
          <w:sz w:val="24"/>
          <w:szCs w:val="24"/>
        </w:rPr>
        <w:t>(</w:t>
      </w:r>
      <w:r w:rsidR="002A1F56" w:rsidRPr="00422183">
        <w:rPr>
          <w:rFonts w:ascii="Rockwell" w:hAnsi="Rockwell" w:cs="Tahoma"/>
          <w:sz w:val="24"/>
          <w:szCs w:val="24"/>
        </w:rPr>
        <w:t>viii</w:t>
      </w:r>
      <w:r w:rsidRPr="00422183">
        <w:rPr>
          <w:rFonts w:ascii="Rockwell" w:hAnsi="Rockwell" w:cs="Tahoma"/>
          <w:sz w:val="24"/>
          <w:szCs w:val="24"/>
        </w:rPr>
        <w:t xml:space="preserve">) la facilitation de l'accès au financement </w:t>
      </w:r>
      <w:r w:rsidR="002975C8" w:rsidRPr="00422183">
        <w:rPr>
          <w:rFonts w:ascii="Rockwell" w:hAnsi="Rockwell" w:cs="Tahoma"/>
          <w:sz w:val="24"/>
          <w:szCs w:val="24"/>
        </w:rPr>
        <w:t xml:space="preserve">, </w:t>
      </w:r>
      <w:r w:rsidRPr="00422183">
        <w:rPr>
          <w:rFonts w:ascii="Rockwell" w:hAnsi="Rockwell" w:cs="Tahoma"/>
          <w:sz w:val="24"/>
          <w:szCs w:val="24"/>
        </w:rPr>
        <w:t>(</w:t>
      </w:r>
      <w:r w:rsidR="009073A9" w:rsidRPr="00422183">
        <w:rPr>
          <w:rFonts w:ascii="Rockwell" w:hAnsi="Rockwell" w:cs="Tahoma"/>
          <w:sz w:val="24"/>
          <w:szCs w:val="24"/>
        </w:rPr>
        <w:t>i</w:t>
      </w:r>
      <w:r w:rsidR="002A1F56" w:rsidRPr="00422183">
        <w:rPr>
          <w:rFonts w:ascii="Rockwell" w:hAnsi="Rockwell" w:cs="Tahoma"/>
          <w:sz w:val="24"/>
          <w:szCs w:val="24"/>
        </w:rPr>
        <w:t>x</w:t>
      </w:r>
      <w:r w:rsidRPr="00422183">
        <w:rPr>
          <w:rFonts w:ascii="Rockwell" w:hAnsi="Rockwell" w:cs="Tahoma"/>
          <w:sz w:val="24"/>
          <w:szCs w:val="24"/>
        </w:rPr>
        <w:t xml:space="preserve">) </w:t>
      </w:r>
      <w:r w:rsidR="00770866" w:rsidRPr="00422183">
        <w:rPr>
          <w:rFonts w:ascii="Rockwell" w:hAnsi="Rockwell" w:cs="Tahoma"/>
          <w:sz w:val="24"/>
          <w:szCs w:val="24"/>
        </w:rPr>
        <w:t>le développement d</w:t>
      </w:r>
      <w:r w:rsidR="006C72DE" w:rsidRPr="00422183">
        <w:rPr>
          <w:rFonts w:ascii="Rockwell" w:hAnsi="Rockwell" w:cs="Tahoma"/>
          <w:sz w:val="24"/>
          <w:szCs w:val="24"/>
        </w:rPr>
        <w:t>'</w:t>
      </w:r>
      <w:r w:rsidRPr="00422183">
        <w:rPr>
          <w:rFonts w:ascii="Rockwell" w:hAnsi="Rockwell" w:cs="Tahoma"/>
          <w:sz w:val="24"/>
          <w:szCs w:val="24"/>
        </w:rPr>
        <w:t>une prospective active permanente pour la recherche des pro</w:t>
      </w:r>
      <w:r w:rsidR="000537AF" w:rsidRPr="00422183">
        <w:rPr>
          <w:rFonts w:ascii="Rockwell" w:hAnsi="Rockwell" w:cs="Tahoma"/>
          <w:sz w:val="24"/>
          <w:szCs w:val="24"/>
        </w:rPr>
        <w:t>duits de niches économiques et d</w:t>
      </w:r>
      <w:r w:rsidRPr="00422183">
        <w:rPr>
          <w:rFonts w:ascii="Rockwell" w:hAnsi="Rockwell" w:cs="Tahoma"/>
          <w:sz w:val="24"/>
          <w:szCs w:val="24"/>
        </w:rPr>
        <w:t>es réformes adéquat</w:t>
      </w:r>
      <w:r w:rsidR="000537AF" w:rsidRPr="00422183">
        <w:rPr>
          <w:rFonts w:ascii="Rockwell" w:hAnsi="Rockwell" w:cs="Tahoma"/>
          <w:sz w:val="24"/>
          <w:szCs w:val="24"/>
        </w:rPr>
        <w:t>e</w:t>
      </w:r>
      <w:r w:rsidRPr="00422183">
        <w:rPr>
          <w:rFonts w:ascii="Rockwell" w:hAnsi="Rockwell" w:cs="Tahoma"/>
          <w:sz w:val="24"/>
          <w:szCs w:val="24"/>
        </w:rPr>
        <w:t>s en vue de limiter les risques futurs</w:t>
      </w:r>
      <w:r w:rsidR="002975C8" w:rsidRPr="00422183">
        <w:rPr>
          <w:rFonts w:ascii="Rockwell" w:hAnsi="Rockwell" w:cs="Tahoma"/>
          <w:sz w:val="24"/>
          <w:szCs w:val="24"/>
        </w:rPr>
        <w:t>, (x) le renforcement de la liaison production-marché, (x</w:t>
      </w:r>
      <w:r w:rsidR="002A1F56" w:rsidRPr="00422183">
        <w:rPr>
          <w:rFonts w:ascii="Rockwell" w:hAnsi="Rockwell" w:cs="Tahoma"/>
          <w:sz w:val="24"/>
          <w:szCs w:val="24"/>
        </w:rPr>
        <w:t>i</w:t>
      </w:r>
      <w:r w:rsidR="002975C8" w:rsidRPr="00422183">
        <w:rPr>
          <w:rFonts w:ascii="Rockwell" w:hAnsi="Rockwell" w:cs="Tahoma"/>
          <w:sz w:val="24"/>
          <w:szCs w:val="24"/>
        </w:rPr>
        <w:t>) l’amélioration du cadre réglementaire et normatif et (xi</w:t>
      </w:r>
      <w:r w:rsidR="002A1F56" w:rsidRPr="00422183">
        <w:rPr>
          <w:rFonts w:ascii="Rockwell" w:hAnsi="Rockwell" w:cs="Tahoma"/>
          <w:sz w:val="24"/>
          <w:szCs w:val="24"/>
        </w:rPr>
        <w:t>i</w:t>
      </w:r>
      <w:r w:rsidR="006828F0" w:rsidRPr="00422183">
        <w:rPr>
          <w:rFonts w:ascii="Rockwell" w:hAnsi="Rockwell" w:cs="Tahoma"/>
          <w:sz w:val="24"/>
          <w:szCs w:val="24"/>
        </w:rPr>
        <w:t>) du développement du tissu</w:t>
      </w:r>
      <w:r w:rsidR="002975C8" w:rsidRPr="00422183">
        <w:rPr>
          <w:rFonts w:ascii="Rockwell" w:hAnsi="Rockwell" w:cs="Tahoma"/>
          <w:sz w:val="24"/>
          <w:szCs w:val="24"/>
        </w:rPr>
        <w:t xml:space="preserve"> d’infrastructures structurantes.</w:t>
      </w:r>
      <w:r w:rsidR="007B7C6D" w:rsidRPr="00422183">
        <w:rPr>
          <w:rFonts w:ascii="Rockwell" w:hAnsi="Rockwell" w:cs="Tahoma"/>
          <w:sz w:val="24"/>
          <w:szCs w:val="24"/>
        </w:rPr>
        <w:t xml:space="preserve"> La résolution de ces défis permettra par ailleurs de contribuer à la sécurité alimentaire.</w:t>
      </w:r>
    </w:p>
    <w:p w:rsidR="00F01A4B" w:rsidRPr="00422183" w:rsidRDefault="00F01A4B" w:rsidP="003A0820">
      <w:pPr>
        <w:spacing w:after="0" w:line="240" w:lineRule="auto"/>
        <w:jc w:val="both"/>
        <w:rPr>
          <w:rFonts w:ascii="Rockwell" w:eastAsiaTheme="majorEastAsia" w:hAnsi="Rockwell" w:cstheme="majorBidi"/>
          <w:bCs/>
          <w:iCs/>
          <w:kern w:val="28"/>
          <w:sz w:val="24"/>
          <w:szCs w:val="24"/>
        </w:rPr>
      </w:pPr>
    </w:p>
    <w:p w:rsidR="009073A9" w:rsidRPr="00422183" w:rsidRDefault="00857A0B" w:rsidP="003A0820">
      <w:pPr>
        <w:pStyle w:val="PNDES4"/>
        <w:rPr>
          <w:rFonts w:ascii="Rockwell" w:hAnsi="Rockwell"/>
          <w:bCs/>
          <w:iCs/>
          <w:kern w:val="28"/>
        </w:rPr>
      </w:pPr>
      <w:bookmarkStart w:id="50" w:name="_Toc452994140"/>
      <w:bookmarkStart w:id="51" w:name="_Toc452994588"/>
      <w:bookmarkStart w:id="52" w:name="_Toc452995028"/>
      <w:bookmarkStart w:id="53" w:name="_Toc453160728"/>
      <w:bookmarkStart w:id="54" w:name="_Toc455132713"/>
      <w:r w:rsidRPr="00422183">
        <w:rPr>
          <w:rFonts w:ascii="Rockwell" w:hAnsi="Rockwell"/>
        </w:rPr>
        <w:t>Un s</w:t>
      </w:r>
      <w:r w:rsidR="00CA31D8" w:rsidRPr="00422183">
        <w:rPr>
          <w:rFonts w:ascii="Rockwell" w:hAnsi="Rockwell"/>
        </w:rPr>
        <w:t>ous-secteur de l'élevage caractérisé</w:t>
      </w:r>
      <w:r w:rsidRPr="00422183">
        <w:rPr>
          <w:rFonts w:ascii="Rockwell" w:hAnsi="Rockwell"/>
        </w:rPr>
        <w:t xml:space="preserve"> par une </w:t>
      </w:r>
      <w:r w:rsidR="00FB7E81" w:rsidRPr="00422183">
        <w:rPr>
          <w:rFonts w:ascii="Rockwell" w:hAnsi="Rockwell"/>
        </w:rPr>
        <w:t>fai</w:t>
      </w:r>
      <w:r w:rsidR="001227F2" w:rsidRPr="00422183">
        <w:rPr>
          <w:rFonts w:ascii="Rockwell" w:hAnsi="Rockwell"/>
        </w:rPr>
        <w:t>bl</w:t>
      </w:r>
      <w:r w:rsidRPr="00422183">
        <w:rPr>
          <w:rFonts w:ascii="Rockwell" w:hAnsi="Rockwell"/>
        </w:rPr>
        <w:t>e compétitivité</w:t>
      </w:r>
      <w:bookmarkEnd w:id="50"/>
      <w:bookmarkEnd w:id="51"/>
      <w:bookmarkEnd w:id="52"/>
      <w:bookmarkEnd w:id="53"/>
      <w:bookmarkEnd w:id="54"/>
    </w:p>
    <w:p w:rsidR="00F01A4B" w:rsidRPr="00422183" w:rsidRDefault="00F01A4B" w:rsidP="003A0820">
      <w:pPr>
        <w:spacing w:after="0" w:line="240" w:lineRule="auto"/>
        <w:jc w:val="both"/>
        <w:rPr>
          <w:rFonts w:ascii="Rockwell" w:eastAsiaTheme="majorEastAsia" w:hAnsi="Rockwell" w:cstheme="majorBidi"/>
          <w:bCs/>
          <w:iCs/>
          <w:kern w:val="28"/>
          <w:sz w:val="24"/>
          <w:szCs w:val="24"/>
        </w:rPr>
      </w:pPr>
    </w:p>
    <w:p w:rsidR="001C5CDE" w:rsidRPr="00422183" w:rsidRDefault="00992C1D" w:rsidP="003A0820">
      <w:pPr>
        <w:tabs>
          <w:tab w:val="left" w:pos="2596"/>
        </w:tabs>
        <w:spacing w:after="0" w:line="240" w:lineRule="auto"/>
        <w:jc w:val="both"/>
        <w:rPr>
          <w:rFonts w:ascii="Rockwell" w:hAnsi="Rockwell" w:cs="Tahoma"/>
          <w:sz w:val="24"/>
          <w:szCs w:val="24"/>
        </w:rPr>
      </w:pPr>
      <w:r w:rsidRPr="00422183">
        <w:rPr>
          <w:rFonts w:ascii="Rockwell" w:hAnsi="Rockwell" w:cs="Tahoma"/>
          <w:sz w:val="24"/>
          <w:szCs w:val="24"/>
        </w:rPr>
        <w:t xml:space="preserve">À </w:t>
      </w:r>
      <w:r w:rsidR="001C5CDE" w:rsidRPr="00422183">
        <w:rPr>
          <w:rFonts w:ascii="Rockwell" w:hAnsi="Rockwell" w:cs="Tahoma"/>
          <w:sz w:val="24"/>
          <w:szCs w:val="24"/>
        </w:rPr>
        <w:t>l</w:t>
      </w:r>
      <w:r w:rsidR="006C72DE" w:rsidRPr="00422183">
        <w:rPr>
          <w:rFonts w:ascii="Rockwell" w:hAnsi="Rockwell" w:cs="Tahoma"/>
          <w:sz w:val="24"/>
          <w:szCs w:val="24"/>
        </w:rPr>
        <w:t>'</w:t>
      </w:r>
      <w:r w:rsidR="001C5CDE" w:rsidRPr="00422183">
        <w:rPr>
          <w:rFonts w:ascii="Rockwell" w:hAnsi="Rockwell" w:cs="Tahoma"/>
          <w:sz w:val="24"/>
          <w:szCs w:val="24"/>
        </w:rPr>
        <w:t>instar du sous-secteur agricole, des acquis</w:t>
      </w:r>
      <w:r w:rsidR="00EA528B" w:rsidRPr="00422183">
        <w:rPr>
          <w:rFonts w:ascii="Rockwell" w:hAnsi="Rockwell" w:cs="Tahoma"/>
          <w:sz w:val="24"/>
          <w:szCs w:val="24"/>
        </w:rPr>
        <w:t xml:space="preserve"> peuvent être relevés dans le sous-secteur de l'élevage</w:t>
      </w:r>
      <w:r w:rsidR="00D51D3C" w:rsidRPr="00422183">
        <w:rPr>
          <w:rFonts w:ascii="Rockwell" w:hAnsi="Rockwell" w:cs="Tahoma"/>
          <w:sz w:val="24"/>
          <w:szCs w:val="24"/>
        </w:rPr>
        <w:t xml:space="preserve"> notamment une augmentation générale des effectifs des bovins de 8,24%, des petits ruminants et de la volaille de 12,55%.</w:t>
      </w:r>
      <w:r w:rsidR="0005668E" w:rsidRPr="00422183">
        <w:rPr>
          <w:rFonts w:ascii="Rockwell" w:hAnsi="Rockwell" w:cs="Tahoma"/>
          <w:sz w:val="24"/>
          <w:szCs w:val="24"/>
        </w:rPr>
        <w:t xml:space="preserve"> </w:t>
      </w:r>
      <w:r w:rsidR="001C5CDE" w:rsidRPr="00422183">
        <w:rPr>
          <w:rFonts w:ascii="Rockwell" w:hAnsi="Rockwell" w:cs="Tahoma"/>
          <w:sz w:val="24"/>
          <w:szCs w:val="24"/>
        </w:rPr>
        <w:t>Cependant,</w:t>
      </w:r>
      <w:r w:rsidR="0083278D" w:rsidRPr="00422183">
        <w:rPr>
          <w:rFonts w:ascii="Rockwell" w:hAnsi="Rockwell" w:cs="Tahoma"/>
          <w:sz w:val="24"/>
          <w:szCs w:val="24"/>
        </w:rPr>
        <w:t xml:space="preserve"> les insuffisances sont importantes</w:t>
      </w:r>
      <w:r w:rsidR="00822311" w:rsidRPr="00422183">
        <w:rPr>
          <w:rFonts w:ascii="Rockwell" w:hAnsi="Rockwell" w:cs="Tahoma"/>
          <w:sz w:val="24"/>
          <w:szCs w:val="24"/>
        </w:rPr>
        <w:t> ;</w:t>
      </w:r>
      <w:r w:rsidR="0083278D" w:rsidRPr="00422183">
        <w:rPr>
          <w:rFonts w:ascii="Rockwell" w:hAnsi="Rockwell" w:cs="Tahoma"/>
          <w:sz w:val="24"/>
          <w:szCs w:val="24"/>
        </w:rPr>
        <w:t xml:space="preserve"> </w:t>
      </w:r>
      <w:r w:rsidR="001C5CDE" w:rsidRPr="00422183">
        <w:rPr>
          <w:rFonts w:ascii="Rockwell" w:hAnsi="Rockwell" w:cs="Tahoma"/>
          <w:sz w:val="24"/>
          <w:szCs w:val="24"/>
        </w:rPr>
        <w:t>l</w:t>
      </w:r>
      <w:r w:rsidR="00E646CF" w:rsidRPr="00422183">
        <w:rPr>
          <w:rFonts w:ascii="Rockwell" w:hAnsi="Rockwell" w:cs="Tahoma"/>
          <w:sz w:val="24"/>
          <w:szCs w:val="24"/>
        </w:rPr>
        <w:t>es princip</w:t>
      </w:r>
      <w:r w:rsidR="001C5CDE" w:rsidRPr="00422183">
        <w:rPr>
          <w:rFonts w:ascii="Rockwell" w:hAnsi="Rockwell" w:cs="Tahoma"/>
          <w:sz w:val="24"/>
          <w:szCs w:val="24"/>
        </w:rPr>
        <w:t>a</w:t>
      </w:r>
      <w:r w:rsidR="00E646CF" w:rsidRPr="00422183">
        <w:rPr>
          <w:rFonts w:ascii="Rockwell" w:hAnsi="Rockwell" w:cs="Tahoma"/>
          <w:sz w:val="24"/>
          <w:szCs w:val="24"/>
        </w:rPr>
        <w:t xml:space="preserve">les </w:t>
      </w:r>
      <w:r w:rsidR="004F06B3" w:rsidRPr="00422183">
        <w:rPr>
          <w:rFonts w:ascii="Rockwell" w:hAnsi="Rockwell" w:cs="Tahoma"/>
          <w:sz w:val="24"/>
          <w:szCs w:val="24"/>
        </w:rPr>
        <w:t xml:space="preserve">portant </w:t>
      </w:r>
      <w:r w:rsidR="00E646CF" w:rsidRPr="00422183">
        <w:rPr>
          <w:rFonts w:ascii="Rockwell" w:hAnsi="Rockwell" w:cs="Tahoma"/>
          <w:sz w:val="24"/>
          <w:szCs w:val="24"/>
        </w:rPr>
        <w:t>sur la productivité et la</w:t>
      </w:r>
      <w:r w:rsidR="001C5CDE" w:rsidRPr="00422183">
        <w:rPr>
          <w:rFonts w:ascii="Rockwell" w:hAnsi="Rockwell" w:cs="Tahoma"/>
          <w:sz w:val="24"/>
          <w:szCs w:val="24"/>
        </w:rPr>
        <w:t xml:space="preserve"> compétitivité des productions animales, la transformation des produits d'élevage, la promotion des entreprises de productions animales modernes et l'organisation des marchés d'élevage. </w:t>
      </w:r>
    </w:p>
    <w:p w:rsidR="001C5CDE" w:rsidRPr="00422183" w:rsidRDefault="001C5CDE" w:rsidP="003A0820">
      <w:pPr>
        <w:tabs>
          <w:tab w:val="left" w:pos="2596"/>
        </w:tabs>
        <w:spacing w:after="0" w:line="240" w:lineRule="auto"/>
        <w:jc w:val="both"/>
        <w:rPr>
          <w:rFonts w:ascii="Rockwell" w:hAnsi="Rockwell" w:cs="Tahoma"/>
          <w:sz w:val="24"/>
          <w:szCs w:val="24"/>
        </w:rPr>
      </w:pPr>
    </w:p>
    <w:p w:rsidR="001C5CDE" w:rsidRPr="00422183" w:rsidRDefault="001C5CDE" w:rsidP="003A0820">
      <w:pPr>
        <w:tabs>
          <w:tab w:val="left" w:pos="2596"/>
        </w:tabs>
        <w:spacing w:after="0" w:line="240" w:lineRule="auto"/>
        <w:jc w:val="both"/>
        <w:rPr>
          <w:rFonts w:ascii="Rockwell" w:hAnsi="Rockwell" w:cs="Tahoma"/>
          <w:sz w:val="24"/>
          <w:szCs w:val="24"/>
        </w:rPr>
      </w:pPr>
      <w:r w:rsidRPr="00422183">
        <w:rPr>
          <w:rFonts w:ascii="Rockwell" w:hAnsi="Rockwell" w:cs="Tahoma"/>
          <w:sz w:val="24"/>
          <w:szCs w:val="24"/>
        </w:rPr>
        <w:t>Au regard de ce</w:t>
      </w:r>
      <w:r w:rsidR="0005668E" w:rsidRPr="00422183">
        <w:rPr>
          <w:rFonts w:ascii="Rockwell" w:hAnsi="Rockwell" w:cs="Tahoma"/>
          <w:sz w:val="24"/>
          <w:szCs w:val="24"/>
        </w:rPr>
        <w:t>s</w:t>
      </w:r>
      <w:r w:rsidR="00E646CF" w:rsidRPr="00422183">
        <w:rPr>
          <w:rFonts w:ascii="Rockwell" w:hAnsi="Rockwell" w:cs="Tahoma"/>
          <w:sz w:val="24"/>
          <w:szCs w:val="24"/>
        </w:rPr>
        <w:t xml:space="preserve"> insuffisances, </w:t>
      </w:r>
      <w:r w:rsidR="004F06B3" w:rsidRPr="00422183">
        <w:rPr>
          <w:rFonts w:ascii="Rockwell" w:hAnsi="Rockwell" w:cs="Tahoma"/>
          <w:sz w:val="24"/>
          <w:szCs w:val="24"/>
        </w:rPr>
        <w:t>il importe d'assurer</w:t>
      </w:r>
      <w:r w:rsidRPr="00422183">
        <w:rPr>
          <w:rFonts w:ascii="Rockwell" w:hAnsi="Rockwell" w:cs="Tahoma"/>
          <w:sz w:val="24"/>
          <w:szCs w:val="24"/>
        </w:rPr>
        <w:t xml:space="preserve"> : (i) la facilitation de l'accès aux intrants et équipements,</w:t>
      </w:r>
      <w:r w:rsidR="0005668E" w:rsidRPr="00422183">
        <w:rPr>
          <w:rFonts w:ascii="Rockwell" w:hAnsi="Rockwell" w:cs="Tahoma"/>
          <w:sz w:val="24"/>
          <w:szCs w:val="24"/>
        </w:rPr>
        <w:t xml:space="preserve"> (ii) l</w:t>
      </w:r>
      <w:r w:rsidR="006C72DE" w:rsidRPr="00422183">
        <w:rPr>
          <w:rFonts w:ascii="Rockwell" w:hAnsi="Rockwell" w:cs="Tahoma"/>
          <w:sz w:val="24"/>
          <w:szCs w:val="24"/>
        </w:rPr>
        <w:t>'</w:t>
      </w:r>
      <w:r w:rsidR="0005668E" w:rsidRPr="00422183">
        <w:rPr>
          <w:rFonts w:ascii="Rockwell" w:hAnsi="Rockwell" w:cs="Tahoma"/>
          <w:sz w:val="24"/>
          <w:szCs w:val="24"/>
        </w:rPr>
        <w:t xml:space="preserve">accès aux crédits, </w:t>
      </w:r>
      <w:r w:rsidRPr="00422183">
        <w:rPr>
          <w:rFonts w:ascii="Rockwell" w:hAnsi="Rockwell" w:cs="Tahoma"/>
          <w:sz w:val="24"/>
          <w:szCs w:val="24"/>
        </w:rPr>
        <w:t>(i</w:t>
      </w:r>
      <w:r w:rsidR="0005668E" w:rsidRPr="00422183">
        <w:rPr>
          <w:rFonts w:ascii="Rockwell" w:hAnsi="Rockwell" w:cs="Tahoma"/>
          <w:sz w:val="24"/>
          <w:szCs w:val="24"/>
        </w:rPr>
        <w:t>i</w:t>
      </w:r>
      <w:r w:rsidRPr="00422183">
        <w:rPr>
          <w:rFonts w:ascii="Rockwell" w:hAnsi="Rockwell" w:cs="Tahoma"/>
          <w:sz w:val="24"/>
          <w:szCs w:val="24"/>
        </w:rPr>
        <w:t xml:space="preserve">i) l'augmentation et la modernisation des capacités </w:t>
      </w:r>
      <w:r w:rsidR="0005668E" w:rsidRPr="00422183">
        <w:rPr>
          <w:rFonts w:ascii="Rockwell" w:hAnsi="Rockwell" w:cs="Tahoma"/>
          <w:sz w:val="24"/>
          <w:szCs w:val="24"/>
        </w:rPr>
        <w:t xml:space="preserve">de transformations des produits carnés, </w:t>
      </w:r>
      <w:r w:rsidRPr="00422183">
        <w:rPr>
          <w:rFonts w:ascii="Rockwell" w:hAnsi="Rockwell" w:cs="Tahoma"/>
          <w:sz w:val="24"/>
          <w:szCs w:val="24"/>
        </w:rPr>
        <w:t>(i</w:t>
      </w:r>
      <w:r w:rsidR="0005668E" w:rsidRPr="00422183">
        <w:rPr>
          <w:rFonts w:ascii="Rockwell" w:hAnsi="Rockwell" w:cs="Tahoma"/>
          <w:sz w:val="24"/>
          <w:szCs w:val="24"/>
        </w:rPr>
        <w:t>v</w:t>
      </w:r>
      <w:r w:rsidRPr="00422183">
        <w:rPr>
          <w:rFonts w:ascii="Rockwell" w:hAnsi="Rockwell" w:cs="Tahoma"/>
          <w:sz w:val="24"/>
          <w:szCs w:val="24"/>
        </w:rPr>
        <w:t xml:space="preserve">) </w:t>
      </w:r>
      <w:r w:rsidR="0005668E" w:rsidRPr="00422183">
        <w:rPr>
          <w:rFonts w:ascii="Rockwell" w:hAnsi="Rockwell" w:cs="Tahoma"/>
          <w:sz w:val="24"/>
          <w:szCs w:val="24"/>
        </w:rPr>
        <w:t>l</w:t>
      </w:r>
      <w:r w:rsidR="006C72DE" w:rsidRPr="00422183">
        <w:rPr>
          <w:rFonts w:ascii="Rockwell" w:hAnsi="Rockwell" w:cs="Tahoma"/>
          <w:sz w:val="24"/>
          <w:szCs w:val="24"/>
        </w:rPr>
        <w:t>'</w:t>
      </w:r>
      <w:r w:rsidRPr="00422183">
        <w:rPr>
          <w:rFonts w:ascii="Rockwell" w:hAnsi="Rockwell" w:cs="Tahoma"/>
          <w:sz w:val="24"/>
          <w:szCs w:val="24"/>
        </w:rPr>
        <w:t>organisation incitative du marché, (v) le renforcement de la formation professionnelle adaptée et de la recherche développement en production animale</w:t>
      </w:r>
      <w:r w:rsidR="00C03BC3" w:rsidRPr="00422183">
        <w:rPr>
          <w:rFonts w:ascii="Rockwell" w:hAnsi="Rockwell" w:cs="Tahoma"/>
          <w:sz w:val="24"/>
          <w:szCs w:val="24"/>
        </w:rPr>
        <w:t xml:space="preserve"> et </w:t>
      </w:r>
      <w:r w:rsidRPr="00422183">
        <w:rPr>
          <w:rFonts w:ascii="Rockwell" w:hAnsi="Rockwell" w:cs="Tahoma"/>
          <w:sz w:val="24"/>
          <w:szCs w:val="24"/>
        </w:rPr>
        <w:t>(v</w:t>
      </w:r>
      <w:r w:rsidR="0005668E" w:rsidRPr="00422183">
        <w:rPr>
          <w:rFonts w:ascii="Rockwell" w:hAnsi="Rockwell" w:cs="Tahoma"/>
          <w:sz w:val="24"/>
          <w:szCs w:val="24"/>
        </w:rPr>
        <w:t>i</w:t>
      </w:r>
      <w:r w:rsidRPr="00422183">
        <w:rPr>
          <w:rFonts w:ascii="Rockwell" w:hAnsi="Rockwell" w:cs="Tahoma"/>
          <w:sz w:val="24"/>
          <w:szCs w:val="24"/>
        </w:rPr>
        <w:t xml:space="preserve">) le renforcement de la résilience de sous-secteur aux risques d'élevage notamment </w:t>
      </w:r>
      <w:r w:rsidR="0005668E" w:rsidRPr="00422183">
        <w:rPr>
          <w:rFonts w:ascii="Rockwell" w:hAnsi="Rockwell" w:cs="Tahoma"/>
          <w:sz w:val="24"/>
          <w:szCs w:val="24"/>
        </w:rPr>
        <w:t xml:space="preserve">les </w:t>
      </w:r>
      <w:r w:rsidRPr="00422183">
        <w:rPr>
          <w:rFonts w:ascii="Rockwell" w:hAnsi="Rockwell" w:cs="Tahoma"/>
          <w:sz w:val="24"/>
          <w:szCs w:val="24"/>
        </w:rPr>
        <w:t>chocs zoo-sanitaires, les chocs climatiques et les conflits</w:t>
      </w:r>
      <w:r w:rsidR="00C03BC3" w:rsidRPr="00422183">
        <w:rPr>
          <w:rFonts w:ascii="Rockwell" w:hAnsi="Rockwell" w:cs="Tahoma"/>
          <w:sz w:val="24"/>
          <w:szCs w:val="24"/>
        </w:rPr>
        <w:t>.</w:t>
      </w:r>
    </w:p>
    <w:p w:rsidR="00CA31D8" w:rsidRPr="00422183" w:rsidRDefault="00CA31D8" w:rsidP="003A0820">
      <w:pPr>
        <w:spacing w:after="0" w:line="240" w:lineRule="auto"/>
        <w:jc w:val="both"/>
        <w:rPr>
          <w:rFonts w:ascii="Rockwell" w:eastAsiaTheme="majorEastAsia" w:hAnsi="Rockwell" w:cstheme="majorBidi"/>
          <w:bCs/>
          <w:iCs/>
          <w:kern w:val="28"/>
          <w:sz w:val="24"/>
          <w:szCs w:val="24"/>
        </w:rPr>
      </w:pPr>
    </w:p>
    <w:p w:rsidR="00E646CF" w:rsidRPr="00422183" w:rsidRDefault="00852BE9" w:rsidP="003A0820">
      <w:pPr>
        <w:pStyle w:val="PNDES4"/>
        <w:rPr>
          <w:rFonts w:ascii="Rockwell" w:hAnsi="Rockwell"/>
        </w:rPr>
      </w:pPr>
      <w:bookmarkStart w:id="55" w:name="_Toc452994141"/>
      <w:bookmarkStart w:id="56" w:name="_Toc452994589"/>
      <w:bookmarkStart w:id="57" w:name="_Toc452995029"/>
      <w:bookmarkStart w:id="58" w:name="_Toc453160729"/>
      <w:bookmarkStart w:id="59" w:name="_Toc455132714"/>
      <w:r w:rsidRPr="00422183">
        <w:rPr>
          <w:rFonts w:ascii="Rockwell" w:hAnsi="Rockwell"/>
        </w:rPr>
        <w:t>Un s</w:t>
      </w:r>
      <w:r w:rsidR="00E646CF" w:rsidRPr="00422183">
        <w:rPr>
          <w:rFonts w:ascii="Rockwell" w:hAnsi="Rockwell"/>
        </w:rPr>
        <w:t>ous-secteur des ressources halieutiques faiblement développé</w:t>
      </w:r>
      <w:bookmarkEnd w:id="55"/>
      <w:bookmarkEnd w:id="56"/>
      <w:bookmarkEnd w:id="57"/>
      <w:bookmarkEnd w:id="58"/>
      <w:bookmarkEnd w:id="59"/>
    </w:p>
    <w:p w:rsidR="00E646CF" w:rsidRPr="00422183" w:rsidRDefault="00E646CF" w:rsidP="003A0820">
      <w:pPr>
        <w:autoSpaceDE w:val="0"/>
        <w:autoSpaceDN w:val="0"/>
        <w:adjustRightInd w:val="0"/>
        <w:spacing w:after="0" w:line="240" w:lineRule="auto"/>
        <w:jc w:val="both"/>
        <w:rPr>
          <w:rFonts w:ascii="Rockwell" w:eastAsiaTheme="majorEastAsia" w:hAnsi="Rockwell" w:cstheme="majorBidi"/>
          <w:iCs/>
          <w:sz w:val="24"/>
          <w:szCs w:val="24"/>
        </w:rPr>
      </w:pPr>
    </w:p>
    <w:p w:rsidR="00A539EB" w:rsidRPr="00422183" w:rsidRDefault="00A539EB" w:rsidP="003A0820">
      <w:pPr>
        <w:autoSpaceDE w:val="0"/>
        <w:autoSpaceDN w:val="0"/>
        <w:adjustRightInd w:val="0"/>
        <w:spacing w:after="0" w:line="240" w:lineRule="auto"/>
        <w:jc w:val="both"/>
        <w:rPr>
          <w:rFonts w:ascii="Rockwell" w:eastAsiaTheme="majorEastAsia" w:hAnsi="Rockwell" w:cstheme="majorBidi"/>
          <w:iCs/>
          <w:sz w:val="24"/>
          <w:szCs w:val="24"/>
        </w:rPr>
      </w:pPr>
      <w:r w:rsidRPr="00422183">
        <w:rPr>
          <w:rFonts w:ascii="Rockwell" w:eastAsiaTheme="majorEastAsia" w:hAnsi="Rockwell" w:cstheme="majorBidi"/>
          <w:iCs/>
          <w:sz w:val="24"/>
          <w:szCs w:val="24"/>
        </w:rPr>
        <w:t xml:space="preserve">La production halieutique a enregistré une augmentation </w:t>
      </w:r>
      <w:r w:rsidRPr="00422183">
        <w:rPr>
          <w:rFonts w:ascii="Rockwell" w:hAnsi="Rockwell" w:cs="Tahoma"/>
          <w:sz w:val="24"/>
          <w:szCs w:val="24"/>
        </w:rPr>
        <w:t>de 38% entre 2011 et 2015, passant de 15 200 à 20 977 tonnes. Malgré cette augmentation, elle peine à couvrir un cinquième du besoin de consommation nationale estimé à 3,49 kg/personne/an. Ainsi, le Burkina Faso reste fortement dépendant des importations de produits halieutiques.</w:t>
      </w:r>
      <w:r w:rsidRPr="00422183" w:rsidDel="00A539EB">
        <w:rPr>
          <w:rFonts w:ascii="Rockwell" w:eastAsiaTheme="majorEastAsia" w:hAnsi="Rockwell" w:cstheme="majorBidi"/>
          <w:iCs/>
          <w:sz w:val="24"/>
          <w:szCs w:val="24"/>
        </w:rPr>
        <w:t xml:space="preserve"> </w:t>
      </w:r>
    </w:p>
    <w:p w:rsidR="00E646CF" w:rsidRPr="00422183" w:rsidRDefault="00E646CF" w:rsidP="003A0820">
      <w:pPr>
        <w:autoSpaceDE w:val="0"/>
        <w:autoSpaceDN w:val="0"/>
        <w:adjustRightInd w:val="0"/>
        <w:spacing w:after="0" w:line="240" w:lineRule="auto"/>
        <w:jc w:val="both"/>
        <w:rPr>
          <w:rFonts w:ascii="Rockwell" w:eastAsiaTheme="majorEastAsia" w:hAnsi="Rockwell" w:cstheme="majorBidi"/>
          <w:iCs/>
          <w:sz w:val="24"/>
          <w:szCs w:val="24"/>
        </w:rPr>
      </w:pPr>
    </w:p>
    <w:p w:rsidR="00E646CF" w:rsidRPr="00422183" w:rsidRDefault="00E646CF" w:rsidP="003A0820">
      <w:pPr>
        <w:autoSpaceDE w:val="0"/>
        <w:autoSpaceDN w:val="0"/>
        <w:adjustRightInd w:val="0"/>
        <w:spacing w:after="0" w:line="240" w:lineRule="auto"/>
        <w:jc w:val="both"/>
        <w:rPr>
          <w:rFonts w:ascii="Rockwell" w:eastAsiaTheme="majorEastAsia" w:hAnsi="Rockwell" w:cstheme="majorBidi"/>
          <w:iCs/>
          <w:sz w:val="24"/>
          <w:szCs w:val="24"/>
        </w:rPr>
      </w:pPr>
      <w:r w:rsidRPr="00422183">
        <w:rPr>
          <w:rFonts w:ascii="Rockwell" w:hAnsi="Rockwell" w:cs="Tahoma"/>
          <w:sz w:val="24"/>
          <w:szCs w:val="24"/>
        </w:rPr>
        <w:t>Pour inverser la tendance et atteindre une couverture de plus de 50%</w:t>
      </w:r>
      <w:r w:rsidR="00B126F5" w:rsidRPr="00422183">
        <w:rPr>
          <w:rFonts w:ascii="Rockwell" w:hAnsi="Rockwell" w:cs="Tahoma"/>
          <w:sz w:val="24"/>
          <w:szCs w:val="24"/>
        </w:rPr>
        <w:t xml:space="preserve"> des besoins de consommation</w:t>
      </w:r>
      <w:r w:rsidRPr="00422183">
        <w:rPr>
          <w:rFonts w:ascii="Rockwell" w:hAnsi="Rockwell" w:cs="Tahoma"/>
          <w:sz w:val="24"/>
          <w:szCs w:val="24"/>
        </w:rPr>
        <w:t xml:space="preserve">, </w:t>
      </w:r>
      <w:r w:rsidR="004F06B3" w:rsidRPr="00422183">
        <w:rPr>
          <w:rFonts w:ascii="Rockwell" w:hAnsi="Rockwell" w:cs="Tahoma"/>
          <w:sz w:val="24"/>
          <w:szCs w:val="24"/>
        </w:rPr>
        <w:t>il faudra permettre</w:t>
      </w:r>
      <w:r w:rsidR="003708F8" w:rsidRPr="00422183">
        <w:rPr>
          <w:rFonts w:ascii="Rockwell" w:hAnsi="Rockwell" w:cs="Tahoma"/>
          <w:sz w:val="24"/>
          <w:szCs w:val="24"/>
        </w:rPr>
        <w:t> : (i) l</w:t>
      </w:r>
      <w:r w:rsidR="006C72DE" w:rsidRPr="00422183">
        <w:rPr>
          <w:rFonts w:ascii="Rockwell" w:hAnsi="Rockwell" w:cs="Tahoma"/>
          <w:sz w:val="24"/>
          <w:szCs w:val="24"/>
        </w:rPr>
        <w:t>'</w:t>
      </w:r>
      <w:r w:rsidR="003708F8" w:rsidRPr="00422183">
        <w:rPr>
          <w:rFonts w:ascii="Rockwell" w:hAnsi="Rockwell" w:cs="Tahoma"/>
          <w:sz w:val="24"/>
          <w:szCs w:val="24"/>
        </w:rPr>
        <w:t xml:space="preserve">amélioration des capacités </w:t>
      </w:r>
      <w:r w:rsidR="00770866" w:rsidRPr="00422183">
        <w:rPr>
          <w:rFonts w:ascii="Rockwell" w:hAnsi="Rockwell" w:cs="Tahoma"/>
          <w:sz w:val="24"/>
          <w:szCs w:val="24"/>
        </w:rPr>
        <w:t xml:space="preserve">nationales </w:t>
      </w:r>
      <w:r w:rsidR="003708F8" w:rsidRPr="00422183">
        <w:rPr>
          <w:rFonts w:ascii="Rockwell" w:hAnsi="Rockwell" w:cs="Tahoma"/>
          <w:sz w:val="24"/>
          <w:szCs w:val="24"/>
        </w:rPr>
        <w:t>de production halieutique, (ii) l</w:t>
      </w:r>
      <w:r w:rsidRPr="00422183">
        <w:rPr>
          <w:rFonts w:ascii="Rockwell" w:hAnsi="Rockwell" w:cs="Tahoma"/>
          <w:sz w:val="24"/>
          <w:szCs w:val="24"/>
        </w:rPr>
        <w:t>'intégr</w:t>
      </w:r>
      <w:r w:rsidR="003708F8" w:rsidRPr="00422183">
        <w:rPr>
          <w:rFonts w:ascii="Rockwell" w:hAnsi="Rockwell" w:cs="Tahoma"/>
          <w:sz w:val="24"/>
          <w:szCs w:val="24"/>
        </w:rPr>
        <w:t xml:space="preserve">ation de </w:t>
      </w:r>
      <w:r w:rsidRPr="00422183">
        <w:rPr>
          <w:rFonts w:ascii="Rockwell" w:hAnsi="Rockwell" w:cs="Tahoma"/>
          <w:sz w:val="24"/>
          <w:szCs w:val="24"/>
        </w:rPr>
        <w:t>la protection des ressources halieutiques dans les projets de construction de barrage</w:t>
      </w:r>
      <w:r w:rsidR="00B126F5" w:rsidRPr="00422183">
        <w:rPr>
          <w:rFonts w:ascii="Rockwell" w:hAnsi="Rockwell" w:cs="Tahoma"/>
          <w:sz w:val="24"/>
          <w:szCs w:val="24"/>
        </w:rPr>
        <w:t>s</w:t>
      </w:r>
      <w:r w:rsidRPr="00422183">
        <w:rPr>
          <w:rFonts w:ascii="Rockwell" w:hAnsi="Rockwell" w:cs="Tahoma"/>
          <w:sz w:val="24"/>
          <w:szCs w:val="24"/>
        </w:rPr>
        <w:t xml:space="preserve"> et de retenue</w:t>
      </w:r>
      <w:r w:rsidR="00B126F5" w:rsidRPr="00422183">
        <w:rPr>
          <w:rFonts w:ascii="Rockwell" w:hAnsi="Rockwell" w:cs="Tahoma"/>
          <w:sz w:val="24"/>
          <w:szCs w:val="24"/>
        </w:rPr>
        <w:t>s</w:t>
      </w:r>
      <w:r w:rsidRPr="00422183">
        <w:rPr>
          <w:rFonts w:ascii="Rockwell" w:hAnsi="Rockwell" w:cs="Tahoma"/>
          <w:sz w:val="24"/>
          <w:szCs w:val="24"/>
        </w:rPr>
        <w:t xml:space="preserve"> d'eau, (iii) </w:t>
      </w:r>
      <w:r w:rsidR="005C106C" w:rsidRPr="00422183">
        <w:rPr>
          <w:rFonts w:ascii="Rockwell" w:hAnsi="Rockwell" w:cs="Tahoma"/>
          <w:sz w:val="24"/>
          <w:szCs w:val="24"/>
        </w:rPr>
        <w:t>l</w:t>
      </w:r>
      <w:r w:rsidRPr="00422183">
        <w:rPr>
          <w:rFonts w:ascii="Rockwell" w:hAnsi="Rockwell" w:cs="Tahoma"/>
          <w:sz w:val="24"/>
          <w:szCs w:val="24"/>
        </w:rPr>
        <w:t>e renforce</w:t>
      </w:r>
      <w:r w:rsidR="005C106C" w:rsidRPr="00422183">
        <w:rPr>
          <w:rFonts w:ascii="Rockwell" w:hAnsi="Rockwell" w:cs="Tahoma"/>
          <w:sz w:val="24"/>
          <w:szCs w:val="24"/>
        </w:rPr>
        <w:t xml:space="preserve">ment de </w:t>
      </w:r>
      <w:r w:rsidRPr="00422183">
        <w:rPr>
          <w:rFonts w:ascii="Rockwell" w:hAnsi="Rockwell" w:cs="Tahoma"/>
          <w:sz w:val="24"/>
          <w:szCs w:val="24"/>
        </w:rPr>
        <w:t xml:space="preserve">la recherche-développement en matière de pêche et d'aquaculture, (iv) l'accès aux crédits des acteurs de la pêche et de l'aquaculture, (v) </w:t>
      </w:r>
      <w:r w:rsidR="005C106C" w:rsidRPr="00422183">
        <w:rPr>
          <w:rFonts w:ascii="Rockwell" w:hAnsi="Rockwell" w:cs="Tahoma"/>
          <w:sz w:val="24"/>
          <w:szCs w:val="24"/>
        </w:rPr>
        <w:t>l</w:t>
      </w:r>
      <w:r w:rsidRPr="00422183">
        <w:rPr>
          <w:rFonts w:ascii="Rockwell" w:hAnsi="Rockwell" w:cs="Tahoma"/>
          <w:sz w:val="24"/>
          <w:szCs w:val="24"/>
        </w:rPr>
        <w:t>'organis</w:t>
      </w:r>
      <w:r w:rsidR="005C106C" w:rsidRPr="00422183">
        <w:rPr>
          <w:rFonts w:ascii="Rockwell" w:hAnsi="Rockwell" w:cs="Tahoma"/>
          <w:sz w:val="24"/>
          <w:szCs w:val="24"/>
        </w:rPr>
        <w:t xml:space="preserve">ation </w:t>
      </w:r>
      <w:r w:rsidRPr="00422183">
        <w:rPr>
          <w:rFonts w:ascii="Rockwell" w:hAnsi="Rockwell" w:cs="Tahoma"/>
          <w:sz w:val="24"/>
          <w:szCs w:val="24"/>
        </w:rPr>
        <w:t xml:space="preserve">et </w:t>
      </w:r>
      <w:r w:rsidR="005C106C" w:rsidRPr="00422183">
        <w:rPr>
          <w:rFonts w:ascii="Rockwell" w:hAnsi="Rockwell" w:cs="Tahoma"/>
          <w:sz w:val="24"/>
          <w:szCs w:val="24"/>
        </w:rPr>
        <w:t>l</w:t>
      </w:r>
      <w:r w:rsidRPr="00422183">
        <w:rPr>
          <w:rFonts w:ascii="Rockwell" w:hAnsi="Rockwell" w:cs="Tahoma"/>
          <w:sz w:val="24"/>
          <w:szCs w:val="24"/>
        </w:rPr>
        <w:t>e renforce</w:t>
      </w:r>
      <w:r w:rsidR="005C106C" w:rsidRPr="00422183">
        <w:rPr>
          <w:rFonts w:ascii="Rockwell" w:hAnsi="Rockwell" w:cs="Tahoma"/>
          <w:sz w:val="24"/>
          <w:szCs w:val="24"/>
        </w:rPr>
        <w:t>ment d</w:t>
      </w:r>
      <w:r w:rsidRPr="00422183">
        <w:rPr>
          <w:rFonts w:ascii="Rockwell" w:hAnsi="Rockwell" w:cs="Tahoma"/>
          <w:sz w:val="24"/>
          <w:szCs w:val="24"/>
        </w:rPr>
        <w:t>es capacités des communautés de pêcheurs.</w:t>
      </w:r>
    </w:p>
    <w:p w:rsidR="00CA31D8" w:rsidRPr="00422183" w:rsidRDefault="00CA31D8" w:rsidP="003A0820">
      <w:pPr>
        <w:spacing w:after="0" w:line="240" w:lineRule="auto"/>
        <w:jc w:val="both"/>
        <w:rPr>
          <w:rFonts w:ascii="Rockwell" w:eastAsiaTheme="majorEastAsia" w:hAnsi="Rockwell" w:cstheme="majorBidi"/>
          <w:bCs/>
          <w:iCs/>
          <w:kern w:val="28"/>
          <w:sz w:val="24"/>
          <w:szCs w:val="24"/>
        </w:rPr>
      </w:pPr>
    </w:p>
    <w:p w:rsidR="00CA31D8" w:rsidRPr="00422183" w:rsidRDefault="00852BE9" w:rsidP="003A0820">
      <w:pPr>
        <w:pStyle w:val="PNDES4"/>
        <w:rPr>
          <w:rFonts w:ascii="Rockwell" w:hAnsi="Rockwell"/>
        </w:rPr>
      </w:pPr>
      <w:bookmarkStart w:id="60" w:name="_Toc452994142"/>
      <w:bookmarkStart w:id="61" w:name="_Toc452994590"/>
      <w:bookmarkStart w:id="62" w:name="_Toc452995030"/>
      <w:bookmarkStart w:id="63" w:name="_Toc453160730"/>
      <w:bookmarkStart w:id="64" w:name="_Toc455132715"/>
      <w:r w:rsidRPr="00422183">
        <w:rPr>
          <w:rFonts w:ascii="Rockwell" w:hAnsi="Rockwell"/>
        </w:rPr>
        <w:t>Un s</w:t>
      </w:r>
      <w:r w:rsidR="00E66FCB" w:rsidRPr="00422183">
        <w:rPr>
          <w:rFonts w:ascii="Rockwell" w:hAnsi="Rockwell"/>
        </w:rPr>
        <w:t xml:space="preserve">ous-secteur de la production </w:t>
      </w:r>
      <w:r w:rsidR="00770866" w:rsidRPr="00422183">
        <w:rPr>
          <w:rFonts w:ascii="Rockwell" w:hAnsi="Rockwell"/>
        </w:rPr>
        <w:t>forestière et</w:t>
      </w:r>
      <w:r w:rsidR="00E66FCB" w:rsidRPr="00422183">
        <w:rPr>
          <w:rFonts w:ascii="Rockwell" w:hAnsi="Rockwell"/>
        </w:rPr>
        <w:t xml:space="preserve"> faunique</w:t>
      </w:r>
      <w:r w:rsidR="009541FB" w:rsidRPr="00422183">
        <w:rPr>
          <w:rFonts w:ascii="Rockwell" w:hAnsi="Rockwell"/>
        </w:rPr>
        <w:t xml:space="preserve"> devant accroître sa production</w:t>
      </w:r>
      <w:bookmarkEnd w:id="60"/>
      <w:bookmarkEnd w:id="61"/>
      <w:bookmarkEnd w:id="62"/>
      <w:bookmarkEnd w:id="63"/>
      <w:bookmarkEnd w:id="64"/>
    </w:p>
    <w:p w:rsidR="00E66FCB" w:rsidRPr="00422183" w:rsidRDefault="00E66FCB" w:rsidP="003A0820">
      <w:pPr>
        <w:spacing w:after="0" w:line="240" w:lineRule="auto"/>
        <w:jc w:val="both"/>
        <w:rPr>
          <w:rFonts w:ascii="Rockwell" w:eastAsiaTheme="majorEastAsia" w:hAnsi="Rockwell" w:cstheme="majorBidi"/>
          <w:bCs/>
          <w:iCs/>
          <w:kern w:val="28"/>
          <w:sz w:val="24"/>
          <w:szCs w:val="24"/>
        </w:rPr>
      </w:pPr>
    </w:p>
    <w:p w:rsidR="003F02F3" w:rsidRPr="00422183" w:rsidRDefault="00DB5EB2" w:rsidP="003A0820">
      <w:pPr>
        <w:autoSpaceDE w:val="0"/>
        <w:autoSpaceDN w:val="0"/>
        <w:adjustRightInd w:val="0"/>
        <w:spacing w:after="0" w:line="240" w:lineRule="auto"/>
        <w:jc w:val="both"/>
        <w:rPr>
          <w:rFonts w:ascii="Rockwell" w:eastAsiaTheme="majorEastAsia" w:hAnsi="Rockwell" w:cstheme="majorBidi"/>
          <w:iCs/>
          <w:sz w:val="24"/>
          <w:szCs w:val="24"/>
        </w:rPr>
      </w:pPr>
      <w:r w:rsidRPr="00422183">
        <w:rPr>
          <w:rFonts w:ascii="Rockwell" w:eastAsiaTheme="majorEastAsia" w:hAnsi="Rockwell" w:cstheme="majorBidi"/>
          <w:iCs/>
          <w:sz w:val="24"/>
          <w:szCs w:val="24"/>
        </w:rPr>
        <w:t>Les exploitations forestières et fauniques sont importantes en termes d'emplois pourvus, de revenus générés, aussi bien pour les populations que pour l'État. En effet</w:t>
      </w:r>
      <w:r w:rsidR="00842C3D" w:rsidRPr="00422183">
        <w:rPr>
          <w:rFonts w:ascii="Rockwell" w:eastAsiaTheme="majorEastAsia" w:hAnsi="Rockwell" w:cstheme="majorBidi"/>
          <w:iCs/>
          <w:sz w:val="24"/>
          <w:szCs w:val="24"/>
        </w:rPr>
        <w:t>,</w:t>
      </w:r>
      <w:r w:rsidRPr="00422183">
        <w:rPr>
          <w:rFonts w:ascii="Rockwell" w:eastAsiaTheme="majorEastAsia" w:hAnsi="Rockwell" w:cstheme="majorBidi"/>
          <w:iCs/>
          <w:sz w:val="24"/>
          <w:szCs w:val="24"/>
        </w:rPr>
        <w:t xml:space="preserve"> leur part dans le PIB a connu </w:t>
      </w:r>
      <w:r w:rsidR="00E66FCB" w:rsidRPr="00422183">
        <w:rPr>
          <w:rFonts w:ascii="Rockwell" w:eastAsiaTheme="majorEastAsia" w:hAnsi="Rockwell" w:cstheme="majorBidi"/>
          <w:iCs/>
          <w:sz w:val="24"/>
          <w:szCs w:val="24"/>
        </w:rPr>
        <w:t xml:space="preserve">une augmentation </w:t>
      </w:r>
      <w:r w:rsidR="00256B8F" w:rsidRPr="00422183">
        <w:rPr>
          <w:rFonts w:ascii="Rockwell" w:eastAsiaTheme="majorEastAsia" w:hAnsi="Rockwell" w:cstheme="majorBidi"/>
          <w:iCs/>
          <w:sz w:val="24"/>
          <w:szCs w:val="24"/>
        </w:rPr>
        <w:t>entre</w:t>
      </w:r>
      <w:r w:rsidR="00E66FCB" w:rsidRPr="00422183">
        <w:rPr>
          <w:rFonts w:ascii="Rockwell" w:eastAsiaTheme="majorEastAsia" w:hAnsi="Rockwell" w:cstheme="majorBidi"/>
          <w:iCs/>
          <w:sz w:val="24"/>
          <w:szCs w:val="24"/>
        </w:rPr>
        <w:t xml:space="preserve"> 199</w:t>
      </w:r>
      <w:r w:rsidRPr="00422183">
        <w:rPr>
          <w:rFonts w:ascii="Rockwell" w:eastAsiaTheme="majorEastAsia" w:hAnsi="Rockwell" w:cstheme="majorBidi"/>
          <w:iCs/>
          <w:sz w:val="24"/>
          <w:szCs w:val="24"/>
        </w:rPr>
        <w:t>6</w:t>
      </w:r>
      <w:r w:rsidR="00E66FCB" w:rsidRPr="00422183">
        <w:rPr>
          <w:rFonts w:ascii="Rockwell" w:eastAsiaTheme="majorEastAsia" w:hAnsi="Rockwell" w:cstheme="majorBidi"/>
          <w:iCs/>
          <w:sz w:val="24"/>
          <w:szCs w:val="24"/>
        </w:rPr>
        <w:t xml:space="preserve"> </w:t>
      </w:r>
      <w:r w:rsidR="006D07CD" w:rsidRPr="00422183">
        <w:rPr>
          <w:rFonts w:ascii="Rockwell" w:eastAsiaTheme="majorEastAsia" w:hAnsi="Rockwell" w:cstheme="majorBidi"/>
          <w:iCs/>
          <w:sz w:val="24"/>
          <w:szCs w:val="24"/>
        </w:rPr>
        <w:t>et 201</w:t>
      </w:r>
      <w:r w:rsidRPr="00422183">
        <w:rPr>
          <w:rFonts w:ascii="Rockwell" w:eastAsiaTheme="majorEastAsia" w:hAnsi="Rockwell" w:cstheme="majorBidi"/>
          <w:iCs/>
          <w:sz w:val="24"/>
          <w:szCs w:val="24"/>
        </w:rPr>
        <w:t>5</w:t>
      </w:r>
      <w:r w:rsidR="00E66FCB" w:rsidRPr="00422183">
        <w:rPr>
          <w:rFonts w:ascii="Rockwell" w:eastAsiaTheme="majorEastAsia" w:hAnsi="Rockwell" w:cstheme="majorBidi"/>
          <w:iCs/>
          <w:sz w:val="24"/>
          <w:szCs w:val="24"/>
        </w:rPr>
        <w:t xml:space="preserve"> </w:t>
      </w:r>
      <w:r w:rsidRPr="00422183">
        <w:rPr>
          <w:rFonts w:ascii="Rockwell" w:eastAsiaTheme="majorEastAsia" w:hAnsi="Rockwell" w:cstheme="majorBidi"/>
          <w:iCs/>
          <w:sz w:val="24"/>
          <w:szCs w:val="24"/>
        </w:rPr>
        <w:t xml:space="preserve">passant de 1,5% sur la période 1996-2000 </w:t>
      </w:r>
      <w:r w:rsidR="00E66FCB" w:rsidRPr="00422183">
        <w:rPr>
          <w:rFonts w:ascii="Rockwell" w:eastAsiaTheme="majorEastAsia" w:hAnsi="Rockwell" w:cstheme="majorBidi"/>
          <w:iCs/>
          <w:sz w:val="24"/>
          <w:szCs w:val="24"/>
        </w:rPr>
        <w:t xml:space="preserve">à 3,4% sur la période 2011-2015. </w:t>
      </w:r>
      <w:r w:rsidR="00256B8F" w:rsidRPr="00422183">
        <w:rPr>
          <w:rFonts w:ascii="Rockwell" w:eastAsiaTheme="majorEastAsia" w:hAnsi="Rockwell" w:cstheme="majorBidi"/>
          <w:iCs/>
          <w:sz w:val="24"/>
          <w:szCs w:val="24"/>
        </w:rPr>
        <w:t>L</w:t>
      </w:r>
      <w:r w:rsidR="00E66FCB" w:rsidRPr="00422183">
        <w:rPr>
          <w:rFonts w:ascii="Rockwell" w:eastAsiaTheme="majorEastAsia" w:hAnsi="Rockwell" w:cstheme="majorBidi"/>
          <w:iCs/>
          <w:sz w:val="24"/>
          <w:szCs w:val="24"/>
        </w:rPr>
        <w:t>a production</w:t>
      </w:r>
      <w:r w:rsidR="00256B8F" w:rsidRPr="00422183">
        <w:rPr>
          <w:rFonts w:ascii="Rockwell" w:eastAsiaTheme="majorEastAsia" w:hAnsi="Rockwell" w:cstheme="majorBidi"/>
          <w:iCs/>
          <w:sz w:val="24"/>
          <w:szCs w:val="24"/>
        </w:rPr>
        <w:t xml:space="preserve"> du sous-secteur </w:t>
      </w:r>
      <w:r w:rsidR="006D07CD" w:rsidRPr="00422183">
        <w:rPr>
          <w:rFonts w:ascii="Rockwell" w:eastAsiaTheme="majorEastAsia" w:hAnsi="Rockwell" w:cstheme="majorBidi"/>
          <w:iCs/>
          <w:sz w:val="24"/>
          <w:szCs w:val="24"/>
        </w:rPr>
        <w:t>est imputable</w:t>
      </w:r>
      <w:r w:rsidR="00E66FCB" w:rsidRPr="00422183">
        <w:rPr>
          <w:rFonts w:ascii="Rockwell" w:eastAsiaTheme="majorEastAsia" w:hAnsi="Rockwell" w:cstheme="majorBidi"/>
          <w:iCs/>
          <w:sz w:val="24"/>
          <w:szCs w:val="24"/>
        </w:rPr>
        <w:t xml:space="preserve"> aux potentialités naturelles qu'il regorge. </w:t>
      </w:r>
      <w:r w:rsidR="003F02F3" w:rsidRPr="00422183">
        <w:rPr>
          <w:rFonts w:ascii="Rockwell" w:eastAsiaTheme="majorEastAsia" w:hAnsi="Rockwell" w:cstheme="majorBidi"/>
          <w:iCs/>
          <w:sz w:val="24"/>
          <w:szCs w:val="24"/>
        </w:rPr>
        <w:t xml:space="preserve">Cependant </w:t>
      </w:r>
      <w:r w:rsidR="00375BDF" w:rsidRPr="00422183">
        <w:rPr>
          <w:rFonts w:ascii="Rockwell" w:eastAsiaTheme="majorEastAsia" w:hAnsi="Rockwell" w:cstheme="majorBidi"/>
          <w:iCs/>
          <w:sz w:val="24"/>
          <w:szCs w:val="24"/>
        </w:rPr>
        <w:t xml:space="preserve">le couvert forestier du pays, qui représente 14% du territoire national </w:t>
      </w:r>
      <w:r w:rsidR="003F02F3" w:rsidRPr="00422183">
        <w:rPr>
          <w:rFonts w:ascii="Rockwell" w:eastAsiaTheme="majorEastAsia" w:hAnsi="Rockwell" w:cstheme="majorBidi"/>
          <w:iCs/>
          <w:sz w:val="24"/>
          <w:szCs w:val="24"/>
        </w:rPr>
        <w:t>contre une norme internationale de 30%</w:t>
      </w:r>
      <w:r w:rsidR="00375BDF" w:rsidRPr="00422183">
        <w:rPr>
          <w:rFonts w:ascii="Rockwell" w:eastAsiaTheme="majorEastAsia" w:hAnsi="Rockwell" w:cstheme="majorBidi"/>
          <w:iCs/>
          <w:sz w:val="24"/>
          <w:szCs w:val="24"/>
        </w:rPr>
        <w:t>,</w:t>
      </w:r>
      <w:r w:rsidR="003F02F3" w:rsidRPr="00422183">
        <w:rPr>
          <w:rFonts w:ascii="Rockwell" w:eastAsiaTheme="majorEastAsia" w:hAnsi="Rockwell" w:cstheme="majorBidi"/>
          <w:iCs/>
          <w:sz w:val="24"/>
          <w:szCs w:val="24"/>
        </w:rPr>
        <w:t xml:space="preserve"> connait une dégradation annuelle de l’ordre de110 000 hectares.</w:t>
      </w:r>
    </w:p>
    <w:p w:rsidR="00375BDF" w:rsidRPr="00422183" w:rsidRDefault="00375BDF" w:rsidP="003A0820">
      <w:pPr>
        <w:autoSpaceDE w:val="0"/>
        <w:autoSpaceDN w:val="0"/>
        <w:adjustRightInd w:val="0"/>
        <w:spacing w:after="0" w:line="240" w:lineRule="auto"/>
        <w:jc w:val="both"/>
        <w:rPr>
          <w:rFonts w:ascii="Rockwell" w:eastAsiaTheme="majorEastAsia" w:hAnsi="Rockwell" w:cstheme="majorBidi"/>
          <w:iCs/>
          <w:sz w:val="24"/>
          <w:szCs w:val="24"/>
        </w:rPr>
      </w:pPr>
    </w:p>
    <w:p w:rsidR="00E66FCB" w:rsidRPr="00422183" w:rsidRDefault="00E66FCB" w:rsidP="003A0820">
      <w:pPr>
        <w:autoSpaceDE w:val="0"/>
        <w:autoSpaceDN w:val="0"/>
        <w:adjustRightInd w:val="0"/>
        <w:spacing w:after="0" w:line="240" w:lineRule="auto"/>
        <w:jc w:val="both"/>
        <w:rPr>
          <w:rFonts w:ascii="Rockwell" w:eastAsiaTheme="majorEastAsia" w:hAnsi="Rockwell" w:cstheme="majorBidi"/>
          <w:bCs/>
          <w:iCs/>
          <w:kern w:val="28"/>
          <w:sz w:val="24"/>
          <w:szCs w:val="24"/>
        </w:rPr>
      </w:pPr>
      <w:r w:rsidRPr="00422183">
        <w:rPr>
          <w:rFonts w:ascii="Rockwell" w:eastAsiaTheme="majorEastAsia" w:hAnsi="Rockwell" w:cstheme="majorBidi"/>
          <w:iCs/>
          <w:sz w:val="24"/>
          <w:szCs w:val="24"/>
        </w:rPr>
        <w:t xml:space="preserve">Dans un contexte international de développement du marché de carbone et des mécanismes de développement propre, ce secteur pourrait </w:t>
      </w:r>
      <w:r w:rsidR="00256B8F" w:rsidRPr="00422183">
        <w:rPr>
          <w:rFonts w:ascii="Rockwell" w:eastAsiaTheme="majorEastAsia" w:hAnsi="Rockwell" w:cstheme="majorBidi"/>
          <w:iCs/>
          <w:sz w:val="24"/>
          <w:szCs w:val="24"/>
        </w:rPr>
        <w:t xml:space="preserve">être </w:t>
      </w:r>
      <w:r w:rsidRPr="00422183">
        <w:rPr>
          <w:rFonts w:ascii="Rockwell" w:eastAsiaTheme="majorEastAsia" w:hAnsi="Rockwell" w:cstheme="majorBidi"/>
          <w:iCs/>
          <w:sz w:val="24"/>
          <w:szCs w:val="24"/>
        </w:rPr>
        <w:t>une source de financement importante pour le développement</w:t>
      </w:r>
      <w:r w:rsidR="00375BDF" w:rsidRPr="00422183">
        <w:rPr>
          <w:rFonts w:ascii="Rockwell" w:eastAsiaTheme="majorEastAsia" w:hAnsi="Rockwell" w:cstheme="majorBidi"/>
          <w:iCs/>
          <w:sz w:val="24"/>
          <w:szCs w:val="24"/>
        </w:rPr>
        <w:t xml:space="preserve"> si la tendance de dégradation est inversée. A</w:t>
      </w:r>
      <w:r w:rsidRPr="00422183">
        <w:rPr>
          <w:rFonts w:ascii="Rockwell" w:eastAsiaTheme="majorEastAsia" w:hAnsi="Rockwell" w:cstheme="majorBidi"/>
          <w:iCs/>
          <w:sz w:val="24"/>
          <w:szCs w:val="24"/>
        </w:rPr>
        <w:t xml:space="preserve">u regard des contraintes et opportunités, </w:t>
      </w:r>
      <w:r w:rsidR="00375BDF" w:rsidRPr="00422183">
        <w:rPr>
          <w:rFonts w:ascii="Rockwell" w:eastAsiaTheme="majorEastAsia" w:hAnsi="Rockwell" w:cstheme="majorBidi"/>
          <w:iCs/>
          <w:sz w:val="24"/>
          <w:szCs w:val="24"/>
        </w:rPr>
        <w:t xml:space="preserve">pour améliorer la contribution du sous-secteur à l’économie, </w:t>
      </w:r>
      <w:r w:rsidR="000B66C1" w:rsidRPr="00422183">
        <w:rPr>
          <w:rFonts w:ascii="Rockwell" w:eastAsiaTheme="majorEastAsia" w:hAnsi="Rockwell" w:cstheme="majorBidi"/>
          <w:iCs/>
          <w:sz w:val="24"/>
          <w:szCs w:val="24"/>
        </w:rPr>
        <w:t>il s'agira de veiller à</w:t>
      </w:r>
      <w:r w:rsidR="006D07CD" w:rsidRPr="00422183">
        <w:rPr>
          <w:rFonts w:ascii="Rockwell" w:eastAsiaTheme="majorEastAsia" w:hAnsi="Rockwell" w:cstheme="majorBidi"/>
          <w:iCs/>
          <w:sz w:val="24"/>
          <w:szCs w:val="24"/>
        </w:rPr>
        <w:t xml:space="preserve"> :</w:t>
      </w:r>
      <w:r w:rsidRPr="00422183">
        <w:rPr>
          <w:rFonts w:ascii="Rockwell" w:eastAsiaTheme="majorEastAsia" w:hAnsi="Rockwell" w:cstheme="majorBidi"/>
          <w:iCs/>
          <w:sz w:val="24"/>
          <w:szCs w:val="24"/>
        </w:rPr>
        <w:t xml:space="preserve"> (i)</w:t>
      </w:r>
      <w:r w:rsidR="000B66C1" w:rsidRPr="00422183">
        <w:rPr>
          <w:rFonts w:ascii="Rockwell" w:eastAsiaTheme="majorEastAsia" w:hAnsi="Rockwell" w:cstheme="majorBidi"/>
          <w:iCs/>
          <w:sz w:val="24"/>
          <w:szCs w:val="24"/>
        </w:rPr>
        <w:t xml:space="preserve"> </w:t>
      </w:r>
      <w:r w:rsidR="00256B8F" w:rsidRPr="00422183">
        <w:rPr>
          <w:rFonts w:ascii="Rockwell" w:eastAsiaTheme="majorEastAsia" w:hAnsi="Rockwell" w:cstheme="majorBidi"/>
          <w:iCs/>
          <w:sz w:val="24"/>
          <w:szCs w:val="24"/>
        </w:rPr>
        <w:t>l</w:t>
      </w:r>
      <w:r w:rsidR="006C72DE" w:rsidRPr="00422183">
        <w:rPr>
          <w:rFonts w:ascii="Rockwell" w:eastAsiaTheme="majorEastAsia" w:hAnsi="Rockwell" w:cstheme="majorBidi"/>
          <w:iCs/>
          <w:sz w:val="24"/>
          <w:szCs w:val="24"/>
        </w:rPr>
        <w:t>'</w:t>
      </w:r>
      <w:r w:rsidRPr="00422183">
        <w:rPr>
          <w:rFonts w:ascii="Rockwell" w:eastAsiaTheme="majorEastAsia" w:hAnsi="Rockwell" w:cstheme="majorBidi"/>
          <w:iCs/>
          <w:sz w:val="24"/>
          <w:szCs w:val="24"/>
        </w:rPr>
        <w:t>accro</w:t>
      </w:r>
      <w:r w:rsidR="00256B8F" w:rsidRPr="00422183">
        <w:rPr>
          <w:rFonts w:ascii="Rockwell" w:eastAsiaTheme="majorEastAsia" w:hAnsi="Rockwell" w:cstheme="majorBidi"/>
          <w:iCs/>
          <w:sz w:val="24"/>
          <w:szCs w:val="24"/>
        </w:rPr>
        <w:t xml:space="preserve">issement de </w:t>
      </w:r>
      <w:r w:rsidRPr="00422183">
        <w:rPr>
          <w:rFonts w:ascii="Rockwell" w:eastAsiaTheme="majorEastAsia" w:hAnsi="Rockwell" w:cstheme="majorBidi"/>
          <w:iCs/>
          <w:sz w:val="24"/>
          <w:szCs w:val="24"/>
        </w:rPr>
        <w:t xml:space="preserve">la production et </w:t>
      </w:r>
      <w:r w:rsidR="00B126F5" w:rsidRPr="00422183">
        <w:rPr>
          <w:rFonts w:ascii="Rockwell" w:eastAsiaTheme="majorEastAsia" w:hAnsi="Rockwell" w:cstheme="majorBidi"/>
          <w:iCs/>
          <w:sz w:val="24"/>
          <w:szCs w:val="24"/>
        </w:rPr>
        <w:t xml:space="preserve">de </w:t>
      </w:r>
      <w:r w:rsidRPr="00422183">
        <w:rPr>
          <w:rFonts w:ascii="Rockwell" w:eastAsiaTheme="majorEastAsia" w:hAnsi="Rockwell" w:cstheme="majorBidi"/>
          <w:iCs/>
          <w:sz w:val="24"/>
          <w:szCs w:val="24"/>
        </w:rPr>
        <w:t>la transformation des produits forestiers non ligneux à forte potentialité de création d'emploi</w:t>
      </w:r>
      <w:r w:rsidR="00B126F5" w:rsidRPr="00422183">
        <w:rPr>
          <w:rFonts w:ascii="Rockwell" w:eastAsiaTheme="majorEastAsia" w:hAnsi="Rockwell" w:cstheme="majorBidi"/>
          <w:iCs/>
          <w:sz w:val="24"/>
          <w:szCs w:val="24"/>
        </w:rPr>
        <w:t>s</w:t>
      </w:r>
      <w:r w:rsidRPr="00422183">
        <w:rPr>
          <w:rFonts w:ascii="Rockwell" w:eastAsiaTheme="majorEastAsia" w:hAnsi="Rockwell" w:cstheme="majorBidi"/>
          <w:iCs/>
          <w:sz w:val="24"/>
          <w:szCs w:val="24"/>
        </w:rPr>
        <w:t xml:space="preserve">, </w:t>
      </w:r>
      <w:r w:rsidRPr="00422183">
        <w:rPr>
          <w:rFonts w:ascii="Rockwell" w:hAnsi="Rockwell" w:cs="Tahoma"/>
          <w:sz w:val="24"/>
          <w:szCs w:val="24"/>
        </w:rPr>
        <w:t>(ii)</w:t>
      </w:r>
      <w:r w:rsidR="000B66C1" w:rsidRPr="00422183">
        <w:rPr>
          <w:rFonts w:ascii="Rockwell" w:hAnsi="Rockwell" w:cs="Tahoma"/>
          <w:sz w:val="24"/>
          <w:szCs w:val="24"/>
        </w:rPr>
        <w:t xml:space="preserve"> </w:t>
      </w:r>
      <w:r w:rsidR="00256B8F" w:rsidRPr="00422183">
        <w:rPr>
          <w:rFonts w:ascii="Rockwell" w:hAnsi="Rockwell" w:cs="Tahoma"/>
          <w:sz w:val="24"/>
          <w:szCs w:val="24"/>
        </w:rPr>
        <w:t xml:space="preserve">la </w:t>
      </w:r>
      <w:r w:rsidRPr="00422183">
        <w:rPr>
          <w:rFonts w:ascii="Rockwell" w:hAnsi="Rockwell" w:cs="Tahoma"/>
          <w:sz w:val="24"/>
          <w:szCs w:val="24"/>
        </w:rPr>
        <w:t>g</w:t>
      </w:r>
      <w:r w:rsidR="00256B8F" w:rsidRPr="00422183">
        <w:rPr>
          <w:rFonts w:ascii="Rockwell" w:hAnsi="Rockwell" w:cs="Tahoma"/>
          <w:sz w:val="24"/>
          <w:szCs w:val="24"/>
        </w:rPr>
        <w:t xml:space="preserve">estion </w:t>
      </w:r>
      <w:r w:rsidRPr="00422183">
        <w:rPr>
          <w:rFonts w:ascii="Rockwell" w:hAnsi="Rockwell" w:cs="Tahoma"/>
          <w:sz w:val="24"/>
          <w:szCs w:val="24"/>
        </w:rPr>
        <w:t xml:space="preserve">durable </w:t>
      </w:r>
      <w:r w:rsidR="00770866" w:rsidRPr="00422183">
        <w:rPr>
          <w:rFonts w:ascii="Rockwell" w:hAnsi="Rockwell" w:cs="Tahoma"/>
          <w:sz w:val="24"/>
          <w:szCs w:val="24"/>
        </w:rPr>
        <w:t>d</w:t>
      </w:r>
      <w:r w:rsidRPr="00422183">
        <w:rPr>
          <w:rFonts w:ascii="Rockwell" w:hAnsi="Rockwell" w:cs="Tahoma"/>
          <w:sz w:val="24"/>
          <w:szCs w:val="24"/>
        </w:rPr>
        <w:t>es ress</w:t>
      </w:r>
      <w:r w:rsidR="000C48F7" w:rsidRPr="00422183">
        <w:rPr>
          <w:rFonts w:ascii="Rockwell" w:hAnsi="Rockwell" w:cs="Tahoma"/>
          <w:sz w:val="24"/>
          <w:szCs w:val="24"/>
        </w:rPr>
        <w:t>ources forestières et fauniques</w:t>
      </w:r>
      <w:r w:rsidR="004C4081" w:rsidRPr="00422183">
        <w:rPr>
          <w:rFonts w:ascii="Rockwell" w:hAnsi="Rockwell" w:cs="Tahoma"/>
          <w:sz w:val="24"/>
          <w:szCs w:val="24"/>
        </w:rPr>
        <w:t xml:space="preserve">, </w:t>
      </w:r>
      <w:r w:rsidR="00375BDF" w:rsidRPr="00422183">
        <w:rPr>
          <w:rFonts w:ascii="Rockwell" w:eastAsiaTheme="majorEastAsia" w:hAnsi="Rockwell" w:cstheme="majorBidi"/>
          <w:iCs/>
          <w:sz w:val="24"/>
          <w:szCs w:val="24"/>
        </w:rPr>
        <w:t>(iii) l’augmentation des superficie</w:t>
      </w:r>
      <w:r w:rsidR="00712C7C" w:rsidRPr="00422183">
        <w:rPr>
          <w:rFonts w:ascii="Rockwell" w:eastAsiaTheme="majorEastAsia" w:hAnsi="Rockwell" w:cstheme="majorBidi"/>
          <w:iCs/>
          <w:sz w:val="24"/>
          <w:szCs w:val="24"/>
        </w:rPr>
        <w:t>s forestières sous aménagement,</w:t>
      </w:r>
      <w:r w:rsidR="004C4081" w:rsidRPr="00422183">
        <w:rPr>
          <w:rFonts w:ascii="Rockwell" w:eastAsiaTheme="majorEastAsia" w:hAnsi="Rockwell" w:cstheme="majorBidi"/>
          <w:iCs/>
          <w:sz w:val="24"/>
          <w:szCs w:val="24"/>
        </w:rPr>
        <w:t xml:space="preserve"> (iv)</w:t>
      </w:r>
      <w:r w:rsidR="00712C7C" w:rsidRPr="00422183">
        <w:rPr>
          <w:rFonts w:ascii="Rockwell" w:eastAsiaTheme="majorEastAsia" w:hAnsi="Rockwell" w:cstheme="majorBidi"/>
          <w:iCs/>
          <w:sz w:val="24"/>
          <w:szCs w:val="24"/>
        </w:rPr>
        <w:t xml:space="preserve"> la promotion des petites et moyennes unités de productions fauniques créatrices d’emplois et de revenus</w:t>
      </w:r>
      <w:r w:rsidR="004C4081" w:rsidRPr="00422183">
        <w:rPr>
          <w:rFonts w:ascii="Rockwell" w:eastAsiaTheme="majorEastAsia" w:hAnsi="Rockwell" w:cstheme="majorBidi"/>
          <w:iCs/>
          <w:sz w:val="24"/>
          <w:szCs w:val="24"/>
        </w:rPr>
        <w:t xml:space="preserve"> et (v)</w:t>
      </w:r>
      <w:r w:rsidR="00712C7C" w:rsidRPr="00422183">
        <w:rPr>
          <w:rFonts w:ascii="Rockwell" w:eastAsiaTheme="majorEastAsia" w:hAnsi="Rockwell" w:cstheme="majorBidi"/>
          <w:iCs/>
          <w:sz w:val="24"/>
          <w:szCs w:val="24"/>
        </w:rPr>
        <w:t xml:space="preserve"> l</w:t>
      </w:r>
      <w:r w:rsidR="00842C3D" w:rsidRPr="00422183">
        <w:rPr>
          <w:rFonts w:ascii="Rockwell" w:eastAsiaTheme="majorEastAsia" w:hAnsi="Rockwell" w:cstheme="majorBidi"/>
          <w:iCs/>
          <w:sz w:val="24"/>
          <w:szCs w:val="24"/>
        </w:rPr>
        <w:t>a promotion de l’éco-tourisme.</w:t>
      </w:r>
    </w:p>
    <w:p w:rsidR="00834232" w:rsidRPr="00422183" w:rsidRDefault="00834232" w:rsidP="003A0820">
      <w:pPr>
        <w:jc w:val="both"/>
        <w:rPr>
          <w:rFonts w:ascii="Rockwell" w:eastAsiaTheme="majorEastAsia" w:hAnsi="Rockwell" w:cstheme="majorBidi"/>
          <w:b/>
          <w:smallCaps/>
          <w:sz w:val="24"/>
          <w:szCs w:val="24"/>
        </w:rPr>
      </w:pPr>
      <w:bookmarkStart w:id="65" w:name="_Toc452994143"/>
      <w:bookmarkStart w:id="66" w:name="_Toc452994591"/>
      <w:bookmarkStart w:id="67" w:name="_Toc452995031"/>
      <w:bookmarkStart w:id="68" w:name="_Toc453160731"/>
    </w:p>
    <w:p w:rsidR="00F01A4B" w:rsidRPr="00422183" w:rsidRDefault="00154845" w:rsidP="00516FB0">
      <w:pPr>
        <w:pStyle w:val="PNDES3"/>
        <w:rPr>
          <w:rFonts w:ascii="Rockwell" w:hAnsi="Rockwell"/>
          <w:i/>
        </w:rPr>
      </w:pPr>
      <w:bookmarkStart w:id="69" w:name="_Toc455132716"/>
      <w:r w:rsidRPr="00422183">
        <w:rPr>
          <w:rFonts w:ascii="Rockwell" w:hAnsi="Rockwell"/>
        </w:rPr>
        <w:t xml:space="preserve">Un </w:t>
      </w:r>
      <w:r w:rsidR="00F01A4B" w:rsidRPr="00422183">
        <w:rPr>
          <w:rFonts w:ascii="Rockwell" w:hAnsi="Rockwell"/>
        </w:rPr>
        <w:t>secteur secondaire</w:t>
      </w:r>
      <w:r w:rsidR="005F6832" w:rsidRPr="00422183">
        <w:rPr>
          <w:rFonts w:ascii="Rockwell" w:hAnsi="Rockwell"/>
        </w:rPr>
        <w:t xml:space="preserve"> </w:t>
      </w:r>
      <w:r w:rsidR="00D3751B" w:rsidRPr="00422183">
        <w:rPr>
          <w:rFonts w:ascii="Rockwell" w:hAnsi="Rockwell"/>
        </w:rPr>
        <w:t xml:space="preserve">fragilisé </w:t>
      </w:r>
      <w:r w:rsidR="004D117D" w:rsidRPr="00422183">
        <w:rPr>
          <w:rFonts w:ascii="Rockwell" w:hAnsi="Rockwell"/>
        </w:rPr>
        <w:t>par le déclin des industries manufacturières</w:t>
      </w:r>
      <w:bookmarkEnd w:id="65"/>
      <w:bookmarkEnd w:id="66"/>
      <w:bookmarkEnd w:id="67"/>
      <w:bookmarkEnd w:id="68"/>
      <w:bookmarkEnd w:id="69"/>
    </w:p>
    <w:p w:rsidR="00F01A4B" w:rsidRPr="00422183" w:rsidRDefault="00F01A4B" w:rsidP="003A0820">
      <w:pPr>
        <w:spacing w:after="0" w:line="240" w:lineRule="auto"/>
        <w:jc w:val="both"/>
        <w:rPr>
          <w:rFonts w:ascii="Rockwell" w:eastAsiaTheme="majorEastAsia" w:hAnsi="Rockwell" w:cstheme="majorBidi"/>
          <w:bCs/>
          <w:iCs/>
          <w:kern w:val="28"/>
          <w:sz w:val="24"/>
          <w:szCs w:val="24"/>
        </w:rPr>
      </w:pPr>
    </w:p>
    <w:p w:rsidR="007A740A" w:rsidRPr="00422183" w:rsidRDefault="007A740A" w:rsidP="003A0820">
      <w:pPr>
        <w:spacing w:after="0" w:line="240" w:lineRule="auto"/>
        <w:jc w:val="both"/>
        <w:rPr>
          <w:rFonts w:ascii="Rockwell" w:hAnsi="Rockwell"/>
          <w:sz w:val="24"/>
          <w:szCs w:val="24"/>
        </w:rPr>
      </w:pPr>
      <w:r w:rsidRPr="00422183">
        <w:rPr>
          <w:rFonts w:ascii="Rockwell" w:hAnsi="Rockwell"/>
          <w:sz w:val="24"/>
          <w:szCs w:val="24"/>
        </w:rPr>
        <w:t xml:space="preserve">La contribution </w:t>
      </w:r>
      <w:r w:rsidR="000B66C1" w:rsidRPr="00422183">
        <w:rPr>
          <w:rFonts w:ascii="Rockwell" w:hAnsi="Rockwell"/>
          <w:sz w:val="24"/>
          <w:szCs w:val="24"/>
        </w:rPr>
        <w:t>du</w:t>
      </w:r>
      <w:r w:rsidR="006D07CD" w:rsidRPr="00422183">
        <w:rPr>
          <w:rFonts w:ascii="Rockwell" w:hAnsi="Rockwell"/>
          <w:sz w:val="24"/>
          <w:szCs w:val="24"/>
        </w:rPr>
        <w:t xml:space="preserve"> secteur</w:t>
      </w:r>
      <w:r w:rsidR="000C48F7" w:rsidRPr="00422183">
        <w:rPr>
          <w:rFonts w:ascii="Rockwell" w:hAnsi="Rockwell"/>
          <w:sz w:val="24"/>
          <w:szCs w:val="24"/>
        </w:rPr>
        <w:t xml:space="preserve"> </w:t>
      </w:r>
      <w:r w:rsidR="000B66C1" w:rsidRPr="00422183">
        <w:rPr>
          <w:rFonts w:ascii="Rockwell" w:hAnsi="Rockwell"/>
          <w:sz w:val="24"/>
          <w:szCs w:val="24"/>
        </w:rPr>
        <w:t xml:space="preserve">secondaire </w:t>
      </w:r>
      <w:r w:rsidR="000C48F7" w:rsidRPr="00422183">
        <w:rPr>
          <w:rFonts w:ascii="Rockwell" w:hAnsi="Rockwell"/>
          <w:sz w:val="24"/>
          <w:szCs w:val="24"/>
        </w:rPr>
        <w:t xml:space="preserve">au PIB </w:t>
      </w:r>
      <w:r w:rsidRPr="00422183">
        <w:rPr>
          <w:rFonts w:ascii="Rockwell" w:hAnsi="Rockwell"/>
          <w:sz w:val="24"/>
          <w:szCs w:val="24"/>
        </w:rPr>
        <w:t xml:space="preserve">a </w:t>
      </w:r>
      <w:r w:rsidR="000B66C1" w:rsidRPr="00422183">
        <w:rPr>
          <w:rFonts w:ascii="Rockwell" w:hAnsi="Rockwell"/>
          <w:sz w:val="24"/>
          <w:szCs w:val="24"/>
        </w:rPr>
        <w:t>connu</w:t>
      </w:r>
      <w:r w:rsidRPr="00422183">
        <w:rPr>
          <w:rFonts w:ascii="Rockwell" w:hAnsi="Rockwell"/>
          <w:sz w:val="24"/>
          <w:szCs w:val="24"/>
        </w:rPr>
        <w:t xml:space="preserve"> une régression sur la période 1986-2010</w:t>
      </w:r>
      <w:r w:rsidR="000B66C1" w:rsidRPr="00422183">
        <w:rPr>
          <w:rFonts w:ascii="Rockwell" w:hAnsi="Rockwell"/>
          <w:sz w:val="24"/>
          <w:szCs w:val="24"/>
        </w:rPr>
        <w:t>,</w:t>
      </w:r>
      <w:r w:rsidRPr="00422183">
        <w:rPr>
          <w:rFonts w:ascii="Rockwell" w:hAnsi="Rockwell"/>
          <w:sz w:val="24"/>
          <w:szCs w:val="24"/>
        </w:rPr>
        <w:t xml:space="preserve"> passant de 21,5% sur la période 1986-1990</w:t>
      </w:r>
      <w:r w:rsidR="000B66C1" w:rsidRPr="00422183">
        <w:rPr>
          <w:rFonts w:ascii="Rockwell" w:hAnsi="Rockwell"/>
          <w:sz w:val="24"/>
          <w:szCs w:val="24"/>
        </w:rPr>
        <w:t>,</w:t>
      </w:r>
      <w:r w:rsidRPr="00422183">
        <w:rPr>
          <w:rFonts w:ascii="Rockwell" w:hAnsi="Rockwell"/>
          <w:sz w:val="24"/>
          <w:szCs w:val="24"/>
        </w:rPr>
        <w:t xml:space="preserve"> à 17,3% </w:t>
      </w:r>
      <w:r w:rsidR="00770866" w:rsidRPr="00422183">
        <w:rPr>
          <w:rFonts w:ascii="Rockwell" w:hAnsi="Rockwell"/>
          <w:sz w:val="24"/>
          <w:szCs w:val="24"/>
        </w:rPr>
        <w:t>entre</w:t>
      </w:r>
      <w:r w:rsidRPr="00422183">
        <w:rPr>
          <w:rFonts w:ascii="Rockwell" w:hAnsi="Rockwell"/>
          <w:sz w:val="24"/>
          <w:szCs w:val="24"/>
        </w:rPr>
        <w:t xml:space="preserve"> 2006</w:t>
      </w:r>
      <w:r w:rsidR="00770866" w:rsidRPr="00422183">
        <w:rPr>
          <w:rFonts w:ascii="Rockwell" w:hAnsi="Rockwell"/>
          <w:sz w:val="24"/>
          <w:szCs w:val="24"/>
        </w:rPr>
        <w:t xml:space="preserve"> et </w:t>
      </w:r>
      <w:r w:rsidRPr="00422183">
        <w:rPr>
          <w:rFonts w:ascii="Rockwell" w:hAnsi="Rockwell"/>
          <w:sz w:val="24"/>
          <w:szCs w:val="24"/>
        </w:rPr>
        <w:t>2010. L</w:t>
      </w:r>
      <w:r w:rsidR="006C72DE" w:rsidRPr="00422183">
        <w:rPr>
          <w:rFonts w:ascii="Rockwell" w:hAnsi="Rockwell"/>
          <w:sz w:val="24"/>
          <w:szCs w:val="24"/>
        </w:rPr>
        <w:t>'</w:t>
      </w:r>
      <w:r w:rsidRPr="00422183">
        <w:rPr>
          <w:rFonts w:ascii="Rockwell" w:hAnsi="Rockwell"/>
          <w:sz w:val="24"/>
          <w:szCs w:val="24"/>
        </w:rPr>
        <w:t xml:space="preserve">analyse détaillée de </w:t>
      </w:r>
      <w:r w:rsidR="00CD7881" w:rsidRPr="00422183">
        <w:rPr>
          <w:rFonts w:ascii="Rockwell" w:hAnsi="Rockwell"/>
          <w:sz w:val="24"/>
          <w:szCs w:val="24"/>
        </w:rPr>
        <w:t xml:space="preserve">cette </w:t>
      </w:r>
      <w:r w:rsidRPr="00422183">
        <w:rPr>
          <w:rFonts w:ascii="Rockwell" w:hAnsi="Rockwell"/>
          <w:sz w:val="24"/>
          <w:szCs w:val="24"/>
        </w:rPr>
        <w:t>contribution montre deux constats majeurs</w:t>
      </w:r>
      <w:r w:rsidR="000537AF" w:rsidRPr="00422183">
        <w:rPr>
          <w:rFonts w:ascii="Rockwell" w:hAnsi="Rockwell"/>
          <w:sz w:val="24"/>
          <w:szCs w:val="24"/>
        </w:rPr>
        <w:t xml:space="preserve"> </w:t>
      </w:r>
      <w:r w:rsidR="004D5AC9" w:rsidRPr="00422183">
        <w:rPr>
          <w:rFonts w:ascii="Rockwell" w:hAnsi="Rockwell"/>
          <w:sz w:val="24"/>
          <w:szCs w:val="24"/>
        </w:rPr>
        <w:t xml:space="preserve">: </w:t>
      </w:r>
      <w:r w:rsidRPr="00422183">
        <w:rPr>
          <w:rFonts w:ascii="Rockwell" w:hAnsi="Rockwell"/>
          <w:sz w:val="24"/>
          <w:szCs w:val="24"/>
        </w:rPr>
        <w:t>(i) la nette baisse de la contribution des industries manufacturières modernes</w:t>
      </w:r>
      <w:r w:rsidR="004D5AC9" w:rsidRPr="00422183">
        <w:rPr>
          <w:rFonts w:ascii="Rockwell" w:hAnsi="Rockwell"/>
          <w:sz w:val="24"/>
          <w:szCs w:val="24"/>
        </w:rPr>
        <w:t xml:space="preserve"> autres que l</w:t>
      </w:r>
      <w:r w:rsidR="006C72DE" w:rsidRPr="00422183">
        <w:rPr>
          <w:rFonts w:ascii="Rockwell" w:hAnsi="Rockwell"/>
          <w:sz w:val="24"/>
          <w:szCs w:val="24"/>
        </w:rPr>
        <w:t>'</w:t>
      </w:r>
      <w:r w:rsidR="004D5AC9" w:rsidRPr="00422183">
        <w:rPr>
          <w:rFonts w:ascii="Rockwell" w:hAnsi="Rockwell"/>
          <w:sz w:val="24"/>
          <w:szCs w:val="24"/>
        </w:rPr>
        <w:t>égrenage de coton,</w:t>
      </w:r>
      <w:r w:rsidRPr="00422183">
        <w:rPr>
          <w:rFonts w:ascii="Rockwell" w:hAnsi="Rockwell"/>
          <w:sz w:val="24"/>
          <w:szCs w:val="24"/>
        </w:rPr>
        <w:t xml:space="preserve"> de 13,9% sur la période 1986-1990 à 1,2% sur la période 2011-2015, et (ii) la </w:t>
      </w:r>
      <w:r w:rsidR="00CD7881" w:rsidRPr="00422183">
        <w:rPr>
          <w:rFonts w:ascii="Rockwell" w:hAnsi="Rockwell"/>
          <w:sz w:val="24"/>
          <w:szCs w:val="24"/>
        </w:rPr>
        <w:t xml:space="preserve">nette </w:t>
      </w:r>
      <w:r w:rsidRPr="00422183">
        <w:rPr>
          <w:rFonts w:ascii="Rockwell" w:hAnsi="Rockwell"/>
          <w:sz w:val="24"/>
          <w:szCs w:val="24"/>
        </w:rPr>
        <w:t>progression de la contribution des industries extractives passant de 1,5% sur la période 1986-1990 à</w:t>
      </w:r>
      <w:r w:rsidR="00CD7881" w:rsidRPr="00422183">
        <w:rPr>
          <w:rFonts w:ascii="Rockwell" w:hAnsi="Rockwell"/>
          <w:sz w:val="24"/>
          <w:szCs w:val="24"/>
        </w:rPr>
        <w:t xml:space="preserve"> 9,2% sur la période 2011-2015.</w:t>
      </w:r>
    </w:p>
    <w:p w:rsidR="000B66C1" w:rsidRPr="00422183" w:rsidRDefault="000B66C1" w:rsidP="003A0820">
      <w:pPr>
        <w:spacing w:after="0" w:line="240" w:lineRule="auto"/>
        <w:jc w:val="both"/>
        <w:rPr>
          <w:rFonts w:ascii="Rockwell" w:hAnsi="Rockwell"/>
          <w:sz w:val="24"/>
          <w:szCs w:val="24"/>
        </w:rPr>
      </w:pPr>
    </w:p>
    <w:p w:rsidR="004D3494" w:rsidRPr="00422183" w:rsidRDefault="005078B7" w:rsidP="003A0820">
      <w:pPr>
        <w:pStyle w:val="Lgende"/>
        <w:rPr>
          <w:color w:val="auto"/>
          <w:sz w:val="24"/>
          <w:szCs w:val="24"/>
        </w:rPr>
      </w:pPr>
      <w:bookmarkStart w:id="70" w:name="_Toc455079261"/>
      <w:r w:rsidRPr="00422183">
        <w:rPr>
          <w:color w:val="auto"/>
          <w:sz w:val="24"/>
          <w:szCs w:val="24"/>
        </w:rPr>
        <w:t xml:space="preserve">Graphique </w:t>
      </w:r>
      <w:r w:rsidR="00491B03" w:rsidRPr="00422183">
        <w:rPr>
          <w:color w:val="auto"/>
          <w:sz w:val="24"/>
          <w:szCs w:val="24"/>
        </w:rPr>
        <w:fldChar w:fldCharType="begin"/>
      </w:r>
      <w:r w:rsidR="00D30508" w:rsidRPr="00422183">
        <w:rPr>
          <w:color w:val="auto"/>
          <w:sz w:val="24"/>
          <w:szCs w:val="24"/>
        </w:rPr>
        <w:instrText xml:space="preserve"> SEQ Graphique \* ARABIC </w:instrText>
      </w:r>
      <w:r w:rsidR="00491B03" w:rsidRPr="00422183">
        <w:rPr>
          <w:color w:val="auto"/>
          <w:sz w:val="24"/>
          <w:szCs w:val="24"/>
        </w:rPr>
        <w:fldChar w:fldCharType="separate"/>
      </w:r>
      <w:r w:rsidR="00516FB0" w:rsidRPr="00422183">
        <w:rPr>
          <w:noProof/>
          <w:color w:val="auto"/>
          <w:sz w:val="24"/>
          <w:szCs w:val="24"/>
        </w:rPr>
        <w:t>2</w:t>
      </w:r>
      <w:r w:rsidR="00491B03" w:rsidRPr="00422183">
        <w:rPr>
          <w:noProof/>
          <w:color w:val="auto"/>
          <w:sz w:val="24"/>
          <w:szCs w:val="24"/>
        </w:rPr>
        <w:fldChar w:fldCharType="end"/>
      </w:r>
      <w:r w:rsidRPr="00422183">
        <w:rPr>
          <w:color w:val="auto"/>
          <w:sz w:val="24"/>
          <w:szCs w:val="24"/>
        </w:rPr>
        <w:t xml:space="preserve">: </w:t>
      </w:r>
      <w:r w:rsidR="000B66C1" w:rsidRPr="00422183">
        <w:rPr>
          <w:color w:val="auto"/>
          <w:sz w:val="24"/>
          <w:szCs w:val="24"/>
        </w:rPr>
        <w:t>p</w:t>
      </w:r>
      <w:r w:rsidR="004D3494" w:rsidRPr="00422183">
        <w:rPr>
          <w:color w:val="auto"/>
          <w:sz w:val="24"/>
          <w:szCs w:val="24"/>
        </w:rPr>
        <w:t>arts contributives des branches d</w:t>
      </w:r>
      <w:r w:rsidR="006C72DE" w:rsidRPr="00422183">
        <w:rPr>
          <w:color w:val="auto"/>
          <w:sz w:val="24"/>
          <w:szCs w:val="24"/>
        </w:rPr>
        <w:t>'</w:t>
      </w:r>
      <w:r w:rsidR="006C0CF8" w:rsidRPr="00422183">
        <w:rPr>
          <w:color w:val="auto"/>
          <w:sz w:val="24"/>
          <w:szCs w:val="24"/>
        </w:rPr>
        <w:t>activités d</w:t>
      </w:r>
      <w:r w:rsidR="004D3494" w:rsidRPr="00422183">
        <w:rPr>
          <w:color w:val="auto"/>
          <w:sz w:val="24"/>
          <w:szCs w:val="24"/>
        </w:rPr>
        <w:t>u se</w:t>
      </w:r>
      <w:r w:rsidR="006C0CF8" w:rsidRPr="00422183">
        <w:rPr>
          <w:color w:val="auto"/>
          <w:sz w:val="24"/>
          <w:szCs w:val="24"/>
        </w:rPr>
        <w:t>cteur secondaire dans le PIB</w:t>
      </w:r>
      <w:bookmarkEnd w:id="70"/>
    </w:p>
    <w:p w:rsidR="000B66C1" w:rsidRPr="00422183" w:rsidRDefault="000B66C1" w:rsidP="003A0820">
      <w:pPr>
        <w:spacing w:after="0" w:line="240" w:lineRule="auto"/>
        <w:jc w:val="both"/>
        <w:rPr>
          <w:rFonts w:ascii="Rockwell" w:hAnsi="Rockwell"/>
          <w:sz w:val="24"/>
          <w:szCs w:val="24"/>
        </w:rPr>
      </w:pPr>
    </w:p>
    <w:p w:rsidR="007A740A" w:rsidRPr="00422183" w:rsidRDefault="002B43AF" w:rsidP="003A0820">
      <w:pPr>
        <w:spacing w:after="0" w:line="240" w:lineRule="auto"/>
        <w:jc w:val="both"/>
        <w:rPr>
          <w:rFonts w:ascii="Rockwell" w:hAnsi="Rockwell"/>
          <w:sz w:val="24"/>
          <w:szCs w:val="24"/>
        </w:rPr>
      </w:pPr>
      <w:r w:rsidRPr="00422183">
        <w:rPr>
          <w:rFonts w:ascii="Rockwell" w:hAnsi="Rockwell"/>
          <w:noProof/>
          <w:sz w:val="24"/>
          <w:szCs w:val="24"/>
        </w:rPr>
        <w:drawing>
          <wp:inline distT="0" distB="0" distL="0" distR="0">
            <wp:extent cx="5881420" cy="257492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169" cy="2578318"/>
                    </a:xfrm>
                    <a:prstGeom prst="rect">
                      <a:avLst/>
                    </a:prstGeom>
                    <a:noFill/>
                  </pic:spPr>
                </pic:pic>
              </a:graphicData>
            </a:graphic>
          </wp:inline>
        </w:drawing>
      </w:r>
    </w:p>
    <w:p w:rsidR="00643723" w:rsidRPr="00422183" w:rsidRDefault="000A62C5" w:rsidP="003A0820">
      <w:pPr>
        <w:spacing w:after="0" w:line="240" w:lineRule="auto"/>
        <w:jc w:val="both"/>
        <w:rPr>
          <w:rFonts w:ascii="Rockwell" w:hAnsi="Rockwell"/>
          <w:sz w:val="20"/>
          <w:szCs w:val="20"/>
        </w:rPr>
      </w:pPr>
      <w:r w:rsidRPr="00422183">
        <w:rPr>
          <w:rFonts w:ascii="Rockwell" w:hAnsi="Rockwell"/>
          <w:sz w:val="20"/>
          <w:szCs w:val="20"/>
        </w:rPr>
        <w:t xml:space="preserve">Source : </w:t>
      </w:r>
      <w:r w:rsidR="000B66C1" w:rsidRPr="00422183">
        <w:rPr>
          <w:rFonts w:ascii="Rockwell" w:hAnsi="Rockwell"/>
          <w:sz w:val="20"/>
          <w:szCs w:val="20"/>
        </w:rPr>
        <w:t>à</w:t>
      </w:r>
      <w:r w:rsidR="007F38AD" w:rsidRPr="00422183">
        <w:rPr>
          <w:rFonts w:ascii="Rockwell" w:hAnsi="Rockwell"/>
          <w:sz w:val="20"/>
          <w:szCs w:val="20"/>
        </w:rPr>
        <w:t xml:space="preserve"> partir de</w:t>
      </w:r>
      <w:r w:rsidR="000B66C1" w:rsidRPr="00422183">
        <w:rPr>
          <w:rFonts w:ascii="Rockwell" w:hAnsi="Rockwell"/>
          <w:sz w:val="20"/>
          <w:szCs w:val="20"/>
        </w:rPr>
        <w:t>s données de l'Instrument automatisé de prévision (IAP) (DGEP, a</w:t>
      </w:r>
      <w:r w:rsidRPr="00422183">
        <w:rPr>
          <w:rFonts w:ascii="Rockwell" w:hAnsi="Rockwell"/>
          <w:sz w:val="20"/>
          <w:szCs w:val="20"/>
        </w:rPr>
        <w:t>vril 2016)</w:t>
      </w:r>
    </w:p>
    <w:p w:rsidR="000B66C1" w:rsidRPr="00422183" w:rsidRDefault="000B66C1" w:rsidP="003A0820">
      <w:pPr>
        <w:spacing w:after="0" w:line="240" w:lineRule="auto"/>
        <w:jc w:val="both"/>
        <w:rPr>
          <w:rFonts w:ascii="Rockwell" w:hAnsi="Rockwell"/>
          <w:sz w:val="24"/>
          <w:szCs w:val="24"/>
        </w:rPr>
      </w:pPr>
    </w:p>
    <w:p w:rsidR="004D5AC9" w:rsidRPr="00422183" w:rsidRDefault="003578D9" w:rsidP="003A0820">
      <w:pPr>
        <w:pStyle w:val="PNDES4"/>
        <w:rPr>
          <w:rFonts w:ascii="Rockwell" w:hAnsi="Rockwell"/>
        </w:rPr>
      </w:pPr>
      <w:bookmarkStart w:id="71" w:name="_Toc452994144"/>
      <w:bookmarkStart w:id="72" w:name="_Toc452994592"/>
      <w:bookmarkStart w:id="73" w:name="_Toc452995032"/>
      <w:bookmarkStart w:id="74" w:name="_Toc453160732"/>
      <w:bookmarkStart w:id="75" w:name="_Toc455132717"/>
      <w:r w:rsidRPr="00422183">
        <w:rPr>
          <w:rFonts w:ascii="Rockwell" w:hAnsi="Rockwell"/>
        </w:rPr>
        <w:t>Un sous-secteur minier</w:t>
      </w:r>
      <w:r w:rsidR="004D5AC9" w:rsidRPr="00422183">
        <w:rPr>
          <w:rFonts w:ascii="Rockwell" w:hAnsi="Rockwell"/>
        </w:rPr>
        <w:t xml:space="preserve"> en plein essor mais faiblement générat</w:t>
      </w:r>
      <w:r w:rsidRPr="00422183">
        <w:rPr>
          <w:rFonts w:ascii="Rockwell" w:hAnsi="Rockwell"/>
        </w:rPr>
        <w:t>eur</w:t>
      </w:r>
      <w:r w:rsidR="004D5AC9" w:rsidRPr="00422183">
        <w:rPr>
          <w:rFonts w:ascii="Rockwell" w:hAnsi="Rockwell"/>
        </w:rPr>
        <w:t xml:space="preserve"> d'emplois locaux</w:t>
      </w:r>
      <w:bookmarkEnd w:id="71"/>
      <w:bookmarkEnd w:id="72"/>
      <w:bookmarkEnd w:id="73"/>
      <w:bookmarkEnd w:id="74"/>
      <w:bookmarkEnd w:id="75"/>
    </w:p>
    <w:p w:rsidR="004D5AC9" w:rsidRPr="00422183" w:rsidRDefault="004D5AC9" w:rsidP="003A0820">
      <w:pPr>
        <w:spacing w:after="0" w:line="240" w:lineRule="auto"/>
        <w:jc w:val="both"/>
        <w:rPr>
          <w:rFonts w:ascii="Rockwell" w:eastAsiaTheme="majorEastAsia" w:hAnsi="Rockwell" w:cstheme="majorBidi"/>
          <w:kern w:val="28"/>
          <w:sz w:val="24"/>
          <w:szCs w:val="24"/>
        </w:rPr>
      </w:pPr>
    </w:p>
    <w:p w:rsidR="004D5AC9" w:rsidRPr="00422183" w:rsidRDefault="00770866"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En raison des mesures d</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attraction de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investissement privé prises depuis le milieu des années 1990</w:t>
      </w:r>
      <w:r w:rsidR="00D06BE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la production du sous-secteur s</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est accrue grâce à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ouverture </w:t>
      </w:r>
      <w:r w:rsidR="00D06BEE" w:rsidRPr="00422183">
        <w:rPr>
          <w:rFonts w:ascii="Rockwell" w:eastAsiaTheme="majorEastAsia" w:hAnsi="Rockwell" w:cstheme="majorBidi"/>
          <w:kern w:val="28"/>
          <w:sz w:val="24"/>
          <w:szCs w:val="24"/>
        </w:rPr>
        <w:t xml:space="preserve">de plusieurs mines industrielles cohabitant de </w:t>
      </w:r>
      <w:r w:rsidR="003578D9" w:rsidRPr="00422183">
        <w:rPr>
          <w:rFonts w:ascii="Rockwell" w:eastAsiaTheme="majorEastAsia" w:hAnsi="Rockwell" w:cstheme="majorBidi"/>
          <w:kern w:val="28"/>
          <w:sz w:val="24"/>
          <w:szCs w:val="24"/>
        </w:rPr>
        <w:t xml:space="preserve">manière </w:t>
      </w:r>
      <w:r w:rsidR="00D06BEE" w:rsidRPr="00422183">
        <w:rPr>
          <w:rFonts w:ascii="Rockwell" w:eastAsiaTheme="majorEastAsia" w:hAnsi="Rockwell" w:cstheme="majorBidi"/>
          <w:kern w:val="28"/>
          <w:sz w:val="24"/>
          <w:szCs w:val="24"/>
        </w:rPr>
        <w:t>conflictuelle des mines artisanales</w:t>
      </w:r>
      <w:r w:rsidR="004D5AC9"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 xml:space="preserve"> </w:t>
      </w:r>
      <w:r w:rsidR="00D06BEE" w:rsidRPr="00422183">
        <w:rPr>
          <w:rFonts w:ascii="Rockwell" w:eastAsiaTheme="majorEastAsia" w:hAnsi="Rockwell" w:cstheme="majorBidi"/>
          <w:kern w:val="28"/>
          <w:sz w:val="24"/>
          <w:szCs w:val="24"/>
        </w:rPr>
        <w:t>Toutefois, l</w:t>
      </w:r>
      <w:r w:rsidR="006C72DE"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 xml:space="preserve">essor </w:t>
      </w:r>
      <w:r w:rsidR="00D06BEE" w:rsidRPr="00422183">
        <w:rPr>
          <w:rFonts w:ascii="Rockwell" w:eastAsiaTheme="majorEastAsia" w:hAnsi="Rockwell" w:cstheme="majorBidi"/>
          <w:kern w:val="28"/>
          <w:sz w:val="24"/>
          <w:szCs w:val="24"/>
        </w:rPr>
        <w:t>du sous-secteur ne s</w:t>
      </w:r>
      <w:r w:rsidR="006C72DE" w:rsidRPr="00422183">
        <w:rPr>
          <w:rFonts w:ascii="Rockwell" w:eastAsiaTheme="majorEastAsia" w:hAnsi="Rockwell" w:cstheme="majorBidi"/>
          <w:kern w:val="28"/>
          <w:sz w:val="24"/>
          <w:szCs w:val="24"/>
        </w:rPr>
        <w:t>'</w:t>
      </w:r>
      <w:r w:rsidR="00D3751B" w:rsidRPr="00422183">
        <w:rPr>
          <w:rFonts w:ascii="Rockwell" w:eastAsiaTheme="majorEastAsia" w:hAnsi="Rockwell" w:cstheme="majorBidi"/>
          <w:kern w:val="28"/>
          <w:sz w:val="24"/>
          <w:szCs w:val="24"/>
        </w:rPr>
        <w:t>est</w:t>
      </w:r>
      <w:r w:rsidR="00D06BEE" w:rsidRPr="00422183">
        <w:rPr>
          <w:rFonts w:ascii="Rockwell" w:eastAsiaTheme="majorEastAsia" w:hAnsi="Rockwell" w:cstheme="majorBidi"/>
          <w:kern w:val="28"/>
          <w:sz w:val="24"/>
          <w:szCs w:val="24"/>
        </w:rPr>
        <w:t xml:space="preserve"> pas accompagné </w:t>
      </w:r>
      <w:r w:rsidR="00643723" w:rsidRPr="00422183">
        <w:rPr>
          <w:rFonts w:ascii="Rockwell" w:eastAsiaTheme="majorEastAsia" w:hAnsi="Rockwell" w:cstheme="majorBidi"/>
          <w:kern w:val="28"/>
          <w:sz w:val="24"/>
          <w:szCs w:val="24"/>
        </w:rPr>
        <w:t>d</w:t>
      </w:r>
      <w:r w:rsidR="006C72DE"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une création importante d</w:t>
      </w:r>
      <w:r w:rsidR="006C72DE"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emplois décents et d</w:t>
      </w:r>
      <w:r w:rsidR="006C72DE"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un effet d</w:t>
      </w:r>
      <w:r w:rsidR="006C72DE" w:rsidRPr="00422183">
        <w:rPr>
          <w:rFonts w:ascii="Rockwell" w:eastAsiaTheme="majorEastAsia" w:hAnsi="Rockwell" w:cstheme="majorBidi"/>
          <w:kern w:val="28"/>
          <w:sz w:val="24"/>
          <w:szCs w:val="24"/>
        </w:rPr>
        <w:t>'</w:t>
      </w:r>
      <w:r w:rsidR="00643723" w:rsidRPr="00422183">
        <w:rPr>
          <w:rFonts w:ascii="Rockwell" w:eastAsiaTheme="majorEastAsia" w:hAnsi="Rockwell" w:cstheme="majorBidi"/>
          <w:kern w:val="28"/>
          <w:sz w:val="24"/>
          <w:szCs w:val="24"/>
        </w:rPr>
        <w:t>entrainement important sur les autres secteurs de l</w:t>
      </w:r>
      <w:r w:rsidR="006C72DE" w:rsidRPr="00422183">
        <w:rPr>
          <w:rFonts w:ascii="Rockwell" w:eastAsiaTheme="majorEastAsia" w:hAnsi="Rockwell" w:cstheme="majorBidi"/>
          <w:kern w:val="28"/>
          <w:sz w:val="24"/>
          <w:szCs w:val="24"/>
        </w:rPr>
        <w:t>'</w:t>
      </w:r>
      <w:r w:rsidR="005D2E45" w:rsidRPr="00422183">
        <w:rPr>
          <w:rFonts w:ascii="Rockwell" w:eastAsiaTheme="majorEastAsia" w:hAnsi="Rockwell" w:cstheme="majorBidi"/>
          <w:kern w:val="28"/>
          <w:sz w:val="24"/>
          <w:szCs w:val="24"/>
        </w:rPr>
        <w:t>économie.</w:t>
      </w:r>
      <w:r w:rsidR="000814BC" w:rsidRPr="00422183">
        <w:rPr>
          <w:rFonts w:ascii="Rockwell" w:eastAsiaTheme="majorEastAsia" w:hAnsi="Rockwell" w:cstheme="majorBidi"/>
          <w:kern w:val="28"/>
          <w:sz w:val="24"/>
          <w:szCs w:val="24"/>
        </w:rPr>
        <w:t xml:space="preserve"> Il a en outre engendré une dégradation des ressources naturelles dont la pollution des eaux nécessitant une évaluation par des études stratégiques.</w:t>
      </w:r>
    </w:p>
    <w:p w:rsidR="00643723" w:rsidRPr="00422183" w:rsidRDefault="00643723" w:rsidP="003A0820">
      <w:pPr>
        <w:spacing w:after="0" w:line="240" w:lineRule="auto"/>
        <w:jc w:val="both"/>
        <w:rPr>
          <w:rFonts w:ascii="Rockwell" w:eastAsiaTheme="majorEastAsia" w:hAnsi="Rockwell" w:cstheme="majorBidi"/>
          <w:kern w:val="28"/>
          <w:sz w:val="24"/>
          <w:szCs w:val="24"/>
        </w:rPr>
      </w:pPr>
    </w:p>
    <w:p w:rsidR="004D5AC9" w:rsidRPr="00422183" w:rsidRDefault="00643723" w:rsidP="003A0820">
      <w:pPr>
        <w:spacing w:after="0" w:line="240" w:lineRule="auto"/>
        <w:jc w:val="both"/>
        <w:rPr>
          <w:rFonts w:ascii="Rockwell" w:hAnsi="Rockwell"/>
          <w:sz w:val="24"/>
          <w:szCs w:val="24"/>
        </w:rPr>
      </w:pPr>
      <w:r w:rsidRPr="00422183">
        <w:rPr>
          <w:rFonts w:ascii="Rockwell" w:eastAsiaTheme="majorEastAsia" w:hAnsi="Rockwell" w:cstheme="majorBidi"/>
          <w:kern w:val="28"/>
          <w:sz w:val="24"/>
          <w:szCs w:val="24"/>
        </w:rPr>
        <w:t>Au regard de ces constats, les défis à relever afin d</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accroître les bénéfices sociaux </w:t>
      </w:r>
      <w:r w:rsidR="00AB44C1" w:rsidRPr="00422183">
        <w:rPr>
          <w:rFonts w:ascii="Rockwell" w:eastAsiaTheme="majorEastAsia" w:hAnsi="Rockwell" w:cstheme="majorBidi"/>
          <w:kern w:val="28"/>
          <w:sz w:val="24"/>
          <w:szCs w:val="24"/>
        </w:rPr>
        <w:t xml:space="preserve">et </w:t>
      </w:r>
      <w:r w:rsidRPr="00422183">
        <w:rPr>
          <w:rFonts w:ascii="Rockwell" w:eastAsiaTheme="majorEastAsia" w:hAnsi="Rockwell" w:cstheme="majorBidi"/>
          <w:kern w:val="28"/>
          <w:sz w:val="24"/>
          <w:szCs w:val="24"/>
        </w:rPr>
        <w:t xml:space="preserve">économiques du </w:t>
      </w:r>
      <w:r w:rsidR="00D6535F" w:rsidRPr="00422183">
        <w:rPr>
          <w:rFonts w:ascii="Rockwell" w:eastAsiaTheme="majorEastAsia" w:hAnsi="Rockwell" w:cstheme="majorBidi"/>
          <w:kern w:val="28"/>
          <w:sz w:val="24"/>
          <w:szCs w:val="24"/>
        </w:rPr>
        <w:t>secteur minier sont</w:t>
      </w:r>
      <w:r w:rsidR="005D2E45" w:rsidRPr="00422183">
        <w:rPr>
          <w:rFonts w:ascii="Rockwell" w:eastAsiaTheme="majorEastAsia" w:hAnsi="Rockwell" w:cstheme="majorBidi"/>
          <w:kern w:val="28"/>
          <w:sz w:val="24"/>
          <w:szCs w:val="24"/>
        </w:rPr>
        <w:t xml:space="preserve"> </w:t>
      </w:r>
      <w:r w:rsidR="004D5AC9" w:rsidRPr="00422183">
        <w:rPr>
          <w:rFonts w:ascii="Rockwell" w:eastAsiaTheme="majorEastAsia" w:hAnsi="Rockwell" w:cstheme="majorBidi"/>
          <w:kern w:val="28"/>
          <w:sz w:val="24"/>
          <w:szCs w:val="24"/>
        </w:rPr>
        <w:t>: (i) le développement de l'inf</w:t>
      </w:r>
      <w:r w:rsidR="00AB44C1" w:rsidRPr="00422183">
        <w:rPr>
          <w:rFonts w:ascii="Rockwell" w:eastAsiaTheme="majorEastAsia" w:hAnsi="Rockwell" w:cstheme="majorBidi"/>
          <w:kern w:val="28"/>
          <w:sz w:val="24"/>
          <w:szCs w:val="24"/>
        </w:rPr>
        <w:t>ormation géologique et minière</w:t>
      </w:r>
      <w:r w:rsidR="004D5AC9" w:rsidRPr="00422183">
        <w:rPr>
          <w:rFonts w:ascii="Rockwell" w:eastAsiaTheme="majorEastAsia" w:hAnsi="Rockwell" w:cstheme="majorBidi"/>
          <w:kern w:val="28"/>
          <w:sz w:val="24"/>
          <w:szCs w:val="24"/>
        </w:rPr>
        <w:t>, (ii)</w:t>
      </w:r>
      <w:r w:rsidR="003578D9" w:rsidRPr="00422183">
        <w:rPr>
          <w:rFonts w:ascii="Rockwell" w:eastAsiaTheme="majorEastAsia" w:hAnsi="Rockwell" w:cstheme="majorBidi"/>
          <w:kern w:val="28"/>
          <w:sz w:val="24"/>
          <w:szCs w:val="24"/>
        </w:rPr>
        <w:t xml:space="preserve"> la création et</w:t>
      </w:r>
      <w:r w:rsidR="004D5AC9" w:rsidRPr="00422183">
        <w:rPr>
          <w:rFonts w:ascii="Rockwell" w:eastAsiaTheme="majorEastAsia" w:hAnsi="Rockwell" w:cstheme="majorBidi"/>
          <w:kern w:val="28"/>
          <w:sz w:val="24"/>
          <w:szCs w:val="24"/>
        </w:rPr>
        <w:t xml:space="preserve"> la valorisation de l'expertise nationale, (i</w:t>
      </w:r>
      <w:r w:rsidR="00D3751B" w:rsidRPr="00422183">
        <w:rPr>
          <w:rFonts w:ascii="Rockwell" w:eastAsiaTheme="majorEastAsia" w:hAnsi="Rockwell" w:cstheme="majorBidi"/>
          <w:kern w:val="28"/>
          <w:sz w:val="24"/>
          <w:szCs w:val="24"/>
        </w:rPr>
        <w:t>ii</w:t>
      </w:r>
      <w:r w:rsidR="004D5AC9" w:rsidRPr="00422183">
        <w:rPr>
          <w:rFonts w:ascii="Rockwell" w:eastAsiaTheme="majorEastAsia" w:hAnsi="Rockwell" w:cstheme="majorBidi"/>
          <w:kern w:val="28"/>
          <w:sz w:val="24"/>
          <w:szCs w:val="24"/>
        </w:rPr>
        <w:t>) l'encadrement de l</w:t>
      </w:r>
      <w:r w:rsidR="003578D9" w:rsidRPr="00422183">
        <w:rPr>
          <w:rFonts w:ascii="Rockwell" w:eastAsiaTheme="majorEastAsia" w:hAnsi="Rockwell" w:cstheme="majorBidi"/>
          <w:kern w:val="28"/>
          <w:sz w:val="24"/>
          <w:szCs w:val="24"/>
        </w:rPr>
        <w:t xml:space="preserve">’exploitation artisanale, (iv) la promotion de la petite mine </w:t>
      </w:r>
      <w:r w:rsidR="004D5AC9" w:rsidRPr="00422183">
        <w:rPr>
          <w:rFonts w:ascii="Rockwell" w:eastAsiaTheme="majorEastAsia" w:hAnsi="Rockwell" w:cstheme="majorBidi"/>
          <w:kern w:val="28"/>
          <w:sz w:val="24"/>
          <w:szCs w:val="24"/>
        </w:rPr>
        <w:t>(v) la survei</w:t>
      </w:r>
      <w:r w:rsidR="000537AF" w:rsidRPr="00422183">
        <w:rPr>
          <w:rFonts w:ascii="Rockwell" w:eastAsiaTheme="majorEastAsia" w:hAnsi="Rockwell" w:cstheme="majorBidi"/>
          <w:kern w:val="28"/>
          <w:sz w:val="24"/>
          <w:szCs w:val="24"/>
        </w:rPr>
        <w:t>llance des zones d'exploitation</w:t>
      </w:r>
      <w:r w:rsidR="004D5AC9" w:rsidRPr="00422183">
        <w:rPr>
          <w:rFonts w:ascii="Rockwell" w:eastAsiaTheme="majorEastAsia" w:hAnsi="Rockwell" w:cstheme="majorBidi"/>
          <w:kern w:val="28"/>
          <w:sz w:val="24"/>
          <w:szCs w:val="24"/>
        </w:rPr>
        <w:t xml:space="preserve"> au regard des conventions relatives au respect de l'environnement, (v</w:t>
      </w:r>
      <w:r w:rsidR="003578D9" w:rsidRPr="00422183">
        <w:rPr>
          <w:rFonts w:ascii="Rockwell" w:eastAsiaTheme="majorEastAsia" w:hAnsi="Rockwell" w:cstheme="majorBidi"/>
          <w:kern w:val="28"/>
          <w:sz w:val="24"/>
          <w:szCs w:val="24"/>
        </w:rPr>
        <w:t>i</w:t>
      </w:r>
      <w:r w:rsidR="004D5AC9" w:rsidRPr="00422183">
        <w:rPr>
          <w:rFonts w:ascii="Rockwell" w:eastAsiaTheme="majorEastAsia" w:hAnsi="Rockwell" w:cstheme="majorBidi"/>
          <w:kern w:val="28"/>
          <w:sz w:val="24"/>
          <w:szCs w:val="24"/>
        </w:rPr>
        <w:t xml:space="preserve">) l'accroissement des achats locaux de biens et services des mines, </w:t>
      </w:r>
      <w:r w:rsidR="004D5AC9" w:rsidRPr="00422183">
        <w:rPr>
          <w:rFonts w:ascii="Rockwell" w:hAnsi="Rockwell"/>
          <w:sz w:val="24"/>
          <w:szCs w:val="24"/>
        </w:rPr>
        <w:t>(vii) l</w:t>
      </w:r>
      <w:r w:rsidR="006C72DE" w:rsidRPr="00422183">
        <w:rPr>
          <w:rFonts w:ascii="Rockwell" w:hAnsi="Rockwell"/>
          <w:sz w:val="24"/>
          <w:szCs w:val="24"/>
        </w:rPr>
        <w:t>'</w:t>
      </w:r>
      <w:r w:rsidR="004D5AC9" w:rsidRPr="00422183">
        <w:rPr>
          <w:rFonts w:ascii="Rockwell" w:hAnsi="Rockwell"/>
          <w:sz w:val="24"/>
          <w:szCs w:val="24"/>
        </w:rPr>
        <w:t>a</w:t>
      </w:r>
      <w:r w:rsidR="0034604F" w:rsidRPr="00422183">
        <w:rPr>
          <w:rFonts w:ascii="Rockwell" w:hAnsi="Rockwell"/>
          <w:sz w:val="24"/>
          <w:szCs w:val="24"/>
        </w:rPr>
        <w:t>mélioration de l</w:t>
      </w:r>
      <w:r w:rsidR="006C72DE" w:rsidRPr="00422183">
        <w:rPr>
          <w:rFonts w:ascii="Rockwell" w:hAnsi="Rockwell"/>
          <w:sz w:val="24"/>
          <w:szCs w:val="24"/>
        </w:rPr>
        <w:t>'</w:t>
      </w:r>
      <w:r w:rsidR="0034604F" w:rsidRPr="00422183">
        <w:rPr>
          <w:rFonts w:ascii="Rockwell" w:hAnsi="Rockwell"/>
          <w:sz w:val="24"/>
          <w:szCs w:val="24"/>
        </w:rPr>
        <w:t>impact des mines dans le développement local</w:t>
      </w:r>
      <w:r w:rsidR="000537AF" w:rsidRPr="00422183">
        <w:rPr>
          <w:rFonts w:ascii="Rockwell" w:hAnsi="Rockwell"/>
          <w:sz w:val="24"/>
          <w:szCs w:val="24"/>
        </w:rPr>
        <w:t>,</w:t>
      </w:r>
      <w:r w:rsidR="003578D9" w:rsidRPr="00422183">
        <w:rPr>
          <w:rFonts w:ascii="Rockwell" w:hAnsi="Rockwell"/>
          <w:sz w:val="24"/>
          <w:szCs w:val="24"/>
        </w:rPr>
        <w:t xml:space="preserve"> (viii) </w:t>
      </w:r>
      <w:r w:rsidR="00674717" w:rsidRPr="00422183">
        <w:rPr>
          <w:rFonts w:ascii="Rockwell" w:hAnsi="Rockwell"/>
          <w:sz w:val="24"/>
          <w:szCs w:val="24"/>
        </w:rPr>
        <w:t>l’amélioration du</w:t>
      </w:r>
      <w:r w:rsidR="003578D9" w:rsidRPr="00422183">
        <w:rPr>
          <w:rFonts w:ascii="Rockwell" w:hAnsi="Rockwell"/>
          <w:sz w:val="24"/>
          <w:szCs w:val="24"/>
        </w:rPr>
        <w:t xml:space="preserve"> contrôle et </w:t>
      </w:r>
      <w:r w:rsidR="00674717" w:rsidRPr="00422183">
        <w:rPr>
          <w:rFonts w:ascii="Rockwell" w:hAnsi="Rockwell"/>
          <w:sz w:val="24"/>
          <w:szCs w:val="24"/>
        </w:rPr>
        <w:t>du</w:t>
      </w:r>
      <w:r w:rsidR="003578D9" w:rsidRPr="00422183">
        <w:rPr>
          <w:rFonts w:ascii="Rockwell" w:hAnsi="Rockwell"/>
          <w:sz w:val="24"/>
          <w:szCs w:val="24"/>
        </w:rPr>
        <w:t xml:space="preserve"> suivi de l’activité minière</w:t>
      </w:r>
      <w:r w:rsidR="00674717" w:rsidRPr="00422183">
        <w:rPr>
          <w:rFonts w:ascii="Rockwell" w:hAnsi="Rockwell"/>
          <w:sz w:val="24"/>
          <w:szCs w:val="24"/>
        </w:rPr>
        <w:t xml:space="preserve"> et</w:t>
      </w:r>
      <w:r w:rsidR="000E6EA4" w:rsidRPr="00422183">
        <w:rPr>
          <w:rFonts w:ascii="Rockwell" w:hAnsi="Rockwell"/>
          <w:sz w:val="24"/>
          <w:szCs w:val="24"/>
        </w:rPr>
        <w:t xml:space="preserve"> (ix) un bon usage de</w:t>
      </w:r>
      <w:r w:rsidR="00674717" w:rsidRPr="00422183">
        <w:rPr>
          <w:rFonts w:ascii="Rockwell" w:hAnsi="Rockwell"/>
          <w:sz w:val="24"/>
          <w:szCs w:val="24"/>
        </w:rPr>
        <w:t xml:space="preserve"> la rente minière.</w:t>
      </w:r>
    </w:p>
    <w:p w:rsidR="00E722F8" w:rsidRPr="00422183" w:rsidRDefault="00E722F8" w:rsidP="003A0820">
      <w:pPr>
        <w:spacing w:after="0" w:line="240" w:lineRule="auto"/>
        <w:jc w:val="both"/>
        <w:rPr>
          <w:rFonts w:ascii="Rockwell" w:eastAsiaTheme="majorEastAsia" w:hAnsi="Rockwell" w:cstheme="majorBidi"/>
          <w:kern w:val="28"/>
          <w:sz w:val="24"/>
          <w:szCs w:val="24"/>
        </w:rPr>
      </w:pPr>
    </w:p>
    <w:p w:rsidR="00C97CC8" w:rsidRPr="00422183" w:rsidRDefault="00C97CC8" w:rsidP="003A0820">
      <w:pPr>
        <w:pStyle w:val="PNDES4"/>
        <w:rPr>
          <w:rFonts w:ascii="Rockwell" w:hAnsi="Rockwell"/>
        </w:rPr>
      </w:pPr>
      <w:bookmarkStart w:id="76" w:name="_Toc452994145"/>
      <w:bookmarkStart w:id="77" w:name="_Toc452994593"/>
      <w:bookmarkStart w:id="78" w:name="_Toc452995033"/>
      <w:bookmarkStart w:id="79" w:name="_Toc453160733"/>
      <w:bookmarkStart w:id="80" w:name="_Toc455132718"/>
      <w:r w:rsidRPr="00422183">
        <w:rPr>
          <w:rFonts w:ascii="Rockwell" w:hAnsi="Rockwell"/>
        </w:rPr>
        <w:t>Des industries manufacturières peu compétitives et des entreprises en difficulté</w:t>
      </w:r>
      <w:bookmarkEnd w:id="76"/>
      <w:bookmarkEnd w:id="77"/>
      <w:bookmarkEnd w:id="78"/>
      <w:bookmarkEnd w:id="79"/>
      <w:bookmarkEnd w:id="80"/>
    </w:p>
    <w:p w:rsidR="005D2E45" w:rsidRPr="00422183" w:rsidRDefault="005D2E45" w:rsidP="003A0820">
      <w:pPr>
        <w:spacing w:after="0" w:line="240" w:lineRule="auto"/>
        <w:jc w:val="both"/>
        <w:rPr>
          <w:rFonts w:ascii="Rockwell" w:hAnsi="Rockwell"/>
          <w:sz w:val="24"/>
          <w:szCs w:val="24"/>
        </w:rPr>
      </w:pPr>
    </w:p>
    <w:p w:rsidR="00524E24" w:rsidRPr="00422183" w:rsidRDefault="00524E24"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L’analyse de la dynamique de la contribution des industries manufacturières implique d’apprécier les exportations manufacturières. Ainsi</w:t>
      </w:r>
      <w:r w:rsidR="00353480"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c’est à partir du début des années 1990 qu’il y a eu une rupture structurelle dans la composition des exportations. En effet, il ressort que c’est à partir des années 1993-1994 que les exportations des produits manufacturiers ont cédé le pas aux exportations du coton. De plus, la dévaluation </w:t>
      </w:r>
      <w:r w:rsidR="00353480" w:rsidRPr="00422183">
        <w:rPr>
          <w:rFonts w:ascii="Rockwell" w:eastAsiaTheme="majorEastAsia" w:hAnsi="Rockwell" w:cstheme="majorBidi"/>
          <w:kern w:val="28"/>
          <w:sz w:val="24"/>
          <w:szCs w:val="24"/>
        </w:rPr>
        <w:t xml:space="preserve">du Franc CFA </w:t>
      </w:r>
      <w:r w:rsidRPr="00422183">
        <w:rPr>
          <w:rFonts w:ascii="Rockwell" w:eastAsiaTheme="majorEastAsia" w:hAnsi="Rockwell" w:cstheme="majorBidi"/>
          <w:kern w:val="28"/>
          <w:sz w:val="24"/>
          <w:szCs w:val="24"/>
        </w:rPr>
        <w:t>de 1994 n’a pas contribué à améliorer la compétitivité des manufactures nationales. La valeur des exportations manufacturières a chuté de 32,7% en 1993 à 28,6% en 1994. Cette chute s’est poursuivie jusqu’en 1997 où la part des manufactures dans les exportations n’était que de 8%. Cette analyse dynamique montre qu’au fil du temps, l’économie burkinabè se spécialise dans la production et l’exportation des produits primaires (coton, or non monétaire) au détriment de l’industrie manufacturière.</w:t>
      </w:r>
    </w:p>
    <w:p w:rsidR="00524E24" w:rsidRPr="00422183" w:rsidRDefault="00524E24" w:rsidP="003A0820">
      <w:pPr>
        <w:spacing w:after="0" w:line="240" w:lineRule="auto"/>
        <w:jc w:val="both"/>
        <w:rPr>
          <w:rFonts w:ascii="Rockwell" w:hAnsi="Rockwell"/>
          <w:sz w:val="24"/>
          <w:szCs w:val="24"/>
        </w:rPr>
      </w:pPr>
    </w:p>
    <w:p w:rsidR="00B43067" w:rsidRPr="00422183" w:rsidRDefault="00B43067" w:rsidP="003A0820">
      <w:pPr>
        <w:spacing w:after="0" w:line="240" w:lineRule="auto"/>
        <w:jc w:val="both"/>
        <w:rPr>
          <w:rFonts w:ascii="Rockwell" w:eastAsiaTheme="majorEastAsia" w:hAnsi="Rockwell" w:cstheme="majorBidi"/>
          <w:kern w:val="28"/>
          <w:sz w:val="24"/>
          <w:szCs w:val="24"/>
        </w:rPr>
      </w:pPr>
      <w:r w:rsidRPr="00422183">
        <w:rPr>
          <w:rFonts w:ascii="Rockwell" w:hAnsi="Rockwell"/>
          <w:sz w:val="24"/>
          <w:szCs w:val="24"/>
        </w:rPr>
        <w:t>Face au constat du recul de</w:t>
      </w:r>
      <w:r w:rsidR="00D06BEE" w:rsidRPr="00422183">
        <w:rPr>
          <w:rFonts w:ascii="Rockwell" w:hAnsi="Rockwell"/>
          <w:sz w:val="24"/>
          <w:szCs w:val="24"/>
        </w:rPr>
        <w:t xml:space="preserve"> la</w:t>
      </w:r>
      <w:r w:rsidRPr="00422183">
        <w:rPr>
          <w:rFonts w:ascii="Rockwell" w:hAnsi="Rockwell"/>
          <w:sz w:val="24"/>
          <w:szCs w:val="24"/>
        </w:rPr>
        <w:t xml:space="preserve"> part relative de la valeur ajoutée du secteur au </w:t>
      </w:r>
      <w:r w:rsidR="006D07CD" w:rsidRPr="00422183">
        <w:rPr>
          <w:rFonts w:ascii="Rockwell" w:hAnsi="Rockwell"/>
          <w:sz w:val="24"/>
          <w:szCs w:val="24"/>
        </w:rPr>
        <w:t>PIB, l</w:t>
      </w:r>
      <w:r w:rsidR="006C72DE" w:rsidRPr="00422183">
        <w:rPr>
          <w:rFonts w:ascii="Rockwell" w:hAnsi="Rockwell"/>
          <w:sz w:val="24"/>
          <w:szCs w:val="24"/>
        </w:rPr>
        <w:t>'</w:t>
      </w:r>
      <w:r w:rsidR="005D2E45" w:rsidRPr="00422183">
        <w:rPr>
          <w:rFonts w:ascii="Rockwell" w:hAnsi="Rockwell"/>
          <w:sz w:val="24"/>
          <w:szCs w:val="24"/>
        </w:rPr>
        <w:t>État</w:t>
      </w:r>
      <w:r w:rsidRPr="00422183">
        <w:rPr>
          <w:rFonts w:ascii="Rockwell" w:hAnsi="Rockwell"/>
          <w:sz w:val="24"/>
          <w:szCs w:val="24"/>
        </w:rPr>
        <w:t xml:space="preserve"> a entrepris des réformes en vue de restructurer les entreprises en difficulté et </w:t>
      </w:r>
      <w:r w:rsidR="00C537D6" w:rsidRPr="00422183">
        <w:rPr>
          <w:rFonts w:ascii="Rockwell" w:hAnsi="Rockwell"/>
          <w:sz w:val="24"/>
          <w:szCs w:val="24"/>
        </w:rPr>
        <w:t>d’</w:t>
      </w:r>
      <w:r w:rsidRPr="00422183">
        <w:rPr>
          <w:rFonts w:ascii="Rockwell" w:hAnsi="Rockwell"/>
          <w:sz w:val="24"/>
          <w:szCs w:val="24"/>
        </w:rPr>
        <w:t>améliorer l</w:t>
      </w:r>
      <w:r w:rsidR="006C72DE" w:rsidRPr="00422183">
        <w:rPr>
          <w:rFonts w:ascii="Rockwell" w:hAnsi="Rockwell"/>
          <w:sz w:val="24"/>
          <w:szCs w:val="24"/>
        </w:rPr>
        <w:t>'</w:t>
      </w:r>
      <w:r w:rsidR="005D2E45" w:rsidRPr="00422183">
        <w:rPr>
          <w:rFonts w:ascii="Rockwell" w:hAnsi="Rockwell"/>
          <w:sz w:val="24"/>
          <w:szCs w:val="24"/>
        </w:rPr>
        <w:t xml:space="preserve">environnement des affaires. </w:t>
      </w:r>
      <w:r w:rsidRPr="00422183">
        <w:rPr>
          <w:rFonts w:ascii="Rockwell" w:eastAsiaTheme="majorEastAsia" w:hAnsi="Rockwell" w:cstheme="majorBidi"/>
          <w:kern w:val="28"/>
          <w:sz w:val="24"/>
          <w:szCs w:val="24"/>
        </w:rPr>
        <w:t xml:space="preserve">En dépit des efforts consentis, le secteur privé et le tissu industriel demeurent peu compétitifs au regard de </w:t>
      </w:r>
      <w:r w:rsidR="006D07CD" w:rsidRPr="00422183">
        <w:rPr>
          <w:rFonts w:ascii="Rockwell" w:eastAsiaTheme="majorEastAsia" w:hAnsi="Rockwell" w:cstheme="majorBidi"/>
          <w:kern w:val="28"/>
          <w:sz w:val="24"/>
          <w:szCs w:val="24"/>
        </w:rPr>
        <w:t>nombreuses contraintes</w:t>
      </w:r>
      <w:r w:rsidRPr="00422183">
        <w:rPr>
          <w:rFonts w:ascii="Rockwell" w:eastAsiaTheme="majorEastAsia" w:hAnsi="Rockwell" w:cstheme="majorBidi"/>
          <w:kern w:val="28"/>
          <w:sz w:val="24"/>
          <w:szCs w:val="24"/>
        </w:rPr>
        <w:t xml:space="preserve"> liées aux coûts des facteurs de production comme l'électricité, les transports, les télécommunications, le crédit et la main-d'œuvre.</w:t>
      </w:r>
    </w:p>
    <w:p w:rsidR="00C537D6" w:rsidRPr="00422183" w:rsidRDefault="00C537D6" w:rsidP="003A0820">
      <w:pPr>
        <w:spacing w:after="0" w:line="240" w:lineRule="auto"/>
        <w:jc w:val="both"/>
        <w:rPr>
          <w:rFonts w:ascii="Rockwell" w:eastAsiaTheme="majorEastAsia" w:hAnsi="Rockwell" w:cstheme="majorBidi"/>
          <w:kern w:val="28"/>
          <w:sz w:val="24"/>
          <w:szCs w:val="24"/>
        </w:rPr>
      </w:pPr>
    </w:p>
    <w:p w:rsidR="00350BE2" w:rsidRPr="00422183" w:rsidRDefault="00B43067" w:rsidP="003A0820">
      <w:pPr>
        <w:spacing w:after="0" w:line="240" w:lineRule="auto"/>
        <w:jc w:val="both"/>
        <w:rPr>
          <w:rFonts w:ascii="Rockwell" w:eastAsiaTheme="majorEastAsia" w:hAnsi="Rockwell" w:cstheme="majorBidi"/>
          <w:kern w:val="28"/>
          <w:sz w:val="24"/>
          <w:szCs w:val="24"/>
        </w:rPr>
      </w:pPr>
      <w:r w:rsidRPr="00422183">
        <w:rPr>
          <w:rFonts w:ascii="Rockwell" w:hAnsi="Rockwell"/>
          <w:sz w:val="24"/>
          <w:szCs w:val="24"/>
        </w:rPr>
        <w:t>Cependant</w:t>
      </w:r>
      <w:r w:rsidR="00114D64" w:rsidRPr="00422183">
        <w:rPr>
          <w:rFonts w:ascii="Rockwell" w:hAnsi="Rockwell"/>
          <w:sz w:val="24"/>
          <w:szCs w:val="24"/>
        </w:rPr>
        <w:t>,</w:t>
      </w:r>
      <w:r w:rsidRPr="00422183">
        <w:rPr>
          <w:rFonts w:ascii="Rockwell" w:hAnsi="Rockwell"/>
          <w:sz w:val="24"/>
          <w:szCs w:val="24"/>
        </w:rPr>
        <w:t xml:space="preserve"> pour un développement véritable des industries manufacturières, les défis </w:t>
      </w:r>
      <w:r w:rsidRPr="00422183">
        <w:rPr>
          <w:rFonts w:ascii="Rockwell" w:eastAsiaTheme="majorEastAsia" w:hAnsi="Rockwell" w:cstheme="majorBidi"/>
          <w:kern w:val="28"/>
          <w:sz w:val="24"/>
          <w:szCs w:val="24"/>
        </w:rPr>
        <w:t>suivants doivent être relevés : (i)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augmentation de l'offre d'électricité ainsi que la réduction du co</w:t>
      </w:r>
      <w:r w:rsidR="00D3751B" w:rsidRPr="00422183">
        <w:rPr>
          <w:rFonts w:ascii="Rockwell" w:eastAsiaTheme="majorEastAsia" w:hAnsi="Rockwell" w:cstheme="majorBidi"/>
          <w:kern w:val="28"/>
          <w:sz w:val="24"/>
          <w:szCs w:val="24"/>
        </w:rPr>
        <w:t>û</w:t>
      </w:r>
      <w:r w:rsidRPr="00422183">
        <w:rPr>
          <w:rFonts w:ascii="Rockwell" w:eastAsiaTheme="majorEastAsia" w:hAnsi="Rockwell" w:cstheme="majorBidi"/>
          <w:kern w:val="28"/>
          <w:sz w:val="24"/>
          <w:szCs w:val="24"/>
        </w:rPr>
        <w:t xml:space="preserve">t, (ii) </w:t>
      </w:r>
      <w:r w:rsidR="00D3751B" w:rsidRPr="00422183">
        <w:rPr>
          <w:rFonts w:ascii="Rockwell" w:eastAsiaTheme="majorEastAsia" w:hAnsi="Rockwell" w:cstheme="majorBidi"/>
          <w:kern w:val="28"/>
          <w:sz w:val="24"/>
          <w:szCs w:val="24"/>
        </w:rPr>
        <w:t>l</w:t>
      </w:r>
      <w:r w:rsidRPr="00422183">
        <w:rPr>
          <w:rFonts w:ascii="Rockwell" w:eastAsiaTheme="majorEastAsia" w:hAnsi="Rockwell" w:cstheme="majorBidi"/>
          <w:kern w:val="28"/>
          <w:sz w:val="24"/>
          <w:szCs w:val="24"/>
        </w:rPr>
        <w:t>a réalisation de grand</w:t>
      </w:r>
      <w:r w:rsidR="00D3751B"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travaux de</w:t>
      </w:r>
      <w:r w:rsidR="008A4D31" w:rsidRPr="00422183">
        <w:rPr>
          <w:rFonts w:ascii="Rockwell" w:eastAsiaTheme="majorEastAsia" w:hAnsi="Rockwell" w:cstheme="majorBidi"/>
          <w:kern w:val="28"/>
          <w:sz w:val="24"/>
          <w:szCs w:val="24"/>
        </w:rPr>
        <w:t xml:space="preserve"> désenclavement du pays, (</w:t>
      </w:r>
      <w:r w:rsidR="00D3751B" w:rsidRPr="00422183">
        <w:rPr>
          <w:rFonts w:ascii="Rockwell" w:eastAsiaTheme="majorEastAsia" w:hAnsi="Rockwell" w:cstheme="majorBidi"/>
          <w:kern w:val="28"/>
          <w:sz w:val="24"/>
          <w:szCs w:val="24"/>
        </w:rPr>
        <w:t>i</w:t>
      </w:r>
      <w:r w:rsidR="008A4D31" w:rsidRPr="00422183">
        <w:rPr>
          <w:rFonts w:ascii="Rockwell" w:eastAsiaTheme="majorEastAsia" w:hAnsi="Rockwell" w:cstheme="majorBidi"/>
          <w:kern w:val="28"/>
          <w:sz w:val="24"/>
          <w:szCs w:val="24"/>
        </w:rPr>
        <w:t xml:space="preserve">ii) </w:t>
      </w:r>
      <w:r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amélioration de la qualité, du co</w:t>
      </w:r>
      <w:r w:rsidR="00D3751B" w:rsidRPr="00422183">
        <w:rPr>
          <w:rFonts w:ascii="Rockwell" w:eastAsiaTheme="majorEastAsia" w:hAnsi="Rockwell" w:cstheme="majorBidi"/>
          <w:kern w:val="28"/>
          <w:sz w:val="24"/>
          <w:szCs w:val="24"/>
        </w:rPr>
        <w:t>û</w:t>
      </w:r>
      <w:r w:rsidRPr="00422183">
        <w:rPr>
          <w:rFonts w:ascii="Rockwell" w:eastAsiaTheme="majorEastAsia" w:hAnsi="Rockwell" w:cstheme="majorBidi"/>
          <w:kern w:val="28"/>
          <w:sz w:val="24"/>
          <w:szCs w:val="24"/>
        </w:rPr>
        <w:t>t et de la fiabilité des service</w:t>
      </w:r>
      <w:r w:rsidR="00D3751B"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de télécommunication, (i</w:t>
      </w:r>
      <w:r w:rsidR="00D3751B" w:rsidRPr="00422183">
        <w:rPr>
          <w:rFonts w:ascii="Rockwell" w:eastAsiaTheme="majorEastAsia" w:hAnsi="Rockwell" w:cstheme="majorBidi"/>
          <w:kern w:val="28"/>
          <w:sz w:val="24"/>
          <w:szCs w:val="24"/>
        </w:rPr>
        <w:t>v</w:t>
      </w:r>
      <w:r w:rsidRPr="00422183">
        <w:rPr>
          <w:rFonts w:ascii="Rockwell" w:eastAsiaTheme="majorEastAsia" w:hAnsi="Rockwell" w:cstheme="majorBidi"/>
          <w:kern w:val="28"/>
          <w:sz w:val="24"/>
          <w:szCs w:val="24"/>
        </w:rPr>
        <w:t>)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approfondissement du système financier, (v)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amélioration de la qualité des ressources humaines adaptées aux besoins du secteur privé</w:t>
      </w:r>
      <w:r w:rsidR="00350BE2"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(v</w:t>
      </w:r>
      <w:r w:rsidR="00D3751B" w:rsidRPr="00422183">
        <w:rPr>
          <w:rFonts w:ascii="Rockwell" w:eastAsiaTheme="majorEastAsia" w:hAnsi="Rockwell" w:cstheme="majorBidi"/>
          <w:kern w:val="28"/>
          <w:sz w:val="24"/>
          <w:szCs w:val="24"/>
        </w:rPr>
        <w:t>i</w:t>
      </w:r>
      <w:r w:rsidRPr="00422183">
        <w:rPr>
          <w:rFonts w:ascii="Rockwell" w:eastAsiaTheme="majorEastAsia" w:hAnsi="Rockwell" w:cstheme="majorBidi"/>
          <w:kern w:val="28"/>
          <w:sz w:val="24"/>
          <w:szCs w:val="24"/>
        </w:rPr>
        <w:t>)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incitation du secteur privé à investir dans la recherche et </w:t>
      </w:r>
      <w:r w:rsidR="000537AF" w:rsidRPr="00422183">
        <w:rPr>
          <w:rFonts w:ascii="Rockwell" w:eastAsiaTheme="majorEastAsia" w:hAnsi="Rockwell" w:cstheme="majorBidi"/>
          <w:kern w:val="28"/>
          <w:sz w:val="24"/>
          <w:szCs w:val="24"/>
        </w:rPr>
        <w:t xml:space="preserve">à </w:t>
      </w:r>
      <w:r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utilisation des résultats de la recherche déjà éprouvé</w:t>
      </w:r>
      <w:r w:rsidR="00114D64" w:rsidRPr="00422183">
        <w:rPr>
          <w:rFonts w:ascii="Rockwell" w:eastAsiaTheme="majorEastAsia" w:hAnsi="Rockwell" w:cstheme="majorBidi"/>
          <w:kern w:val="28"/>
          <w:sz w:val="24"/>
          <w:szCs w:val="24"/>
        </w:rPr>
        <w:t>s</w:t>
      </w:r>
      <w:r w:rsidR="00350BE2" w:rsidRPr="00422183">
        <w:rPr>
          <w:rFonts w:ascii="Rockwell" w:eastAsiaTheme="majorEastAsia" w:hAnsi="Rockwell" w:cstheme="majorBidi"/>
          <w:kern w:val="28"/>
          <w:sz w:val="24"/>
          <w:szCs w:val="24"/>
        </w:rPr>
        <w:t xml:space="preserve"> et </w:t>
      </w:r>
      <w:r w:rsidR="00524E24" w:rsidRPr="00422183">
        <w:rPr>
          <w:rFonts w:ascii="Rockwell" w:eastAsiaTheme="majorEastAsia" w:hAnsi="Rockwell" w:cstheme="majorBidi"/>
          <w:kern w:val="28"/>
          <w:sz w:val="24"/>
          <w:szCs w:val="24"/>
        </w:rPr>
        <w:t>(vii) la lutte contre la fraude, le faux et la contrefaçon</w:t>
      </w:r>
      <w:r w:rsidR="00350BE2" w:rsidRPr="00422183">
        <w:rPr>
          <w:rFonts w:ascii="Rockwell" w:eastAsiaTheme="majorEastAsia" w:hAnsi="Rockwell" w:cstheme="majorBidi"/>
          <w:kern w:val="28"/>
          <w:sz w:val="24"/>
          <w:szCs w:val="24"/>
        </w:rPr>
        <w:t>.</w:t>
      </w:r>
    </w:p>
    <w:p w:rsidR="00F37E4A" w:rsidRPr="00422183" w:rsidRDefault="00F37E4A" w:rsidP="003A0820">
      <w:pPr>
        <w:spacing w:after="0" w:line="240" w:lineRule="auto"/>
        <w:jc w:val="both"/>
        <w:rPr>
          <w:rFonts w:ascii="Rockwell" w:eastAsiaTheme="majorEastAsia" w:hAnsi="Rockwell" w:cstheme="majorBidi"/>
          <w:kern w:val="28"/>
          <w:sz w:val="24"/>
          <w:szCs w:val="24"/>
        </w:rPr>
      </w:pPr>
    </w:p>
    <w:p w:rsidR="00EF1CD3" w:rsidRPr="00422183" w:rsidRDefault="00F37E4A" w:rsidP="003A0820">
      <w:pPr>
        <w:pStyle w:val="PNDES4"/>
        <w:rPr>
          <w:rFonts w:ascii="Rockwell" w:hAnsi="Rockwell"/>
        </w:rPr>
      </w:pPr>
      <w:bookmarkStart w:id="81" w:name="_Toc452994146"/>
      <w:bookmarkStart w:id="82" w:name="_Toc452994594"/>
      <w:bookmarkStart w:id="83" w:name="_Toc452995034"/>
      <w:bookmarkStart w:id="84" w:name="_Toc453160734"/>
      <w:bookmarkStart w:id="85" w:name="_Toc455132719"/>
      <w:r w:rsidRPr="00422183">
        <w:rPr>
          <w:rFonts w:ascii="Rockwell" w:hAnsi="Rockwell"/>
        </w:rPr>
        <w:t>Un s</w:t>
      </w:r>
      <w:r w:rsidR="00EF1CD3" w:rsidRPr="00422183">
        <w:rPr>
          <w:rFonts w:ascii="Rockwell" w:hAnsi="Rockwell"/>
        </w:rPr>
        <w:t>ous-secteur de l</w:t>
      </w:r>
      <w:r w:rsidR="006C72DE" w:rsidRPr="00422183">
        <w:rPr>
          <w:rFonts w:ascii="Rockwell" w:hAnsi="Rockwell"/>
        </w:rPr>
        <w:t>'</w:t>
      </w:r>
      <w:r w:rsidR="00EF1CD3" w:rsidRPr="00422183">
        <w:rPr>
          <w:rFonts w:ascii="Rockwell" w:hAnsi="Rockwell"/>
        </w:rPr>
        <w:t xml:space="preserve">artisanat </w:t>
      </w:r>
      <w:r w:rsidRPr="00422183">
        <w:rPr>
          <w:rFonts w:ascii="Rockwell" w:hAnsi="Rockwell"/>
        </w:rPr>
        <w:t>peu compétitif</w:t>
      </w:r>
      <w:r w:rsidR="00150290" w:rsidRPr="00422183">
        <w:rPr>
          <w:rFonts w:ascii="Rockwell" w:hAnsi="Rockwell"/>
        </w:rPr>
        <w:t xml:space="preserve">, à </w:t>
      </w:r>
      <w:bookmarkEnd w:id="81"/>
      <w:bookmarkEnd w:id="82"/>
      <w:bookmarkEnd w:id="83"/>
      <w:r w:rsidR="00A04733" w:rsidRPr="00422183">
        <w:rPr>
          <w:rFonts w:ascii="Rockwell" w:hAnsi="Rockwell"/>
        </w:rPr>
        <w:t>formaliser</w:t>
      </w:r>
      <w:bookmarkEnd w:id="84"/>
      <w:bookmarkEnd w:id="85"/>
      <w:r w:rsidR="00A04733" w:rsidRPr="00422183">
        <w:rPr>
          <w:rFonts w:ascii="Rockwell" w:hAnsi="Rockwell"/>
        </w:rPr>
        <w:t xml:space="preserve"> </w:t>
      </w:r>
    </w:p>
    <w:p w:rsidR="005D2E45" w:rsidRPr="00422183" w:rsidRDefault="005D2E45" w:rsidP="003A0820">
      <w:pPr>
        <w:spacing w:after="0" w:line="240" w:lineRule="auto"/>
        <w:jc w:val="both"/>
        <w:rPr>
          <w:rFonts w:ascii="Rockwell" w:eastAsiaTheme="majorEastAsia" w:hAnsi="Rockwell" w:cstheme="majorBidi"/>
          <w:kern w:val="28"/>
          <w:sz w:val="24"/>
          <w:szCs w:val="24"/>
        </w:rPr>
      </w:pPr>
    </w:p>
    <w:p w:rsidR="0085158D" w:rsidRPr="00422183" w:rsidRDefault="0085158D" w:rsidP="003A0820">
      <w:pPr>
        <w:spacing w:after="0" w:line="240" w:lineRule="auto"/>
        <w:jc w:val="both"/>
        <w:rPr>
          <w:rFonts w:ascii="Rockwell" w:eastAsiaTheme="majorEastAsia" w:hAnsi="Rockwell" w:cstheme="majorBidi"/>
          <w:kern w:val="28"/>
          <w:sz w:val="24"/>
          <w:szCs w:val="24"/>
        </w:rPr>
      </w:pPr>
    </w:p>
    <w:p w:rsidR="001A16C5" w:rsidRPr="00422183" w:rsidRDefault="0085158D"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Le secteur de l’artisanat est marqué par une multiplicité des structures d’encadrement toute chose qui ne favorise pas une capitalisation des actions mises en œuvre dans le secteur. </w:t>
      </w:r>
      <w:r w:rsidR="001A16C5" w:rsidRPr="00422183">
        <w:rPr>
          <w:rFonts w:ascii="Rockwell" w:eastAsiaTheme="majorEastAsia" w:hAnsi="Rockwell" w:cstheme="majorBidi"/>
          <w:kern w:val="28"/>
          <w:sz w:val="24"/>
          <w:szCs w:val="24"/>
        </w:rPr>
        <w:t>En outre</w:t>
      </w:r>
      <w:r w:rsidRPr="00422183">
        <w:rPr>
          <w:rFonts w:ascii="Rockwell" w:eastAsiaTheme="majorEastAsia" w:hAnsi="Rockwell" w:cstheme="majorBidi"/>
          <w:kern w:val="28"/>
          <w:sz w:val="24"/>
          <w:szCs w:val="24"/>
        </w:rPr>
        <w:t xml:space="preserve">, la vétusté des textes règlementant le secteur et ou leur inadaptation à l’évolution du secteur, l’absence d’une organisation homogène des acteurs à l’échelle nationale sont autant de problèmes qui minent le développement du secteur et confinent l’exercice de l’activité dans un cadre informel. </w:t>
      </w:r>
      <w:r w:rsidR="001A16C5" w:rsidRPr="00422183">
        <w:rPr>
          <w:rFonts w:ascii="Rockwell" w:eastAsiaTheme="majorEastAsia" w:hAnsi="Rockwell" w:cstheme="majorBidi"/>
          <w:kern w:val="28"/>
          <w:sz w:val="24"/>
          <w:szCs w:val="24"/>
        </w:rPr>
        <w:t>Par ailleurs</w:t>
      </w:r>
      <w:r w:rsidR="00114D64" w:rsidRPr="00422183">
        <w:rPr>
          <w:rFonts w:ascii="Rockwell" w:eastAsiaTheme="majorEastAsia" w:hAnsi="Rockwell" w:cstheme="majorBidi"/>
          <w:kern w:val="28"/>
          <w:sz w:val="24"/>
          <w:szCs w:val="24"/>
        </w:rPr>
        <w:t>,</w:t>
      </w:r>
      <w:r w:rsidR="001A16C5" w:rsidRPr="00422183">
        <w:rPr>
          <w:rFonts w:ascii="Rockwell" w:eastAsiaTheme="majorEastAsia" w:hAnsi="Rockwell" w:cstheme="majorBidi"/>
          <w:kern w:val="28"/>
          <w:sz w:val="24"/>
          <w:szCs w:val="24"/>
        </w:rPr>
        <w:t xml:space="preserve"> </w:t>
      </w:r>
      <w:r w:rsidRPr="00422183">
        <w:rPr>
          <w:rFonts w:ascii="Rockwell" w:eastAsiaTheme="majorEastAsia" w:hAnsi="Rockwell" w:cstheme="majorBidi"/>
          <w:kern w:val="28"/>
          <w:sz w:val="24"/>
          <w:szCs w:val="24"/>
        </w:rPr>
        <w:t>le diagnostic du secteur fait ressortir d’une part le problème de compétitivi</w:t>
      </w:r>
      <w:r w:rsidR="000537AF" w:rsidRPr="00422183">
        <w:rPr>
          <w:rFonts w:ascii="Rockwell" w:eastAsiaTheme="majorEastAsia" w:hAnsi="Rockwell" w:cstheme="majorBidi"/>
          <w:kern w:val="28"/>
          <w:sz w:val="24"/>
          <w:szCs w:val="24"/>
        </w:rPr>
        <w:t>té des produits et services de l</w:t>
      </w:r>
      <w:r w:rsidRPr="00422183">
        <w:rPr>
          <w:rFonts w:ascii="Rockwell" w:eastAsiaTheme="majorEastAsia" w:hAnsi="Rockwell" w:cstheme="majorBidi"/>
          <w:kern w:val="28"/>
          <w:sz w:val="24"/>
          <w:szCs w:val="24"/>
        </w:rPr>
        <w:t>’artisanat rendant difficile leur accès aux marchés national et international et d’autre part une concurrence déloyale qui plombe les performances commerciales des produits de l’artisanat des entreprises locales. Enfin</w:t>
      </w:r>
      <w:r w:rsidR="000537AF"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malgré les dispositifs financiers nationaux existant, les artisans rencontrent d’énormes difficultés d’accès au crédit pour le financement de leur</w:t>
      </w:r>
      <w:r w:rsidR="000537AF"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activité</w:t>
      </w:r>
      <w:r w:rsidR="000537AF"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w:t>
      </w:r>
    </w:p>
    <w:p w:rsidR="001A16C5" w:rsidRPr="00422183" w:rsidRDefault="001A16C5" w:rsidP="003A0820">
      <w:pPr>
        <w:spacing w:after="0" w:line="240" w:lineRule="auto"/>
        <w:jc w:val="both"/>
        <w:rPr>
          <w:rFonts w:ascii="Rockwell" w:eastAsiaTheme="majorEastAsia" w:hAnsi="Rockwell" w:cstheme="majorBidi"/>
          <w:kern w:val="28"/>
          <w:sz w:val="24"/>
          <w:szCs w:val="24"/>
        </w:rPr>
      </w:pPr>
    </w:p>
    <w:p w:rsidR="0085158D" w:rsidRPr="00422183" w:rsidRDefault="0085158D"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Pour permettre au secteur de l’artisanat de jouer pleinement son rôle dans le développement économique et social du pays, les défis ci</w:t>
      </w:r>
      <w:r w:rsidR="000537AF" w:rsidRPr="00422183">
        <w:rPr>
          <w:rFonts w:ascii="Rockwell" w:eastAsiaTheme="majorEastAsia" w:hAnsi="Rockwell" w:cstheme="majorBidi"/>
          <w:kern w:val="28"/>
          <w:sz w:val="24"/>
          <w:szCs w:val="24"/>
        </w:rPr>
        <w:t>-après se doivent d’être relevés</w:t>
      </w:r>
      <w:r w:rsidRPr="00422183">
        <w:rPr>
          <w:rFonts w:ascii="Rockwell" w:eastAsiaTheme="majorEastAsia" w:hAnsi="Rockwell" w:cstheme="majorBidi"/>
          <w:kern w:val="28"/>
          <w:sz w:val="24"/>
          <w:szCs w:val="24"/>
        </w:rPr>
        <w:t xml:space="preserve">: </w:t>
      </w:r>
      <w:r w:rsidR="001A16C5" w:rsidRPr="00422183">
        <w:rPr>
          <w:rFonts w:ascii="Rockwell" w:eastAsiaTheme="majorEastAsia" w:hAnsi="Rockwell" w:cstheme="majorBidi"/>
          <w:kern w:val="28"/>
          <w:sz w:val="24"/>
          <w:szCs w:val="24"/>
        </w:rPr>
        <w:t>(i) la définition d’un cadre règlementaire et institutionnel propice au développement du secteur, (ii) le renforcement des capacités techniques, productives des artisans et des structures d’encadrement, (iii) l’amélioration de l’accès des artisans au crédit, (iv) la facilitation de l’accès au marché et à la commande publique, (iv) l’amélioration de la protection des œuvres artisanales.</w:t>
      </w:r>
    </w:p>
    <w:p w:rsidR="0085158D" w:rsidRPr="00422183" w:rsidRDefault="0085158D" w:rsidP="003A0820">
      <w:pPr>
        <w:spacing w:after="0" w:line="240" w:lineRule="auto"/>
        <w:jc w:val="both"/>
        <w:rPr>
          <w:rFonts w:ascii="Rockwell" w:eastAsiaTheme="majorEastAsia" w:hAnsi="Rockwell" w:cstheme="majorBidi"/>
          <w:kern w:val="28"/>
          <w:sz w:val="24"/>
          <w:szCs w:val="24"/>
        </w:rPr>
      </w:pPr>
    </w:p>
    <w:p w:rsidR="00EF1CD3" w:rsidRPr="00422183" w:rsidRDefault="00EF1CD3" w:rsidP="003A0820">
      <w:pPr>
        <w:spacing w:after="0" w:line="240" w:lineRule="auto"/>
        <w:jc w:val="both"/>
        <w:rPr>
          <w:rFonts w:ascii="Rockwell" w:hAnsi="Rockwell"/>
          <w:sz w:val="24"/>
          <w:szCs w:val="24"/>
        </w:rPr>
      </w:pPr>
    </w:p>
    <w:p w:rsidR="00EF1CD3" w:rsidRPr="00422183" w:rsidRDefault="00F37E4A" w:rsidP="003A0820">
      <w:pPr>
        <w:pStyle w:val="PNDES4"/>
        <w:rPr>
          <w:rFonts w:ascii="Rockwell" w:hAnsi="Rockwell"/>
        </w:rPr>
      </w:pPr>
      <w:bookmarkStart w:id="86" w:name="_Toc452994147"/>
      <w:bookmarkStart w:id="87" w:name="_Toc452994595"/>
      <w:bookmarkStart w:id="88" w:name="_Toc452995035"/>
      <w:bookmarkStart w:id="89" w:name="_Toc453160735"/>
      <w:bookmarkStart w:id="90" w:name="_Toc455132720"/>
      <w:r w:rsidRPr="00422183">
        <w:rPr>
          <w:rFonts w:ascii="Rockwell" w:hAnsi="Rockwell"/>
        </w:rPr>
        <w:t>Un s</w:t>
      </w:r>
      <w:r w:rsidR="00EF1CD3" w:rsidRPr="00422183">
        <w:rPr>
          <w:rFonts w:ascii="Rockwell" w:hAnsi="Rockwell"/>
        </w:rPr>
        <w:t>ous-secteur d</w:t>
      </w:r>
      <w:r w:rsidR="006C72DE" w:rsidRPr="00422183">
        <w:rPr>
          <w:rFonts w:ascii="Rockwell" w:hAnsi="Rockwell"/>
        </w:rPr>
        <w:t>'</w:t>
      </w:r>
      <w:r w:rsidR="00EF1CD3" w:rsidRPr="00422183">
        <w:rPr>
          <w:rFonts w:ascii="Rockwell" w:hAnsi="Rockwell"/>
        </w:rPr>
        <w:t>appui au développement industriel</w:t>
      </w:r>
      <w:r w:rsidR="00707C02" w:rsidRPr="00422183">
        <w:rPr>
          <w:rFonts w:ascii="Rockwell" w:hAnsi="Rockwell"/>
        </w:rPr>
        <w:t xml:space="preserve"> peu </w:t>
      </w:r>
      <w:r w:rsidR="00513489" w:rsidRPr="00422183">
        <w:rPr>
          <w:rFonts w:ascii="Rockwell" w:hAnsi="Rockwell"/>
        </w:rPr>
        <w:t>développé</w:t>
      </w:r>
      <w:r w:rsidR="00707C02" w:rsidRPr="00422183">
        <w:rPr>
          <w:rFonts w:ascii="Rockwell" w:hAnsi="Rockwell"/>
        </w:rPr>
        <w:t xml:space="preserve"> avec une offre d</w:t>
      </w:r>
      <w:r w:rsidR="006C72DE" w:rsidRPr="00422183">
        <w:rPr>
          <w:rFonts w:ascii="Rockwell" w:hAnsi="Rockwell"/>
        </w:rPr>
        <w:t>'</w:t>
      </w:r>
      <w:r w:rsidR="00707C02" w:rsidRPr="00422183">
        <w:rPr>
          <w:rFonts w:ascii="Rockwell" w:hAnsi="Rockwell"/>
        </w:rPr>
        <w:t>énergie insuffisante</w:t>
      </w:r>
      <w:bookmarkEnd w:id="86"/>
      <w:bookmarkEnd w:id="87"/>
      <w:bookmarkEnd w:id="88"/>
      <w:bookmarkEnd w:id="89"/>
      <w:bookmarkEnd w:id="90"/>
    </w:p>
    <w:p w:rsidR="00120E2F" w:rsidRPr="00422183" w:rsidRDefault="00120E2F" w:rsidP="003A0820">
      <w:pPr>
        <w:spacing w:after="0" w:line="240" w:lineRule="auto"/>
        <w:jc w:val="both"/>
        <w:rPr>
          <w:rFonts w:ascii="Rockwell" w:hAnsi="Rockwell"/>
          <w:sz w:val="24"/>
          <w:szCs w:val="24"/>
        </w:rPr>
      </w:pPr>
    </w:p>
    <w:p w:rsidR="00EF1CD3" w:rsidRPr="00422183" w:rsidRDefault="000537AF" w:rsidP="003A0820">
      <w:pPr>
        <w:spacing w:after="0" w:line="240" w:lineRule="auto"/>
        <w:jc w:val="both"/>
        <w:rPr>
          <w:rFonts w:ascii="Rockwell" w:hAnsi="Rockwell"/>
          <w:sz w:val="24"/>
          <w:szCs w:val="24"/>
        </w:rPr>
      </w:pPr>
      <w:r w:rsidRPr="00422183">
        <w:rPr>
          <w:rFonts w:ascii="Rockwell" w:hAnsi="Rockwell"/>
          <w:sz w:val="24"/>
          <w:szCs w:val="24"/>
        </w:rPr>
        <w:t>Le sous-secteur d’appui au développement industriel</w:t>
      </w:r>
      <w:r w:rsidR="00EF1CD3" w:rsidRPr="00422183">
        <w:rPr>
          <w:rFonts w:ascii="Rockwell" w:hAnsi="Rockwell"/>
          <w:sz w:val="24"/>
          <w:szCs w:val="24"/>
        </w:rPr>
        <w:t xml:space="preserve"> se compose des infrastructures </w:t>
      </w:r>
      <w:r w:rsidR="00350BE2" w:rsidRPr="00422183">
        <w:rPr>
          <w:rFonts w:ascii="Rockwell" w:hAnsi="Rockwell"/>
          <w:sz w:val="24"/>
          <w:szCs w:val="24"/>
        </w:rPr>
        <w:t xml:space="preserve">d’accueil d’unités industrielles (zones industrielles, zones d’activités diverses, zones franches industrielles), </w:t>
      </w:r>
      <w:r w:rsidR="00EF1CD3" w:rsidRPr="00422183">
        <w:rPr>
          <w:rFonts w:ascii="Rockwell" w:hAnsi="Rockwell"/>
          <w:sz w:val="24"/>
          <w:szCs w:val="24"/>
        </w:rPr>
        <w:t>de transport, d</w:t>
      </w:r>
      <w:r w:rsidR="006C72DE" w:rsidRPr="00422183">
        <w:rPr>
          <w:rFonts w:ascii="Rockwell" w:hAnsi="Rockwell"/>
          <w:sz w:val="24"/>
          <w:szCs w:val="24"/>
        </w:rPr>
        <w:t>'</w:t>
      </w:r>
      <w:r w:rsidR="00EF1CD3" w:rsidRPr="00422183">
        <w:rPr>
          <w:rFonts w:ascii="Rockwell" w:hAnsi="Rockwell"/>
          <w:sz w:val="24"/>
          <w:szCs w:val="24"/>
        </w:rPr>
        <w:t>én</w:t>
      </w:r>
      <w:r w:rsidRPr="00422183">
        <w:rPr>
          <w:rFonts w:ascii="Rockwell" w:hAnsi="Rockwell"/>
          <w:sz w:val="24"/>
          <w:szCs w:val="24"/>
        </w:rPr>
        <w:t xml:space="preserve">ergie et de télécommunication. </w:t>
      </w:r>
      <w:r w:rsidR="00EF1CD3" w:rsidRPr="00422183">
        <w:rPr>
          <w:rFonts w:ascii="Rockwell" w:hAnsi="Rockwell"/>
          <w:sz w:val="24"/>
          <w:szCs w:val="24"/>
        </w:rPr>
        <w:t>Les infrastructures de soutien à la production demeurent dans l</w:t>
      </w:r>
      <w:r w:rsidR="006C72DE" w:rsidRPr="00422183">
        <w:rPr>
          <w:rFonts w:ascii="Rockwell" w:hAnsi="Rockwell"/>
          <w:sz w:val="24"/>
          <w:szCs w:val="24"/>
        </w:rPr>
        <w:t>'</w:t>
      </w:r>
      <w:r w:rsidR="00EF1CD3" w:rsidRPr="00422183">
        <w:rPr>
          <w:rFonts w:ascii="Rockwell" w:hAnsi="Rockwell"/>
          <w:sz w:val="24"/>
          <w:szCs w:val="24"/>
        </w:rPr>
        <w:t>ens</w:t>
      </w:r>
      <w:r w:rsidR="00120E2F" w:rsidRPr="00422183">
        <w:rPr>
          <w:rFonts w:ascii="Rockwell" w:hAnsi="Rockwell"/>
          <w:sz w:val="24"/>
          <w:szCs w:val="24"/>
        </w:rPr>
        <w:t>emble, faiblement développées.</w:t>
      </w:r>
    </w:p>
    <w:p w:rsidR="000537AF" w:rsidRPr="00422183" w:rsidRDefault="000537AF" w:rsidP="003A0820">
      <w:pPr>
        <w:spacing w:after="0" w:line="240" w:lineRule="auto"/>
        <w:jc w:val="both"/>
        <w:rPr>
          <w:rFonts w:ascii="Rockwell" w:hAnsi="Rockwell"/>
          <w:sz w:val="24"/>
          <w:szCs w:val="24"/>
        </w:rPr>
      </w:pPr>
    </w:p>
    <w:p w:rsidR="00350BE2" w:rsidRPr="00422183" w:rsidRDefault="00350BE2" w:rsidP="003A0820">
      <w:pPr>
        <w:spacing w:after="0" w:line="240" w:lineRule="auto"/>
        <w:jc w:val="both"/>
        <w:rPr>
          <w:rFonts w:ascii="Rockwell" w:hAnsi="Rockwell"/>
          <w:sz w:val="24"/>
          <w:szCs w:val="24"/>
        </w:rPr>
      </w:pPr>
      <w:r w:rsidRPr="00422183">
        <w:rPr>
          <w:rFonts w:ascii="Rockwell" w:hAnsi="Rockwell"/>
          <w:sz w:val="24"/>
          <w:szCs w:val="24"/>
        </w:rPr>
        <w:t>En matière d’infrastructures d’accueil d’unités industrielles, les zones industrielles existantes sont quasi saturées et sont localisées essentiellement à Ouagadougou et Bobo-Dioulasso, au détriment des autres capitales régionales. En outre</w:t>
      </w:r>
      <w:r w:rsidR="000537AF" w:rsidRPr="00422183">
        <w:rPr>
          <w:rFonts w:ascii="Rockwell" w:hAnsi="Rockwell"/>
          <w:sz w:val="24"/>
          <w:szCs w:val="24"/>
        </w:rPr>
        <w:t>,</w:t>
      </w:r>
      <w:r w:rsidRPr="00422183">
        <w:rPr>
          <w:rFonts w:ascii="Rockwell" w:hAnsi="Rockwell"/>
          <w:sz w:val="24"/>
          <w:szCs w:val="24"/>
        </w:rPr>
        <w:t xml:space="preserve"> les zones existantes ne sont pas viabilisées. Au regard de ces contraintes, le principal défi </w:t>
      </w:r>
      <w:r w:rsidR="00D3096B" w:rsidRPr="00422183">
        <w:rPr>
          <w:rFonts w:ascii="Rockwell" w:hAnsi="Rockwell"/>
          <w:sz w:val="24"/>
          <w:szCs w:val="24"/>
        </w:rPr>
        <w:t xml:space="preserve">est </w:t>
      </w:r>
      <w:r w:rsidRPr="00422183">
        <w:rPr>
          <w:rFonts w:ascii="Rockwell" w:eastAsiaTheme="majorEastAsia" w:hAnsi="Rockwell" w:cstheme="majorBidi"/>
          <w:kern w:val="28"/>
          <w:sz w:val="24"/>
          <w:szCs w:val="24"/>
        </w:rPr>
        <w:t>la création et la viabilisation des zones industrielles.</w:t>
      </w:r>
      <w:r w:rsidRPr="00422183">
        <w:rPr>
          <w:rFonts w:ascii="Rockwell" w:hAnsi="Rockwell"/>
          <w:sz w:val="24"/>
          <w:szCs w:val="24"/>
        </w:rPr>
        <w:t xml:space="preserve"> </w:t>
      </w:r>
    </w:p>
    <w:p w:rsidR="00120E2F" w:rsidRPr="00422183" w:rsidRDefault="00120E2F" w:rsidP="003A0820">
      <w:pPr>
        <w:spacing w:after="0" w:line="240" w:lineRule="auto"/>
        <w:jc w:val="both"/>
        <w:rPr>
          <w:rFonts w:ascii="Rockwell" w:hAnsi="Rockwell"/>
          <w:sz w:val="24"/>
          <w:szCs w:val="24"/>
        </w:rPr>
      </w:pPr>
    </w:p>
    <w:p w:rsidR="00EF1CD3" w:rsidRPr="00422183" w:rsidRDefault="00350BE2" w:rsidP="003A0820">
      <w:pPr>
        <w:spacing w:after="0" w:line="240" w:lineRule="auto"/>
        <w:jc w:val="both"/>
        <w:rPr>
          <w:rFonts w:ascii="Rockwell" w:eastAsiaTheme="majorEastAsia" w:hAnsi="Rockwell" w:cstheme="majorBidi"/>
          <w:kern w:val="28"/>
          <w:sz w:val="24"/>
          <w:szCs w:val="24"/>
        </w:rPr>
      </w:pPr>
      <w:r w:rsidRPr="00422183">
        <w:rPr>
          <w:rFonts w:ascii="Rockwell" w:hAnsi="Rockwell"/>
          <w:sz w:val="24"/>
          <w:szCs w:val="24"/>
        </w:rPr>
        <w:t>E</w:t>
      </w:r>
      <w:r w:rsidR="00EF1CD3" w:rsidRPr="00422183">
        <w:rPr>
          <w:rFonts w:ascii="Rockwell" w:hAnsi="Rockwell"/>
          <w:sz w:val="24"/>
          <w:szCs w:val="24"/>
        </w:rPr>
        <w:t>n matière d</w:t>
      </w:r>
      <w:r w:rsidR="006C72DE" w:rsidRPr="00422183">
        <w:rPr>
          <w:rFonts w:ascii="Rockwell" w:hAnsi="Rockwell"/>
          <w:sz w:val="24"/>
          <w:szCs w:val="24"/>
        </w:rPr>
        <w:t>'</w:t>
      </w:r>
      <w:r w:rsidR="00EF1CD3" w:rsidRPr="00422183">
        <w:rPr>
          <w:rFonts w:ascii="Rockwell" w:hAnsi="Rockwell"/>
          <w:sz w:val="24"/>
          <w:szCs w:val="24"/>
        </w:rPr>
        <w:t>infrastructure</w:t>
      </w:r>
      <w:r w:rsidR="00120E2F" w:rsidRPr="00422183">
        <w:rPr>
          <w:rFonts w:ascii="Rockwell" w:hAnsi="Rockwell"/>
          <w:sz w:val="24"/>
          <w:szCs w:val="24"/>
        </w:rPr>
        <w:t>s</w:t>
      </w:r>
      <w:r w:rsidR="00EF1CD3" w:rsidRPr="00422183">
        <w:rPr>
          <w:rFonts w:ascii="Rockwell" w:hAnsi="Rockwell"/>
          <w:sz w:val="24"/>
          <w:szCs w:val="24"/>
        </w:rPr>
        <w:t xml:space="preserve"> de </w:t>
      </w:r>
      <w:r w:rsidR="006D07CD" w:rsidRPr="00422183">
        <w:rPr>
          <w:rFonts w:ascii="Rockwell" w:hAnsi="Rockwell"/>
          <w:sz w:val="24"/>
          <w:szCs w:val="24"/>
        </w:rPr>
        <w:t>transport, la</w:t>
      </w:r>
      <w:r w:rsidR="00EF1CD3" w:rsidRPr="00422183">
        <w:rPr>
          <w:rFonts w:ascii="Rockwell" w:eastAsiaTheme="majorEastAsia" w:hAnsi="Rockwell" w:cstheme="majorBidi"/>
          <w:kern w:val="28"/>
          <w:sz w:val="24"/>
          <w:szCs w:val="24"/>
        </w:rPr>
        <w:t xml:space="preserve"> couverture du réseau routier classé reste faible (5,6 km/100 km</w:t>
      </w:r>
      <w:r w:rsidR="00EF1CD3" w:rsidRPr="00422183">
        <w:rPr>
          <w:rFonts w:ascii="Rockwell" w:eastAsiaTheme="majorEastAsia" w:hAnsi="Rockwell" w:cstheme="majorBidi"/>
          <w:kern w:val="28"/>
          <w:sz w:val="24"/>
          <w:szCs w:val="24"/>
          <w:vertAlign w:val="superscript"/>
        </w:rPr>
        <w:t>2</w:t>
      </w:r>
      <w:r w:rsidR="00EF1CD3" w:rsidRPr="00422183">
        <w:rPr>
          <w:rFonts w:ascii="Rockwell" w:eastAsiaTheme="majorEastAsia" w:hAnsi="Rockwell" w:cstheme="majorBidi"/>
          <w:kern w:val="28"/>
          <w:sz w:val="24"/>
          <w:szCs w:val="24"/>
        </w:rPr>
        <w:t xml:space="preserve"> et 100 km/100 000 habitants) comparée à la moyenne CEDEAO (10,5 km/100 km</w:t>
      </w:r>
      <w:r w:rsidR="00EF1CD3" w:rsidRPr="00422183">
        <w:rPr>
          <w:rFonts w:ascii="Rockwell" w:eastAsiaTheme="majorEastAsia" w:hAnsi="Rockwell" w:cstheme="majorBidi"/>
          <w:kern w:val="28"/>
          <w:sz w:val="24"/>
          <w:szCs w:val="24"/>
          <w:vertAlign w:val="superscript"/>
        </w:rPr>
        <w:t>2</w:t>
      </w:r>
      <w:r w:rsidR="00EF1CD3" w:rsidRPr="00422183">
        <w:rPr>
          <w:rFonts w:ascii="Rockwell" w:eastAsiaTheme="majorEastAsia" w:hAnsi="Rockwell" w:cstheme="majorBidi"/>
          <w:kern w:val="28"/>
          <w:sz w:val="24"/>
          <w:szCs w:val="24"/>
        </w:rPr>
        <w:t xml:space="preserve"> et 266 km/100 000 habitants). L'étendue du réseau bitumé demeure également faible alors qu'il assure 56% du trafic total. En matière d'infrastructures ferroviaires, le réseau n'a subi aucune extension depuis les années 1990. Le linéaire total du réseau ferroviaire mesure 623 km dont seulement 518 km en exploitation. Enfin, le transport aérien est marqué uniquement par deux aéroports fonctionnels avec </w:t>
      </w:r>
      <w:r w:rsidR="003B7B99" w:rsidRPr="00422183">
        <w:rPr>
          <w:rFonts w:ascii="Rockwell" w:eastAsiaTheme="majorEastAsia" w:hAnsi="Rockwell" w:cstheme="majorBidi"/>
          <w:kern w:val="28"/>
          <w:sz w:val="24"/>
          <w:szCs w:val="24"/>
        </w:rPr>
        <w:t>un faible trafic</w:t>
      </w:r>
      <w:r w:rsidR="00EF1CD3" w:rsidRPr="00422183">
        <w:rPr>
          <w:rFonts w:ascii="Rockwell" w:eastAsiaTheme="majorEastAsia" w:hAnsi="Rockwell" w:cstheme="majorBidi"/>
          <w:kern w:val="28"/>
          <w:sz w:val="24"/>
          <w:szCs w:val="24"/>
        </w:rPr>
        <w:t>.</w:t>
      </w:r>
    </w:p>
    <w:p w:rsidR="00E874A6" w:rsidRPr="00422183" w:rsidRDefault="00E874A6"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bCs/>
          <w:kern w:val="28"/>
          <w:sz w:val="24"/>
          <w:szCs w:val="24"/>
        </w:rPr>
        <w:t xml:space="preserve">Au regard de ces constats, les défis relatifs aux infrastructures de transport sont : (i) </w:t>
      </w:r>
      <w:r w:rsidRPr="00422183">
        <w:rPr>
          <w:rFonts w:ascii="Rockwell" w:eastAsiaTheme="majorEastAsia" w:hAnsi="Rockwell" w:cstheme="majorBidi"/>
          <w:kern w:val="28"/>
          <w:sz w:val="24"/>
          <w:szCs w:val="24"/>
        </w:rPr>
        <w:t>la réalisation d'infrastructures aéroportuaires conformes aux normes internationales, (ii) l'amélioration de l'accessibilité aux zones de production, aux pôles commerciaux, aux centres touristiques et aux centres sociaux de base, (iii) la mise en œuvre de liaisons entre agglomérations secondaires, (iv) la réhabilitation et l'extension des réseaux ferroviaires et (v) l'amélioration de la mise en œuvre des travaux à Haute intensité de main d'œuvre (HIMO) dans la réalisation des infrastructures.</w:t>
      </w:r>
    </w:p>
    <w:p w:rsidR="00120E2F" w:rsidRPr="00422183" w:rsidRDefault="00120E2F" w:rsidP="003A0820">
      <w:pPr>
        <w:spacing w:after="0" w:line="240" w:lineRule="auto"/>
        <w:jc w:val="both"/>
        <w:rPr>
          <w:rFonts w:ascii="Rockwell" w:hAnsi="Rockwell"/>
          <w:sz w:val="24"/>
          <w:szCs w:val="24"/>
        </w:rPr>
      </w:pPr>
    </w:p>
    <w:p w:rsidR="00383E13" w:rsidRPr="00422183" w:rsidRDefault="00383E13" w:rsidP="003A0820">
      <w:pPr>
        <w:autoSpaceDE w:val="0"/>
        <w:autoSpaceDN w:val="0"/>
        <w:adjustRightInd w:val="0"/>
        <w:spacing w:after="0" w:line="240" w:lineRule="auto"/>
        <w:jc w:val="both"/>
        <w:rPr>
          <w:rFonts w:ascii="Rockwell" w:hAnsi="Rockwell" w:cs="Tahoma"/>
          <w:sz w:val="24"/>
          <w:szCs w:val="24"/>
        </w:rPr>
      </w:pPr>
      <w:r w:rsidRPr="00422183">
        <w:rPr>
          <w:rFonts w:ascii="Rockwell" w:hAnsi="Rockwell" w:cs="Tahoma"/>
          <w:sz w:val="24"/>
          <w:szCs w:val="24"/>
        </w:rPr>
        <w:t xml:space="preserve">La question de l’accès à l’énergie (électricité et hydrocarbures, énergies renouvelables) demeure une problématique assez importante pour les ménages et les entreprises au Burkina Faso. L’offre d’électricité, insuffisante pour satisfaire la demande sans cesse croissante, est constituée de 6,4% d’énergies renouvelables, 62,9% de productions thermiques et de 30,7% </w:t>
      </w:r>
      <w:r w:rsidR="004631B1" w:rsidRPr="00422183">
        <w:rPr>
          <w:rFonts w:ascii="Rockwell" w:hAnsi="Rockwell" w:cs="Tahoma"/>
          <w:sz w:val="24"/>
          <w:szCs w:val="24"/>
        </w:rPr>
        <w:t>d’énergies importées</w:t>
      </w:r>
      <w:r w:rsidRPr="00422183">
        <w:rPr>
          <w:rFonts w:ascii="Rockwell" w:hAnsi="Rockwell" w:cs="Tahoma"/>
          <w:sz w:val="24"/>
          <w:szCs w:val="24"/>
        </w:rPr>
        <w:t>.</w:t>
      </w:r>
      <w:r w:rsidR="004631B1" w:rsidRPr="00422183">
        <w:rPr>
          <w:rFonts w:ascii="Rockwell" w:hAnsi="Rockwell" w:cs="Tahoma"/>
          <w:sz w:val="24"/>
          <w:szCs w:val="24"/>
        </w:rPr>
        <w:t xml:space="preserve"> </w:t>
      </w:r>
      <w:r w:rsidRPr="00422183">
        <w:rPr>
          <w:rFonts w:ascii="Rockwell" w:hAnsi="Rockwell" w:cs="Tahoma"/>
          <w:sz w:val="24"/>
          <w:szCs w:val="24"/>
        </w:rPr>
        <w:t>De façon générale, l’accès à l’électricité reste globalement faible</w:t>
      </w:r>
      <w:r w:rsidR="004631B1" w:rsidRPr="00422183">
        <w:rPr>
          <w:rFonts w:ascii="Rockwell" w:hAnsi="Rockwell" w:cs="Tahoma"/>
          <w:sz w:val="24"/>
          <w:szCs w:val="24"/>
        </w:rPr>
        <w:t xml:space="preserve"> et est estimé à 24,4% en 2014 au niveau national avec toutefois des disparités régionales énormes.</w:t>
      </w:r>
      <w:r w:rsidR="00E873BE" w:rsidRPr="00422183">
        <w:rPr>
          <w:rFonts w:ascii="Rockwell" w:hAnsi="Rockwell" w:cs="Tahoma"/>
          <w:sz w:val="24"/>
          <w:szCs w:val="24"/>
        </w:rPr>
        <w:t xml:space="preserve"> Quant aux hydrocarbures, la principale contrainte demeure le coût élevé et la volatilité des prix malgré la légère baisse constatée ces dernières années.</w:t>
      </w:r>
    </w:p>
    <w:p w:rsidR="00E873BE" w:rsidRPr="00422183" w:rsidRDefault="004631B1" w:rsidP="003A0820">
      <w:pPr>
        <w:autoSpaceDE w:val="0"/>
        <w:autoSpaceDN w:val="0"/>
        <w:adjustRightInd w:val="0"/>
        <w:spacing w:after="0" w:line="240" w:lineRule="auto"/>
        <w:jc w:val="both"/>
        <w:rPr>
          <w:rFonts w:ascii="Rockwell" w:hAnsi="Rockwell" w:cs="Tahoma"/>
          <w:sz w:val="24"/>
          <w:szCs w:val="24"/>
        </w:rPr>
      </w:pPr>
      <w:r w:rsidRPr="00422183">
        <w:rPr>
          <w:rFonts w:ascii="Rockwell" w:hAnsi="Rockwell" w:cs="Tahoma"/>
          <w:sz w:val="24"/>
          <w:szCs w:val="24"/>
        </w:rPr>
        <w:t xml:space="preserve">L’amélioration de l’offre et de l’accès d’énergie exige </w:t>
      </w:r>
      <w:r w:rsidR="00383E13" w:rsidRPr="00422183">
        <w:rPr>
          <w:rFonts w:ascii="Rockwell" w:hAnsi="Rockwell" w:cs="Tahoma"/>
          <w:sz w:val="24"/>
          <w:szCs w:val="24"/>
        </w:rPr>
        <w:t xml:space="preserve">: (i) d'accroitre la part des énergies renouvelables dans le mix énergétique, (ii) de faciliter l'accès aux énergies universelles, (iii) de promouvoir l'autonomisation </w:t>
      </w:r>
      <w:r w:rsidR="00E873BE" w:rsidRPr="00422183">
        <w:rPr>
          <w:rFonts w:ascii="Rockwell" w:hAnsi="Rockwell" w:cs="Tahoma"/>
          <w:sz w:val="24"/>
          <w:szCs w:val="24"/>
        </w:rPr>
        <w:t xml:space="preserve">énergétique au niveau national, </w:t>
      </w:r>
      <w:r w:rsidR="00383E13" w:rsidRPr="00422183">
        <w:rPr>
          <w:rFonts w:ascii="Rockwell" w:hAnsi="Rockwell" w:cs="Tahoma"/>
          <w:sz w:val="24"/>
          <w:szCs w:val="24"/>
        </w:rPr>
        <w:t>(</w:t>
      </w:r>
      <w:r w:rsidRPr="00422183">
        <w:rPr>
          <w:rFonts w:ascii="Rockwell" w:hAnsi="Rockwell" w:cs="Tahoma"/>
          <w:sz w:val="24"/>
          <w:szCs w:val="24"/>
        </w:rPr>
        <w:t>i</w:t>
      </w:r>
      <w:r w:rsidR="00383E13" w:rsidRPr="00422183">
        <w:rPr>
          <w:rFonts w:ascii="Rockwell" w:hAnsi="Rockwell" w:cs="Tahoma"/>
          <w:sz w:val="24"/>
          <w:szCs w:val="24"/>
        </w:rPr>
        <w:t xml:space="preserve">v) </w:t>
      </w:r>
      <w:r w:rsidR="00E873BE" w:rsidRPr="00422183">
        <w:rPr>
          <w:rFonts w:ascii="Rockwell" w:hAnsi="Rockwell" w:cs="Tahoma"/>
          <w:sz w:val="24"/>
          <w:szCs w:val="24"/>
        </w:rPr>
        <w:t xml:space="preserve">de créer des services d'énergie et (v) </w:t>
      </w:r>
      <w:r w:rsidR="000537AF" w:rsidRPr="00422183">
        <w:rPr>
          <w:rFonts w:ascii="Rockwell" w:hAnsi="Rockwell" w:cs="Tahoma"/>
          <w:sz w:val="24"/>
          <w:szCs w:val="24"/>
        </w:rPr>
        <w:t>d’</w:t>
      </w:r>
      <w:r w:rsidR="00E873BE" w:rsidRPr="00422183">
        <w:rPr>
          <w:rFonts w:ascii="Rockwell" w:hAnsi="Rockwell" w:cs="Tahoma"/>
          <w:sz w:val="24"/>
          <w:szCs w:val="24"/>
        </w:rPr>
        <w:t xml:space="preserve">assurer la disponibilité permanente des hydrocarbures de qualité sur toute l’étendue du territoire national. </w:t>
      </w:r>
    </w:p>
    <w:p w:rsidR="00E873BE" w:rsidRPr="00422183" w:rsidRDefault="00E873BE" w:rsidP="00516FB0">
      <w:pPr>
        <w:spacing w:after="0" w:line="240" w:lineRule="auto"/>
        <w:jc w:val="both"/>
        <w:rPr>
          <w:rFonts w:ascii="Rockwell" w:eastAsiaTheme="majorEastAsia" w:hAnsi="Rockwell" w:cstheme="majorBidi"/>
          <w:bCs/>
          <w:kern w:val="28"/>
          <w:sz w:val="24"/>
          <w:szCs w:val="24"/>
        </w:rPr>
      </w:pPr>
    </w:p>
    <w:p w:rsidR="00350BE2" w:rsidRPr="00422183" w:rsidRDefault="00EF1CD3"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bCs/>
          <w:kern w:val="28"/>
          <w:sz w:val="24"/>
          <w:szCs w:val="24"/>
        </w:rPr>
        <w:t xml:space="preserve">En matière de </w:t>
      </w:r>
      <w:r w:rsidR="000537AF" w:rsidRPr="00422183">
        <w:rPr>
          <w:rFonts w:ascii="Rockwell" w:eastAsiaTheme="majorEastAsia" w:hAnsi="Rockwell" w:cstheme="majorBidi"/>
          <w:bCs/>
          <w:kern w:val="28"/>
          <w:sz w:val="24"/>
          <w:szCs w:val="24"/>
        </w:rPr>
        <w:t>t</w:t>
      </w:r>
      <w:r w:rsidR="004C469A" w:rsidRPr="00422183">
        <w:rPr>
          <w:rFonts w:ascii="Rockwell" w:eastAsiaTheme="majorEastAsia" w:hAnsi="Rockwell" w:cstheme="majorBidi"/>
          <w:bCs/>
          <w:kern w:val="28"/>
          <w:sz w:val="24"/>
          <w:szCs w:val="24"/>
        </w:rPr>
        <w:t>echnologies de l'information et de la communication (</w:t>
      </w:r>
      <w:r w:rsidR="006D07CD" w:rsidRPr="00422183">
        <w:rPr>
          <w:rFonts w:ascii="Rockwell" w:eastAsiaTheme="majorEastAsia" w:hAnsi="Rockwell" w:cstheme="majorBidi"/>
          <w:bCs/>
          <w:kern w:val="28"/>
          <w:sz w:val="24"/>
          <w:szCs w:val="24"/>
        </w:rPr>
        <w:t>TIC</w:t>
      </w:r>
      <w:r w:rsidR="004C469A" w:rsidRPr="00422183">
        <w:rPr>
          <w:rFonts w:ascii="Rockwell" w:eastAsiaTheme="majorEastAsia" w:hAnsi="Rockwell" w:cstheme="majorBidi"/>
          <w:bCs/>
          <w:kern w:val="28"/>
          <w:sz w:val="24"/>
          <w:szCs w:val="24"/>
        </w:rPr>
        <w:t>)</w:t>
      </w:r>
      <w:r w:rsidR="006D07CD" w:rsidRPr="00422183">
        <w:rPr>
          <w:rFonts w:ascii="Rockwell" w:eastAsiaTheme="majorEastAsia" w:hAnsi="Rockwell" w:cstheme="majorBidi"/>
          <w:bCs/>
          <w:kern w:val="28"/>
          <w:sz w:val="24"/>
          <w:szCs w:val="24"/>
        </w:rPr>
        <w:t>, l</w:t>
      </w:r>
      <w:r w:rsidR="006C72DE" w:rsidRPr="00422183">
        <w:rPr>
          <w:rFonts w:ascii="Rockwell" w:eastAsiaTheme="majorEastAsia" w:hAnsi="Rockwell" w:cstheme="majorBidi"/>
          <w:bCs/>
          <w:kern w:val="28"/>
          <w:sz w:val="24"/>
          <w:szCs w:val="24"/>
        </w:rPr>
        <w:t>'</w:t>
      </w:r>
      <w:r w:rsidR="006D07CD" w:rsidRPr="00422183">
        <w:rPr>
          <w:rFonts w:ascii="Rockwell" w:eastAsiaTheme="majorEastAsia" w:hAnsi="Rockwell" w:cstheme="majorBidi"/>
          <w:bCs/>
          <w:kern w:val="28"/>
          <w:sz w:val="24"/>
          <w:szCs w:val="24"/>
        </w:rPr>
        <w:t>offre</w:t>
      </w:r>
      <w:r w:rsidRPr="00422183">
        <w:rPr>
          <w:rFonts w:ascii="Rockwell" w:eastAsiaTheme="majorEastAsia" w:hAnsi="Rockwell" w:cstheme="majorBidi"/>
          <w:bCs/>
          <w:kern w:val="28"/>
          <w:sz w:val="24"/>
          <w:szCs w:val="24"/>
        </w:rPr>
        <w:t xml:space="preserve"> est insuffisan</w:t>
      </w:r>
      <w:r w:rsidR="00DF1B34" w:rsidRPr="00422183">
        <w:rPr>
          <w:rFonts w:ascii="Rockwell" w:eastAsiaTheme="majorEastAsia" w:hAnsi="Rockwell" w:cstheme="majorBidi"/>
          <w:bCs/>
          <w:kern w:val="28"/>
          <w:sz w:val="24"/>
          <w:szCs w:val="24"/>
        </w:rPr>
        <w:t>t</w:t>
      </w:r>
      <w:r w:rsidRPr="00422183">
        <w:rPr>
          <w:rFonts w:ascii="Rockwell" w:eastAsiaTheme="majorEastAsia" w:hAnsi="Rockwell" w:cstheme="majorBidi"/>
          <w:bCs/>
          <w:kern w:val="28"/>
          <w:sz w:val="24"/>
          <w:szCs w:val="24"/>
        </w:rPr>
        <w:t xml:space="preserve">e, irrégulière et chère contre une demande en forte croissance. </w:t>
      </w:r>
      <w:r w:rsidR="004631B1" w:rsidRPr="00422183">
        <w:rPr>
          <w:rFonts w:ascii="Rockwell" w:eastAsiaTheme="majorEastAsia" w:hAnsi="Rockwell" w:cstheme="majorBidi"/>
          <w:bCs/>
          <w:kern w:val="28"/>
          <w:sz w:val="24"/>
          <w:szCs w:val="24"/>
        </w:rPr>
        <w:t xml:space="preserve">Les </w:t>
      </w:r>
      <w:r w:rsidRPr="00422183">
        <w:rPr>
          <w:rFonts w:ascii="Rockwell" w:eastAsiaTheme="majorEastAsia" w:hAnsi="Rockwell" w:cstheme="majorBidi"/>
          <w:bCs/>
          <w:kern w:val="28"/>
          <w:sz w:val="24"/>
          <w:szCs w:val="24"/>
        </w:rPr>
        <w:t>infrastructures de télécommunication</w:t>
      </w:r>
      <w:r w:rsidR="004631B1" w:rsidRPr="00422183">
        <w:rPr>
          <w:rFonts w:ascii="Rockwell" w:eastAsiaTheme="majorEastAsia" w:hAnsi="Rockwell" w:cstheme="majorBidi"/>
          <w:bCs/>
          <w:kern w:val="28"/>
          <w:sz w:val="24"/>
          <w:szCs w:val="24"/>
        </w:rPr>
        <w:t xml:space="preserve"> </w:t>
      </w:r>
      <w:r w:rsidRPr="00422183">
        <w:rPr>
          <w:rFonts w:ascii="Rockwell" w:eastAsiaTheme="majorEastAsia" w:hAnsi="Rockwell" w:cstheme="majorBidi"/>
          <w:bCs/>
          <w:kern w:val="28"/>
          <w:sz w:val="24"/>
          <w:szCs w:val="24"/>
        </w:rPr>
        <w:t>sont marqué</w:t>
      </w:r>
      <w:r w:rsidR="00DF1B34" w:rsidRPr="00422183">
        <w:rPr>
          <w:rFonts w:ascii="Rockwell" w:eastAsiaTheme="majorEastAsia" w:hAnsi="Rockwell" w:cstheme="majorBidi"/>
          <w:bCs/>
          <w:kern w:val="28"/>
          <w:sz w:val="24"/>
          <w:szCs w:val="24"/>
        </w:rPr>
        <w:t>e</w:t>
      </w:r>
      <w:r w:rsidRPr="00422183">
        <w:rPr>
          <w:rFonts w:ascii="Rockwell" w:eastAsiaTheme="majorEastAsia" w:hAnsi="Rockwell" w:cstheme="majorBidi"/>
          <w:bCs/>
          <w:kern w:val="28"/>
          <w:sz w:val="24"/>
          <w:szCs w:val="24"/>
        </w:rPr>
        <w:t>s par la lenteur du déploiement de la fibre optique et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absence d</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un réseau dorsal national de </w:t>
      </w:r>
      <w:r w:rsidR="006D07CD" w:rsidRPr="00422183">
        <w:rPr>
          <w:rFonts w:ascii="Rockwell" w:eastAsiaTheme="majorEastAsia" w:hAnsi="Rockwell" w:cstheme="majorBidi"/>
          <w:bCs/>
          <w:kern w:val="28"/>
          <w:sz w:val="24"/>
          <w:szCs w:val="24"/>
        </w:rPr>
        <w:t>télécommunication induisant</w:t>
      </w:r>
      <w:r w:rsidRPr="00422183">
        <w:rPr>
          <w:rFonts w:ascii="Rockwell" w:eastAsiaTheme="majorEastAsia" w:hAnsi="Rockwell" w:cstheme="majorBidi"/>
          <w:bCs/>
          <w:kern w:val="28"/>
          <w:sz w:val="24"/>
          <w:szCs w:val="24"/>
        </w:rPr>
        <w:t xml:space="preserve"> la faible qualité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offre et l</w:t>
      </w:r>
      <w:r w:rsidR="00120E2F" w:rsidRPr="00422183">
        <w:rPr>
          <w:rFonts w:ascii="Rockwell" w:eastAsiaTheme="majorEastAsia" w:hAnsi="Rockwell" w:cstheme="majorBidi"/>
          <w:bCs/>
          <w:kern w:val="28"/>
          <w:sz w:val="24"/>
          <w:szCs w:val="24"/>
        </w:rPr>
        <w:t>a cherté des services de TIC.</w:t>
      </w:r>
      <w:r w:rsidR="00350BE2" w:rsidRPr="00422183">
        <w:rPr>
          <w:rFonts w:ascii="Rockwell" w:eastAsiaTheme="majorEastAsia" w:hAnsi="Rockwell" w:cstheme="majorBidi"/>
          <w:bCs/>
          <w:kern w:val="28"/>
          <w:sz w:val="24"/>
          <w:szCs w:val="24"/>
        </w:rPr>
        <w:t xml:space="preserve"> </w:t>
      </w:r>
    </w:p>
    <w:p w:rsidR="00E874A6" w:rsidRPr="00422183" w:rsidRDefault="00350BE2"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Les principaux défis </w:t>
      </w:r>
      <w:r w:rsidR="00E874A6" w:rsidRPr="00422183">
        <w:rPr>
          <w:rFonts w:ascii="Rockwell" w:hAnsi="Rockwell"/>
          <w:sz w:val="24"/>
          <w:szCs w:val="24"/>
        </w:rPr>
        <w:t xml:space="preserve">pour un développement </w:t>
      </w:r>
      <w:r w:rsidRPr="00422183">
        <w:rPr>
          <w:rFonts w:ascii="Rockwell" w:eastAsiaTheme="majorEastAsia" w:hAnsi="Rockwell" w:cstheme="majorBidi"/>
          <w:kern w:val="28"/>
          <w:sz w:val="24"/>
          <w:szCs w:val="24"/>
        </w:rPr>
        <w:t>d</w:t>
      </w:r>
      <w:r w:rsidR="00E874A6" w:rsidRPr="00422183">
        <w:rPr>
          <w:rFonts w:ascii="Rockwell" w:eastAsiaTheme="majorEastAsia" w:hAnsi="Rockwell" w:cstheme="majorBidi"/>
          <w:kern w:val="28"/>
          <w:sz w:val="24"/>
          <w:szCs w:val="24"/>
        </w:rPr>
        <w:t>es TIC, sont : (i) le développement des infrastructures de qualité, (ii) l'amélioration de la gouvernance, et (iii) le développement d'une expertise nationale en télécom/TIC.</w:t>
      </w:r>
    </w:p>
    <w:p w:rsidR="00120E2F" w:rsidRPr="00422183" w:rsidRDefault="00120E2F" w:rsidP="003A0820">
      <w:pPr>
        <w:spacing w:after="0" w:line="240" w:lineRule="auto"/>
        <w:jc w:val="both"/>
        <w:rPr>
          <w:rFonts w:ascii="Rockwell" w:eastAsiaTheme="majorEastAsia" w:hAnsi="Rockwell" w:cstheme="majorBidi"/>
          <w:bCs/>
          <w:kern w:val="28"/>
          <w:sz w:val="24"/>
          <w:szCs w:val="24"/>
        </w:rPr>
      </w:pPr>
    </w:p>
    <w:p w:rsidR="009073A9" w:rsidRPr="00422183" w:rsidRDefault="009073A9" w:rsidP="003A0820">
      <w:pPr>
        <w:spacing w:after="0" w:line="240" w:lineRule="auto"/>
        <w:jc w:val="both"/>
        <w:rPr>
          <w:rFonts w:ascii="Rockwell" w:eastAsiaTheme="majorEastAsia" w:hAnsi="Rockwell" w:cstheme="majorBidi"/>
          <w:bCs/>
          <w:iCs/>
          <w:kern w:val="28"/>
          <w:sz w:val="24"/>
          <w:szCs w:val="24"/>
        </w:rPr>
      </w:pPr>
    </w:p>
    <w:p w:rsidR="00F01A4B" w:rsidRPr="00422183" w:rsidRDefault="00513489" w:rsidP="003A0820">
      <w:pPr>
        <w:pStyle w:val="PNDES3"/>
        <w:rPr>
          <w:rFonts w:ascii="Rockwell" w:hAnsi="Rockwell"/>
          <w:i/>
        </w:rPr>
      </w:pPr>
      <w:bookmarkStart w:id="91" w:name="_Toc453160736"/>
      <w:bookmarkStart w:id="92" w:name="_Toc452994148"/>
      <w:bookmarkStart w:id="93" w:name="_Toc452994596"/>
      <w:bookmarkStart w:id="94" w:name="_Toc452995036"/>
      <w:bookmarkStart w:id="95" w:name="_Toc455132721"/>
      <w:r w:rsidRPr="00422183">
        <w:rPr>
          <w:rFonts w:ascii="Rockwell" w:hAnsi="Rockwell"/>
        </w:rPr>
        <w:t xml:space="preserve">Un secteur tertiaire </w:t>
      </w:r>
      <w:r w:rsidR="00EF079B" w:rsidRPr="00422183">
        <w:rPr>
          <w:rFonts w:ascii="Rockwell" w:hAnsi="Rockwell"/>
        </w:rPr>
        <w:t>de plus en plus informel</w:t>
      </w:r>
      <w:bookmarkEnd w:id="91"/>
      <w:bookmarkEnd w:id="92"/>
      <w:bookmarkEnd w:id="93"/>
      <w:bookmarkEnd w:id="94"/>
      <w:bookmarkEnd w:id="95"/>
    </w:p>
    <w:p w:rsidR="007731C5" w:rsidRPr="00422183" w:rsidRDefault="007731C5" w:rsidP="003A0820">
      <w:pPr>
        <w:spacing w:after="0" w:line="240" w:lineRule="auto"/>
        <w:jc w:val="both"/>
        <w:rPr>
          <w:rFonts w:ascii="Rockwell" w:eastAsiaTheme="majorEastAsia" w:hAnsi="Rockwell" w:cstheme="majorBidi"/>
          <w:bCs/>
          <w:kern w:val="28"/>
          <w:sz w:val="24"/>
          <w:szCs w:val="24"/>
        </w:rPr>
      </w:pPr>
    </w:p>
    <w:p w:rsidR="00010D1F" w:rsidRPr="00422183" w:rsidRDefault="00010D1F" w:rsidP="003A0820">
      <w:pPr>
        <w:spacing w:after="0" w:line="240" w:lineRule="auto"/>
        <w:jc w:val="both"/>
        <w:rPr>
          <w:rFonts w:ascii="Rockwell" w:hAnsi="Rockwell"/>
          <w:sz w:val="24"/>
        </w:rPr>
      </w:pPr>
      <w:r w:rsidRPr="00422183">
        <w:rPr>
          <w:rFonts w:ascii="Rockwell" w:hAnsi="Rockwell"/>
          <w:sz w:val="24"/>
        </w:rPr>
        <w:t xml:space="preserve">Les principaux domaines du secteur tertiaire du Burkina Faso sont le transport, le commerce, les postes et télécommunication, les services financiers et les services fournis aux entreprises, les services culturels, touristiques et hôteliers et les services sportifs. </w:t>
      </w:r>
    </w:p>
    <w:p w:rsidR="00010D1F" w:rsidRPr="00422183" w:rsidRDefault="00010D1F" w:rsidP="003A0820">
      <w:pPr>
        <w:spacing w:after="0" w:line="240" w:lineRule="auto"/>
        <w:jc w:val="both"/>
        <w:rPr>
          <w:rFonts w:ascii="Rockwell" w:hAnsi="Rockwell"/>
          <w:sz w:val="24"/>
        </w:rPr>
      </w:pPr>
    </w:p>
    <w:p w:rsidR="0057630F" w:rsidRPr="00422183" w:rsidRDefault="0057630F" w:rsidP="003A0820">
      <w:pPr>
        <w:spacing w:after="0" w:line="240" w:lineRule="auto"/>
        <w:jc w:val="both"/>
        <w:rPr>
          <w:rFonts w:ascii="Rockwell" w:hAnsi="Rockwell"/>
          <w:sz w:val="24"/>
        </w:rPr>
      </w:pPr>
      <w:r w:rsidRPr="00422183">
        <w:rPr>
          <w:rFonts w:ascii="Rockwell" w:hAnsi="Rockwell"/>
          <w:sz w:val="24"/>
        </w:rPr>
        <w:t>Le secteur tertiaire est dominé par les services marchands (en moyenne 60% de la contribution du secteur) sur la période 1996-2015. L'analyse de l'évolution de la contribution des services marchands sur la période 1996-2015 permet de dégager deux constats majeurs notamment une réduction de la contribution des services marchands formels (de 22,7%</w:t>
      </w:r>
      <w:r w:rsidR="002E34F7" w:rsidRPr="00422183">
        <w:rPr>
          <w:rFonts w:ascii="Rockwell" w:hAnsi="Rockwell"/>
          <w:sz w:val="24"/>
        </w:rPr>
        <w:t xml:space="preserve"> du PIB</w:t>
      </w:r>
      <w:r w:rsidRPr="00422183">
        <w:rPr>
          <w:rFonts w:ascii="Rockwell" w:hAnsi="Rockwell"/>
          <w:sz w:val="24"/>
        </w:rPr>
        <w:t xml:space="preserve"> sur la période 1996-2000 à 14,3% </w:t>
      </w:r>
      <w:r w:rsidR="00D06BEE" w:rsidRPr="00422183">
        <w:rPr>
          <w:rFonts w:ascii="Rockwell" w:hAnsi="Rockwell"/>
          <w:sz w:val="24"/>
        </w:rPr>
        <w:t>entre</w:t>
      </w:r>
      <w:r w:rsidRPr="00422183">
        <w:rPr>
          <w:rFonts w:ascii="Rockwell" w:hAnsi="Rockwell"/>
          <w:sz w:val="24"/>
        </w:rPr>
        <w:t xml:space="preserve"> 2011</w:t>
      </w:r>
      <w:r w:rsidR="00D06BEE" w:rsidRPr="00422183">
        <w:rPr>
          <w:rFonts w:ascii="Rockwell" w:hAnsi="Rockwell"/>
          <w:sz w:val="24"/>
        </w:rPr>
        <w:t xml:space="preserve"> et </w:t>
      </w:r>
      <w:r w:rsidRPr="00422183">
        <w:rPr>
          <w:rFonts w:ascii="Rockwell" w:hAnsi="Rockwell"/>
          <w:sz w:val="24"/>
        </w:rPr>
        <w:t xml:space="preserve">2015) et </w:t>
      </w:r>
      <w:r w:rsidR="002139E9" w:rsidRPr="00422183">
        <w:rPr>
          <w:rFonts w:ascii="Rockwell" w:hAnsi="Rockwell"/>
          <w:sz w:val="24"/>
        </w:rPr>
        <w:t xml:space="preserve">une </w:t>
      </w:r>
      <w:r w:rsidRPr="00422183">
        <w:rPr>
          <w:rFonts w:ascii="Rockwell" w:hAnsi="Rockwell"/>
          <w:sz w:val="24"/>
        </w:rPr>
        <w:t xml:space="preserve">augmentation de la contribution </w:t>
      </w:r>
      <w:r w:rsidR="00964312" w:rsidRPr="00422183">
        <w:rPr>
          <w:rFonts w:ascii="Rockwell" w:hAnsi="Rockwell"/>
          <w:sz w:val="24"/>
        </w:rPr>
        <w:t xml:space="preserve">des </w:t>
      </w:r>
      <w:r w:rsidRPr="00422183">
        <w:rPr>
          <w:rFonts w:ascii="Rockwell" w:hAnsi="Rockwell"/>
          <w:sz w:val="24"/>
        </w:rPr>
        <w:t>services marchands informels. Cette analyse montre une "informalisation" du secteur tertiaire. Par ailleurs, les services march</w:t>
      </w:r>
      <w:r w:rsidR="00EF079B" w:rsidRPr="00422183">
        <w:rPr>
          <w:rFonts w:ascii="Rockwell" w:hAnsi="Rockwell"/>
          <w:sz w:val="24"/>
        </w:rPr>
        <w:t>and</w:t>
      </w:r>
      <w:r w:rsidRPr="00422183">
        <w:rPr>
          <w:rFonts w:ascii="Rockwell" w:hAnsi="Rockwell"/>
          <w:sz w:val="24"/>
        </w:rPr>
        <w:t>s informels sont majoritairement de</w:t>
      </w:r>
      <w:r w:rsidR="00D06BEE" w:rsidRPr="00422183">
        <w:rPr>
          <w:rFonts w:ascii="Rockwell" w:hAnsi="Rockwell"/>
          <w:sz w:val="24"/>
        </w:rPr>
        <w:t>s</w:t>
      </w:r>
      <w:r w:rsidRPr="00422183">
        <w:rPr>
          <w:rFonts w:ascii="Rockwell" w:hAnsi="Rockwell"/>
          <w:sz w:val="24"/>
        </w:rPr>
        <w:t xml:space="preserve"> commerces d'importation.</w:t>
      </w:r>
    </w:p>
    <w:p w:rsidR="00120E2F" w:rsidRPr="00422183" w:rsidRDefault="00120E2F" w:rsidP="003A0820">
      <w:pPr>
        <w:spacing w:after="0" w:line="240" w:lineRule="auto"/>
        <w:jc w:val="both"/>
        <w:rPr>
          <w:rFonts w:ascii="Rockwell" w:hAnsi="Rockwell"/>
          <w:sz w:val="24"/>
        </w:rPr>
      </w:pPr>
    </w:p>
    <w:p w:rsidR="0057630F" w:rsidRPr="00422183" w:rsidRDefault="005078B7" w:rsidP="003A0820">
      <w:pPr>
        <w:pStyle w:val="Lgende"/>
        <w:rPr>
          <w:noProof/>
          <w:color w:val="auto"/>
          <w:sz w:val="24"/>
          <w:szCs w:val="24"/>
        </w:rPr>
      </w:pPr>
      <w:bookmarkStart w:id="96" w:name="_Toc455079262"/>
      <w:r w:rsidRPr="00422183">
        <w:rPr>
          <w:color w:val="auto"/>
          <w:sz w:val="24"/>
          <w:szCs w:val="24"/>
        </w:rPr>
        <w:t xml:space="preserve">Graphique </w:t>
      </w:r>
      <w:r w:rsidR="00491B03" w:rsidRPr="00422183">
        <w:rPr>
          <w:color w:val="auto"/>
          <w:sz w:val="24"/>
          <w:szCs w:val="24"/>
        </w:rPr>
        <w:fldChar w:fldCharType="begin"/>
      </w:r>
      <w:r w:rsidR="00D30508" w:rsidRPr="00422183">
        <w:rPr>
          <w:color w:val="auto"/>
          <w:sz w:val="24"/>
          <w:szCs w:val="24"/>
        </w:rPr>
        <w:instrText xml:space="preserve"> SEQ Graphique \* ARABIC </w:instrText>
      </w:r>
      <w:r w:rsidR="00491B03" w:rsidRPr="00422183">
        <w:rPr>
          <w:color w:val="auto"/>
          <w:sz w:val="24"/>
          <w:szCs w:val="24"/>
        </w:rPr>
        <w:fldChar w:fldCharType="separate"/>
      </w:r>
      <w:r w:rsidR="00516FB0" w:rsidRPr="00422183">
        <w:rPr>
          <w:noProof/>
          <w:color w:val="auto"/>
          <w:sz w:val="24"/>
          <w:szCs w:val="24"/>
        </w:rPr>
        <w:t>3</w:t>
      </w:r>
      <w:r w:rsidR="00491B03" w:rsidRPr="00422183">
        <w:rPr>
          <w:noProof/>
          <w:color w:val="auto"/>
          <w:sz w:val="24"/>
          <w:szCs w:val="24"/>
        </w:rPr>
        <w:fldChar w:fldCharType="end"/>
      </w:r>
      <w:r w:rsidRPr="00422183">
        <w:rPr>
          <w:color w:val="auto"/>
          <w:sz w:val="24"/>
          <w:szCs w:val="24"/>
        </w:rPr>
        <w:t xml:space="preserve"> : </w:t>
      </w:r>
      <w:r w:rsidR="00120E2F" w:rsidRPr="00422183">
        <w:rPr>
          <w:noProof/>
          <w:color w:val="auto"/>
          <w:sz w:val="24"/>
          <w:szCs w:val="24"/>
        </w:rPr>
        <w:t>é</w:t>
      </w:r>
      <w:r w:rsidR="00A35540" w:rsidRPr="00422183">
        <w:rPr>
          <w:noProof/>
          <w:color w:val="auto"/>
          <w:sz w:val="24"/>
          <w:szCs w:val="24"/>
        </w:rPr>
        <w:t>volution des parts contributives des branches du secteur tertiaire au PIB</w:t>
      </w:r>
      <w:bookmarkEnd w:id="96"/>
    </w:p>
    <w:p w:rsidR="00120E2F" w:rsidRPr="00422183" w:rsidRDefault="00120E2F" w:rsidP="003A0820">
      <w:pPr>
        <w:spacing w:after="0" w:line="240" w:lineRule="auto"/>
        <w:jc w:val="both"/>
        <w:rPr>
          <w:rFonts w:ascii="Rockwell" w:hAnsi="Rockwell"/>
          <w:sz w:val="24"/>
        </w:rPr>
      </w:pPr>
    </w:p>
    <w:p w:rsidR="0057630F" w:rsidRPr="00422183" w:rsidRDefault="0057630F" w:rsidP="003A0820">
      <w:pPr>
        <w:spacing w:after="0" w:line="240" w:lineRule="auto"/>
        <w:jc w:val="both"/>
        <w:rPr>
          <w:rFonts w:ascii="Rockwell" w:hAnsi="Rockwell"/>
        </w:rPr>
      </w:pPr>
      <w:r w:rsidRPr="00422183">
        <w:rPr>
          <w:rFonts w:ascii="Rockwell" w:hAnsi="Rockwell"/>
          <w:noProof/>
        </w:rPr>
        <w:drawing>
          <wp:inline distT="0" distB="0" distL="0" distR="0">
            <wp:extent cx="5895975" cy="2755900"/>
            <wp:effectExtent l="0" t="0" r="952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5975" cy="2755900"/>
                    </a:xfrm>
                    <a:prstGeom prst="rect">
                      <a:avLst/>
                    </a:prstGeom>
                    <a:noFill/>
                  </pic:spPr>
                </pic:pic>
              </a:graphicData>
            </a:graphic>
          </wp:inline>
        </w:drawing>
      </w:r>
    </w:p>
    <w:p w:rsidR="00120E2F" w:rsidRPr="00422183" w:rsidRDefault="00120E2F" w:rsidP="00516FB0">
      <w:pPr>
        <w:spacing w:after="0" w:line="240" w:lineRule="auto"/>
        <w:jc w:val="both"/>
        <w:rPr>
          <w:rFonts w:ascii="Rockwell" w:hAnsi="Rockwell"/>
          <w:sz w:val="20"/>
          <w:szCs w:val="20"/>
        </w:rPr>
      </w:pPr>
      <w:r w:rsidRPr="00422183">
        <w:rPr>
          <w:rFonts w:ascii="Rockwell" w:hAnsi="Rockwell"/>
          <w:sz w:val="20"/>
          <w:szCs w:val="20"/>
        </w:rPr>
        <w:t>Source : à partir des données de l'IAP (DGEP, avril 2016)</w:t>
      </w:r>
    </w:p>
    <w:p w:rsidR="00120E2F" w:rsidRPr="00422183" w:rsidRDefault="00120E2F" w:rsidP="003A0820">
      <w:pPr>
        <w:spacing w:after="0" w:line="240" w:lineRule="auto"/>
        <w:jc w:val="both"/>
        <w:rPr>
          <w:rFonts w:ascii="Rockwell" w:hAnsi="Rockwell"/>
          <w:sz w:val="24"/>
        </w:rPr>
      </w:pPr>
    </w:p>
    <w:p w:rsidR="00010D1F" w:rsidRPr="00422183" w:rsidRDefault="00010D1F" w:rsidP="003A0820">
      <w:pPr>
        <w:spacing w:after="0" w:line="240" w:lineRule="auto"/>
        <w:jc w:val="both"/>
        <w:rPr>
          <w:rFonts w:ascii="Rockwell" w:hAnsi="Rockwell"/>
          <w:sz w:val="24"/>
        </w:rPr>
      </w:pPr>
    </w:p>
    <w:p w:rsidR="007731C5" w:rsidRPr="00422183" w:rsidRDefault="006D605F"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Les services fournis par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économie informelle</w:t>
      </w:r>
      <w:r w:rsidR="00E56635" w:rsidRPr="00422183">
        <w:rPr>
          <w:rFonts w:ascii="Rockwell" w:eastAsiaTheme="majorEastAsia" w:hAnsi="Rockwell" w:cstheme="majorBidi"/>
          <w:bCs/>
          <w:kern w:val="28"/>
          <w:sz w:val="24"/>
          <w:szCs w:val="24"/>
        </w:rPr>
        <w:t xml:space="preserve"> se retrouvent </w:t>
      </w:r>
      <w:r w:rsidR="007926B9" w:rsidRPr="00422183">
        <w:rPr>
          <w:rFonts w:ascii="Rockwell" w:eastAsiaTheme="majorEastAsia" w:hAnsi="Rockwell" w:cstheme="majorBidi"/>
          <w:bCs/>
          <w:kern w:val="28"/>
          <w:sz w:val="24"/>
          <w:szCs w:val="24"/>
        </w:rPr>
        <w:t>notamment dans le commerce, les transports, la restauration et les autres services marchands.</w:t>
      </w:r>
      <w:r w:rsidR="002513F3" w:rsidRPr="00422183">
        <w:rPr>
          <w:rFonts w:ascii="Rockwell" w:eastAsiaTheme="majorEastAsia" w:hAnsi="Rockwell" w:cstheme="majorBidi"/>
          <w:bCs/>
          <w:kern w:val="28"/>
          <w:sz w:val="24"/>
          <w:szCs w:val="24"/>
        </w:rPr>
        <w:t xml:space="preserve"> </w:t>
      </w:r>
      <w:r w:rsidR="007731C5" w:rsidRPr="00422183">
        <w:rPr>
          <w:rFonts w:ascii="Rockwell" w:eastAsiaTheme="majorEastAsia" w:hAnsi="Rockwell" w:cstheme="majorBidi"/>
          <w:bCs/>
          <w:kern w:val="28"/>
          <w:sz w:val="24"/>
          <w:szCs w:val="24"/>
        </w:rPr>
        <w:t>Exclusivement tournée vers le marché intérieur, l</w:t>
      </w:r>
      <w:r w:rsidR="006C72DE" w:rsidRPr="00422183">
        <w:rPr>
          <w:rFonts w:ascii="Rockwell" w:eastAsiaTheme="majorEastAsia" w:hAnsi="Rockwell" w:cstheme="majorBidi"/>
          <w:bCs/>
          <w:kern w:val="28"/>
          <w:sz w:val="24"/>
          <w:szCs w:val="24"/>
        </w:rPr>
        <w:t>'</w:t>
      </w:r>
      <w:r w:rsidR="007731C5" w:rsidRPr="00422183">
        <w:rPr>
          <w:rFonts w:ascii="Rockwell" w:eastAsiaTheme="majorEastAsia" w:hAnsi="Rockwell" w:cstheme="majorBidi"/>
          <w:bCs/>
          <w:kern w:val="28"/>
          <w:sz w:val="24"/>
          <w:szCs w:val="24"/>
        </w:rPr>
        <w:t xml:space="preserve">économie informelle a pour principal débouché la satisfaction des besoins des ménages par les services marchands. Elle contribue aux recettes fiscales par le paiement des patentes, mais sa part dans les impôts et taxes payés à l'État reste faible. </w:t>
      </w:r>
    </w:p>
    <w:p w:rsidR="007731C5" w:rsidRPr="00422183" w:rsidRDefault="007731C5" w:rsidP="003A0820">
      <w:pPr>
        <w:spacing w:after="0" w:line="240" w:lineRule="auto"/>
        <w:jc w:val="both"/>
        <w:rPr>
          <w:rFonts w:ascii="Rockwell" w:eastAsiaTheme="majorEastAsia" w:hAnsi="Rockwell" w:cstheme="majorBidi"/>
          <w:bCs/>
          <w:kern w:val="28"/>
          <w:sz w:val="24"/>
          <w:szCs w:val="24"/>
        </w:rPr>
      </w:pPr>
    </w:p>
    <w:p w:rsidR="00F01A4B" w:rsidRPr="00422183" w:rsidRDefault="007731C5"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Afin d</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assurer une meilleure contribution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économie informelle au </w:t>
      </w:r>
      <w:r w:rsidR="006D07CD" w:rsidRPr="00422183">
        <w:rPr>
          <w:rFonts w:ascii="Rockwell" w:eastAsiaTheme="majorEastAsia" w:hAnsi="Rockwell" w:cstheme="majorBidi"/>
          <w:bCs/>
          <w:kern w:val="28"/>
          <w:sz w:val="24"/>
          <w:szCs w:val="24"/>
        </w:rPr>
        <w:t>développement national</w:t>
      </w:r>
      <w:r w:rsidRPr="00422183">
        <w:rPr>
          <w:rFonts w:ascii="Rockwell" w:eastAsiaTheme="majorEastAsia" w:hAnsi="Rockwell" w:cstheme="majorBidi"/>
          <w:bCs/>
          <w:kern w:val="28"/>
          <w:sz w:val="24"/>
          <w:szCs w:val="24"/>
        </w:rPr>
        <w:t>, il s</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avère important </w:t>
      </w:r>
      <w:r w:rsidR="00BE4166" w:rsidRPr="00422183">
        <w:rPr>
          <w:rFonts w:ascii="Rockwell" w:eastAsiaTheme="majorEastAsia" w:hAnsi="Rockwell" w:cstheme="majorBidi"/>
          <w:bCs/>
          <w:kern w:val="28"/>
          <w:sz w:val="24"/>
          <w:szCs w:val="24"/>
        </w:rPr>
        <w:t xml:space="preserve">de trouver des réponses aux défis que sont : (i) </w:t>
      </w:r>
      <w:r w:rsidRPr="00422183">
        <w:rPr>
          <w:rFonts w:ascii="Rockwell" w:eastAsiaTheme="majorEastAsia" w:hAnsi="Rockwell" w:cstheme="majorBidi"/>
          <w:bCs/>
          <w:kern w:val="28"/>
          <w:sz w:val="24"/>
          <w:szCs w:val="24"/>
        </w:rPr>
        <w:t>la facilitation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accès au crédit, (ii) la formalisation</w:t>
      </w:r>
      <w:r w:rsidR="00BE4166" w:rsidRPr="00422183">
        <w:rPr>
          <w:rFonts w:ascii="Rockwell" w:eastAsiaTheme="majorEastAsia" w:hAnsi="Rockwell" w:cstheme="majorBidi"/>
          <w:bCs/>
          <w:kern w:val="28"/>
          <w:sz w:val="24"/>
          <w:szCs w:val="24"/>
        </w:rPr>
        <w:t xml:space="preserve"> des structures de productions informelles</w:t>
      </w:r>
      <w:r w:rsidR="00B67F98" w:rsidRPr="00422183">
        <w:rPr>
          <w:rFonts w:ascii="Rockwell" w:eastAsiaTheme="majorEastAsia" w:hAnsi="Rockwell" w:cstheme="majorBidi"/>
          <w:bCs/>
          <w:kern w:val="28"/>
          <w:sz w:val="24"/>
          <w:szCs w:val="24"/>
        </w:rPr>
        <w:t>.</w:t>
      </w:r>
    </w:p>
    <w:p w:rsidR="004C04C8" w:rsidRPr="00422183" w:rsidRDefault="004C04C8" w:rsidP="003A0820">
      <w:pPr>
        <w:spacing w:after="0" w:line="240" w:lineRule="auto"/>
        <w:jc w:val="both"/>
        <w:rPr>
          <w:rFonts w:ascii="Rockwell" w:eastAsiaTheme="majorEastAsia" w:hAnsi="Rockwell" w:cstheme="majorBidi"/>
          <w:bCs/>
          <w:kern w:val="28"/>
          <w:sz w:val="24"/>
          <w:szCs w:val="24"/>
        </w:rPr>
      </w:pPr>
    </w:p>
    <w:p w:rsidR="00B67F98" w:rsidRPr="00422183" w:rsidRDefault="008E435B"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La dynamisation</w:t>
      </w:r>
      <w:r w:rsidR="00280745" w:rsidRPr="00422183">
        <w:rPr>
          <w:rFonts w:ascii="Rockwell" w:eastAsiaTheme="majorEastAsia" w:hAnsi="Rockwell" w:cstheme="majorBidi"/>
          <w:bCs/>
          <w:kern w:val="28"/>
          <w:sz w:val="24"/>
          <w:szCs w:val="24"/>
        </w:rPr>
        <w:t xml:space="preserve"> du</w:t>
      </w:r>
      <w:r w:rsidR="00D06BEE" w:rsidRPr="00422183">
        <w:rPr>
          <w:rFonts w:ascii="Rockwell" w:eastAsiaTheme="majorEastAsia" w:hAnsi="Rockwell" w:cstheme="majorBidi"/>
          <w:bCs/>
          <w:kern w:val="28"/>
          <w:sz w:val="24"/>
          <w:szCs w:val="24"/>
        </w:rPr>
        <w:t xml:space="preserve"> sous-</w:t>
      </w:r>
      <w:r w:rsidR="00280745" w:rsidRPr="00422183">
        <w:rPr>
          <w:rFonts w:ascii="Rockwell" w:eastAsiaTheme="majorEastAsia" w:hAnsi="Rockwell" w:cstheme="majorBidi"/>
          <w:bCs/>
          <w:kern w:val="28"/>
          <w:sz w:val="24"/>
          <w:szCs w:val="24"/>
        </w:rPr>
        <w:t>secteur de</w:t>
      </w:r>
      <w:r w:rsidRPr="00422183">
        <w:rPr>
          <w:rFonts w:ascii="Rockwell" w:eastAsiaTheme="majorEastAsia" w:hAnsi="Rockwell" w:cstheme="majorBidi"/>
          <w:bCs/>
          <w:kern w:val="28"/>
          <w:sz w:val="24"/>
          <w:szCs w:val="24"/>
        </w:rPr>
        <w:t>s</w:t>
      </w:r>
      <w:r w:rsidR="00280745" w:rsidRPr="00422183">
        <w:rPr>
          <w:rFonts w:ascii="Rockwell" w:eastAsiaTheme="majorEastAsia" w:hAnsi="Rockwell" w:cstheme="majorBidi"/>
          <w:bCs/>
          <w:kern w:val="28"/>
          <w:sz w:val="24"/>
          <w:szCs w:val="24"/>
        </w:rPr>
        <w:t xml:space="preserve"> services modernes </w:t>
      </w:r>
      <w:r w:rsidRPr="00422183">
        <w:rPr>
          <w:rFonts w:ascii="Rockwell" w:eastAsiaTheme="majorEastAsia" w:hAnsi="Rockwell" w:cstheme="majorBidi"/>
          <w:bCs/>
          <w:kern w:val="28"/>
          <w:sz w:val="24"/>
          <w:szCs w:val="24"/>
        </w:rPr>
        <w:t>nécessite de relever l</w:t>
      </w:r>
      <w:r w:rsidR="007926B9" w:rsidRPr="00422183">
        <w:rPr>
          <w:rFonts w:ascii="Rockwell" w:eastAsiaTheme="majorEastAsia" w:hAnsi="Rockwell" w:cstheme="majorBidi"/>
          <w:bCs/>
          <w:kern w:val="28"/>
          <w:sz w:val="24"/>
          <w:szCs w:val="24"/>
        </w:rPr>
        <w:t xml:space="preserve">es </w:t>
      </w:r>
      <w:r w:rsidR="00280745" w:rsidRPr="00422183">
        <w:rPr>
          <w:rFonts w:ascii="Rockwell" w:eastAsiaTheme="majorEastAsia" w:hAnsi="Rockwell" w:cstheme="majorBidi"/>
          <w:bCs/>
          <w:kern w:val="28"/>
          <w:sz w:val="24"/>
          <w:szCs w:val="24"/>
        </w:rPr>
        <w:t xml:space="preserve">principaux </w:t>
      </w:r>
      <w:r w:rsidR="007926B9" w:rsidRPr="00422183">
        <w:rPr>
          <w:rFonts w:ascii="Rockwell" w:eastAsiaTheme="majorEastAsia" w:hAnsi="Rockwell" w:cstheme="majorBidi"/>
          <w:bCs/>
          <w:kern w:val="28"/>
          <w:sz w:val="24"/>
          <w:szCs w:val="24"/>
        </w:rPr>
        <w:t xml:space="preserve">défis </w:t>
      </w:r>
      <w:r w:rsidR="00D06BEE" w:rsidRPr="00422183">
        <w:rPr>
          <w:rFonts w:ascii="Rockwell" w:eastAsiaTheme="majorEastAsia" w:hAnsi="Rockwell" w:cstheme="majorBidi"/>
          <w:bCs/>
          <w:kern w:val="28"/>
          <w:sz w:val="24"/>
          <w:szCs w:val="24"/>
        </w:rPr>
        <w:t xml:space="preserve">suivants </w:t>
      </w:r>
      <w:r w:rsidR="007926B9" w:rsidRPr="00422183">
        <w:rPr>
          <w:rFonts w:ascii="Rockwell" w:eastAsiaTheme="majorEastAsia" w:hAnsi="Rockwell" w:cstheme="majorBidi"/>
          <w:bCs/>
          <w:kern w:val="28"/>
          <w:sz w:val="24"/>
          <w:szCs w:val="24"/>
        </w:rPr>
        <w:t>par branches de services</w:t>
      </w:r>
      <w:r w:rsidR="00B67F98" w:rsidRPr="00422183">
        <w:rPr>
          <w:rFonts w:ascii="Rockwell" w:eastAsiaTheme="majorEastAsia" w:hAnsi="Rockwell" w:cstheme="majorBidi"/>
          <w:bCs/>
          <w:kern w:val="28"/>
          <w:sz w:val="24"/>
          <w:szCs w:val="24"/>
        </w:rPr>
        <w:t>.</w:t>
      </w:r>
    </w:p>
    <w:p w:rsidR="00B67F98" w:rsidRPr="00422183" w:rsidRDefault="00B67F98" w:rsidP="003A0820">
      <w:pPr>
        <w:spacing w:after="0" w:line="240" w:lineRule="auto"/>
        <w:jc w:val="both"/>
        <w:rPr>
          <w:rFonts w:ascii="Rockwell" w:eastAsiaTheme="majorEastAsia" w:hAnsi="Rockwell" w:cstheme="majorBidi"/>
          <w:bCs/>
          <w:kern w:val="28"/>
          <w:sz w:val="24"/>
          <w:szCs w:val="24"/>
        </w:rPr>
      </w:pPr>
    </w:p>
    <w:p w:rsidR="00010D1F" w:rsidRPr="00422183" w:rsidRDefault="00010D1F" w:rsidP="003A0820">
      <w:pPr>
        <w:spacing w:after="0" w:line="240" w:lineRule="auto"/>
        <w:jc w:val="both"/>
        <w:rPr>
          <w:rFonts w:ascii="Rockwell" w:hAnsi="Rockwell"/>
          <w:sz w:val="24"/>
          <w:szCs w:val="24"/>
        </w:rPr>
      </w:pPr>
      <w:r w:rsidRPr="00422183">
        <w:rPr>
          <w:rFonts w:ascii="Rockwell" w:hAnsi="Rockwell"/>
          <w:sz w:val="24"/>
        </w:rPr>
        <w:t xml:space="preserve">La part de la branche des services culturels au PIB s’est située à </w:t>
      </w:r>
      <w:r w:rsidR="003B7B99" w:rsidRPr="00422183">
        <w:rPr>
          <w:rFonts w:ascii="Rockwell" w:hAnsi="Rockwell"/>
          <w:sz w:val="24"/>
        </w:rPr>
        <w:t>près de 3</w:t>
      </w:r>
      <w:r w:rsidRPr="00422183">
        <w:rPr>
          <w:rFonts w:ascii="Rockwell" w:hAnsi="Rockwell"/>
          <w:sz w:val="24"/>
        </w:rPr>
        <w:t>% entre 2012 et 2014 et a créé 170</w:t>
      </w:r>
      <w:r w:rsidR="000537AF" w:rsidRPr="00422183">
        <w:rPr>
          <w:rFonts w:ascii="Rockwell" w:hAnsi="Rockwell"/>
          <w:sz w:val="24"/>
        </w:rPr>
        <w:t xml:space="preserve"> </w:t>
      </w:r>
      <w:r w:rsidR="003B7B99" w:rsidRPr="00422183">
        <w:rPr>
          <w:rFonts w:ascii="Rockwell" w:hAnsi="Rockwell"/>
          <w:sz w:val="24"/>
        </w:rPr>
        <w:t xml:space="preserve">000 emplois culturels. </w:t>
      </w:r>
      <w:r w:rsidRPr="00422183">
        <w:rPr>
          <w:rFonts w:ascii="Rockwell" w:hAnsi="Rockwell"/>
          <w:sz w:val="24"/>
        </w:rPr>
        <w:t>En revanche, l’insuffisance et la mauvaise répartition des infrastructures culturelles sur le territoire national, la faible diffusion des produits culturels par les médias, la faible consommation des produits culturels par les ménages (0,62%)</w:t>
      </w:r>
      <w:r w:rsidRPr="00422183">
        <w:rPr>
          <w:rFonts w:ascii="Rockwell" w:hAnsi="Rockwell"/>
          <w:sz w:val="24"/>
          <w:szCs w:val="24"/>
        </w:rPr>
        <w:t>, en sont les principales contraintes.</w:t>
      </w:r>
    </w:p>
    <w:p w:rsidR="003B7B99" w:rsidRPr="00422183" w:rsidRDefault="003B7B99" w:rsidP="003A0820">
      <w:pPr>
        <w:spacing w:after="0" w:line="240" w:lineRule="auto"/>
        <w:jc w:val="both"/>
        <w:rPr>
          <w:rFonts w:ascii="Rockwell" w:hAnsi="Rockwell"/>
          <w:sz w:val="24"/>
          <w:szCs w:val="24"/>
        </w:rPr>
      </w:pPr>
    </w:p>
    <w:p w:rsidR="00010D1F" w:rsidRPr="00422183" w:rsidRDefault="00010D1F" w:rsidP="003A0820">
      <w:pPr>
        <w:spacing w:after="0" w:line="240" w:lineRule="auto"/>
        <w:jc w:val="both"/>
        <w:rPr>
          <w:rFonts w:ascii="Rockwell" w:hAnsi="Rockwell"/>
          <w:sz w:val="24"/>
        </w:rPr>
      </w:pPr>
      <w:r w:rsidRPr="00422183">
        <w:rPr>
          <w:rFonts w:ascii="Rockwell" w:hAnsi="Rockwell"/>
          <w:sz w:val="24"/>
        </w:rPr>
        <w:t xml:space="preserve">Les activités touristiques connaissent un développement important lié en grande partie au dynamisme des </w:t>
      </w:r>
      <w:r w:rsidR="003B7B99" w:rsidRPr="00422183">
        <w:rPr>
          <w:rFonts w:ascii="Rockwell" w:hAnsi="Rockwell"/>
          <w:sz w:val="24"/>
        </w:rPr>
        <w:t>sous-secteurs</w:t>
      </w:r>
      <w:r w:rsidRPr="00422183">
        <w:rPr>
          <w:rFonts w:ascii="Rockwell" w:hAnsi="Rockwell"/>
          <w:sz w:val="24"/>
        </w:rPr>
        <w:t xml:space="preserve"> de l’hôtellerie, de la restauration et des voyages</w:t>
      </w:r>
      <w:r w:rsidR="003B7B99" w:rsidRPr="00422183">
        <w:rPr>
          <w:rFonts w:ascii="Rockwell" w:hAnsi="Rockwell"/>
          <w:sz w:val="24"/>
        </w:rPr>
        <w:t xml:space="preserve">. </w:t>
      </w:r>
      <w:r w:rsidRPr="00422183">
        <w:rPr>
          <w:rFonts w:ascii="Rockwell" w:hAnsi="Rockwell"/>
          <w:sz w:val="24"/>
        </w:rPr>
        <w:t>Les principales contraintes sont liées au manque de financement, à l’insuffisance de personnel qualifié et au faible niveau d’aménagement des sites touristiques.</w:t>
      </w:r>
    </w:p>
    <w:p w:rsidR="00010D1F" w:rsidRPr="00422183" w:rsidRDefault="00010D1F" w:rsidP="003A0820">
      <w:pPr>
        <w:spacing w:after="0" w:line="240" w:lineRule="auto"/>
        <w:jc w:val="both"/>
        <w:rPr>
          <w:rFonts w:ascii="Rockwell" w:eastAsiaTheme="majorEastAsia" w:hAnsi="Rockwell" w:cstheme="majorBidi"/>
          <w:bCs/>
          <w:kern w:val="28"/>
          <w:sz w:val="24"/>
          <w:szCs w:val="24"/>
        </w:rPr>
      </w:pPr>
    </w:p>
    <w:p w:rsidR="007926B9" w:rsidRPr="00422183" w:rsidRDefault="008E435B"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 xml:space="preserve">Pour </w:t>
      </w:r>
      <w:r w:rsidR="002E39CF" w:rsidRPr="00422183">
        <w:rPr>
          <w:rFonts w:ascii="Rockwell" w:eastAsiaTheme="majorEastAsia" w:hAnsi="Rockwell" w:cstheme="majorBidi"/>
          <w:bCs/>
          <w:kern w:val="28"/>
          <w:sz w:val="24"/>
          <w:szCs w:val="24"/>
        </w:rPr>
        <w:t>les</w:t>
      </w:r>
      <w:r w:rsidRPr="00422183">
        <w:rPr>
          <w:rFonts w:ascii="Rockwell" w:eastAsiaTheme="majorEastAsia" w:hAnsi="Rockwell" w:cstheme="majorBidi"/>
          <w:bCs/>
          <w:kern w:val="28"/>
          <w:sz w:val="24"/>
          <w:szCs w:val="24"/>
        </w:rPr>
        <w:t xml:space="preserve"> service</w:t>
      </w:r>
      <w:r w:rsidR="002E39CF" w:rsidRPr="00422183">
        <w:rPr>
          <w:rFonts w:ascii="Rockwell" w:eastAsiaTheme="majorEastAsia" w:hAnsi="Rockwell" w:cstheme="majorBidi"/>
          <w:bCs/>
          <w:kern w:val="28"/>
          <w:sz w:val="24"/>
          <w:szCs w:val="24"/>
        </w:rPr>
        <w:t>s touristiques et</w:t>
      </w:r>
      <w:r w:rsidRPr="00422183">
        <w:rPr>
          <w:rFonts w:ascii="Rockwell" w:eastAsiaTheme="majorEastAsia" w:hAnsi="Rockwell" w:cstheme="majorBidi"/>
          <w:bCs/>
          <w:kern w:val="28"/>
          <w:sz w:val="24"/>
          <w:szCs w:val="24"/>
        </w:rPr>
        <w:t xml:space="preserve"> </w:t>
      </w:r>
      <w:r w:rsidR="00B67F98" w:rsidRPr="00422183">
        <w:rPr>
          <w:rFonts w:ascii="Rockwell" w:eastAsiaTheme="majorEastAsia" w:hAnsi="Rockwell" w:cstheme="majorBidi"/>
          <w:bCs/>
          <w:kern w:val="28"/>
          <w:sz w:val="24"/>
          <w:szCs w:val="24"/>
        </w:rPr>
        <w:t xml:space="preserve">culturels, il y a </w:t>
      </w:r>
      <w:r w:rsidR="006D07CD"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 (i) </w:t>
      </w:r>
      <w:r w:rsidR="007926B9"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007926B9" w:rsidRPr="00422183">
        <w:rPr>
          <w:rFonts w:ascii="Rockwell" w:eastAsiaTheme="majorEastAsia" w:hAnsi="Rockwell" w:cstheme="majorBidi"/>
          <w:bCs/>
          <w:kern w:val="28"/>
          <w:sz w:val="24"/>
          <w:szCs w:val="24"/>
        </w:rPr>
        <w:t>accroissement de l</w:t>
      </w:r>
      <w:r w:rsidR="006C72DE" w:rsidRPr="00422183">
        <w:rPr>
          <w:rFonts w:ascii="Rockwell" w:eastAsiaTheme="majorEastAsia" w:hAnsi="Rockwell" w:cstheme="majorBidi"/>
          <w:bCs/>
          <w:kern w:val="28"/>
          <w:sz w:val="24"/>
          <w:szCs w:val="24"/>
        </w:rPr>
        <w:t>'</w:t>
      </w:r>
      <w:r w:rsidR="007926B9" w:rsidRPr="00422183">
        <w:rPr>
          <w:rFonts w:ascii="Rockwell" w:eastAsiaTheme="majorEastAsia" w:hAnsi="Rockwell" w:cstheme="majorBidi"/>
          <w:bCs/>
          <w:kern w:val="28"/>
          <w:sz w:val="24"/>
          <w:szCs w:val="24"/>
        </w:rPr>
        <w:t>investissement privé</w:t>
      </w:r>
      <w:r w:rsidRPr="00422183">
        <w:rPr>
          <w:rFonts w:ascii="Rockwell" w:eastAsiaTheme="majorEastAsia" w:hAnsi="Rockwell" w:cstheme="majorBidi"/>
          <w:bCs/>
          <w:kern w:val="28"/>
          <w:sz w:val="24"/>
          <w:szCs w:val="24"/>
        </w:rPr>
        <w:t xml:space="preserve"> et public</w:t>
      </w:r>
      <w:r w:rsidR="000C688B" w:rsidRPr="00422183">
        <w:rPr>
          <w:rFonts w:ascii="Rockwell" w:eastAsiaTheme="majorEastAsia" w:hAnsi="Rockwell" w:cstheme="majorBidi"/>
          <w:bCs/>
          <w:kern w:val="28"/>
          <w:sz w:val="24"/>
          <w:szCs w:val="24"/>
        </w:rPr>
        <w:t xml:space="preserve"> ; </w:t>
      </w:r>
      <w:r w:rsidRPr="00422183">
        <w:rPr>
          <w:rFonts w:ascii="Rockwell" w:eastAsiaTheme="majorEastAsia" w:hAnsi="Rockwell" w:cstheme="majorBidi"/>
          <w:bCs/>
          <w:kern w:val="28"/>
          <w:sz w:val="24"/>
          <w:szCs w:val="24"/>
        </w:rPr>
        <w:t>(ii) le dévelo</w:t>
      </w:r>
      <w:r w:rsidR="00B67F98" w:rsidRPr="00422183">
        <w:rPr>
          <w:rFonts w:ascii="Rockwell" w:eastAsiaTheme="majorEastAsia" w:hAnsi="Rockwell" w:cstheme="majorBidi"/>
          <w:bCs/>
          <w:kern w:val="28"/>
          <w:sz w:val="24"/>
          <w:szCs w:val="24"/>
        </w:rPr>
        <w:t>ppement des ressources humaines</w:t>
      </w:r>
      <w:r w:rsidRPr="00422183">
        <w:rPr>
          <w:rFonts w:ascii="Rockwell" w:eastAsiaTheme="majorEastAsia" w:hAnsi="Rockwell" w:cstheme="majorBidi"/>
          <w:bCs/>
          <w:kern w:val="28"/>
          <w:sz w:val="24"/>
          <w:szCs w:val="24"/>
        </w:rPr>
        <w:t xml:space="preserve"> et </w:t>
      </w:r>
      <w:r w:rsidR="000C688B" w:rsidRPr="00422183">
        <w:rPr>
          <w:rFonts w:ascii="Rockwell" w:eastAsiaTheme="majorEastAsia" w:hAnsi="Rockwell" w:cstheme="majorBidi"/>
          <w:bCs/>
          <w:kern w:val="28"/>
          <w:sz w:val="24"/>
          <w:szCs w:val="24"/>
        </w:rPr>
        <w:t>la structuration des acteurs ;</w:t>
      </w:r>
      <w:r w:rsidRPr="00422183">
        <w:rPr>
          <w:rFonts w:ascii="Rockwell" w:eastAsiaTheme="majorEastAsia" w:hAnsi="Rockwell" w:cstheme="majorBidi"/>
          <w:bCs/>
          <w:kern w:val="28"/>
          <w:sz w:val="24"/>
          <w:szCs w:val="24"/>
        </w:rPr>
        <w:t>(iii) la professionnalisation d</w:t>
      </w:r>
      <w:r w:rsidR="0014219F" w:rsidRPr="00422183">
        <w:rPr>
          <w:rFonts w:ascii="Rockwell" w:eastAsiaTheme="majorEastAsia" w:hAnsi="Rockwell" w:cstheme="majorBidi"/>
          <w:bCs/>
          <w:kern w:val="28"/>
          <w:sz w:val="24"/>
          <w:szCs w:val="24"/>
        </w:rPr>
        <w:t>es manifestations culturelles</w:t>
      </w:r>
      <w:r w:rsidR="00B76A60" w:rsidRPr="00422183">
        <w:rPr>
          <w:rFonts w:ascii="Rockwell" w:eastAsiaTheme="majorEastAsia" w:hAnsi="Rockwell" w:cstheme="majorBidi"/>
          <w:bCs/>
          <w:kern w:val="28"/>
          <w:sz w:val="24"/>
          <w:szCs w:val="24"/>
        </w:rPr>
        <w:t xml:space="preserve"> </w:t>
      </w:r>
      <w:r w:rsidR="0014219F" w:rsidRPr="00422183">
        <w:rPr>
          <w:rFonts w:ascii="Rockwell" w:eastAsiaTheme="majorEastAsia" w:hAnsi="Rockwell" w:cstheme="majorBidi"/>
          <w:bCs/>
          <w:kern w:val="28"/>
          <w:sz w:val="24"/>
          <w:szCs w:val="24"/>
        </w:rPr>
        <w:t>et</w:t>
      </w:r>
      <w:r w:rsidR="00B67F98" w:rsidRPr="00422183">
        <w:rPr>
          <w:rFonts w:ascii="Rockwell" w:eastAsiaTheme="majorEastAsia" w:hAnsi="Rockwell" w:cstheme="majorBidi"/>
          <w:bCs/>
          <w:kern w:val="28"/>
          <w:sz w:val="24"/>
          <w:szCs w:val="24"/>
        </w:rPr>
        <w:t xml:space="preserve"> touristiques</w:t>
      </w:r>
      <w:r w:rsidR="000C688B" w:rsidRPr="00422183">
        <w:rPr>
          <w:rFonts w:ascii="Rockwell" w:eastAsiaTheme="majorEastAsia" w:hAnsi="Rockwell" w:cstheme="majorBidi"/>
          <w:bCs/>
          <w:kern w:val="28"/>
          <w:sz w:val="24"/>
          <w:szCs w:val="24"/>
        </w:rPr>
        <w:t> ; (iv) la promotion de l’émergence de grands groupes d’entreprises hôtelières et (v) la promotion intérieure et extérieure des produits culturels et touristiques</w:t>
      </w:r>
      <w:r w:rsidR="00B67F98" w:rsidRPr="00422183">
        <w:rPr>
          <w:rFonts w:ascii="Rockwell" w:eastAsiaTheme="majorEastAsia" w:hAnsi="Rockwell" w:cstheme="majorBidi"/>
          <w:bCs/>
          <w:kern w:val="28"/>
          <w:sz w:val="24"/>
          <w:szCs w:val="24"/>
        </w:rPr>
        <w:t>.</w:t>
      </w:r>
    </w:p>
    <w:p w:rsidR="004B5E16" w:rsidRPr="00422183" w:rsidRDefault="004B5E16" w:rsidP="003A0820">
      <w:pPr>
        <w:spacing w:after="0" w:line="240" w:lineRule="auto"/>
        <w:jc w:val="both"/>
        <w:rPr>
          <w:rFonts w:ascii="Rockwell" w:eastAsiaTheme="majorEastAsia" w:hAnsi="Rockwell" w:cstheme="majorBidi"/>
          <w:bCs/>
          <w:kern w:val="28"/>
          <w:sz w:val="24"/>
          <w:szCs w:val="24"/>
        </w:rPr>
      </w:pPr>
    </w:p>
    <w:p w:rsidR="00B76A60" w:rsidRPr="00422183" w:rsidRDefault="00923C8B"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006D07CD" w:rsidRPr="00422183">
        <w:rPr>
          <w:rFonts w:ascii="Rockwell" w:eastAsiaTheme="majorEastAsia" w:hAnsi="Rockwell" w:cstheme="majorBidi"/>
          <w:bCs/>
          <w:kern w:val="28"/>
          <w:sz w:val="24"/>
          <w:szCs w:val="24"/>
        </w:rPr>
        <w:t>industrie sportive</w:t>
      </w:r>
      <w:r w:rsidR="00B76A60" w:rsidRPr="00422183">
        <w:rPr>
          <w:rFonts w:ascii="Rockwell" w:eastAsiaTheme="majorEastAsia" w:hAnsi="Rockwell" w:cstheme="majorBidi"/>
          <w:bCs/>
          <w:kern w:val="28"/>
          <w:sz w:val="24"/>
          <w:szCs w:val="24"/>
        </w:rPr>
        <w:t xml:space="preserve"> qui regroupe la formation et l</w:t>
      </w:r>
      <w:r w:rsidR="002139E9" w:rsidRPr="00422183">
        <w:rPr>
          <w:rFonts w:ascii="Rockwell" w:eastAsiaTheme="majorEastAsia" w:hAnsi="Rockwell" w:cstheme="majorBidi"/>
          <w:bCs/>
          <w:kern w:val="28"/>
          <w:sz w:val="24"/>
          <w:szCs w:val="24"/>
        </w:rPr>
        <w:t xml:space="preserve">es transferts </w:t>
      </w:r>
      <w:r w:rsidR="00B76A60" w:rsidRPr="00422183">
        <w:rPr>
          <w:rFonts w:ascii="Rockwell" w:eastAsiaTheme="majorEastAsia" w:hAnsi="Rockwell" w:cstheme="majorBidi"/>
          <w:bCs/>
          <w:kern w:val="28"/>
          <w:sz w:val="24"/>
          <w:szCs w:val="24"/>
        </w:rPr>
        <w:t>des sportifs, les transferts monétaires</w:t>
      </w:r>
      <w:r w:rsidR="00684F8A" w:rsidRPr="00422183">
        <w:rPr>
          <w:rFonts w:ascii="Rockwell" w:eastAsiaTheme="majorEastAsia" w:hAnsi="Rockwell" w:cstheme="majorBidi"/>
          <w:bCs/>
          <w:kern w:val="28"/>
          <w:sz w:val="24"/>
          <w:szCs w:val="24"/>
        </w:rPr>
        <w:t xml:space="preserve"> respectueux des droits</w:t>
      </w:r>
      <w:r w:rsidR="00B76A60" w:rsidRPr="00422183">
        <w:rPr>
          <w:rFonts w:ascii="Rockwell" w:eastAsiaTheme="majorEastAsia" w:hAnsi="Rockwell" w:cstheme="majorBidi"/>
          <w:bCs/>
          <w:kern w:val="28"/>
          <w:sz w:val="24"/>
          <w:szCs w:val="24"/>
        </w:rPr>
        <w:t xml:space="preserve"> des sportifs</w:t>
      </w:r>
      <w:r w:rsidR="00D06BE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 xml:space="preserve"> les dépenses et recettes des évènements sportifs (billetterie, sponsoring, droits de diffusion et produits sous </w:t>
      </w:r>
      <w:r w:rsidR="009A1F1C" w:rsidRPr="00422183">
        <w:rPr>
          <w:rFonts w:ascii="Rockwell" w:eastAsiaTheme="majorEastAsia" w:hAnsi="Rockwell" w:cstheme="majorBidi"/>
          <w:bCs/>
          <w:kern w:val="28"/>
          <w:sz w:val="24"/>
          <w:szCs w:val="24"/>
        </w:rPr>
        <w:t>l</w:t>
      </w:r>
      <w:r w:rsidR="00B76A60" w:rsidRPr="00422183">
        <w:rPr>
          <w:rFonts w:ascii="Rockwell" w:eastAsiaTheme="majorEastAsia" w:hAnsi="Rockwell" w:cstheme="majorBidi"/>
          <w:bCs/>
          <w:kern w:val="28"/>
          <w:sz w:val="24"/>
          <w:szCs w:val="24"/>
        </w:rPr>
        <w:t>icen</w:t>
      </w:r>
      <w:r w:rsidR="009A1F1C" w:rsidRPr="00422183">
        <w:rPr>
          <w:rFonts w:ascii="Rockwell" w:eastAsiaTheme="majorEastAsia" w:hAnsi="Rockwell" w:cstheme="majorBidi"/>
          <w:bCs/>
          <w:kern w:val="28"/>
          <w:sz w:val="24"/>
          <w:szCs w:val="24"/>
        </w:rPr>
        <w:t>c</w:t>
      </w:r>
      <w:r w:rsidR="00B76A60" w:rsidRPr="00422183">
        <w:rPr>
          <w:rFonts w:ascii="Rockwell" w:eastAsiaTheme="majorEastAsia" w:hAnsi="Rockwell" w:cstheme="majorBidi"/>
          <w:bCs/>
          <w:kern w:val="28"/>
          <w:sz w:val="24"/>
          <w:szCs w:val="24"/>
        </w:rPr>
        <w:t>e)</w:t>
      </w:r>
      <w:r w:rsidRPr="00422183">
        <w:rPr>
          <w:rFonts w:ascii="Rockwell" w:eastAsiaTheme="majorEastAsia" w:hAnsi="Rockwell" w:cstheme="majorBidi"/>
          <w:bCs/>
          <w:kern w:val="28"/>
          <w:sz w:val="24"/>
          <w:szCs w:val="24"/>
        </w:rPr>
        <w:t>,</w:t>
      </w:r>
      <w:r w:rsidR="00B67F98" w:rsidRPr="00422183">
        <w:rPr>
          <w:rFonts w:ascii="Rockwell" w:eastAsiaTheme="majorEastAsia" w:hAnsi="Rockwell" w:cstheme="majorBidi"/>
          <w:bCs/>
          <w:kern w:val="28"/>
          <w:sz w:val="24"/>
          <w:szCs w:val="24"/>
        </w:rPr>
        <w:t xml:space="preserve"> est </w:t>
      </w:r>
      <w:r w:rsidR="00B76A60" w:rsidRPr="00422183">
        <w:rPr>
          <w:rFonts w:ascii="Rockwell" w:eastAsiaTheme="majorEastAsia" w:hAnsi="Rockwell" w:cstheme="majorBidi"/>
          <w:bCs/>
          <w:kern w:val="28"/>
          <w:sz w:val="24"/>
          <w:szCs w:val="24"/>
        </w:rPr>
        <w:t>faiblement développé</w:t>
      </w:r>
      <w:r w:rsidR="002139E9" w:rsidRPr="00422183">
        <w:rPr>
          <w:rFonts w:ascii="Rockwell" w:eastAsiaTheme="majorEastAsia" w:hAnsi="Rockwell" w:cstheme="majorBidi"/>
          <w:bCs/>
          <w:kern w:val="28"/>
          <w:sz w:val="24"/>
          <w:szCs w:val="24"/>
        </w:rPr>
        <w:t>e</w:t>
      </w:r>
      <w:r w:rsidR="00B76A60" w:rsidRPr="00422183">
        <w:rPr>
          <w:rFonts w:ascii="Rockwell" w:eastAsiaTheme="majorEastAsia" w:hAnsi="Rockwell" w:cstheme="majorBidi"/>
          <w:bCs/>
          <w:kern w:val="28"/>
          <w:sz w:val="24"/>
          <w:szCs w:val="24"/>
        </w:rPr>
        <w:t>. Afin d</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 xml:space="preserve">exploiter le grand potentiel </w:t>
      </w:r>
      <w:r w:rsidR="00B67F98" w:rsidRPr="00422183">
        <w:rPr>
          <w:rFonts w:ascii="Rockwell" w:eastAsiaTheme="majorEastAsia" w:hAnsi="Rockwell" w:cstheme="majorBidi"/>
          <w:bCs/>
          <w:kern w:val="28"/>
          <w:sz w:val="24"/>
          <w:szCs w:val="24"/>
        </w:rPr>
        <w:t>national</w:t>
      </w:r>
      <w:r w:rsidR="00B76A60" w:rsidRPr="00422183">
        <w:rPr>
          <w:rFonts w:ascii="Rockwell" w:eastAsiaTheme="majorEastAsia" w:hAnsi="Rockwell" w:cstheme="majorBidi"/>
          <w:bCs/>
          <w:kern w:val="28"/>
          <w:sz w:val="24"/>
          <w:szCs w:val="24"/>
        </w:rPr>
        <w:t xml:space="preserve">, </w:t>
      </w:r>
      <w:r w:rsidR="00B67F98" w:rsidRPr="00422183">
        <w:rPr>
          <w:rFonts w:ascii="Rockwell" w:eastAsiaTheme="majorEastAsia" w:hAnsi="Rockwell" w:cstheme="majorBidi"/>
          <w:bCs/>
          <w:kern w:val="28"/>
          <w:sz w:val="24"/>
          <w:szCs w:val="24"/>
        </w:rPr>
        <w:t>il faudra assurer</w:t>
      </w:r>
      <w:r w:rsidR="00B76A60" w:rsidRPr="00422183">
        <w:rPr>
          <w:rFonts w:ascii="Rockwell" w:eastAsiaTheme="majorEastAsia" w:hAnsi="Rockwell" w:cstheme="majorBidi"/>
          <w:bCs/>
          <w:kern w:val="28"/>
          <w:sz w:val="24"/>
          <w:szCs w:val="24"/>
        </w:rPr>
        <w:t> : (i) l</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augmentation de l</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offre de formation sportive, (ii) l</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accroissement des infrastructures sportives</w:t>
      </w:r>
      <w:r w:rsidR="008E3CCC" w:rsidRPr="00422183">
        <w:rPr>
          <w:rFonts w:ascii="Rockwell" w:eastAsiaTheme="majorEastAsia" w:hAnsi="Rockwell" w:cstheme="majorBidi"/>
          <w:bCs/>
          <w:kern w:val="28"/>
          <w:sz w:val="24"/>
          <w:szCs w:val="24"/>
        </w:rPr>
        <w:t xml:space="preserve"> et de loisirs</w:t>
      </w:r>
      <w:r w:rsidR="00B76A60" w:rsidRPr="00422183">
        <w:rPr>
          <w:rFonts w:ascii="Rockwell" w:eastAsiaTheme="majorEastAsia" w:hAnsi="Rockwell" w:cstheme="majorBidi"/>
          <w:bCs/>
          <w:kern w:val="28"/>
          <w:sz w:val="24"/>
          <w:szCs w:val="24"/>
        </w:rPr>
        <w:t xml:space="preserve"> de qualité, (iii) l</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opérationnalisation du sp</w:t>
      </w:r>
      <w:r w:rsidR="001340B9" w:rsidRPr="00422183">
        <w:rPr>
          <w:rFonts w:ascii="Rockwell" w:eastAsiaTheme="majorEastAsia" w:hAnsi="Rockwell" w:cstheme="majorBidi"/>
          <w:bCs/>
          <w:kern w:val="28"/>
          <w:sz w:val="24"/>
          <w:szCs w:val="24"/>
        </w:rPr>
        <w:t xml:space="preserve">ort public obligatoire, </w:t>
      </w:r>
      <w:r w:rsidR="00B76A60" w:rsidRPr="00422183">
        <w:rPr>
          <w:rFonts w:ascii="Rockwell" w:eastAsiaTheme="majorEastAsia" w:hAnsi="Rockwell" w:cstheme="majorBidi"/>
          <w:bCs/>
          <w:kern w:val="28"/>
          <w:sz w:val="24"/>
          <w:szCs w:val="24"/>
        </w:rPr>
        <w:t>(iv) l</w:t>
      </w:r>
      <w:r w:rsidR="006C72DE" w:rsidRPr="00422183">
        <w:rPr>
          <w:rFonts w:ascii="Rockwell" w:eastAsiaTheme="majorEastAsia" w:hAnsi="Rockwell" w:cstheme="majorBidi"/>
          <w:bCs/>
          <w:kern w:val="28"/>
          <w:sz w:val="24"/>
          <w:szCs w:val="24"/>
        </w:rPr>
        <w:t>'</w:t>
      </w:r>
      <w:r w:rsidR="00B76A60" w:rsidRPr="00422183">
        <w:rPr>
          <w:rFonts w:ascii="Rockwell" w:eastAsiaTheme="majorEastAsia" w:hAnsi="Rockwell" w:cstheme="majorBidi"/>
          <w:bCs/>
          <w:kern w:val="28"/>
          <w:sz w:val="24"/>
          <w:szCs w:val="24"/>
        </w:rPr>
        <w:t xml:space="preserve">amélioration du fonctionnement des </w:t>
      </w:r>
      <w:r w:rsidRPr="00422183">
        <w:rPr>
          <w:rFonts w:ascii="Rockwell" w:eastAsiaTheme="majorEastAsia" w:hAnsi="Rockwell" w:cstheme="majorBidi"/>
          <w:bCs/>
          <w:kern w:val="28"/>
          <w:sz w:val="24"/>
          <w:szCs w:val="24"/>
        </w:rPr>
        <w:t xml:space="preserve">fédérations et des </w:t>
      </w:r>
      <w:r w:rsidR="00B76A60" w:rsidRPr="00422183">
        <w:rPr>
          <w:rFonts w:ascii="Rockwell" w:eastAsiaTheme="majorEastAsia" w:hAnsi="Rockwell" w:cstheme="majorBidi"/>
          <w:bCs/>
          <w:kern w:val="28"/>
          <w:sz w:val="24"/>
          <w:szCs w:val="24"/>
        </w:rPr>
        <w:t>clubs</w:t>
      </w:r>
      <w:r w:rsidR="001340B9" w:rsidRPr="00422183">
        <w:rPr>
          <w:rFonts w:ascii="Rockwell" w:eastAsiaTheme="majorEastAsia" w:hAnsi="Rockwell" w:cstheme="majorBidi"/>
          <w:bCs/>
          <w:kern w:val="28"/>
          <w:sz w:val="24"/>
          <w:szCs w:val="24"/>
        </w:rPr>
        <w:t xml:space="preserve"> et (v) la mise en place des filières sport-études</w:t>
      </w:r>
      <w:r w:rsidR="00B76A60" w:rsidRPr="00422183">
        <w:rPr>
          <w:rFonts w:ascii="Rockwell" w:eastAsiaTheme="majorEastAsia" w:hAnsi="Rockwell" w:cstheme="majorBidi"/>
          <w:bCs/>
          <w:kern w:val="28"/>
          <w:sz w:val="24"/>
          <w:szCs w:val="24"/>
        </w:rPr>
        <w:t xml:space="preserve">. </w:t>
      </w:r>
    </w:p>
    <w:p w:rsidR="00810911" w:rsidRPr="00422183" w:rsidRDefault="00810911" w:rsidP="003A0820">
      <w:pPr>
        <w:spacing w:after="0" w:line="240" w:lineRule="auto"/>
        <w:jc w:val="both"/>
        <w:rPr>
          <w:rFonts w:ascii="Rockwell" w:eastAsiaTheme="majorEastAsia" w:hAnsi="Rockwell" w:cstheme="majorBidi"/>
          <w:bCs/>
          <w:kern w:val="28"/>
          <w:sz w:val="24"/>
          <w:szCs w:val="24"/>
        </w:rPr>
      </w:pPr>
    </w:p>
    <w:p w:rsidR="00810911" w:rsidRPr="00422183" w:rsidRDefault="000537AF" w:rsidP="003A0820">
      <w:pPr>
        <w:spacing w:after="0" w:line="240" w:lineRule="auto"/>
        <w:jc w:val="both"/>
        <w:rPr>
          <w:rFonts w:ascii="Rockwell" w:hAnsi="Rockwell"/>
          <w:bCs/>
          <w:kern w:val="28"/>
          <w:sz w:val="24"/>
          <w:szCs w:val="24"/>
        </w:rPr>
      </w:pPr>
      <w:r w:rsidRPr="00422183">
        <w:rPr>
          <w:rFonts w:ascii="Rockwell" w:hAnsi="Rockwell"/>
          <w:bCs/>
          <w:kern w:val="28"/>
          <w:sz w:val="24"/>
          <w:szCs w:val="24"/>
        </w:rPr>
        <w:t>Pour les services de transport,</w:t>
      </w:r>
      <w:r w:rsidR="00810911" w:rsidRPr="00422183">
        <w:rPr>
          <w:rFonts w:ascii="Rockwell" w:hAnsi="Rockwell"/>
          <w:bCs/>
          <w:kern w:val="28"/>
          <w:sz w:val="24"/>
          <w:szCs w:val="24"/>
        </w:rPr>
        <w:t xml:space="preserve"> l’offre ne donne pas toutes les garanti</w:t>
      </w:r>
      <w:r w:rsidR="001340B9" w:rsidRPr="00422183">
        <w:rPr>
          <w:rFonts w:ascii="Rockwell" w:hAnsi="Rockwell"/>
          <w:bCs/>
          <w:kern w:val="28"/>
          <w:sz w:val="24"/>
          <w:szCs w:val="24"/>
        </w:rPr>
        <w:t>es en matière de sécurité, de sû</w:t>
      </w:r>
      <w:r w:rsidR="00810911" w:rsidRPr="00422183">
        <w:rPr>
          <w:rFonts w:ascii="Rockwell" w:hAnsi="Rockwell"/>
          <w:bCs/>
          <w:kern w:val="28"/>
          <w:sz w:val="24"/>
          <w:szCs w:val="24"/>
        </w:rPr>
        <w:t>reté, de confort, de délais et de rentabilité. Par aille</w:t>
      </w:r>
      <w:r w:rsidRPr="00422183">
        <w:rPr>
          <w:rFonts w:ascii="Rockwell" w:hAnsi="Rockwell"/>
          <w:bCs/>
          <w:kern w:val="28"/>
          <w:sz w:val="24"/>
          <w:szCs w:val="24"/>
        </w:rPr>
        <w:t>urs,</w:t>
      </w:r>
      <w:r w:rsidR="00810911" w:rsidRPr="00422183">
        <w:rPr>
          <w:rFonts w:ascii="Rockwell" w:hAnsi="Rockwell"/>
          <w:bCs/>
          <w:kern w:val="28"/>
          <w:sz w:val="24"/>
          <w:szCs w:val="24"/>
        </w:rPr>
        <w:t xml:space="preserve"> le secteur est toujours caractérisé par son atomisation et pratiqué par des acteurs insuffisamment formés. L’âge des véhicules (</w:t>
      </w:r>
      <w:r w:rsidR="001340B9" w:rsidRPr="00422183">
        <w:rPr>
          <w:rFonts w:ascii="Rockwell" w:hAnsi="Rockwell"/>
          <w:bCs/>
          <w:kern w:val="28"/>
          <w:sz w:val="24"/>
          <w:szCs w:val="24"/>
        </w:rPr>
        <w:t xml:space="preserve">en </w:t>
      </w:r>
      <w:r w:rsidR="00810911" w:rsidRPr="00422183">
        <w:rPr>
          <w:rFonts w:ascii="Rockwell" w:hAnsi="Rockwell"/>
          <w:bCs/>
          <w:kern w:val="28"/>
          <w:sz w:val="24"/>
          <w:szCs w:val="24"/>
        </w:rPr>
        <w:t>moyenne 20 ans) plombe la compétitivité des transporteurs Burkinabé.</w:t>
      </w:r>
    </w:p>
    <w:p w:rsidR="00B76A60" w:rsidRPr="00422183" w:rsidRDefault="00B76A60" w:rsidP="003A0820">
      <w:pPr>
        <w:spacing w:after="0" w:line="240" w:lineRule="auto"/>
        <w:jc w:val="both"/>
        <w:rPr>
          <w:rFonts w:ascii="Rockwell" w:eastAsiaTheme="majorEastAsia" w:hAnsi="Rockwell" w:cstheme="majorBidi"/>
          <w:bCs/>
          <w:kern w:val="28"/>
          <w:sz w:val="24"/>
          <w:szCs w:val="24"/>
        </w:rPr>
      </w:pPr>
    </w:p>
    <w:p w:rsidR="004B5E16" w:rsidRPr="00422183" w:rsidRDefault="00810911" w:rsidP="003A0820">
      <w:pPr>
        <w:spacing w:after="0" w:line="240" w:lineRule="auto"/>
        <w:jc w:val="both"/>
        <w:rPr>
          <w:rFonts w:ascii="Rockwell" w:eastAsia="Times New Roman" w:hAnsi="Rockwell" w:cs="Times New Roman"/>
          <w:sz w:val="24"/>
          <w:szCs w:val="24"/>
        </w:rPr>
      </w:pPr>
      <w:r w:rsidRPr="00422183">
        <w:rPr>
          <w:rFonts w:ascii="Rockwell" w:eastAsiaTheme="majorEastAsia" w:hAnsi="Rockwell" w:cstheme="majorBidi"/>
          <w:bCs/>
          <w:kern w:val="28"/>
          <w:sz w:val="24"/>
          <w:szCs w:val="24"/>
        </w:rPr>
        <w:t>L</w:t>
      </w:r>
      <w:r w:rsidR="004B5E16" w:rsidRPr="00422183">
        <w:rPr>
          <w:rFonts w:ascii="Rockwell" w:eastAsiaTheme="majorEastAsia" w:hAnsi="Rockwell" w:cstheme="majorBidi"/>
          <w:bCs/>
          <w:kern w:val="28"/>
          <w:sz w:val="24"/>
          <w:szCs w:val="24"/>
        </w:rPr>
        <w:t>es défis ont trait</w:t>
      </w:r>
      <w:r w:rsidR="009A1F1C" w:rsidRPr="00422183">
        <w:rPr>
          <w:rFonts w:ascii="Rockwell" w:eastAsiaTheme="majorEastAsia" w:hAnsi="Rockwell" w:cstheme="majorBidi"/>
          <w:bCs/>
          <w:kern w:val="28"/>
          <w:sz w:val="24"/>
          <w:szCs w:val="24"/>
        </w:rPr>
        <w:t xml:space="preserve"> à</w:t>
      </w:r>
      <w:r w:rsidR="004B5E16" w:rsidRPr="00422183">
        <w:rPr>
          <w:rFonts w:ascii="Rockwell" w:eastAsiaTheme="majorEastAsia" w:hAnsi="Rockwell" w:cstheme="majorBidi"/>
          <w:bCs/>
          <w:kern w:val="28"/>
          <w:sz w:val="24"/>
          <w:szCs w:val="24"/>
        </w:rPr>
        <w:t> : (i)</w:t>
      </w:r>
      <w:r w:rsidR="00CD598A" w:rsidRPr="00422183">
        <w:rPr>
          <w:rFonts w:ascii="Rockwell" w:eastAsiaTheme="majorEastAsia" w:hAnsi="Rockwell" w:cstheme="majorBidi"/>
          <w:bCs/>
          <w:kern w:val="28"/>
          <w:sz w:val="24"/>
          <w:szCs w:val="24"/>
        </w:rPr>
        <w:t xml:space="preserve"> la</w:t>
      </w:r>
      <w:r w:rsidR="004B5E16" w:rsidRPr="00422183">
        <w:rPr>
          <w:rFonts w:ascii="Rockwell" w:eastAsiaTheme="majorEastAsia" w:hAnsi="Rockwell" w:cstheme="majorBidi"/>
          <w:bCs/>
          <w:kern w:val="28"/>
          <w:sz w:val="24"/>
          <w:szCs w:val="24"/>
        </w:rPr>
        <w:t xml:space="preserve"> sécurisation des titres de transport</w:t>
      </w:r>
      <w:r w:rsidR="00B67F98" w:rsidRPr="00422183">
        <w:rPr>
          <w:rFonts w:ascii="Rockwell" w:eastAsiaTheme="majorEastAsia" w:hAnsi="Rockwell" w:cstheme="majorBidi"/>
          <w:bCs/>
          <w:kern w:val="28"/>
          <w:sz w:val="24"/>
          <w:szCs w:val="24"/>
        </w:rPr>
        <w:t>,</w:t>
      </w:r>
      <w:r w:rsidR="002552A4" w:rsidRPr="00422183">
        <w:rPr>
          <w:rFonts w:ascii="Rockwell" w:eastAsiaTheme="majorEastAsia" w:hAnsi="Rockwell" w:cstheme="majorBidi"/>
          <w:bCs/>
          <w:kern w:val="28"/>
          <w:sz w:val="24"/>
          <w:szCs w:val="24"/>
        </w:rPr>
        <w:t xml:space="preserve"> (ii)</w:t>
      </w:r>
      <w:r w:rsidR="00CD598A" w:rsidRPr="00422183">
        <w:rPr>
          <w:rFonts w:ascii="Rockwell" w:eastAsiaTheme="majorEastAsia" w:hAnsi="Rockwell" w:cstheme="majorBidi"/>
          <w:bCs/>
          <w:kern w:val="28"/>
          <w:sz w:val="24"/>
          <w:szCs w:val="24"/>
        </w:rPr>
        <w:t xml:space="preserve"> </w:t>
      </w:r>
      <w:r w:rsidR="002552A4" w:rsidRPr="00422183">
        <w:rPr>
          <w:rFonts w:ascii="Rockwell" w:eastAsia="Times New Roman" w:hAnsi="Rockwell" w:cs="Times New Roman"/>
          <w:sz w:val="24"/>
          <w:szCs w:val="24"/>
        </w:rPr>
        <w:t>la professionnalisation des acteurs du transport routier</w:t>
      </w:r>
      <w:r w:rsidR="00B67F98" w:rsidRPr="00422183">
        <w:rPr>
          <w:rFonts w:ascii="Rockwell" w:eastAsia="Times New Roman" w:hAnsi="Rockwell" w:cs="Times New Roman"/>
          <w:sz w:val="24"/>
          <w:szCs w:val="24"/>
        </w:rPr>
        <w:t>,</w:t>
      </w:r>
      <w:r w:rsidR="002552A4" w:rsidRPr="00422183">
        <w:rPr>
          <w:rFonts w:ascii="Rockwell" w:eastAsia="Times New Roman" w:hAnsi="Rockwell" w:cs="Times New Roman"/>
          <w:sz w:val="24"/>
          <w:szCs w:val="24"/>
        </w:rPr>
        <w:t xml:space="preserve"> (iii) la modernisation du parc de véhicules de transport routier, (iv) l'amélioration des conditions de la mobilité urbaine</w:t>
      </w:r>
      <w:r w:rsidR="004C7B86" w:rsidRPr="00422183">
        <w:rPr>
          <w:rFonts w:ascii="Rockwell" w:eastAsia="Times New Roman" w:hAnsi="Rockwell" w:cs="Times New Roman"/>
          <w:sz w:val="24"/>
          <w:szCs w:val="24"/>
        </w:rPr>
        <w:t xml:space="preserve"> et rurale</w:t>
      </w:r>
      <w:r w:rsidR="002552A4" w:rsidRPr="00422183">
        <w:rPr>
          <w:rFonts w:ascii="Rockwell" w:eastAsia="Times New Roman" w:hAnsi="Rockwell" w:cs="Times New Roman"/>
          <w:sz w:val="24"/>
          <w:szCs w:val="24"/>
        </w:rPr>
        <w:t>, (v) l'amélioration de la gestion et de l'exploitation des services de sûreté et de facilitation aux aéroports internationaux de Ouagadougou et de Bobo-Dioulasso, (vi)</w:t>
      </w:r>
      <w:r w:rsidR="00CD598A" w:rsidRPr="00422183">
        <w:rPr>
          <w:rFonts w:ascii="Rockwell" w:eastAsia="Times New Roman" w:hAnsi="Rockwell" w:cs="Times New Roman"/>
          <w:sz w:val="24"/>
          <w:szCs w:val="24"/>
        </w:rPr>
        <w:t xml:space="preserve"> </w:t>
      </w:r>
      <w:r w:rsidR="004C7B86" w:rsidRPr="00422183">
        <w:rPr>
          <w:rFonts w:ascii="Rockwell" w:eastAsia="Times New Roman" w:hAnsi="Rockwell" w:cs="Times New Roman"/>
          <w:sz w:val="24"/>
          <w:szCs w:val="24"/>
        </w:rPr>
        <w:t>l'amélioration de la compétitivité des acteurs, (vii) l'amélioration de l'offre de transport aérien et ferroviaire</w:t>
      </w:r>
      <w:r w:rsidR="009A1F1C" w:rsidRPr="00422183">
        <w:rPr>
          <w:rFonts w:ascii="Rockwell" w:eastAsia="Times New Roman" w:hAnsi="Rockwell" w:cs="Times New Roman"/>
          <w:sz w:val="24"/>
          <w:szCs w:val="24"/>
        </w:rPr>
        <w:t xml:space="preserve"> et (vii)</w:t>
      </w:r>
      <w:r w:rsidR="001340B9" w:rsidRPr="00422183">
        <w:rPr>
          <w:rFonts w:ascii="Rockwell" w:eastAsia="Times New Roman" w:hAnsi="Rockwell" w:cs="Times New Roman"/>
          <w:sz w:val="24"/>
          <w:szCs w:val="24"/>
        </w:rPr>
        <w:t xml:space="preserve"> </w:t>
      </w:r>
      <w:r w:rsidR="009A1F1C" w:rsidRPr="00422183">
        <w:rPr>
          <w:rFonts w:ascii="Rockwell" w:eastAsia="Times New Roman" w:hAnsi="Rockwell" w:cs="Times New Roman"/>
          <w:sz w:val="24"/>
          <w:szCs w:val="24"/>
        </w:rPr>
        <w:t>l’amélioration de la sécurité routière</w:t>
      </w:r>
      <w:r w:rsidR="004C7B86" w:rsidRPr="00422183">
        <w:rPr>
          <w:rFonts w:ascii="Rockwell" w:eastAsia="Times New Roman" w:hAnsi="Rockwell" w:cs="Times New Roman"/>
          <w:sz w:val="24"/>
          <w:szCs w:val="24"/>
        </w:rPr>
        <w:t>.</w:t>
      </w:r>
    </w:p>
    <w:p w:rsidR="004C04C8" w:rsidRPr="00422183" w:rsidRDefault="004C04C8" w:rsidP="003A0820">
      <w:pPr>
        <w:spacing w:after="0" w:line="240" w:lineRule="auto"/>
        <w:jc w:val="both"/>
        <w:rPr>
          <w:rFonts w:ascii="Rockwell" w:eastAsia="Times New Roman" w:hAnsi="Rockwell" w:cs="Times New Roman"/>
          <w:sz w:val="24"/>
          <w:szCs w:val="24"/>
        </w:rPr>
      </w:pPr>
    </w:p>
    <w:p w:rsidR="004C7B86" w:rsidRPr="00422183" w:rsidRDefault="0064300A"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Les défis auxquels l</w:t>
      </w:r>
      <w:r w:rsidR="006C72DE" w:rsidRPr="00422183">
        <w:rPr>
          <w:rFonts w:ascii="Rockwell" w:eastAsia="Times New Roman" w:hAnsi="Rockwell" w:cs="Times New Roman"/>
          <w:sz w:val="24"/>
          <w:szCs w:val="24"/>
        </w:rPr>
        <w:t>'</w:t>
      </w:r>
      <w:r w:rsidRPr="00422183">
        <w:rPr>
          <w:rFonts w:ascii="Rockwell" w:eastAsia="Times New Roman" w:hAnsi="Rockwell" w:cs="Times New Roman"/>
          <w:sz w:val="24"/>
          <w:szCs w:val="24"/>
        </w:rPr>
        <w:t>industrie des s</w:t>
      </w:r>
      <w:r w:rsidR="004C7B86" w:rsidRPr="00422183">
        <w:rPr>
          <w:rFonts w:ascii="Rockwell" w:eastAsia="Times New Roman" w:hAnsi="Rockwell" w:cs="Times New Roman"/>
          <w:sz w:val="24"/>
          <w:szCs w:val="24"/>
        </w:rPr>
        <w:t>ervices de</w:t>
      </w:r>
      <w:r w:rsidRPr="00422183">
        <w:rPr>
          <w:rFonts w:ascii="Rockwell" w:eastAsia="Times New Roman" w:hAnsi="Rockwell" w:cs="Times New Roman"/>
          <w:sz w:val="24"/>
          <w:szCs w:val="24"/>
        </w:rPr>
        <w:t>s</w:t>
      </w:r>
      <w:r w:rsidR="004C7B86" w:rsidRPr="00422183">
        <w:rPr>
          <w:rFonts w:ascii="Rockwell" w:eastAsia="Times New Roman" w:hAnsi="Rockwell" w:cs="Times New Roman"/>
          <w:sz w:val="24"/>
          <w:szCs w:val="24"/>
        </w:rPr>
        <w:t xml:space="preserve"> poste</w:t>
      </w:r>
      <w:r w:rsidRPr="00422183">
        <w:rPr>
          <w:rFonts w:ascii="Rockwell" w:eastAsia="Times New Roman" w:hAnsi="Rockwell" w:cs="Times New Roman"/>
          <w:sz w:val="24"/>
          <w:szCs w:val="24"/>
        </w:rPr>
        <w:t>s</w:t>
      </w:r>
      <w:r w:rsidR="004C7B86" w:rsidRPr="00422183">
        <w:rPr>
          <w:rFonts w:ascii="Rockwell" w:eastAsia="Times New Roman" w:hAnsi="Rockwell" w:cs="Times New Roman"/>
          <w:sz w:val="24"/>
          <w:szCs w:val="24"/>
        </w:rPr>
        <w:t xml:space="preserve"> et télécommunication</w:t>
      </w:r>
      <w:r w:rsidRPr="00422183">
        <w:rPr>
          <w:rFonts w:ascii="Rockwell" w:eastAsia="Times New Roman" w:hAnsi="Rockwell" w:cs="Times New Roman"/>
          <w:sz w:val="24"/>
          <w:szCs w:val="24"/>
        </w:rPr>
        <w:t xml:space="preserve"> </w:t>
      </w:r>
      <w:r w:rsidR="00CD598A" w:rsidRPr="00422183">
        <w:rPr>
          <w:rFonts w:ascii="Rockwell" w:eastAsia="Times New Roman" w:hAnsi="Rockwell" w:cs="Times New Roman"/>
          <w:sz w:val="24"/>
          <w:szCs w:val="24"/>
        </w:rPr>
        <w:t xml:space="preserve">est confrontée </w:t>
      </w:r>
      <w:r w:rsidRPr="00422183">
        <w:rPr>
          <w:rFonts w:ascii="Rockwell" w:eastAsia="Times New Roman" w:hAnsi="Rockwell" w:cs="Times New Roman"/>
          <w:sz w:val="24"/>
          <w:szCs w:val="24"/>
        </w:rPr>
        <w:t>sont</w:t>
      </w:r>
      <w:r w:rsidR="004C7B86" w:rsidRPr="00422183">
        <w:rPr>
          <w:rFonts w:ascii="Rockwell" w:eastAsia="Times New Roman" w:hAnsi="Rockwell" w:cs="Times New Roman"/>
          <w:sz w:val="24"/>
          <w:szCs w:val="24"/>
        </w:rPr>
        <w:t> : (i) le développement des services de qualité</w:t>
      </w:r>
      <w:r w:rsidR="00075CD6" w:rsidRPr="00422183">
        <w:rPr>
          <w:rFonts w:ascii="Rockwell" w:eastAsia="Times New Roman" w:hAnsi="Rockwell" w:cs="Times New Roman"/>
          <w:sz w:val="24"/>
          <w:szCs w:val="24"/>
        </w:rPr>
        <w:t>, (ii) l</w:t>
      </w:r>
      <w:r w:rsidR="006C72DE" w:rsidRPr="00422183">
        <w:rPr>
          <w:rFonts w:ascii="Rockwell" w:eastAsia="Times New Roman" w:hAnsi="Rockwell" w:cs="Times New Roman"/>
          <w:sz w:val="24"/>
          <w:szCs w:val="24"/>
        </w:rPr>
        <w:t>'</w:t>
      </w:r>
      <w:r w:rsidR="00075CD6" w:rsidRPr="00422183">
        <w:rPr>
          <w:rFonts w:ascii="Rockwell" w:eastAsia="Times New Roman" w:hAnsi="Rockwell" w:cs="Times New Roman"/>
          <w:sz w:val="24"/>
          <w:szCs w:val="24"/>
        </w:rPr>
        <w:t xml:space="preserve">amélioration de la régulation </w:t>
      </w:r>
      <w:r w:rsidR="004C7B86" w:rsidRPr="00422183">
        <w:rPr>
          <w:rFonts w:ascii="Rockwell" w:eastAsia="Times New Roman" w:hAnsi="Rockwell" w:cs="Times New Roman"/>
          <w:sz w:val="24"/>
          <w:szCs w:val="24"/>
        </w:rPr>
        <w:t>d</w:t>
      </w:r>
      <w:r w:rsidR="00075CD6" w:rsidRPr="00422183">
        <w:rPr>
          <w:rFonts w:ascii="Rockwell" w:eastAsia="Times New Roman" w:hAnsi="Rockwell" w:cs="Times New Roman"/>
          <w:sz w:val="24"/>
          <w:szCs w:val="24"/>
        </w:rPr>
        <w:t>u secteur d</w:t>
      </w:r>
      <w:r w:rsidR="004C7B86" w:rsidRPr="00422183">
        <w:rPr>
          <w:rFonts w:ascii="Rockwell" w:eastAsia="Times New Roman" w:hAnsi="Rockwell" w:cs="Times New Roman"/>
          <w:sz w:val="24"/>
          <w:szCs w:val="24"/>
        </w:rPr>
        <w:t>es TIC et une gouvernance appropriée au secteur, (iii) la promotion des contenus locaux dans le domaine du numérique, (iv) le développement du service universel, (v) le développement des initiatives en vue de lutter contre la cybercriminalité, (vi) le développement des services postaux modernes sur l'ensemble du territoire</w:t>
      </w:r>
      <w:r w:rsidR="00B67F98" w:rsidRPr="00422183">
        <w:rPr>
          <w:rFonts w:ascii="Rockwell" w:eastAsia="Times New Roman" w:hAnsi="Rockwell" w:cs="Times New Roman"/>
          <w:sz w:val="24"/>
          <w:szCs w:val="24"/>
        </w:rPr>
        <w:t>,</w:t>
      </w:r>
      <w:r w:rsidR="00E62878" w:rsidRPr="00422183">
        <w:rPr>
          <w:rFonts w:ascii="Rockwell" w:eastAsia="Times New Roman" w:hAnsi="Rockwell" w:cs="Times New Roman"/>
          <w:sz w:val="24"/>
          <w:szCs w:val="24"/>
        </w:rPr>
        <w:t xml:space="preserve"> (vii) le développement des ressources humaines dans le secteur</w:t>
      </w:r>
      <w:r w:rsidR="004C7B86" w:rsidRPr="00422183">
        <w:rPr>
          <w:rFonts w:ascii="Rockwell" w:eastAsia="Times New Roman" w:hAnsi="Rockwell" w:cs="Times New Roman"/>
          <w:sz w:val="24"/>
          <w:szCs w:val="24"/>
        </w:rPr>
        <w:t>.</w:t>
      </w:r>
    </w:p>
    <w:p w:rsidR="004C04C8" w:rsidRPr="00422183" w:rsidRDefault="004C04C8" w:rsidP="003A0820">
      <w:pPr>
        <w:spacing w:after="0" w:line="240" w:lineRule="auto"/>
        <w:jc w:val="both"/>
        <w:rPr>
          <w:rFonts w:ascii="Rockwell" w:eastAsia="Times New Roman" w:hAnsi="Rockwell" w:cs="Times New Roman"/>
          <w:sz w:val="24"/>
          <w:szCs w:val="24"/>
        </w:rPr>
      </w:pPr>
    </w:p>
    <w:p w:rsidR="004C04C8" w:rsidRPr="00422183" w:rsidRDefault="00FC2464"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 xml:space="preserve">Dans le domaine des services financiers, les défis sont relatifs à : </w:t>
      </w:r>
      <w:r w:rsidR="00B80957" w:rsidRPr="00422183">
        <w:rPr>
          <w:rFonts w:ascii="Rockwell" w:eastAsiaTheme="majorEastAsia" w:hAnsi="Rockwell" w:cstheme="majorBidi"/>
          <w:bCs/>
          <w:kern w:val="28"/>
          <w:sz w:val="24"/>
          <w:szCs w:val="24"/>
        </w:rPr>
        <w:t>(i) la diversification de l</w:t>
      </w:r>
      <w:r w:rsidR="006C72DE" w:rsidRPr="00422183">
        <w:rPr>
          <w:rFonts w:ascii="Rockwell" w:eastAsiaTheme="majorEastAsia" w:hAnsi="Rockwell" w:cstheme="majorBidi"/>
          <w:bCs/>
          <w:kern w:val="28"/>
          <w:sz w:val="24"/>
          <w:szCs w:val="24"/>
        </w:rPr>
        <w:t>'</w:t>
      </w:r>
      <w:r w:rsidR="00B80957" w:rsidRPr="00422183">
        <w:rPr>
          <w:rFonts w:ascii="Rockwell" w:eastAsiaTheme="majorEastAsia" w:hAnsi="Rockwell" w:cstheme="majorBidi"/>
          <w:bCs/>
          <w:kern w:val="28"/>
          <w:sz w:val="24"/>
          <w:szCs w:val="24"/>
        </w:rPr>
        <w:t>offre de service</w:t>
      </w:r>
      <w:r w:rsidR="001340B9" w:rsidRPr="00422183">
        <w:rPr>
          <w:rFonts w:ascii="Rockwell" w:eastAsiaTheme="majorEastAsia" w:hAnsi="Rockwell" w:cstheme="majorBidi"/>
          <w:bCs/>
          <w:kern w:val="28"/>
          <w:sz w:val="24"/>
          <w:szCs w:val="24"/>
        </w:rPr>
        <w:t>s</w:t>
      </w:r>
      <w:r w:rsidR="00684F8A" w:rsidRPr="00422183">
        <w:rPr>
          <w:rFonts w:ascii="Rockwell" w:eastAsiaTheme="majorEastAsia" w:hAnsi="Rockwell" w:cstheme="majorBidi"/>
          <w:bCs/>
          <w:kern w:val="28"/>
          <w:sz w:val="24"/>
          <w:szCs w:val="24"/>
        </w:rPr>
        <w:t xml:space="preserve"> y compris la diaspora</w:t>
      </w:r>
      <w:r w:rsidR="00B67F98" w:rsidRPr="00422183">
        <w:rPr>
          <w:rFonts w:ascii="Rockwell" w:eastAsiaTheme="majorEastAsia" w:hAnsi="Rockwell" w:cstheme="majorBidi"/>
          <w:bCs/>
          <w:kern w:val="28"/>
          <w:sz w:val="24"/>
          <w:szCs w:val="24"/>
        </w:rPr>
        <w:t>,</w:t>
      </w:r>
      <w:r w:rsidR="00B80957" w:rsidRPr="00422183">
        <w:rPr>
          <w:rFonts w:ascii="Rockwell" w:eastAsiaTheme="majorEastAsia" w:hAnsi="Rockwell" w:cstheme="majorBidi"/>
          <w:bCs/>
          <w:kern w:val="28"/>
          <w:sz w:val="24"/>
          <w:szCs w:val="24"/>
        </w:rPr>
        <w:t xml:space="preserve"> (ii) l</w:t>
      </w:r>
      <w:r w:rsidR="006C72DE" w:rsidRPr="00422183">
        <w:rPr>
          <w:rFonts w:ascii="Rockwell" w:eastAsiaTheme="majorEastAsia" w:hAnsi="Rockwell" w:cstheme="majorBidi"/>
          <w:bCs/>
          <w:kern w:val="28"/>
          <w:sz w:val="24"/>
          <w:szCs w:val="24"/>
        </w:rPr>
        <w:t>'</w:t>
      </w:r>
      <w:r w:rsidR="00B80957" w:rsidRPr="00422183">
        <w:rPr>
          <w:rFonts w:ascii="Rockwell" w:eastAsiaTheme="majorEastAsia" w:hAnsi="Rockwell" w:cstheme="majorBidi"/>
          <w:bCs/>
          <w:kern w:val="28"/>
          <w:sz w:val="24"/>
          <w:szCs w:val="24"/>
        </w:rPr>
        <w:t>amélioration de l</w:t>
      </w:r>
      <w:r w:rsidR="006C72DE" w:rsidRPr="00422183">
        <w:rPr>
          <w:rFonts w:ascii="Rockwell" w:eastAsiaTheme="majorEastAsia" w:hAnsi="Rockwell" w:cstheme="majorBidi"/>
          <w:bCs/>
          <w:kern w:val="28"/>
          <w:sz w:val="24"/>
          <w:szCs w:val="24"/>
        </w:rPr>
        <w:t>'</w:t>
      </w:r>
      <w:r w:rsidR="00B80957" w:rsidRPr="00422183">
        <w:rPr>
          <w:rFonts w:ascii="Rockwell" w:eastAsiaTheme="majorEastAsia" w:hAnsi="Rockwell" w:cstheme="majorBidi"/>
          <w:bCs/>
          <w:kern w:val="28"/>
          <w:sz w:val="24"/>
          <w:szCs w:val="24"/>
        </w:rPr>
        <w:t>accessibilité physique et financi</w:t>
      </w:r>
      <w:r w:rsidR="00B67F98" w:rsidRPr="00422183">
        <w:rPr>
          <w:rFonts w:ascii="Rockwell" w:eastAsiaTheme="majorEastAsia" w:hAnsi="Rockwell" w:cstheme="majorBidi"/>
          <w:bCs/>
          <w:kern w:val="28"/>
          <w:sz w:val="24"/>
          <w:szCs w:val="24"/>
        </w:rPr>
        <w:t>ère,</w:t>
      </w:r>
      <w:r w:rsidR="00B80957" w:rsidRPr="00422183">
        <w:rPr>
          <w:rFonts w:ascii="Rockwell" w:eastAsiaTheme="majorEastAsia" w:hAnsi="Rockwell" w:cstheme="majorBidi"/>
          <w:bCs/>
          <w:kern w:val="28"/>
          <w:sz w:val="24"/>
          <w:szCs w:val="24"/>
        </w:rPr>
        <w:t xml:space="preserve"> (iii) </w:t>
      </w:r>
      <w:r w:rsidR="00B9019F"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00B9019F" w:rsidRPr="00422183">
        <w:rPr>
          <w:rFonts w:ascii="Rockwell" w:eastAsiaTheme="majorEastAsia" w:hAnsi="Rockwell" w:cstheme="majorBidi"/>
          <w:bCs/>
          <w:kern w:val="28"/>
          <w:sz w:val="24"/>
          <w:szCs w:val="24"/>
        </w:rPr>
        <w:t>accroissement des financements adaptés aux secteurs industriel et agricole.</w:t>
      </w:r>
      <w:r w:rsidR="00792D26" w:rsidRPr="00422183">
        <w:rPr>
          <w:rFonts w:ascii="Rockwell" w:eastAsiaTheme="majorEastAsia" w:hAnsi="Rockwell" w:cstheme="majorBidi"/>
          <w:bCs/>
          <w:kern w:val="28"/>
          <w:sz w:val="24"/>
          <w:szCs w:val="24"/>
        </w:rPr>
        <w:t xml:space="preserve"> </w:t>
      </w:r>
    </w:p>
    <w:p w:rsidR="00DC468E" w:rsidRPr="00422183" w:rsidRDefault="00DC468E" w:rsidP="003A0820">
      <w:pPr>
        <w:spacing w:after="0" w:line="240" w:lineRule="auto"/>
        <w:jc w:val="both"/>
        <w:rPr>
          <w:rFonts w:ascii="Rockwell" w:eastAsiaTheme="majorEastAsia" w:hAnsi="Rockwell" w:cstheme="majorBidi"/>
          <w:bCs/>
          <w:kern w:val="28"/>
          <w:sz w:val="24"/>
          <w:szCs w:val="24"/>
        </w:rPr>
      </w:pPr>
    </w:p>
    <w:p w:rsidR="00DC468E" w:rsidRPr="00422183" w:rsidRDefault="007252CC"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Concernant</w:t>
      </w:r>
      <w:r w:rsidR="00DC468E" w:rsidRPr="00422183">
        <w:rPr>
          <w:rFonts w:ascii="Rockwell" w:eastAsiaTheme="majorEastAsia" w:hAnsi="Rockwell" w:cstheme="majorBidi"/>
          <w:bCs/>
          <w:kern w:val="28"/>
          <w:sz w:val="24"/>
          <w:szCs w:val="24"/>
        </w:rPr>
        <w:t xml:space="preserve"> </w:t>
      </w:r>
      <w:r w:rsidRPr="00422183">
        <w:rPr>
          <w:rFonts w:ascii="Rockwell" w:eastAsiaTheme="majorEastAsia" w:hAnsi="Rockwell" w:cstheme="majorBidi"/>
          <w:bCs/>
          <w:kern w:val="28"/>
          <w:sz w:val="24"/>
          <w:szCs w:val="24"/>
        </w:rPr>
        <w:t xml:space="preserve">la branche </w:t>
      </w:r>
      <w:r w:rsidR="00DC468E" w:rsidRPr="00422183">
        <w:rPr>
          <w:rFonts w:ascii="Rockwell" w:eastAsiaTheme="majorEastAsia" w:hAnsi="Rockwell" w:cstheme="majorBidi"/>
          <w:bCs/>
          <w:kern w:val="28"/>
          <w:sz w:val="24"/>
          <w:szCs w:val="24"/>
        </w:rPr>
        <w:t>de</w:t>
      </w:r>
      <w:r w:rsidRPr="00422183">
        <w:rPr>
          <w:rFonts w:ascii="Rockwell" w:eastAsiaTheme="majorEastAsia" w:hAnsi="Rockwell" w:cstheme="majorBidi"/>
          <w:bCs/>
          <w:kern w:val="28"/>
          <w:sz w:val="24"/>
          <w:szCs w:val="24"/>
        </w:rPr>
        <w:t>s</w:t>
      </w:r>
      <w:r w:rsidR="00DC468E" w:rsidRPr="00422183">
        <w:rPr>
          <w:rFonts w:ascii="Rockwell" w:eastAsiaTheme="majorEastAsia" w:hAnsi="Rockwell" w:cstheme="majorBidi"/>
          <w:bCs/>
          <w:kern w:val="28"/>
          <w:sz w:val="24"/>
          <w:szCs w:val="24"/>
        </w:rPr>
        <w:t xml:space="preserve"> services</w:t>
      </w:r>
      <w:r w:rsidRPr="00422183">
        <w:rPr>
          <w:rFonts w:ascii="Rockwell" w:eastAsiaTheme="majorEastAsia" w:hAnsi="Rockwell" w:cstheme="majorBidi"/>
          <w:bCs/>
          <w:kern w:val="28"/>
          <w:sz w:val="24"/>
          <w:szCs w:val="24"/>
        </w:rPr>
        <w:t xml:space="preserve"> </w:t>
      </w:r>
      <w:r w:rsidR="00CD598A" w:rsidRPr="00422183">
        <w:rPr>
          <w:rFonts w:ascii="Rockwell" w:eastAsiaTheme="majorEastAsia" w:hAnsi="Rockwell" w:cstheme="majorBidi"/>
          <w:bCs/>
          <w:kern w:val="28"/>
          <w:sz w:val="24"/>
          <w:szCs w:val="24"/>
        </w:rPr>
        <w:t xml:space="preserve">fournis </w:t>
      </w:r>
      <w:r w:rsidRPr="00422183">
        <w:rPr>
          <w:rFonts w:ascii="Rockwell" w:eastAsiaTheme="majorEastAsia" w:hAnsi="Rockwell" w:cstheme="majorBidi"/>
          <w:bCs/>
          <w:kern w:val="28"/>
          <w:sz w:val="24"/>
          <w:szCs w:val="24"/>
        </w:rPr>
        <w:t>aux entreprises</w:t>
      </w:r>
      <w:r w:rsidR="00DC468E" w:rsidRPr="00422183">
        <w:rPr>
          <w:rFonts w:ascii="Rockwell" w:eastAsiaTheme="majorEastAsia" w:hAnsi="Rockwell" w:cstheme="majorBidi"/>
          <w:bCs/>
          <w:kern w:val="28"/>
          <w:sz w:val="24"/>
          <w:szCs w:val="24"/>
        </w:rPr>
        <w:t xml:space="preserve"> ou services à ordre, les défis sont : (i) le renforcement des capacités des acteurs</w:t>
      </w:r>
      <w:r w:rsidR="00B67F98" w:rsidRPr="00422183">
        <w:rPr>
          <w:rFonts w:ascii="Rockwell" w:eastAsiaTheme="majorEastAsia" w:hAnsi="Rockwell" w:cstheme="majorBidi"/>
          <w:bCs/>
          <w:kern w:val="28"/>
          <w:sz w:val="24"/>
          <w:szCs w:val="24"/>
        </w:rPr>
        <w:t>,</w:t>
      </w:r>
      <w:r w:rsidR="00DC468E" w:rsidRPr="00422183">
        <w:rPr>
          <w:rFonts w:ascii="Rockwell" w:eastAsiaTheme="majorEastAsia" w:hAnsi="Rockwell" w:cstheme="majorBidi"/>
          <w:bCs/>
          <w:kern w:val="28"/>
          <w:sz w:val="24"/>
          <w:szCs w:val="24"/>
        </w:rPr>
        <w:t xml:space="preserve"> (ii) la formation </w:t>
      </w:r>
      <w:r w:rsidR="006D07CD" w:rsidRPr="00422183">
        <w:rPr>
          <w:rFonts w:ascii="Rockwell" w:eastAsiaTheme="majorEastAsia" w:hAnsi="Rockwell" w:cstheme="majorBidi"/>
          <w:bCs/>
          <w:kern w:val="28"/>
          <w:sz w:val="24"/>
          <w:szCs w:val="24"/>
        </w:rPr>
        <w:t>professionnelle</w:t>
      </w:r>
      <w:r w:rsidR="00B67F98" w:rsidRPr="00422183">
        <w:rPr>
          <w:rFonts w:ascii="Rockwell" w:eastAsiaTheme="majorEastAsia" w:hAnsi="Rockwell" w:cstheme="majorBidi"/>
          <w:bCs/>
          <w:kern w:val="28"/>
          <w:sz w:val="24"/>
          <w:szCs w:val="24"/>
        </w:rPr>
        <w:t xml:space="preserve"> </w:t>
      </w:r>
      <w:r w:rsidR="006D07CD" w:rsidRPr="00422183">
        <w:rPr>
          <w:rFonts w:ascii="Rockwell" w:eastAsiaTheme="majorEastAsia" w:hAnsi="Rockwell" w:cstheme="majorBidi"/>
          <w:bCs/>
          <w:kern w:val="28"/>
          <w:sz w:val="24"/>
          <w:szCs w:val="24"/>
        </w:rPr>
        <w:t>et</w:t>
      </w:r>
      <w:r w:rsidR="00DC468E" w:rsidRPr="00422183">
        <w:rPr>
          <w:rFonts w:ascii="Rockwell" w:eastAsiaTheme="majorEastAsia" w:hAnsi="Rockwell" w:cstheme="majorBidi"/>
          <w:bCs/>
          <w:kern w:val="28"/>
          <w:sz w:val="24"/>
          <w:szCs w:val="24"/>
        </w:rPr>
        <w:t xml:space="preserve"> (iii) l</w:t>
      </w:r>
      <w:r w:rsidR="006C72DE" w:rsidRPr="00422183">
        <w:rPr>
          <w:rFonts w:ascii="Rockwell" w:eastAsiaTheme="majorEastAsia" w:hAnsi="Rockwell" w:cstheme="majorBidi"/>
          <w:bCs/>
          <w:kern w:val="28"/>
          <w:sz w:val="24"/>
          <w:szCs w:val="24"/>
        </w:rPr>
        <w:t>'</w:t>
      </w:r>
      <w:r w:rsidR="00DC468E" w:rsidRPr="00422183">
        <w:rPr>
          <w:rFonts w:ascii="Rockwell" w:eastAsiaTheme="majorEastAsia" w:hAnsi="Rockwell" w:cstheme="majorBidi"/>
          <w:bCs/>
          <w:kern w:val="28"/>
          <w:sz w:val="24"/>
          <w:szCs w:val="24"/>
        </w:rPr>
        <w:t>amélioration de la régulation desdits secteurs</w:t>
      </w:r>
      <w:r w:rsidR="00320596" w:rsidRPr="00422183">
        <w:rPr>
          <w:rFonts w:ascii="Rockwell" w:eastAsiaTheme="majorEastAsia" w:hAnsi="Rockwell" w:cstheme="majorBidi"/>
          <w:bCs/>
          <w:kern w:val="28"/>
          <w:sz w:val="24"/>
          <w:szCs w:val="24"/>
        </w:rPr>
        <w:t xml:space="preserve"> de services</w:t>
      </w:r>
      <w:r w:rsidR="00B67F98" w:rsidRPr="00422183">
        <w:rPr>
          <w:rFonts w:ascii="Rockwell" w:eastAsiaTheme="majorEastAsia" w:hAnsi="Rockwell" w:cstheme="majorBidi"/>
          <w:bCs/>
          <w:kern w:val="28"/>
          <w:sz w:val="24"/>
          <w:szCs w:val="24"/>
        </w:rPr>
        <w:t>.</w:t>
      </w:r>
    </w:p>
    <w:p w:rsidR="001A5E7B" w:rsidRPr="00422183" w:rsidRDefault="001A5E7B" w:rsidP="003A0820">
      <w:pPr>
        <w:spacing w:after="0" w:line="240" w:lineRule="auto"/>
        <w:jc w:val="both"/>
        <w:rPr>
          <w:rFonts w:ascii="Rockwell" w:eastAsiaTheme="majorEastAsia" w:hAnsi="Rockwell" w:cstheme="majorBidi"/>
          <w:bCs/>
          <w:kern w:val="28"/>
          <w:sz w:val="24"/>
          <w:szCs w:val="24"/>
        </w:rPr>
      </w:pPr>
    </w:p>
    <w:p w:rsidR="003801E1" w:rsidRPr="00422183" w:rsidRDefault="001763D7"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 xml:space="preserve">S’agissant de </w:t>
      </w:r>
      <w:r w:rsidR="006D07CD" w:rsidRPr="00422183">
        <w:rPr>
          <w:rFonts w:ascii="Rockwell" w:eastAsiaTheme="majorEastAsia" w:hAnsi="Rockwell" w:cstheme="majorBidi"/>
          <w:bCs/>
          <w:kern w:val="28"/>
          <w:sz w:val="24"/>
          <w:szCs w:val="24"/>
        </w:rPr>
        <w:t>la</w:t>
      </w:r>
      <w:r w:rsidR="00AE66F1" w:rsidRPr="00422183">
        <w:rPr>
          <w:rFonts w:ascii="Rockwell" w:eastAsiaTheme="majorEastAsia" w:hAnsi="Rockwell" w:cstheme="majorBidi"/>
          <w:bCs/>
          <w:kern w:val="28"/>
          <w:sz w:val="24"/>
          <w:szCs w:val="24"/>
        </w:rPr>
        <w:t xml:space="preserve"> branche commerce</w:t>
      </w:r>
      <w:r w:rsidR="003801E1" w:rsidRPr="00422183">
        <w:rPr>
          <w:rFonts w:ascii="Rockwell" w:eastAsiaTheme="majorEastAsia" w:hAnsi="Rockwell" w:cstheme="majorBidi"/>
          <w:bCs/>
          <w:kern w:val="28"/>
          <w:sz w:val="24"/>
          <w:szCs w:val="24"/>
        </w:rPr>
        <w:t xml:space="preserve">, elle est essentiellement basée sur les échanges des produits agricoles, les produits </w:t>
      </w:r>
      <w:r w:rsidR="001340B9" w:rsidRPr="00422183">
        <w:rPr>
          <w:rFonts w:ascii="Rockwell" w:eastAsiaTheme="majorEastAsia" w:hAnsi="Rockwell" w:cstheme="majorBidi"/>
          <w:bCs/>
          <w:kern w:val="28"/>
          <w:sz w:val="24"/>
          <w:szCs w:val="24"/>
        </w:rPr>
        <w:t>de l’</w:t>
      </w:r>
      <w:r w:rsidR="003801E1" w:rsidRPr="00422183">
        <w:rPr>
          <w:rFonts w:ascii="Rockwell" w:eastAsiaTheme="majorEastAsia" w:hAnsi="Rockwell" w:cstheme="majorBidi"/>
          <w:bCs/>
          <w:kern w:val="28"/>
          <w:sz w:val="24"/>
          <w:szCs w:val="24"/>
        </w:rPr>
        <w:t>artisana</w:t>
      </w:r>
      <w:r w:rsidR="001340B9" w:rsidRPr="00422183">
        <w:rPr>
          <w:rFonts w:ascii="Rockwell" w:eastAsiaTheme="majorEastAsia" w:hAnsi="Rockwell" w:cstheme="majorBidi"/>
          <w:bCs/>
          <w:kern w:val="28"/>
          <w:sz w:val="24"/>
          <w:szCs w:val="24"/>
        </w:rPr>
        <w:t>t local</w:t>
      </w:r>
      <w:r w:rsidR="003801E1" w:rsidRPr="00422183">
        <w:rPr>
          <w:rFonts w:ascii="Rockwell" w:eastAsiaTheme="majorEastAsia" w:hAnsi="Rockwell" w:cstheme="majorBidi"/>
          <w:bCs/>
          <w:kern w:val="28"/>
          <w:sz w:val="24"/>
          <w:szCs w:val="24"/>
        </w:rPr>
        <w:t xml:space="preserve"> et les produits importés. Si le marché des produits agricoles est dynamique et </w:t>
      </w:r>
      <w:r w:rsidR="005B2322" w:rsidRPr="00422183">
        <w:rPr>
          <w:rFonts w:ascii="Rockwell" w:eastAsiaTheme="majorEastAsia" w:hAnsi="Rockwell" w:cstheme="majorBidi"/>
          <w:bCs/>
          <w:kern w:val="28"/>
          <w:sz w:val="24"/>
          <w:szCs w:val="24"/>
        </w:rPr>
        <w:t>bénéficie</w:t>
      </w:r>
      <w:r w:rsidR="003801E1" w:rsidRPr="00422183">
        <w:rPr>
          <w:rFonts w:ascii="Rockwell" w:eastAsiaTheme="majorEastAsia" w:hAnsi="Rockwell" w:cstheme="majorBidi"/>
          <w:bCs/>
          <w:kern w:val="28"/>
          <w:sz w:val="24"/>
          <w:szCs w:val="24"/>
        </w:rPr>
        <w:t xml:space="preserve"> d</w:t>
      </w:r>
      <w:r w:rsidR="006C72DE" w:rsidRPr="00422183">
        <w:rPr>
          <w:rFonts w:ascii="Rockwell" w:eastAsiaTheme="majorEastAsia" w:hAnsi="Rockwell" w:cstheme="majorBidi"/>
          <w:bCs/>
          <w:kern w:val="28"/>
          <w:sz w:val="24"/>
          <w:szCs w:val="24"/>
        </w:rPr>
        <w:t>'</w:t>
      </w:r>
      <w:r w:rsidR="003801E1" w:rsidRPr="00422183">
        <w:rPr>
          <w:rFonts w:ascii="Rockwell" w:eastAsiaTheme="majorEastAsia" w:hAnsi="Rockwell" w:cstheme="majorBidi"/>
          <w:bCs/>
          <w:kern w:val="28"/>
          <w:sz w:val="24"/>
          <w:szCs w:val="24"/>
        </w:rPr>
        <w:t>une demande importante, celui des produits artisanaux reste confronté à une demande timide et est faiblement prise en compte dans les commandes publiques de l</w:t>
      </w:r>
      <w:r w:rsidR="006C72DE" w:rsidRPr="00422183">
        <w:rPr>
          <w:rFonts w:ascii="Rockwell" w:eastAsiaTheme="majorEastAsia" w:hAnsi="Rockwell" w:cstheme="majorBidi"/>
          <w:bCs/>
          <w:kern w:val="28"/>
          <w:sz w:val="24"/>
          <w:szCs w:val="24"/>
        </w:rPr>
        <w:t>'</w:t>
      </w:r>
      <w:r w:rsidR="00B67F98" w:rsidRPr="00422183">
        <w:rPr>
          <w:rFonts w:ascii="Rockwell" w:eastAsiaTheme="majorEastAsia" w:hAnsi="Rockwell" w:cstheme="majorBidi"/>
          <w:bCs/>
          <w:kern w:val="28"/>
          <w:sz w:val="24"/>
          <w:szCs w:val="24"/>
        </w:rPr>
        <w:t>État</w:t>
      </w:r>
      <w:r w:rsidR="003801E1" w:rsidRPr="00422183">
        <w:rPr>
          <w:rFonts w:ascii="Rockwell" w:eastAsiaTheme="majorEastAsia" w:hAnsi="Rockwell" w:cstheme="majorBidi"/>
          <w:bCs/>
          <w:kern w:val="28"/>
          <w:sz w:val="24"/>
          <w:szCs w:val="24"/>
        </w:rPr>
        <w:t>.</w:t>
      </w:r>
    </w:p>
    <w:p w:rsidR="003801E1" w:rsidRPr="00422183" w:rsidRDefault="003801E1" w:rsidP="003A0820">
      <w:pPr>
        <w:spacing w:after="0" w:line="240" w:lineRule="auto"/>
        <w:jc w:val="both"/>
        <w:rPr>
          <w:rFonts w:ascii="Rockwell" w:eastAsiaTheme="majorEastAsia" w:hAnsi="Rockwell" w:cstheme="majorBidi"/>
          <w:bCs/>
          <w:kern w:val="28"/>
          <w:sz w:val="24"/>
          <w:szCs w:val="24"/>
        </w:rPr>
      </w:pPr>
    </w:p>
    <w:p w:rsidR="001A5E7B" w:rsidRPr="00422183" w:rsidRDefault="003801E1"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 xml:space="preserve">En matière de commerce international, </w:t>
      </w:r>
      <w:r w:rsidR="00552973" w:rsidRPr="00422183">
        <w:rPr>
          <w:rFonts w:ascii="Rockwell" w:eastAsiaTheme="majorEastAsia" w:hAnsi="Rockwell" w:cstheme="majorBidi"/>
          <w:bCs/>
          <w:kern w:val="28"/>
          <w:sz w:val="24"/>
          <w:szCs w:val="24"/>
        </w:rPr>
        <w:t>p</w:t>
      </w:r>
      <w:r w:rsidR="005B2322" w:rsidRPr="00422183">
        <w:rPr>
          <w:rFonts w:ascii="Rockwell" w:eastAsiaTheme="majorEastAsia" w:hAnsi="Rockwell" w:cstheme="majorBidi"/>
          <w:bCs/>
          <w:kern w:val="28"/>
          <w:sz w:val="24"/>
          <w:szCs w:val="24"/>
        </w:rPr>
        <w:t xml:space="preserve">rès de neuf dixièmes des exportations concernent les </w:t>
      </w:r>
      <w:r w:rsidR="00552973" w:rsidRPr="00422183">
        <w:rPr>
          <w:rFonts w:ascii="Rockwell" w:eastAsiaTheme="majorEastAsia" w:hAnsi="Rockwell" w:cstheme="majorBidi"/>
          <w:bCs/>
          <w:kern w:val="28"/>
          <w:sz w:val="24"/>
          <w:szCs w:val="24"/>
        </w:rPr>
        <w:t>matières premières</w:t>
      </w:r>
      <w:r w:rsidR="00283A54" w:rsidRPr="00422183">
        <w:rPr>
          <w:rFonts w:ascii="Rockwell" w:eastAsiaTheme="majorEastAsia" w:hAnsi="Rockwell" w:cstheme="majorBidi"/>
          <w:bCs/>
          <w:kern w:val="28"/>
          <w:sz w:val="24"/>
          <w:szCs w:val="24"/>
        </w:rPr>
        <w:t xml:space="preserve">. </w:t>
      </w:r>
      <w:r w:rsidR="005B2322" w:rsidRPr="00422183">
        <w:rPr>
          <w:rFonts w:ascii="Rockwell" w:eastAsiaTheme="majorEastAsia" w:hAnsi="Rockwell" w:cstheme="majorBidi"/>
          <w:bCs/>
          <w:kern w:val="28"/>
          <w:sz w:val="24"/>
          <w:szCs w:val="24"/>
        </w:rPr>
        <w:t>Ces produits sont principalement l</w:t>
      </w:r>
      <w:r w:rsidR="006C72DE" w:rsidRPr="00422183">
        <w:rPr>
          <w:rFonts w:ascii="Rockwell" w:eastAsiaTheme="majorEastAsia" w:hAnsi="Rockwell" w:cstheme="majorBidi"/>
          <w:bCs/>
          <w:kern w:val="28"/>
          <w:sz w:val="24"/>
          <w:szCs w:val="24"/>
        </w:rPr>
        <w:t>'</w:t>
      </w:r>
      <w:r w:rsidR="005B2322" w:rsidRPr="00422183">
        <w:rPr>
          <w:rFonts w:ascii="Rockwell" w:eastAsiaTheme="majorEastAsia" w:hAnsi="Rockwell" w:cstheme="majorBidi"/>
          <w:bCs/>
          <w:kern w:val="28"/>
          <w:sz w:val="24"/>
          <w:szCs w:val="24"/>
        </w:rPr>
        <w:t xml:space="preserve">or non monétaire et le coton, </w:t>
      </w:r>
      <w:r w:rsidR="001340B9" w:rsidRPr="00422183">
        <w:rPr>
          <w:rFonts w:ascii="Rockwell" w:eastAsiaTheme="majorEastAsia" w:hAnsi="Rockwell" w:cstheme="majorBidi"/>
          <w:bCs/>
          <w:kern w:val="28"/>
          <w:sz w:val="24"/>
          <w:szCs w:val="24"/>
        </w:rPr>
        <w:t xml:space="preserve">les </w:t>
      </w:r>
      <w:r w:rsidR="005B2322" w:rsidRPr="00422183">
        <w:rPr>
          <w:rFonts w:ascii="Rockwell" w:eastAsiaTheme="majorEastAsia" w:hAnsi="Rockwell" w:cstheme="majorBidi"/>
          <w:bCs/>
          <w:kern w:val="28"/>
          <w:sz w:val="24"/>
          <w:szCs w:val="24"/>
        </w:rPr>
        <w:t>matières premières non transformées, dénotant de</w:t>
      </w:r>
      <w:r w:rsidR="00CD598A" w:rsidRPr="00422183">
        <w:rPr>
          <w:rFonts w:ascii="Rockwell" w:eastAsiaTheme="majorEastAsia" w:hAnsi="Rockwell" w:cstheme="majorBidi"/>
          <w:bCs/>
          <w:kern w:val="28"/>
          <w:sz w:val="24"/>
          <w:szCs w:val="24"/>
        </w:rPr>
        <w:t xml:space="preserve"> la</w:t>
      </w:r>
      <w:r w:rsidR="005B2322" w:rsidRPr="00422183">
        <w:rPr>
          <w:rFonts w:ascii="Rockwell" w:eastAsiaTheme="majorEastAsia" w:hAnsi="Rockwell" w:cstheme="majorBidi"/>
          <w:bCs/>
          <w:kern w:val="28"/>
          <w:sz w:val="24"/>
          <w:szCs w:val="24"/>
        </w:rPr>
        <w:t xml:space="preserve"> faiblesse du tissu industriel national </w:t>
      </w:r>
      <w:r w:rsidR="001340B9" w:rsidRPr="00422183">
        <w:rPr>
          <w:rFonts w:ascii="Rockwell" w:eastAsiaTheme="majorEastAsia" w:hAnsi="Rockwell" w:cstheme="majorBidi"/>
          <w:bCs/>
          <w:kern w:val="28"/>
          <w:sz w:val="24"/>
          <w:szCs w:val="24"/>
        </w:rPr>
        <w:t>et</w:t>
      </w:r>
      <w:r w:rsidR="005B2322" w:rsidRPr="00422183">
        <w:rPr>
          <w:rFonts w:ascii="Rockwell" w:eastAsiaTheme="majorEastAsia" w:hAnsi="Rockwell" w:cstheme="majorBidi"/>
          <w:bCs/>
          <w:kern w:val="28"/>
          <w:sz w:val="24"/>
          <w:szCs w:val="24"/>
        </w:rPr>
        <w:t xml:space="preserve"> de sa compétitivité. En retour, les </w:t>
      </w:r>
      <w:r w:rsidR="00B67F98" w:rsidRPr="00422183">
        <w:rPr>
          <w:rFonts w:ascii="Rockwell" w:eastAsiaTheme="majorEastAsia" w:hAnsi="Rockwell" w:cstheme="majorBidi"/>
          <w:bCs/>
          <w:kern w:val="28"/>
          <w:sz w:val="24"/>
          <w:szCs w:val="24"/>
        </w:rPr>
        <w:t>B</w:t>
      </w:r>
      <w:r w:rsidR="005B2322" w:rsidRPr="00422183">
        <w:rPr>
          <w:rFonts w:ascii="Rockwell" w:eastAsiaTheme="majorEastAsia" w:hAnsi="Rockwell" w:cstheme="majorBidi"/>
          <w:bCs/>
          <w:kern w:val="28"/>
          <w:sz w:val="24"/>
          <w:szCs w:val="24"/>
        </w:rPr>
        <w:t>urkinabè importent majoritairement les produits manufacturés</w:t>
      </w:r>
      <w:r w:rsidR="00283A54" w:rsidRPr="00422183">
        <w:rPr>
          <w:rFonts w:ascii="Rockwell" w:eastAsiaTheme="majorEastAsia" w:hAnsi="Rockwell" w:cstheme="majorBidi"/>
          <w:bCs/>
          <w:kern w:val="28"/>
          <w:sz w:val="24"/>
          <w:szCs w:val="24"/>
        </w:rPr>
        <w:t xml:space="preserve"> </w:t>
      </w:r>
      <w:r w:rsidR="006D07CD" w:rsidRPr="00422183">
        <w:rPr>
          <w:rFonts w:ascii="Rockwell" w:eastAsiaTheme="majorEastAsia" w:hAnsi="Rockwell" w:cstheme="majorBidi"/>
          <w:bCs/>
          <w:kern w:val="28"/>
          <w:sz w:val="24"/>
          <w:szCs w:val="24"/>
        </w:rPr>
        <w:t>pour 60</w:t>
      </w:r>
      <w:r w:rsidR="00283A54" w:rsidRPr="00422183">
        <w:rPr>
          <w:rFonts w:ascii="Rockwell" w:eastAsiaTheme="majorEastAsia" w:hAnsi="Rockwell" w:cstheme="majorBidi"/>
          <w:bCs/>
          <w:kern w:val="28"/>
          <w:sz w:val="24"/>
          <w:szCs w:val="24"/>
        </w:rPr>
        <w:t>% des importations</w:t>
      </w:r>
      <w:r w:rsidR="005B2322" w:rsidRPr="00422183">
        <w:rPr>
          <w:rFonts w:ascii="Rockwell" w:eastAsiaTheme="majorEastAsia" w:hAnsi="Rockwell" w:cstheme="majorBidi"/>
          <w:bCs/>
          <w:kern w:val="28"/>
          <w:sz w:val="24"/>
          <w:szCs w:val="24"/>
        </w:rPr>
        <w:t xml:space="preserve">, les produits pétroliers et miniers (environs 25% des importations) et les produits agricoles. </w:t>
      </w:r>
      <w:r w:rsidR="00CD598A" w:rsidRPr="00422183">
        <w:rPr>
          <w:rFonts w:ascii="Rockwell" w:eastAsiaTheme="majorEastAsia" w:hAnsi="Rockwell" w:cstheme="majorBidi"/>
          <w:bCs/>
          <w:kern w:val="28"/>
          <w:sz w:val="24"/>
          <w:szCs w:val="24"/>
        </w:rPr>
        <w:t>L</w:t>
      </w:r>
      <w:r w:rsidR="005B2322" w:rsidRPr="00422183">
        <w:rPr>
          <w:rFonts w:ascii="Rockwell" w:eastAsiaTheme="majorEastAsia" w:hAnsi="Rockwell" w:cstheme="majorBidi"/>
          <w:bCs/>
          <w:kern w:val="28"/>
          <w:sz w:val="24"/>
          <w:szCs w:val="24"/>
        </w:rPr>
        <w:t>a balance commerciale est généralement déficitaire.</w:t>
      </w:r>
      <w:r w:rsidR="00283A54" w:rsidRPr="00422183">
        <w:rPr>
          <w:rFonts w:ascii="Rockwell" w:eastAsiaTheme="majorEastAsia" w:hAnsi="Rockwell" w:cstheme="majorBidi"/>
          <w:bCs/>
          <w:kern w:val="28"/>
          <w:sz w:val="24"/>
          <w:szCs w:val="24"/>
        </w:rPr>
        <w:t xml:space="preserve"> Les </w:t>
      </w:r>
      <w:r w:rsidR="008B700B" w:rsidRPr="00422183">
        <w:rPr>
          <w:rFonts w:ascii="Rockwell" w:eastAsiaTheme="majorEastAsia" w:hAnsi="Rockwell" w:cstheme="majorBidi"/>
          <w:bCs/>
          <w:kern w:val="28"/>
          <w:sz w:val="24"/>
          <w:szCs w:val="24"/>
        </w:rPr>
        <w:t xml:space="preserve">principaux </w:t>
      </w:r>
      <w:r w:rsidR="00283A54" w:rsidRPr="00422183">
        <w:rPr>
          <w:rFonts w:ascii="Rockwell" w:eastAsiaTheme="majorEastAsia" w:hAnsi="Rockwell" w:cstheme="majorBidi"/>
          <w:bCs/>
          <w:kern w:val="28"/>
          <w:sz w:val="24"/>
          <w:szCs w:val="24"/>
        </w:rPr>
        <w:t>défis</w:t>
      </w:r>
      <w:r w:rsidR="008B700B" w:rsidRPr="00422183">
        <w:rPr>
          <w:rFonts w:ascii="Rockwell" w:eastAsiaTheme="majorEastAsia" w:hAnsi="Rockwell" w:cstheme="majorBidi"/>
          <w:bCs/>
          <w:kern w:val="28"/>
          <w:sz w:val="24"/>
          <w:szCs w:val="24"/>
        </w:rPr>
        <w:t xml:space="preserve"> de la branche concernent la diversification des produits d</w:t>
      </w:r>
      <w:r w:rsidR="006C72DE" w:rsidRPr="00422183">
        <w:rPr>
          <w:rFonts w:ascii="Rockwell" w:eastAsiaTheme="majorEastAsia" w:hAnsi="Rockwell" w:cstheme="majorBidi"/>
          <w:bCs/>
          <w:kern w:val="28"/>
          <w:sz w:val="24"/>
          <w:szCs w:val="24"/>
        </w:rPr>
        <w:t>'</w:t>
      </w:r>
      <w:r w:rsidR="008B700B" w:rsidRPr="00422183">
        <w:rPr>
          <w:rFonts w:ascii="Rockwell" w:eastAsiaTheme="majorEastAsia" w:hAnsi="Rockwell" w:cstheme="majorBidi"/>
          <w:bCs/>
          <w:kern w:val="28"/>
          <w:sz w:val="24"/>
          <w:szCs w:val="24"/>
        </w:rPr>
        <w:t>exportation et la promotion de la transformation locale en vue d</w:t>
      </w:r>
      <w:r w:rsidR="006C72DE" w:rsidRPr="00422183">
        <w:rPr>
          <w:rFonts w:ascii="Rockwell" w:eastAsiaTheme="majorEastAsia" w:hAnsi="Rockwell" w:cstheme="majorBidi"/>
          <w:bCs/>
          <w:kern w:val="28"/>
          <w:sz w:val="24"/>
          <w:szCs w:val="24"/>
        </w:rPr>
        <w:t>'</w:t>
      </w:r>
      <w:r w:rsidR="008B700B" w:rsidRPr="00422183">
        <w:rPr>
          <w:rFonts w:ascii="Rockwell" w:eastAsiaTheme="majorEastAsia" w:hAnsi="Rockwell" w:cstheme="majorBidi"/>
          <w:bCs/>
          <w:kern w:val="28"/>
          <w:sz w:val="24"/>
          <w:szCs w:val="24"/>
        </w:rPr>
        <w:t>ajouter de la valeur à ces produits, à travers le renforcement des capacités productives et de commercialisation</w:t>
      </w:r>
      <w:r w:rsidR="00955E8F" w:rsidRPr="00422183">
        <w:rPr>
          <w:rFonts w:ascii="Rockwell" w:eastAsiaTheme="majorEastAsia" w:hAnsi="Rockwell" w:cstheme="majorBidi"/>
          <w:bCs/>
          <w:kern w:val="28"/>
          <w:sz w:val="24"/>
          <w:szCs w:val="24"/>
        </w:rPr>
        <w:t xml:space="preserve"> ainsi que le renforcement des services d</w:t>
      </w:r>
      <w:r w:rsidR="006C72DE" w:rsidRPr="00422183">
        <w:rPr>
          <w:rFonts w:ascii="Rockwell" w:eastAsiaTheme="majorEastAsia" w:hAnsi="Rockwell" w:cstheme="majorBidi"/>
          <w:bCs/>
          <w:kern w:val="28"/>
          <w:sz w:val="24"/>
          <w:szCs w:val="24"/>
        </w:rPr>
        <w:t>'</w:t>
      </w:r>
      <w:r w:rsidR="00955E8F" w:rsidRPr="00422183">
        <w:rPr>
          <w:rFonts w:ascii="Rockwell" w:eastAsiaTheme="majorEastAsia" w:hAnsi="Rockwell" w:cstheme="majorBidi"/>
          <w:bCs/>
          <w:kern w:val="28"/>
          <w:sz w:val="24"/>
          <w:szCs w:val="24"/>
        </w:rPr>
        <w:t>appui à l</w:t>
      </w:r>
      <w:r w:rsidR="006C72DE" w:rsidRPr="00422183">
        <w:rPr>
          <w:rFonts w:ascii="Rockwell" w:eastAsiaTheme="majorEastAsia" w:hAnsi="Rockwell" w:cstheme="majorBidi"/>
          <w:bCs/>
          <w:kern w:val="28"/>
          <w:sz w:val="24"/>
          <w:szCs w:val="24"/>
        </w:rPr>
        <w:t>'</w:t>
      </w:r>
      <w:r w:rsidR="00955E8F" w:rsidRPr="00422183">
        <w:rPr>
          <w:rFonts w:ascii="Rockwell" w:eastAsiaTheme="majorEastAsia" w:hAnsi="Rockwell" w:cstheme="majorBidi"/>
          <w:bCs/>
          <w:kern w:val="28"/>
          <w:sz w:val="24"/>
          <w:szCs w:val="24"/>
        </w:rPr>
        <w:t>exportation.</w:t>
      </w:r>
    </w:p>
    <w:p w:rsidR="00792D26" w:rsidRPr="00422183" w:rsidRDefault="00792D26" w:rsidP="003A0820">
      <w:pPr>
        <w:spacing w:after="0" w:line="240" w:lineRule="auto"/>
        <w:jc w:val="both"/>
        <w:rPr>
          <w:rFonts w:ascii="Rockwell" w:eastAsiaTheme="majorEastAsia" w:hAnsi="Rockwell" w:cstheme="majorBidi"/>
          <w:bCs/>
          <w:kern w:val="28"/>
          <w:sz w:val="24"/>
          <w:szCs w:val="24"/>
        </w:rPr>
      </w:pPr>
    </w:p>
    <w:p w:rsidR="00B354F3" w:rsidRPr="00422183" w:rsidRDefault="000C6862" w:rsidP="003A0820">
      <w:pPr>
        <w:pStyle w:val="PNDES3"/>
        <w:rPr>
          <w:rFonts w:ascii="Rockwell" w:hAnsi="Rockwell"/>
          <w:i/>
        </w:rPr>
      </w:pPr>
      <w:bookmarkStart w:id="97" w:name="_Toc452994149"/>
      <w:bookmarkStart w:id="98" w:name="_Toc452994597"/>
      <w:bookmarkStart w:id="99" w:name="_Toc452995037"/>
      <w:bookmarkStart w:id="100" w:name="_Toc453160737"/>
      <w:bookmarkStart w:id="101" w:name="_Toc455132722"/>
      <w:r w:rsidRPr="00422183">
        <w:rPr>
          <w:rFonts w:ascii="Rockwell" w:hAnsi="Rockwell"/>
        </w:rPr>
        <w:t>Constats majeur</w:t>
      </w:r>
      <w:r w:rsidR="00362FD3" w:rsidRPr="00422183">
        <w:rPr>
          <w:rFonts w:ascii="Rockwell" w:hAnsi="Rockwell"/>
        </w:rPr>
        <w:t>s</w:t>
      </w:r>
      <w:r w:rsidRPr="00422183">
        <w:rPr>
          <w:rFonts w:ascii="Rockwell" w:hAnsi="Rockwell"/>
        </w:rPr>
        <w:t xml:space="preserve"> : un système </w:t>
      </w:r>
      <w:r w:rsidR="00B67F98" w:rsidRPr="00422183">
        <w:rPr>
          <w:rFonts w:ascii="Rockwell" w:hAnsi="Rockwell"/>
        </w:rPr>
        <w:t xml:space="preserve">productif </w:t>
      </w:r>
      <w:r w:rsidR="00CD598A" w:rsidRPr="00422183">
        <w:rPr>
          <w:rFonts w:ascii="Rockwell" w:hAnsi="Rockwell"/>
        </w:rPr>
        <w:t>national</w:t>
      </w:r>
      <w:r w:rsidRPr="00422183">
        <w:rPr>
          <w:rFonts w:ascii="Rockwell" w:hAnsi="Rockwell"/>
        </w:rPr>
        <w:t xml:space="preserve"> marqué par des insuffisances structure</w:t>
      </w:r>
      <w:r w:rsidR="00923C8B" w:rsidRPr="00422183">
        <w:rPr>
          <w:rFonts w:ascii="Rockwell" w:hAnsi="Rockwell"/>
        </w:rPr>
        <w:t>lles</w:t>
      </w:r>
      <w:r w:rsidRPr="00422183">
        <w:rPr>
          <w:rFonts w:ascii="Rockwell" w:hAnsi="Rockwell"/>
        </w:rPr>
        <w:t xml:space="preserve"> et sujet aux aléas</w:t>
      </w:r>
      <w:bookmarkEnd w:id="97"/>
      <w:bookmarkEnd w:id="98"/>
      <w:bookmarkEnd w:id="99"/>
      <w:bookmarkEnd w:id="100"/>
      <w:bookmarkEnd w:id="101"/>
    </w:p>
    <w:p w:rsidR="00B354F3" w:rsidRPr="00422183" w:rsidRDefault="00B354F3" w:rsidP="003A0820">
      <w:pPr>
        <w:spacing w:after="0" w:line="240" w:lineRule="auto"/>
        <w:jc w:val="both"/>
        <w:rPr>
          <w:rFonts w:ascii="Rockwell" w:eastAsiaTheme="majorEastAsia" w:hAnsi="Rockwell" w:cstheme="majorBidi"/>
          <w:bCs/>
          <w:kern w:val="28"/>
          <w:sz w:val="24"/>
          <w:szCs w:val="24"/>
        </w:rPr>
      </w:pPr>
    </w:p>
    <w:p w:rsidR="00075142" w:rsidRPr="00422183" w:rsidRDefault="00D56BF5" w:rsidP="003A0820">
      <w:pPr>
        <w:spacing w:after="0" w:line="240" w:lineRule="auto"/>
        <w:jc w:val="both"/>
        <w:rPr>
          <w:rFonts w:ascii="Rockwell" w:eastAsiaTheme="majorEastAsia" w:hAnsi="Rockwell" w:cstheme="majorBidi"/>
          <w:bCs/>
          <w:kern w:val="28"/>
          <w:sz w:val="24"/>
          <w:szCs w:val="24"/>
        </w:rPr>
      </w:pPr>
      <w:r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analyse de la dynamique des secteurs de production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économie a relevé que la croissance est sujette à des insuffisances structurelles accentuant sa vulnérabilité aux aléas. Les principales insuffisances structure</w:t>
      </w:r>
      <w:r w:rsidR="00333498" w:rsidRPr="00422183">
        <w:rPr>
          <w:rFonts w:ascii="Rockwell" w:eastAsiaTheme="majorEastAsia" w:hAnsi="Rockwell" w:cstheme="majorBidi"/>
          <w:bCs/>
          <w:kern w:val="28"/>
          <w:sz w:val="24"/>
          <w:szCs w:val="24"/>
        </w:rPr>
        <w:t>lles</w:t>
      </w:r>
      <w:r w:rsidRPr="00422183">
        <w:rPr>
          <w:rFonts w:ascii="Rockwell" w:eastAsiaTheme="majorEastAsia" w:hAnsi="Rockwell" w:cstheme="majorBidi"/>
          <w:bCs/>
          <w:kern w:val="28"/>
          <w:sz w:val="24"/>
          <w:szCs w:val="24"/>
        </w:rPr>
        <w:t xml:space="preserve">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économie sont : (i) la faible productivité du secteur primaire dominé par une agriculture de subsistance soumise aux variabilités de l</w:t>
      </w:r>
      <w:r w:rsidR="0045132A" w:rsidRPr="00422183">
        <w:rPr>
          <w:rFonts w:ascii="Rockwell" w:eastAsiaTheme="majorEastAsia" w:hAnsi="Rockwell" w:cstheme="majorBidi"/>
          <w:bCs/>
          <w:kern w:val="28"/>
          <w:sz w:val="24"/>
          <w:szCs w:val="24"/>
        </w:rPr>
        <w:t>a</w:t>
      </w:r>
      <w:r w:rsidRPr="00422183">
        <w:rPr>
          <w:rFonts w:ascii="Rockwell" w:eastAsiaTheme="majorEastAsia" w:hAnsi="Rockwell" w:cstheme="majorBidi"/>
          <w:bCs/>
          <w:kern w:val="28"/>
          <w:sz w:val="24"/>
          <w:szCs w:val="24"/>
        </w:rPr>
        <w:t xml:space="preserve"> pluvio</w:t>
      </w:r>
      <w:r w:rsidR="00B449AE" w:rsidRPr="00422183">
        <w:rPr>
          <w:rFonts w:ascii="Rockwell" w:eastAsiaTheme="majorEastAsia" w:hAnsi="Rockwell" w:cstheme="majorBidi"/>
          <w:bCs/>
          <w:kern w:val="28"/>
          <w:sz w:val="24"/>
          <w:szCs w:val="24"/>
        </w:rPr>
        <w:t>sité</w:t>
      </w:r>
      <w:r w:rsidR="001F28D1"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 xml:space="preserve"> (ii) l</w:t>
      </w:r>
      <w:r w:rsidR="00075142" w:rsidRPr="00422183">
        <w:rPr>
          <w:rFonts w:ascii="Rockwell" w:eastAsiaTheme="majorEastAsia" w:hAnsi="Rockwell" w:cstheme="majorBidi"/>
          <w:bCs/>
          <w:kern w:val="28"/>
          <w:sz w:val="24"/>
          <w:szCs w:val="24"/>
        </w:rPr>
        <w:t xml:space="preserve">e déclin </w:t>
      </w:r>
      <w:r w:rsidRPr="00422183">
        <w:rPr>
          <w:rFonts w:ascii="Rockwell" w:eastAsiaTheme="majorEastAsia" w:hAnsi="Rockwell" w:cstheme="majorBidi"/>
          <w:bCs/>
          <w:kern w:val="28"/>
          <w:sz w:val="24"/>
          <w:szCs w:val="24"/>
        </w:rPr>
        <w:t xml:space="preserve">du secteur manufacturier </w:t>
      </w:r>
      <w:r w:rsidR="00075142" w:rsidRPr="00422183">
        <w:rPr>
          <w:rFonts w:ascii="Rockwell" w:eastAsiaTheme="majorEastAsia" w:hAnsi="Rockwell" w:cstheme="majorBidi"/>
          <w:bCs/>
          <w:kern w:val="28"/>
          <w:sz w:val="24"/>
          <w:szCs w:val="24"/>
        </w:rPr>
        <w:t xml:space="preserve">lié </w:t>
      </w:r>
      <w:r w:rsidR="0045132A" w:rsidRPr="00422183">
        <w:rPr>
          <w:rFonts w:ascii="Rockwell" w:eastAsiaTheme="majorEastAsia" w:hAnsi="Rockwell" w:cstheme="majorBidi"/>
          <w:bCs/>
          <w:kern w:val="28"/>
          <w:sz w:val="24"/>
          <w:szCs w:val="24"/>
        </w:rPr>
        <w:t>à la faible compétitivité des industries existantes</w:t>
      </w:r>
      <w:r w:rsidR="00075142" w:rsidRPr="00422183">
        <w:rPr>
          <w:rFonts w:ascii="Rockwell" w:eastAsiaTheme="majorEastAsia" w:hAnsi="Rockwell" w:cstheme="majorBidi"/>
          <w:bCs/>
          <w:kern w:val="28"/>
          <w:sz w:val="24"/>
          <w:szCs w:val="24"/>
        </w:rPr>
        <w:t>, ainsi qu</w:t>
      </w:r>
      <w:r w:rsidR="006C72DE" w:rsidRPr="00422183">
        <w:rPr>
          <w:rFonts w:ascii="Rockwell" w:eastAsiaTheme="majorEastAsia" w:hAnsi="Rockwell" w:cstheme="majorBidi"/>
          <w:bCs/>
          <w:kern w:val="28"/>
          <w:sz w:val="24"/>
          <w:szCs w:val="24"/>
        </w:rPr>
        <w:t>'</w:t>
      </w:r>
      <w:r w:rsidR="00075142" w:rsidRPr="00422183">
        <w:rPr>
          <w:rFonts w:ascii="Rockwell" w:eastAsiaTheme="majorEastAsia" w:hAnsi="Rockwell" w:cstheme="majorBidi"/>
          <w:bCs/>
          <w:kern w:val="28"/>
          <w:sz w:val="24"/>
          <w:szCs w:val="24"/>
        </w:rPr>
        <w:t>au faible développement de l</w:t>
      </w:r>
      <w:r w:rsidR="006C72DE" w:rsidRPr="00422183">
        <w:rPr>
          <w:rFonts w:ascii="Rockwell" w:eastAsiaTheme="majorEastAsia" w:hAnsi="Rockwell" w:cstheme="majorBidi"/>
          <w:bCs/>
          <w:kern w:val="28"/>
          <w:sz w:val="24"/>
          <w:szCs w:val="24"/>
        </w:rPr>
        <w:t>'</w:t>
      </w:r>
      <w:r w:rsidR="00075142" w:rsidRPr="00422183">
        <w:rPr>
          <w:rFonts w:ascii="Rockwell" w:eastAsiaTheme="majorEastAsia" w:hAnsi="Rockwell" w:cstheme="majorBidi"/>
          <w:bCs/>
          <w:kern w:val="28"/>
          <w:sz w:val="24"/>
          <w:szCs w:val="24"/>
        </w:rPr>
        <w:t>agro-industrie</w:t>
      </w:r>
      <w:r w:rsidR="001F28D1" w:rsidRPr="00422183">
        <w:rPr>
          <w:rFonts w:ascii="Rockwell" w:eastAsiaTheme="majorEastAsia" w:hAnsi="Rockwell" w:cstheme="majorBidi"/>
          <w:bCs/>
          <w:kern w:val="28"/>
          <w:sz w:val="24"/>
          <w:szCs w:val="24"/>
        </w:rPr>
        <w:t>,</w:t>
      </w:r>
      <w:r w:rsidR="00075142" w:rsidRPr="00422183">
        <w:rPr>
          <w:rFonts w:ascii="Rockwell" w:eastAsiaTheme="majorEastAsia" w:hAnsi="Rockwell" w:cstheme="majorBidi"/>
          <w:bCs/>
          <w:kern w:val="28"/>
          <w:sz w:val="24"/>
          <w:szCs w:val="24"/>
        </w:rPr>
        <w:t xml:space="preserve"> (iii) </w:t>
      </w:r>
      <w:r w:rsidR="0045132A"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0045132A" w:rsidRPr="00422183">
        <w:rPr>
          <w:rFonts w:ascii="Rockwell" w:eastAsiaTheme="majorEastAsia" w:hAnsi="Rockwell" w:cstheme="majorBidi"/>
          <w:bCs/>
          <w:kern w:val="28"/>
          <w:sz w:val="24"/>
          <w:szCs w:val="24"/>
        </w:rPr>
        <w:t>informalisation du secteur tertiaire et le faible accès aux services financiers</w:t>
      </w:r>
      <w:r w:rsidR="001F28D1" w:rsidRPr="00422183">
        <w:rPr>
          <w:rFonts w:ascii="Rockwell" w:eastAsiaTheme="majorEastAsia" w:hAnsi="Rockwell" w:cstheme="majorBidi"/>
          <w:bCs/>
          <w:kern w:val="28"/>
          <w:sz w:val="24"/>
          <w:szCs w:val="24"/>
        </w:rPr>
        <w:t>,</w:t>
      </w:r>
      <w:r w:rsidR="0045132A" w:rsidRPr="00422183">
        <w:rPr>
          <w:rFonts w:ascii="Rockwell" w:eastAsiaTheme="majorEastAsia" w:hAnsi="Rockwell" w:cstheme="majorBidi"/>
          <w:bCs/>
          <w:kern w:val="28"/>
          <w:sz w:val="24"/>
          <w:szCs w:val="24"/>
        </w:rPr>
        <w:t xml:space="preserve"> </w:t>
      </w:r>
      <w:r w:rsidR="00EA146B" w:rsidRPr="00422183">
        <w:rPr>
          <w:rFonts w:ascii="Rockwell" w:eastAsiaTheme="majorEastAsia" w:hAnsi="Rockwell" w:cstheme="majorBidi"/>
          <w:bCs/>
          <w:kern w:val="28"/>
          <w:sz w:val="24"/>
          <w:szCs w:val="24"/>
        </w:rPr>
        <w:t>(</w:t>
      </w:r>
      <w:r w:rsidR="00333498" w:rsidRPr="00422183">
        <w:rPr>
          <w:rFonts w:ascii="Rockwell" w:eastAsiaTheme="majorEastAsia" w:hAnsi="Rockwell" w:cstheme="majorBidi"/>
          <w:bCs/>
          <w:kern w:val="28"/>
          <w:sz w:val="24"/>
          <w:szCs w:val="24"/>
        </w:rPr>
        <w:t>i</w:t>
      </w:r>
      <w:r w:rsidR="001F28D1" w:rsidRPr="00422183">
        <w:rPr>
          <w:rFonts w:ascii="Rockwell" w:eastAsiaTheme="majorEastAsia" w:hAnsi="Rockwell" w:cstheme="majorBidi"/>
          <w:bCs/>
          <w:kern w:val="28"/>
          <w:sz w:val="24"/>
          <w:szCs w:val="24"/>
        </w:rPr>
        <w:t>v)</w:t>
      </w:r>
      <w:r w:rsidR="00EA146B" w:rsidRPr="00422183">
        <w:rPr>
          <w:rFonts w:ascii="Rockwell" w:eastAsiaTheme="majorEastAsia" w:hAnsi="Rockwell" w:cstheme="majorBidi"/>
          <w:bCs/>
          <w:kern w:val="28"/>
          <w:sz w:val="24"/>
          <w:szCs w:val="24"/>
        </w:rPr>
        <w:t xml:space="preserve"> l</w:t>
      </w:r>
      <w:r w:rsidR="006C72DE" w:rsidRPr="00422183">
        <w:rPr>
          <w:rFonts w:ascii="Rockwell" w:eastAsiaTheme="majorEastAsia" w:hAnsi="Rockwell" w:cstheme="majorBidi"/>
          <w:bCs/>
          <w:kern w:val="28"/>
          <w:sz w:val="24"/>
          <w:szCs w:val="24"/>
        </w:rPr>
        <w:t>'</w:t>
      </w:r>
      <w:r w:rsidR="00EA146B" w:rsidRPr="00422183">
        <w:rPr>
          <w:rFonts w:ascii="Rockwell" w:eastAsiaTheme="majorEastAsia" w:hAnsi="Rockwell" w:cstheme="majorBidi"/>
          <w:bCs/>
          <w:kern w:val="28"/>
          <w:sz w:val="24"/>
          <w:szCs w:val="24"/>
        </w:rPr>
        <w:t xml:space="preserve">étroitesse de la base </w:t>
      </w:r>
      <w:r w:rsidR="00EA146B" w:rsidRPr="00422183">
        <w:rPr>
          <w:rFonts w:ascii="Rockwell" w:eastAsiaTheme="majorEastAsia" w:hAnsi="Rockwell" w:cstheme="majorBidi"/>
          <w:kern w:val="28"/>
          <w:sz w:val="24"/>
          <w:szCs w:val="24"/>
        </w:rPr>
        <w:t>des produits d</w:t>
      </w:r>
      <w:r w:rsidR="006C72DE" w:rsidRPr="00422183">
        <w:rPr>
          <w:rFonts w:ascii="Rockwell" w:eastAsiaTheme="majorEastAsia" w:hAnsi="Rockwell" w:cstheme="majorBidi"/>
          <w:kern w:val="28"/>
          <w:sz w:val="24"/>
          <w:szCs w:val="24"/>
        </w:rPr>
        <w:t>'</w:t>
      </w:r>
      <w:r w:rsidR="00EA146B" w:rsidRPr="00422183">
        <w:rPr>
          <w:rFonts w:ascii="Rockwell" w:eastAsiaTheme="majorEastAsia" w:hAnsi="Rockwell" w:cstheme="majorBidi"/>
          <w:kern w:val="28"/>
          <w:sz w:val="24"/>
          <w:szCs w:val="24"/>
        </w:rPr>
        <w:t>exportations,</w:t>
      </w:r>
      <w:r w:rsidR="00EA146B" w:rsidRPr="00422183">
        <w:rPr>
          <w:rFonts w:ascii="Rockwell" w:eastAsiaTheme="majorEastAsia" w:hAnsi="Rockwell" w:cstheme="majorBidi"/>
          <w:bCs/>
          <w:kern w:val="28"/>
          <w:sz w:val="24"/>
          <w:szCs w:val="24"/>
        </w:rPr>
        <w:t xml:space="preserve"> </w:t>
      </w:r>
      <w:r w:rsidR="0045132A" w:rsidRPr="00422183">
        <w:rPr>
          <w:rFonts w:ascii="Rockwell" w:eastAsiaTheme="majorEastAsia" w:hAnsi="Rockwell" w:cstheme="majorBidi"/>
          <w:bCs/>
          <w:kern w:val="28"/>
          <w:sz w:val="24"/>
          <w:szCs w:val="24"/>
        </w:rPr>
        <w:t>(v) l</w:t>
      </w:r>
      <w:r w:rsidR="006C72DE" w:rsidRPr="00422183">
        <w:rPr>
          <w:rFonts w:ascii="Rockwell" w:eastAsiaTheme="majorEastAsia" w:hAnsi="Rockwell" w:cstheme="majorBidi"/>
          <w:bCs/>
          <w:kern w:val="28"/>
          <w:sz w:val="24"/>
          <w:szCs w:val="24"/>
        </w:rPr>
        <w:t>'</w:t>
      </w:r>
      <w:r w:rsidR="0045132A" w:rsidRPr="00422183">
        <w:rPr>
          <w:rFonts w:ascii="Rockwell" w:eastAsiaTheme="majorEastAsia" w:hAnsi="Rockwell" w:cstheme="majorBidi"/>
          <w:bCs/>
          <w:kern w:val="28"/>
          <w:sz w:val="24"/>
          <w:szCs w:val="24"/>
        </w:rPr>
        <w:t>insuffisance de ressources humaines de qualité adapté</w:t>
      </w:r>
      <w:r w:rsidR="00333498" w:rsidRPr="00422183">
        <w:rPr>
          <w:rFonts w:ascii="Rockwell" w:eastAsiaTheme="majorEastAsia" w:hAnsi="Rockwell" w:cstheme="majorBidi"/>
          <w:bCs/>
          <w:kern w:val="28"/>
          <w:sz w:val="24"/>
          <w:szCs w:val="24"/>
        </w:rPr>
        <w:t>es</w:t>
      </w:r>
      <w:r w:rsidR="0045132A" w:rsidRPr="00422183">
        <w:rPr>
          <w:rFonts w:ascii="Rockwell" w:eastAsiaTheme="majorEastAsia" w:hAnsi="Rockwell" w:cstheme="majorBidi"/>
          <w:bCs/>
          <w:kern w:val="28"/>
          <w:sz w:val="24"/>
          <w:szCs w:val="24"/>
        </w:rPr>
        <w:t xml:space="preserve"> aux besoins de la transformation structurelle du système productif.</w:t>
      </w:r>
    </w:p>
    <w:p w:rsidR="00B354F3" w:rsidRPr="00422183" w:rsidRDefault="00B354F3" w:rsidP="003A0820">
      <w:pPr>
        <w:spacing w:after="0" w:line="240" w:lineRule="auto"/>
        <w:jc w:val="both"/>
        <w:rPr>
          <w:rFonts w:ascii="Rockwell" w:eastAsiaTheme="majorEastAsia" w:hAnsi="Rockwell" w:cstheme="majorBidi"/>
          <w:bCs/>
          <w:kern w:val="28"/>
          <w:sz w:val="24"/>
          <w:szCs w:val="24"/>
        </w:rPr>
      </w:pPr>
    </w:p>
    <w:p w:rsidR="00696739" w:rsidRPr="00422183" w:rsidRDefault="0045132A"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bCs/>
          <w:kern w:val="28"/>
          <w:sz w:val="24"/>
          <w:szCs w:val="24"/>
        </w:rPr>
        <w:t>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économie</w:t>
      </w:r>
      <w:r w:rsidR="00EA146B" w:rsidRPr="00422183">
        <w:rPr>
          <w:rFonts w:ascii="Rockwell" w:eastAsiaTheme="majorEastAsia" w:hAnsi="Rockwell" w:cstheme="majorBidi"/>
          <w:bCs/>
          <w:kern w:val="28"/>
          <w:sz w:val="24"/>
          <w:szCs w:val="24"/>
        </w:rPr>
        <w:t xml:space="preserve"> burkinabè est en outre soumise</w:t>
      </w:r>
      <w:r w:rsidRPr="00422183">
        <w:rPr>
          <w:rFonts w:ascii="Rockwell" w:eastAsiaTheme="majorEastAsia" w:hAnsi="Rockwell" w:cstheme="majorBidi"/>
          <w:kern w:val="28"/>
          <w:sz w:val="24"/>
          <w:szCs w:val="24"/>
        </w:rPr>
        <w:t xml:space="preserve"> à un ensemble d</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aléas dont les variabilités </w:t>
      </w:r>
      <w:r w:rsidR="00B354F3" w:rsidRPr="00422183">
        <w:rPr>
          <w:rFonts w:ascii="Rockwell" w:eastAsiaTheme="majorEastAsia" w:hAnsi="Rockwell" w:cstheme="majorBidi"/>
          <w:kern w:val="28"/>
          <w:sz w:val="24"/>
          <w:szCs w:val="24"/>
        </w:rPr>
        <w:t>climatiques, la volatili</w:t>
      </w:r>
      <w:r w:rsidRPr="00422183">
        <w:rPr>
          <w:rFonts w:ascii="Rockwell" w:eastAsiaTheme="majorEastAsia" w:hAnsi="Rockwell" w:cstheme="majorBidi"/>
          <w:kern w:val="28"/>
          <w:sz w:val="24"/>
          <w:szCs w:val="24"/>
        </w:rPr>
        <w:t>té des prix des produit</w:t>
      </w:r>
      <w:r w:rsidR="00EA146B"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d</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exportation</w:t>
      </w:r>
      <w:r w:rsidR="00EA146B" w:rsidRPr="00422183">
        <w:rPr>
          <w:rFonts w:ascii="Rockwell" w:eastAsiaTheme="majorEastAsia" w:hAnsi="Rockwell" w:cstheme="majorBidi"/>
          <w:kern w:val="28"/>
          <w:sz w:val="24"/>
          <w:szCs w:val="24"/>
        </w:rPr>
        <w:t xml:space="preserve"> (or et coton) et </w:t>
      </w:r>
      <w:r w:rsidR="001340B9" w:rsidRPr="00422183">
        <w:rPr>
          <w:rFonts w:ascii="Rockwell" w:eastAsiaTheme="majorEastAsia" w:hAnsi="Rockwell" w:cstheme="majorBidi"/>
          <w:kern w:val="28"/>
          <w:sz w:val="24"/>
          <w:szCs w:val="24"/>
        </w:rPr>
        <w:t xml:space="preserve">la réduction </w:t>
      </w:r>
      <w:r w:rsidR="00EA146B" w:rsidRPr="00422183">
        <w:rPr>
          <w:rFonts w:ascii="Rockwell" w:eastAsiaTheme="majorEastAsia" w:hAnsi="Rockwell" w:cstheme="majorBidi"/>
          <w:kern w:val="28"/>
          <w:sz w:val="24"/>
          <w:szCs w:val="24"/>
        </w:rPr>
        <w:t xml:space="preserve">de </w:t>
      </w:r>
      <w:r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aide au </w:t>
      </w:r>
      <w:r w:rsidR="00EA146B" w:rsidRPr="00422183">
        <w:rPr>
          <w:rFonts w:ascii="Rockwell" w:eastAsiaTheme="majorEastAsia" w:hAnsi="Rockwell" w:cstheme="majorBidi"/>
          <w:kern w:val="28"/>
          <w:sz w:val="24"/>
          <w:szCs w:val="24"/>
        </w:rPr>
        <w:t>développement</w:t>
      </w:r>
      <w:r w:rsidR="00B354F3" w:rsidRPr="00422183">
        <w:rPr>
          <w:rFonts w:ascii="Rockwell" w:eastAsiaTheme="majorEastAsia" w:hAnsi="Rockwell" w:cstheme="majorBidi"/>
          <w:kern w:val="28"/>
          <w:sz w:val="24"/>
          <w:szCs w:val="24"/>
        </w:rPr>
        <w:t xml:space="preserve">. </w:t>
      </w:r>
      <w:r w:rsidR="00EA146B" w:rsidRPr="00422183">
        <w:rPr>
          <w:rFonts w:ascii="Rockwell" w:eastAsiaTheme="majorEastAsia" w:hAnsi="Rockwell" w:cstheme="majorBidi"/>
          <w:kern w:val="28"/>
          <w:sz w:val="24"/>
          <w:szCs w:val="24"/>
        </w:rPr>
        <w:t xml:space="preserve">Malgré ces écueils, </w:t>
      </w:r>
      <w:r w:rsidR="00F6716A"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00F6716A" w:rsidRPr="00422183">
        <w:rPr>
          <w:rFonts w:ascii="Rockwell" w:eastAsiaTheme="majorEastAsia" w:hAnsi="Rockwell" w:cstheme="majorBidi"/>
          <w:kern w:val="28"/>
          <w:sz w:val="24"/>
          <w:szCs w:val="24"/>
        </w:rPr>
        <w:t>économie burkinabè regorge d</w:t>
      </w:r>
      <w:r w:rsidR="006C72DE" w:rsidRPr="00422183">
        <w:rPr>
          <w:rFonts w:ascii="Rockwell" w:eastAsiaTheme="majorEastAsia" w:hAnsi="Rockwell" w:cstheme="majorBidi"/>
          <w:kern w:val="28"/>
          <w:sz w:val="24"/>
          <w:szCs w:val="24"/>
        </w:rPr>
        <w:t>'</w:t>
      </w:r>
      <w:r w:rsidR="00F6716A" w:rsidRPr="00422183">
        <w:rPr>
          <w:rFonts w:ascii="Rockwell" w:eastAsiaTheme="majorEastAsia" w:hAnsi="Rockwell" w:cstheme="majorBidi"/>
          <w:kern w:val="28"/>
          <w:sz w:val="24"/>
          <w:szCs w:val="24"/>
        </w:rPr>
        <w:t>énormes potentialités</w:t>
      </w:r>
      <w:r w:rsidR="00B354F3" w:rsidRPr="00422183">
        <w:rPr>
          <w:rFonts w:ascii="Rockwell" w:eastAsiaTheme="majorEastAsia" w:hAnsi="Rockwell" w:cstheme="majorBidi"/>
          <w:kern w:val="28"/>
          <w:sz w:val="24"/>
          <w:szCs w:val="24"/>
        </w:rPr>
        <w:t xml:space="preserve">. </w:t>
      </w:r>
      <w:r w:rsidR="00696739" w:rsidRPr="00422183">
        <w:rPr>
          <w:rFonts w:ascii="Rockwell" w:eastAsiaTheme="majorEastAsia" w:hAnsi="Rockwell" w:cstheme="majorBidi"/>
          <w:kern w:val="28"/>
          <w:sz w:val="24"/>
          <w:szCs w:val="24"/>
        </w:rPr>
        <w:t xml:space="preserve"> Il s</w:t>
      </w:r>
      <w:r w:rsidR="006C72DE" w:rsidRPr="00422183">
        <w:rPr>
          <w:rFonts w:ascii="Rockwell" w:eastAsiaTheme="majorEastAsia" w:hAnsi="Rockwell" w:cstheme="majorBidi"/>
          <w:kern w:val="28"/>
          <w:sz w:val="24"/>
          <w:szCs w:val="24"/>
        </w:rPr>
        <w:t>'</w:t>
      </w:r>
      <w:r w:rsidR="00696739" w:rsidRPr="00422183">
        <w:rPr>
          <w:rFonts w:ascii="Rockwell" w:eastAsiaTheme="majorEastAsia" w:hAnsi="Rockwell" w:cstheme="majorBidi"/>
          <w:kern w:val="28"/>
          <w:sz w:val="24"/>
          <w:szCs w:val="24"/>
        </w:rPr>
        <w:t xml:space="preserve">agit notamment : (i) </w:t>
      </w:r>
      <w:r w:rsidR="001F28D1" w:rsidRPr="00422183">
        <w:rPr>
          <w:rFonts w:ascii="Rockwell" w:eastAsiaTheme="majorEastAsia" w:hAnsi="Rockwell" w:cstheme="majorBidi"/>
          <w:kern w:val="28"/>
          <w:sz w:val="24"/>
          <w:szCs w:val="24"/>
        </w:rPr>
        <w:t xml:space="preserve">du </w:t>
      </w:r>
      <w:r w:rsidR="00696739" w:rsidRPr="00422183">
        <w:rPr>
          <w:rFonts w:ascii="Rockwell" w:eastAsiaTheme="majorEastAsia" w:hAnsi="Rockwell" w:cstheme="majorBidi"/>
          <w:kern w:val="28"/>
          <w:sz w:val="24"/>
          <w:szCs w:val="24"/>
        </w:rPr>
        <w:t>grand potentiel de production agro-sylvo-pastorale</w:t>
      </w:r>
      <w:r w:rsidR="00586DB6" w:rsidRPr="00422183">
        <w:rPr>
          <w:rFonts w:ascii="Rockwell" w:eastAsiaTheme="majorEastAsia" w:hAnsi="Rockwell" w:cstheme="majorBidi"/>
          <w:kern w:val="28"/>
          <w:sz w:val="24"/>
          <w:szCs w:val="24"/>
        </w:rPr>
        <w:t xml:space="preserve"> halieutique et faunique</w:t>
      </w:r>
      <w:r w:rsidR="00696739" w:rsidRPr="00422183">
        <w:rPr>
          <w:rFonts w:ascii="Rockwell" w:eastAsiaTheme="majorEastAsia" w:hAnsi="Rockwell" w:cstheme="majorBidi"/>
          <w:kern w:val="28"/>
          <w:sz w:val="24"/>
          <w:szCs w:val="24"/>
        </w:rPr>
        <w:t xml:space="preserve"> non encore exploité, (ii) </w:t>
      </w:r>
      <w:r w:rsidR="001F28D1" w:rsidRPr="00422183">
        <w:rPr>
          <w:rFonts w:ascii="Rockwell" w:eastAsiaTheme="majorEastAsia" w:hAnsi="Rockwell" w:cstheme="majorBidi"/>
          <w:kern w:val="28"/>
          <w:sz w:val="24"/>
          <w:szCs w:val="24"/>
        </w:rPr>
        <w:t xml:space="preserve">du </w:t>
      </w:r>
      <w:r w:rsidR="00696739" w:rsidRPr="00422183">
        <w:rPr>
          <w:rFonts w:ascii="Rockwell" w:eastAsiaTheme="majorEastAsia" w:hAnsi="Rockwell" w:cstheme="majorBidi"/>
          <w:kern w:val="28"/>
          <w:sz w:val="24"/>
          <w:szCs w:val="24"/>
        </w:rPr>
        <w:t>potentiel de développement de l</w:t>
      </w:r>
      <w:r w:rsidR="006C72DE" w:rsidRPr="00422183">
        <w:rPr>
          <w:rFonts w:ascii="Rockwell" w:eastAsiaTheme="majorEastAsia" w:hAnsi="Rockwell" w:cstheme="majorBidi"/>
          <w:kern w:val="28"/>
          <w:sz w:val="24"/>
          <w:szCs w:val="24"/>
        </w:rPr>
        <w:t>'</w:t>
      </w:r>
      <w:r w:rsidR="00696739" w:rsidRPr="00422183">
        <w:rPr>
          <w:rFonts w:ascii="Rockwell" w:eastAsiaTheme="majorEastAsia" w:hAnsi="Rockwell" w:cstheme="majorBidi"/>
          <w:kern w:val="28"/>
          <w:sz w:val="24"/>
          <w:szCs w:val="24"/>
        </w:rPr>
        <w:t xml:space="preserve">agro-industrie, (iii) </w:t>
      </w:r>
      <w:r w:rsidR="001F28D1" w:rsidRPr="00422183">
        <w:rPr>
          <w:rFonts w:ascii="Rockwell" w:eastAsiaTheme="majorEastAsia" w:hAnsi="Rockwell" w:cstheme="majorBidi"/>
          <w:kern w:val="28"/>
          <w:sz w:val="24"/>
          <w:szCs w:val="24"/>
        </w:rPr>
        <w:t xml:space="preserve">du </w:t>
      </w:r>
      <w:r w:rsidR="00696739" w:rsidRPr="00422183">
        <w:rPr>
          <w:rFonts w:ascii="Rockwell" w:eastAsiaTheme="majorEastAsia" w:hAnsi="Rockwell" w:cstheme="majorBidi"/>
          <w:kern w:val="28"/>
          <w:sz w:val="24"/>
          <w:szCs w:val="24"/>
        </w:rPr>
        <w:t xml:space="preserve">potentiel de développement des industries de services, (iv) </w:t>
      </w:r>
      <w:r w:rsidR="001F28D1" w:rsidRPr="00422183">
        <w:rPr>
          <w:rFonts w:ascii="Rockwell" w:eastAsiaTheme="majorEastAsia" w:hAnsi="Rockwell" w:cstheme="majorBidi"/>
          <w:kern w:val="28"/>
          <w:sz w:val="24"/>
          <w:szCs w:val="24"/>
        </w:rPr>
        <w:t xml:space="preserve">du </w:t>
      </w:r>
      <w:r w:rsidR="00696739" w:rsidRPr="00422183">
        <w:rPr>
          <w:rFonts w:ascii="Rockwell" w:eastAsiaTheme="majorEastAsia" w:hAnsi="Rockwell" w:cstheme="majorBidi"/>
          <w:kern w:val="28"/>
          <w:sz w:val="24"/>
          <w:szCs w:val="24"/>
        </w:rPr>
        <w:t>grand potentiel de développement de l</w:t>
      </w:r>
      <w:r w:rsidR="006C72DE" w:rsidRPr="00422183">
        <w:rPr>
          <w:rFonts w:ascii="Rockwell" w:eastAsiaTheme="majorEastAsia" w:hAnsi="Rockwell" w:cstheme="majorBidi"/>
          <w:kern w:val="28"/>
          <w:sz w:val="24"/>
          <w:szCs w:val="24"/>
        </w:rPr>
        <w:t>'</w:t>
      </w:r>
      <w:r w:rsidR="00696739" w:rsidRPr="00422183">
        <w:rPr>
          <w:rFonts w:ascii="Rockwell" w:eastAsiaTheme="majorEastAsia" w:hAnsi="Rockwell" w:cstheme="majorBidi"/>
          <w:kern w:val="28"/>
          <w:sz w:val="24"/>
          <w:szCs w:val="24"/>
        </w:rPr>
        <w:t>énergie solaire</w:t>
      </w:r>
      <w:r w:rsidR="00684F8A" w:rsidRPr="00422183">
        <w:rPr>
          <w:rFonts w:ascii="Rockwell" w:eastAsiaTheme="majorEastAsia" w:hAnsi="Rockwell" w:cstheme="majorBidi"/>
          <w:kern w:val="28"/>
          <w:sz w:val="24"/>
          <w:szCs w:val="24"/>
        </w:rPr>
        <w:t xml:space="preserve">, </w:t>
      </w:r>
      <w:r w:rsidR="006A7460" w:rsidRPr="00422183">
        <w:rPr>
          <w:rFonts w:ascii="Rockwell" w:eastAsiaTheme="majorEastAsia" w:hAnsi="Rockwell" w:cstheme="majorBidi"/>
          <w:kern w:val="28"/>
          <w:sz w:val="24"/>
          <w:szCs w:val="24"/>
        </w:rPr>
        <w:t xml:space="preserve">(v) </w:t>
      </w:r>
      <w:r w:rsidR="00333498" w:rsidRPr="00422183">
        <w:rPr>
          <w:rFonts w:ascii="Rockwell" w:eastAsiaTheme="majorEastAsia" w:hAnsi="Rockwell" w:cstheme="majorBidi"/>
          <w:kern w:val="28"/>
          <w:sz w:val="24"/>
          <w:szCs w:val="24"/>
        </w:rPr>
        <w:t>d</w:t>
      </w:r>
      <w:r w:rsidR="006C72DE" w:rsidRPr="00422183">
        <w:rPr>
          <w:rFonts w:ascii="Rockwell" w:eastAsiaTheme="majorEastAsia" w:hAnsi="Rockwell" w:cstheme="majorBidi"/>
          <w:kern w:val="28"/>
          <w:sz w:val="24"/>
          <w:szCs w:val="24"/>
        </w:rPr>
        <w:t>'</w:t>
      </w:r>
      <w:r w:rsidR="006A7460" w:rsidRPr="00422183">
        <w:rPr>
          <w:rFonts w:ascii="Rockwell" w:eastAsiaTheme="majorEastAsia" w:hAnsi="Rockwell" w:cstheme="majorBidi"/>
          <w:kern w:val="28"/>
          <w:sz w:val="24"/>
          <w:szCs w:val="24"/>
        </w:rPr>
        <w:t>une main d</w:t>
      </w:r>
      <w:r w:rsidR="006C72DE" w:rsidRPr="00422183">
        <w:rPr>
          <w:rFonts w:ascii="Rockwell" w:eastAsiaTheme="majorEastAsia" w:hAnsi="Rockwell" w:cstheme="majorBidi"/>
          <w:kern w:val="28"/>
          <w:sz w:val="24"/>
          <w:szCs w:val="24"/>
        </w:rPr>
        <w:t>'</w:t>
      </w:r>
      <w:r w:rsidR="006A7460" w:rsidRPr="00422183">
        <w:rPr>
          <w:rFonts w:ascii="Rockwell" w:eastAsiaTheme="majorEastAsia" w:hAnsi="Rockwell" w:cstheme="majorBidi"/>
          <w:kern w:val="28"/>
          <w:sz w:val="24"/>
          <w:szCs w:val="24"/>
        </w:rPr>
        <w:t>œuvre jeune</w:t>
      </w:r>
      <w:r w:rsidR="00684F8A" w:rsidRPr="00422183">
        <w:rPr>
          <w:rFonts w:ascii="Rockwell" w:eastAsiaTheme="majorEastAsia" w:hAnsi="Rockwell" w:cstheme="majorBidi"/>
          <w:kern w:val="28"/>
          <w:sz w:val="24"/>
          <w:szCs w:val="24"/>
        </w:rPr>
        <w:t xml:space="preserve"> et (iv) et d’une diaspora importante.</w:t>
      </w:r>
    </w:p>
    <w:p w:rsidR="00362FD3" w:rsidRPr="00422183" w:rsidRDefault="00362FD3" w:rsidP="003A0820">
      <w:pPr>
        <w:spacing w:after="0" w:line="240" w:lineRule="auto"/>
        <w:jc w:val="both"/>
        <w:rPr>
          <w:rFonts w:ascii="Rockwell" w:eastAsiaTheme="majorEastAsia" w:hAnsi="Rockwell" w:cstheme="majorBidi"/>
          <w:kern w:val="28"/>
          <w:sz w:val="24"/>
          <w:szCs w:val="24"/>
        </w:rPr>
      </w:pPr>
    </w:p>
    <w:p w:rsidR="00696739" w:rsidRPr="00422183" w:rsidRDefault="00696739"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Ces potentialités pourraient être mises à profit pour exploiter les opportunités qu</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offre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environnement extérieur</w:t>
      </w:r>
      <w:r w:rsidR="006A7460" w:rsidRPr="00422183">
        <w:rPr>
          <w:rFonts w:ascii="Rockwell" w:eastAsiaTheme="majorEastAsia" w:hAnsi="Rockwell" w:cstheme="majorBidi"/>
          <w:kern w:val="28"/>
          <w:sz w:val="24"/>
          <w:szCs w:val="24"/>
        </w:rPr>
        <w:t xml:space="preserve"> </w:t>
      </w:r>
      <w:r w:rsidRPr="00422183">
        <w:rPr>
          <w:rFonts w:ascii="Rockwell" w:eastAsiaTheme="majorEastAsia" w:hAnsi="Rockwell" w:cstheme="majorBidi"/>
          <w:kern w:val="28"/>
          <w:sz w:val="24"/>
          <w:szCs w:val="24"/>
        </w:rPr>
        <w:t xml:space="preserve">dont les </w:t>
      </w:r>
      <w:r w:rsidR="006D07CD" w:rsidRPr="00422183">
        <w:rPr>
          <w:rFonts w:ascii="Rockwell" w:eastAsiaTheme="majorEastAsia" w:hAnsi="Rockwell" w:cstheme="majorBidi"/>
          <w:kern w:val="28"/>
          <w:sz w:val="24"/>
          <w:szCs w:val="24"/>
        </w:rPr>
        <w:t>principales sont</w:t>
      </w:r>
      <w:r w:rsidR="006A7460" w:rsidRPr="00422183">
        <w:rPr>
          <w:rFonts w:ascii="Rockwell" w:eastAsiaTheme="majorEastAsia" w:hAnsi="Rockwell" w:cstheme="majorBidi"/>
          <w:kern w:val="28"/>
          <w:sz w:val="24"/>
          <w:szCs w:val="24"/>
        </w:rPr>
        <w:t> :</w:t>
      </w:r>
      <w:r w:rsidR="001F28D1" w:rsidRPr="00422183">
        <w:rPr>
          <w:rFonts w:ascii="Rockwell" w:eastAsiaTheme="majorEastAsia" w:hAnsi="Rockwell" w:cstheme="majorBidi"/>
          <w:kern w:val="28"/>
          <w:sz w:val="24"/>
          <w:szCs w:val="24"/>
        </w:rPr>
        <w:t xml:space="preserve"> </w:t>
      </w:r>
      <w:r w:rsidR="006A7460" w:rsidRPr="00422183">
        <w:rPr>
          <w:rFonts w:ascii="Rockwell" w:eastAsiaTheme="majorEastAsia" w:hAnsi="Rockwell" w:cstheme="majorBidi"/>
          <w:kern w:val="28"/>
          <w:sz w:val="24"/>
          <w:szCs w:val="24"/>
        </w:rPr>
        <w:t xml:space="preserve">(i) </w:t>
      </w:r>
      <w:r w:rsidR="005F26C0" w:rsidRPr="00422183">
        <w:rPr>
          <w:rFonts w:ascii="Rockwell" w:eastAsiaTheme="majorEastAsia" w:hAnsi="Rockwell" w:cstheme="majorBidi"/>
          <w:kern w:val="28"/>
          <w:sz w:val="24"/>
          <w:szCs w:val="24"/>
        </w:rPr>
        <w:t>un</w:t>
      </w:r>
      <w:r w:rsidR="006A7460" w:rsidRPr="00422183">
        <w:rPr>
          <w:rFonts w:ascii="Rockwell" w:eastAsiaTheme="majorEastAsia" w:hAnsi="Rockwell" w:cstheme="majorBidi"/>
          <w:kern w:val="28"/>
          <w:sz w:val="24"/>
          <w:szCs w:val="24"/>
        </w:rPr>
        <w:t xml:space="preserve"> grand </w:t>
      </w:r>
      <w:r w:rsidR="005F26C0" w:rsidRPr="00422183">
        <w:rPr>
          <w:rFonts w:ascii="Rockwell" w:eastAsiaTheme="majorEastAsia" w:hAnsi="Rockwell" w:cstheme="majorBidi"/>
          <w:kern w:val="28"/>
          <w:sz w:val="24"/>
          <w:szCs w:val="24"/>
        </w:rPr>
        <w:t xml:space="preserve">marché alimentaire ouest africain de plus en plus dynamique, (ii) </w:t>
      </w:r>
      <w:r w:rsidR="0003206B" w:rsidRPr="00422183">
        <w:rPr>
          <w:rFonts w:ascii="Rockwell" w:eastAsiaTheme="majorEastAsia" w:hAnsi="Rockwell" w:cstheme="majorBidi"/>
          <w:kern w:val="28"/>
          <w:sz w:val="24"/>
          <w:szCs w:val="24"/>
        </w:rPr>
        <w:t>la libre circulation des biens et des personne</w:t>
      </w:r>
      <w:r w:rsidR="00333498" w:rsidRPr="00422183">
        <w:rPr>
          <w:rFonts w:ascii="Rockwell" w:eastAsiaTheme="majorEastAsia" w:hAnsi="Rockwell" w:cstheme="majorBidi"/>
          <w:kern w:val="28"/>
          <w:sz w:val="24"/>
          <w:szCs w:val="24"/>
        </w:rPr>
        <w:t>s</w:t>
      </w:r>
      <w:r w:rsidR="0003206B" w:rsidRPr="00422183">
        <w:rPr>
          <w:rFonts w:ascii="Rockwell" w:eastAsiaTheme="majorEastAsia" w:hAnsi="Rockwell" w:cstheme="majorBidi"/>
          <w:kern w:val="28"/>
          <w:sz w:val="24"/>
          <w:szCs w:val="24"/>
        </w:rPr>
        <w:t xml:space="preserve"> dans l</w:t>
      </w:r>
      <w:r w:rsidR="006C72DE" w:rsidRPr="00422183">
        <w:rPr>
          <w:rFonts w:ascii="Rockwell" w:eastAsiaTheme="majorEastAsia" w:hAnsi="Rockwell" w:cstheme="majorBidi"/>
          <w:kern w:val="28"/>
          <w:sz w:val="24"/>
          <w:szCs w:val="24"/>
        </w:rPr>
        <w:t>'</w:t>
      </w:r>
      <w:r w:rsidR="0003206B" w:rsidRPr="00422183">
        <w:rPr>
          <w:rFonts w:ascii="Rockwell" w:eastAsiaTheme="majorEastAsia" w:hAnsi="Rockwell" w:cstheme="majorBidi"/>
          <w:kern w:val="28"/>
          <w:sz w:val="24"/>
          <w:szCs w:val="24"/>
        </w:rPr>
        <w:t xml:space="preserve">espace communautaire </w:t>
      </w:r>
      <w:r w:rsidR="00333498" w:rsidRPr="00422183">
        <w:rPr>
          <w:rFonts w:ascii="Rockwell" w:eastAsiaTheme="majorEastAsia" w:hAnsi="Rockwell" w:cstheme="majorBidi"/>
          <w:kern w:val="28"/>
          <w:sz w:val="24"/>
          <w:szCs w:val="24"/>
        </w:rPr>
        <w:t>o</w:t>
      </w:r>
      <w:r w:rsidR="0003206B" w:rsidRPr="00422183">
        <w:rPr>
          <w:rFonts w:ascii="Rockwell" w:eastAsiaTheme="majorEastAsia" w:hAnsi="Rockwell" w:cstheme="majorBidi"/>
          <w:kern w:val="28"/>
          <w:sz w:val="24"/>
          <w:szCs w:val="24"/>
        </w:rPr>
        <w:t>uest-africain, (iii) l</w:t>
      </w:r>
      <w:r w:rsidR="006C72DE" w:rsidRPr="00422183">
        <w:rPr>
          <w:rFonts w:ascii="Rockwell" w:eastAsiaTheme="majorEastAsia" w:hAnsi="Rockwell" w:cstheme="majorBidi"/>
          <w:kern w:val="28"/>
          <w:sz w:val="24"/>
          <w:szCs w:val="24"/>
        </w:rPr>
        <w:t>'</w:t>
      </w:r>
      <w:r w:rsidR="0003206B" w:rsidRPr="00422183">
        <w:rPr>
          <w:rFonts w:ascii="Rockwell" w:eastAsiaTheme="majorEastAsia" w:hAnsi="Rockwell" w:cstheme="majorBidi"/>
          <w:kern w:val="28"/>
          <w:sz w:val="24"/>
          <w:szCs w:val="24"/>
        </w:rPr>
        <w:t>accroissement de la demande mondiale de</w:t>
      </w:r>
      <w:r w:rsidR="00922488" w:rsidRPr="00422183">
        <w:rPr>
          <w:rFonts w:ascii="Rockwell" w:eastAsiaTheme="majorEastAsia" w:hAnsi="Rockwell" w:cstheme="majorBidi"/>
          <w:kern w:val="28"/>
          <w:sz w:val="24"/>
          <w:szCs w:val="24"/>
        </w:rPr>
        <w:t xml:space="preserve"> produits agricoles notamment en Europe de l</w:t>
      </w:r>
      <w:r w:rsidR="006C72DE" w:rsidRPr="00422183">
        <w:rPr>
          <w:rFonts w:ascii="Rockwell" w:eastAsiaTheme="majorEastAsia" w:hAnsi="Rockwell" w:cstheme="majorBidi"/>
          <w:kern w:val="28"/>
          <w:sz w:val="24"/>
          <w:szCs w:val="24"/>
        </w:rPr>
        <w:t>'</w:t>
      </w:r>
      <w:r w:rsidR="00922488" w:rsidRPr="00422183">
        <w:rPr>
          <w:rFonts w:ascii="Rockwell" w:eastAsiaTheme="majorEastAsia" w:hAnsi="Rockwell" w:cstheme="majorBidi"/>
          <w:kern w:val="28"/>
          <w:sz w:val="24"/>
          <w:szCs w:val="24"/>
        </w:rPr>
        <w:t>Est, en Inde et en Chine</w:t>
      </w:r>
      <w:r w:rsidR="001F28D1" w:rsidRPr="00422183">
        <w:rPr>
          <w:rFonts w:ascii="Rockwell" w:eastAsiaTheme="majorEastAsia" w:hAnsi="Rockwell" w:cstheme="majorBidi"/>
          <w:kern w:val="28"/>
          <w:sz w:val="24"/>
          <w:szCs w:val="24"/>
        </w:rPr>
        <w:t>,</w:t>
      </w:r>
      <w:r w:rsidR="00832ED1" w:rsidRPr="00422183">
        <w:rPr>
          <w:rFonts w:ascii="Rockwell" w:eastAsiaTheme="majorEastAsia" w:hAnsi="Rockwell" w:cstheme="majorBidi"/>
          <w:kern w:val="28"/>
          <w:sz w:val="24"/>
          <w:szCs w:val="24"/>
        </w:rPr>
        <w:t xml:space="preserve"> (iv) l</w:t>
      </w:r>
      <w:r w:rsidR="00810B03" w:rsidRPr="00422183">
        <w:rPr>
          <w:rFonts w:ascii="Rockwell" w:eastAsiaTheme="majorEastAsia" w:hAnsi="Rockwell" w:cstheme="majorBidi"/>
          <w:kern w:val="28"/>
          <w:sz w:val="24"/>
          <w:szCs w:val="24"/>
        </w:rPr>
        <w:t>e développement et l</w:t>
      </w:r>
      <w:r w:rsidR="00832ED1" w:rsidRPr="00422183">
        <w:rPr>
          <w:rFonts w:ascii="Rockwell" w:eastAsiaTheme="majorEastAsia" w:hAnsi="Rockwell" w:cstheme="majorBidi"/>
          <w:kern w:val="28"/>
          <w:sz w:val="24"/>
          <w:szCs w:val="24"/>
        </w:rPr>
        <w:t>a baisse des coûts d</w:t>
      </w:r>
      <w:r w:rsidR="006C72DE" w:rsidRPr="00422183">
        <w:rPr>
          <w:rFonts w:ascii="Rockwell" w:eastAsiaTheme="majorEastAsia" w:hAnsi="Rockwell" w:cstheme="majorBidi"/>
          <w:kern w:val="28"/>
          <w:sz w:val="24"/>
          <w:szCs w:val="24"/>
        </w:rPr>
        <w:t>'</w:t>
      </w:r>
      <w:r w:rsidR="00832ED1" w:rsidRPr="00422183">
        <w:rPr>
          <w:rFonts w:ascii="Rockwell" w:eastAsiaTheme="majorEastAsia" w:hAnsi="Rockwell" w:cstheme="majorBidi"/>
          <w:kern w:val="28"/>
          <w:sz w:val="24"/>
          <w:szCs w:val="24"/>
        </w:rPr>
        <w:t xml:space="preserve">accès </w:t>
      </w:r>
      <w:r w:rsidR="00946258" w:rsidRPr="00422183">
        <w:rPr>
          <w:rFonts w:ascii="Rockwell" w:eastAsiaTheme="majorEastAsia" w:hAnsi="Rockwell" w:cstheme="majorBidi"/>
          <w:kern w:val="28"/>
          <w:sz w:val="24"/>
          <w:szCs w:val="24"/>
        </w:rPr>
        <w:t xml:space="preserve">aux </w:t>
      </w:r>
      <w:r w:rsidR="00832ED1" w:rsidRPr="00422183">
        <w:rPr>
          <w:rFonts w:ascii="Rockwell" w:eastAsiaTheme="majorEastAsia" w:hAnsi="Rockwell" w:cstheme="majorBidi"/>
          <w:kern w:val="28"/>
          <w:sz w:val="24"/>
          <w:szCs w:val="24"/>
        </w:rPr>
        <w:t>TIC</w:t>
      </w:r>
      <w:r w:rsidR="0003206B" w:rsidRPr="00422183">
        <w:rPr>
          <w:rFonts w:ascii="Rockwell" w:eastAsiaTheme="majorEastAsia" w:hAnsi="Rockwell" w:cstheme="majorBidi"/>
          <w:kern w:val="28"/>
          <w:sz w:val="24"/>
          <w:szCs w:val="24"/>
        </w:rPr>
        <w:t>.</w:t>
      </w:r>
    </w:p>
    <w:p w:rsidR="00832ED1" w:rsidRPr="00422183" w:rsidRDefault="00832ED1" w:rsidP="003A0820">
      <w:pPr>
        <w:spacing w:after="0" w:line="240" w:lineRule="auto"/>
        <w:jc w:val="both"/>
        <w:rPr>
          <w:rFonts w:ascii="Rockwell" w:eastAsiaTheme="majorEastAsia" w:hAnsi="Rockwell" w:cstheme="majorBidi"/>
          <w:kern w:val="28"/>
          <w:sz w:val="24"/>
          <w:szCs w:val="24"/>
        </w:rPr>
      </w:pPr>
    </w:p>
    <w:p w:rsidR="00810B03" w:rsidRPr="00422183" w:rsidRDefault="00810B03" w:rsidP="003A0820">
      <w:pPr>
        <w:pStyle w:val="PNDES2"/>
      </w:pPr>
      <w:bookmarkStart w:id="102" w:name="_Toc452994150"/>
      <w:bookmarkStart w:id="103" w:name="_Toc452994598"/>
      <w:bookmarkStart w:id="104" w:name="_Toc452995038"/>
      <w:bookmarkStart w:id="105" w:name="_Toc453158150"/>
      <w:bookmarkStart w:id="106" w:name="_Toc453160738"/>
      <w:bookmarkStart w:id="107" w:name="_Toc453160933"/>
      <w:bookmarkStart w:id="108" w:name="_Toc455079229"/>
      <w:bookmarkStart w:id="109" w:name="_Toc455132723"/>
      <w:r w:rsidRPr="00422183">
        <w:t xml:space="preserve">Un capital </w:t>
      </w:r>
      <w:r w:rsidR="00D52628" w:rsidRPr="00422183">
        <w:t xml:space="preserve">humain insuffisant </w:t>
      </w:r>
      <w:r w:rsidR="007711B5" w:rsidRPr="00422183">
        <w:t>et</w:t>
      </w:r>
      <w:r w:rsidR="006D07CD" w:rsidRPr="00422183">
        <w:t xml:space="preserve"> </w:t>
      </w:r>
      <w:r w:rsidR="00946258" w:rsidRPr="00422183">
        <w:t xml:space="preserve">peu </w:t>
      </w:r>
      <w:r w:rsidR="007711B5" w:rsidRPr="00422183">
        <w:t>adapté</w:t>
      </w:r>
      <w:r w:rsidR="00D52628" w:rsidRPr="00422183">
        <w:t xml:space="preserve"> aux besoins du </w:t>
      </w:r>
      <w:r w:rsidRPr="00422183">
        <w:t>développ</w:t>
      </w:r>
      <w:r w:rsidR="00D52628" w:rsidRPr="00422183">
        <w:t>ement du système productif national</w:t>
      </w:r>
      <w:bookmarkEnd w:id="102"/>
      <w:bookmarkEnd w:id="103"/>
      <w:bookmarkEnd w:id="104"/>
      <w:bookmarkEnd w:id="105"/>
      <w:bookmarkEnd w:id="106"/>
      <w:bookmarkEnd w:id="107"/>
      <w:bookmarkEnd w:id="108"/>
      <w:bookmarkEnd w:id="109"/>
      <w:r w:rsidRPr="00422183">
        <w:t> </w:t>
      </w:r>
    </w:p>
    <w:p w:rsidR="00810B03" w:rsidRPr="00422183" w:rsidRDefault="00810B03" w:rsidP="003A0820">
      <w:pPr>
        <w:spacing w:after="0" w:line="240" w:lineRule="auto"/>
        <w:jc w:val="both"/>
        <w:rPr>
          <w:rFonts w:ascii="Rockwell" w:eastAsiaTheme="majorEastAsia" w:hAnsi="Rockwell" w:cstheme="majorBidi"/>
          <w:kern w:val="28"/>
          <w:sz w:val="24"/>
          <w:szCs w:val="24"/>
        </w:rPr>
      </w:pPr>
    </w:p>
    <w:p w:rsidR="00810B03" w:rsidRPr="00422183" w:rsidRDefault="001F3AE5"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Le capital humain</w:t>
      </w:r>
      <w:r w:rsidR="003F2E59" w:rsidRPr="00422183">
        <w:rPr>
          <w:rFonts w:ascii="Rockwell" w:eastAsiaTheme="majorEastAsia" w:hAnsi="Rockwell" w:cstheme="majorBidi"/>
          <w:kern w:val="28"/>
          <w:sz w:val="24"/>
          <w:szCs w:val="24"/>
        </w:rPr>
        <w:t>, compris</w:t>
      </w:r>
      <w:r w:rsidR="009548D9" w:rsidRPr="00422183">
        <w:rPr>
          <w:rFonts w:ascii="Rockwell" w:eastAsiaTheme="majorEastAsia" w:hAnsi="Rockwell" w:cstheme="majorBidi"/>
          <w:kern w:val="28"/>
          <w:sz w:val="24"/>
          <w:szCs w:val="24"/>
        </w:rPr>
        <w:t xml:space="preserve"> comme l</w:t>
      </w:r>
      <w:r w:rsidR="006C72DE" w:rsidRPr="00422183">
        <w:rPr>
          <w:rFonts w:ascii="Rockwell" w:eastAsiaTheme="majorEastAsia" w:hAnsi="Rockwell" w:cstheme="majorBidi"/>
          <w:kern w:val="28"/>
          <w:sz w:val="24"/>
          <w:szCs w:val="24"/>
        </w:rPr>
        <w:t>'</w:t>
      </w:r>
      <w:r w:rsidR="009548D9" w:rsidRPr="00422183">
        <w:rPr>
          <w:rFonts w:ascii="Rockwell" w:eastAsiaTheme="majorEastAsia" w:hAnsi="Rockwell" w:cstheme="majorBidi"/>
          <w:kern w:val="28"/>
          <w:sz w:val="24"/>
          <w:szCs w:val="24"/>
        </w:rPr>
        <w:t>ensemble des aptitudes, talents, qualifications ou expériences accumulés par un individu et qui déterminent en partie sa capacité à travailler ou à produire pour lui-même ou pour les autres</w:t>
      </w:r>
      <w:r w:rsidR="003F2E59" w:rsidRPr="00422183">
        <w:rPr>
          <w:rFonts w:ascii="Rockwell" w:eastAsiaTheme="majorEastAsia" w:hAnsi="Rockwell" w:cstheme="majorBidi"/>
          <w:kern w:val="28"/>
          <w:sz w:val="24"/>
          <w:szCs w:val="24"/>
        </w:rPr>
        <w:t>,</w:t>
      </w:r>
      <w:r w:rsidR="009548D9" w:rsidRPr="00422183">
        <w:rPr>
          <w:rFonts w:ascii="Rockwell" w:eastAsiaTheme="majorEastAsia" w:hAnsi="Rockwell" w:cstheme="majorBidi"/>
          <w:kern w:val="28"/>
          <w:sz w:val="24"/>
          <w:szCs w:val="24"/>
        </w:rPr>
        <w:t xml:space="preserve"> </w:t>
      </w:r>
      <w:r w:rsidR="00AE57F5" w:rsidRPr="00422183">
        <w:rPr>
          <w:rFonts w:ascii="Rockwell" w:eastAsiaTheme="majorEastAsia" w:hAnsi="Rockwell" w:cstheme="majorBidi"/>
          <w:kern w:val="28"/>
          <w:sz w:val="24"/>
          <w:szCs w:val="24"/>
        </w:rPr>
        <w:t>dépend de</w:t>
      </w:r>
      <w:r w:rsidRPr="00422183">
        <w:rPr>
          <w:rFonts w:ascii="Rockwell" w:eastAsiaTheme="majorEastAsia" w:hAnsi="Rockwell" w:cstheme="majorBidi"/>
          <w:kern w:val="28"/>
          <w:sz w:val="24"/>
          <w:szCs w:val="24"/>
        </w:rPr>
        <w:t xml:space="preserve"> la dynamique démographique,</w:t>
      </w:r>
      <w:r w:rsidR="00AE57F5" w:rsidRPr="00422183">
        <w:rPr>
          <w:rFonts w:ascii="Rockwell" w:eastAsiaTheme="majorEastAsia" w:hAnsi="Rockwell" w:cstheme="majorBidi"/>
          <w:kern w:val="28"/>
          <w:sz w:val="24"/>
          <w:szCs w:val="24"/>
        </w:rPr>
        <w:t xml:space="preserve"> de </w:t>
      </w:r>
      <w:r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accès aux services sociaux de base</w:t>
      </w:r>
      <w:r w:rsidR="00AE57F5" w:rsidRPr="00422183">
        <w:rPr>
          <w:rFonts w:ascii="Rockwell" w:eastAsiaTheme="majorEastAsia" w:hAnsi="Rockwell" w:cstheme="majorBidi"/>
          <w:kern w:val="28"/>
          <w:sz w:val="24"/>
          <w:szCs w:val="24"/>
        </w:rPr>
        <w:t xml:space="preserve"> (santé</w:t>
      </w:r>
      <w:r w:rsidRPr="00422183">
        <w:rPr>
          <w:rFonts w:ascii="Rockwell" w:eastAsiaTheme="majorEastAsia" w:hAnsi="Rockwell" w:cstheme="majorBidi"/>
          <w:kern w:val="28"/>
          <w:sz w:val="24"/>
          <w:szCs w:val="24"/>
        </w:rPr>
        <w:t>,</w:t>
      </w:r>
      <w:r w:rsidR="00AE57F5" w:rsidRPr="00422183">
        <w:rPr>
          <w:rFonts w:ascii="Rockwell" w:eastAsiaTheme="majorEastAsia" w:hAnsi="Rockwell" w:cstheme="majorBidi"/>
          <w:kern w:val="28"/>
          <w:sz w:val="24"/>
          <w:szCs w:val="24"/>
        </w:rPr>
        <w:t xml:space="preserve"> éducation, eau et assainissement), de </w:t>
      </w:r>
      <w:r w:rsidRPr="00422183">
        <w:rPr>
          <w:rFonts w:ascii="Rockwell" w:eastAsiaTheme="majorEastAsia" w:hAnsi="Rockwell" w:cstheme="majorBidi"/>
          <w:kern w:val="28"/>
          <w:sz w:val="24"/>
          <w:szCs w:val="24"/>
        </w:rPr>
        <w:t xml:space="preserve">la </w:t>
      </w:r>
      <w:r w:rsidR="003F2E59" w:rsidRPr="00422183">
        <w:rPr>
          <w:rFonts w:ascii="Rockwell" w:eastAsiaTheme="majorEastAsia" w:hAnsi="Rockwell" w:cstheme="majorBidi"/>
          <w:kern w:val="28"/>
          <w:sz w:val="24"/>
          <w:szCs w:val="24"/>
        </w:rPr>
        <w:t>r</w:t>
      </w:r>
      <w:r w:rsidRPr="00422183">
        <w:rPr>
          <w:rFonts w:ascii="Rockwell" w:eastAsiaTheme="majorEastAsia" w:hAnsi="Rockwell" w:cstheme="majorBidi"/>
          <w:kern w:val="28"/>
          <w:sz w:val="24"/>
          <w:szCs w:val="24"/>
        </w:rPr>
        <w:t>echerche-</w:t>
      </w:r>
      <w:r w:rsidR="003F2E59" w:rsidRPr="00422183">
        <w:rPr>
          <w:rFonts w:ascii="Rockwell" w:eastAsiaTheme="majorEastAsia" w:hAnsi="Rockwell" w:cstheme="majorBidi"/>
          <w:kern w:val="28"/>
          <w:sz w:val="24"/>
          <w:szCs w:val="24"/>
        </w:rPr>
        <w:t>d</w:t>
      </w:r>
      <w:r w:rsidR="006D07CD" w:rsidRPr="00422183">
        <w:rPr>
          <w:rFonts w:ascii="Rockwell" w:eastAsiaTheme="majorEastAsia" w:hAnsi="Rockwell" w:cstheme="majorBidi"/>
          <w:kern w:val="28"/>
          <w:sz w:val="24"/>
          <w:szCs w:val="24"/>
        </w:rPr>
        <w:t>éveloppement, des</w:t>
      </w:r>
      <w:r w:rsidR="00AE57F5" w:rsidRPr="00422183">
        <w:rPr>
          <w:rFonts w:ascii="Rockwell" w:eastAsiaTheme="majorEastAsia" w:hAnsi="Rockwell" w:cstheme="majorBidi"/>
          <w:kern w:val="28"/>
          <w:sz w:val="24"/>
          <w:szCs w:val="24"/>
        </w:rPr>
        <w:t xml:space="preserve"> op</w:t>
      </w:r>
      <w:r w:rsidR="00561425" w:rsidRPr="00422183">
        <w:rPr>
          <w:rFonts w:ascii="Rockwell" w:eastAsiaTheme="majorEastAsia" w:hAnsi="Rockwell" w:cstheme="majorBidi"/>
          <w:kern w:val="28"/>
          <w:sz w:val="24"/>
          <w:szCs w:val="24"/>
        </w:rPr>
        <w:t xml:space="preserve">portunités en matière de </w:t>
      </w:r>
      <w:r w:rsidR="00AE57F5" w:rsidRPr="00422183">
        <w:rPr>
          <w:rFonts w:ascii="Rockwell" w:eastAsiaTheme="majorEastAsia" w:hAnsi="Rockwell" w:cstheme="majorBidi"/>
          <w:kern w:val="28"/>
          <w:sz w:val="24"/>
          <w:szCs w:val="24"/>
        </w:rPr>
        <w:t>d</w:t>
      </w:r>
      <w:r w:rsidR="006C72DE" w:rsidRPr="00422183">
        <w:rPr>
          <w:rFonts w:ascii="Rockwell" w:eastAsiaTheme="majorEastAsia" w:hAnsi="Rockwell" w:cstheme="majorBidi"/>
          <w:kern w:val="28"/>
          <w:sz w:val="24"/>
          <w:szCs w:val="24"/>
        </w:rPr>
        <w:t>'</w:t>
      </w:r>
      <w:r w:rsidR="00AE57F5" w:rsidRPr="00422183">
        <w:rPr>
          <w:rFonts w:ascii="Rockwell" w:eastAsiaTheme="majorEastAsia" w:hAnsi="Rockwell" w:cstheme="majorBidi"/>
          <w:kern w:val="28"/>
          <w:sz w:val="24"/>
          <w:szCs w:val="24"/>
        </w:rPr>
        <w:t>emploi</w:t>
      </w:r>
      <w:r w:rsidR="00B449AE" w:rsidRPr="00422183">
        <w:rPr>
          <w:rFonts w:ascii="Rockwell" w:eastAsiaTheme="majorEastAsia" w:hAnsi="Rockwell" w:cstheme="majorBidi"/>
          <w:kern w:val="28"/>
          <w:sz w:val="24"/>
          <w:szCs w:val="24"/>
        </w:rPr>
        <w:t xml:space="preserve">, </w:t>
      </w:r>
      <w:r w:rsidR="003A39F6" w:rsidRPr="00422183">
        <w:rPr>
          <w:rFonts w:ascii="Rockwell" w:eastAsiaTheme="majorEastAsia" w:hAnsi="Rockwell" w:cstheme="majorBidi"/>
          <w:kern w:val="28"/>
          <w:sz w:val="24"/>
          <w:szCs w:val="24"/>
        </w:rPr>
        <w:t>de formation</w:t>
      </w:r>
      <w:r w:rsidR="00B449AE" w:rsidRPr="00422183">
        <w:rPr>
          <w:rFonts w:ascii="Rockwell" w:eastAsiaTheme="majorEastAsia" w:hAnsi="Rockwell" w:cstheme="majorBidi"/>
          <w:kern w:val="28"/>
          <w:sz w:val="24"/>
          <w:szCs w:val="24"/>
        </w:rPr>
        <w:t xml:space="preserve"> et </w:t>
      </w:r>
      <w:r w:rsidR="003A39F6" w:rsidRPr="00422183">
        <w:rPr>
          <w:rFonts w:ascii="Rockwell" w:eastAsiaTheme="majorEastAsia" w:hAnsi="Rockwell" w:cstheme="majorBidi"/>
          <w:kern w:val="28"/>
          <w:sz w:val="24"/>
          <w:szCs w:val="24"/>
        </w:rPr>
        <w:t>d</w:t>
      </w:r>
      <w:r w:rsidR="00B449AE" w:rsidRPr="00422183">
        <w:rPr>
          <w:rFonts w:ascii="Rockwell" w:eastAsiaTheme="majorEastAsia" w:hAnsi="Rockwell" w:cstheme="majorBidi"/>
          <w:kern w:val="28"/>
          <w:sz w:val="24"/>
          <w:szCs w:val="24"/>
        </w:rPr>
        <w:t>'urbanisation</w:t>
      </w:r>
      <w:r w:rsidR="00E93B70" w:rsidRPr="00422183">
        <w:rPr>
          <w:rFonts w:ascii="Rockwell" w:eastAsiaTheme="majorEastAsia" w:hAnsi="Rockwell" w:cstheme="majorBidi"/>
          <w:kern w:val="28"/>
          <w:sz w:val="24"/>
          <w:szCs w:val="24"/>
        </w:rPr>
        <w:t>.</w:t>
      </w:r>
    </w:p>
    <w:p w:rsidR="001F3AE5" w:rsidRPr="00422183" w:rsidRDefault="001F3AE5" w:rsidP="003A0820">
      <w:pPr>
        <w:spacing w:after="0" w:line="240" w:lineRule="auto"/>
        <w:jc w:val="both"/>
        <w:rPr>
          <w:rFonts w:ascii="Rockwell" w:eastAsiaTheme="majorEastAsia" w:hAnsi="Rockwell" w:cstheme="majorBidi"/>
          <w:kern w:val="28"/>
          <w:sz w:val="24"/>
          <w:szCs w:val="24"/>
        </w:rPr>
      </w:pPr>
    </w:p>
    <w:p w:rsidR="00B354F3" w:rsidRPr="00422183" w:rsidRDefault="00123209" w:rsidP="003A0820">
      <w:pPr>
        <w:pStyle w:val="PNDES3"/>
        <w:rPr>
          <w:rFonts w:ascii="Rockwell" w:hAnsi="Rockwell"/>
        </w:rPr>
      </w:pPr>
      <w:bookmarkStart w:id="110" w:name="_Toc452994151"/>
      <w:bookmarkStart w:id="111" w:name="_Toc452994599"/>
      <w:bookmarkStart w:id="112" w:name="_Toc452995039"/>
      <w:bookmarkStart w:id="113" w:name="_Toc453160739"/>
      <w:bookmarkStart w:id="114" w:name="_Toc455132724"/>
      <w:r w:rsidRPr="00422183">
        <w:rPr>
          <w:rFonts w:ascii="Rockwell" w:hAnsi="Rockwell"/>
        </w:rPr>
        <w:t>Une f</w:t>
      </w:r>
      <w:r w:rsidR="00B354F3" w:rsidRPr="00422183">
        <w:rPr>
          <w:rFonts w:ascii="Rockwell" w:hAnsi="Rockwell"/>
        </w:rPr>
        <w:t>orte croissance démographique</w:t>
      </w:r>
      <w:r w:rsidRPr="00422183">
        <w:rPr>
          <w:rFonts w:ascii="Rockwell" w:hAnsi="Rockwell"/>
        </w:rPr>
        <w:t xml:space="preserve"> qui </w:t>
      </w:r>
      <w:r w:rsidR="00EB7AAD" w:rsidRPr="00422183">
        <w:rPr>
          <w:rFonts w:ascii="Rockwell" w:hAnsi="Rockwell"/>
        </w:rPr>
        <w:t xml:space="preserve">plombe </w:t>
      </w:r>
      <w:r w:rsidRPr="00422183">
        <w:rPr>
          <w:rFonts w:ascii="Rockwell" w:hAnsi="Rockwell"/>
        </w:rPr>
        <w:t>les progrès en matière de développement</w:t>
      </w:r>
      <w:bookmarkEnd w:id="110"/>
      <w:bookmarkEnd w:id="111"/>
      <w:bookmarkEnd w:id="112"/>
      <w:bookmarkEnd w:id="113"/>
      <w:bookmarkEnd w:id="114"/>
    </w:p>
    <w:p w:rsidR="00B354F3" w:rsidRPr="00422183" w:rsidRDefault="00B354F3" w:rsidP="003A0820">
      <w:pPr>
        <w:spacing w:after="0" w:line="240" w:lineRule="auto"/>
        <w:jc w:val="both"/>
        <w:rPr>
          <w:rFonts w:ascii="Rockwell" w:eastAsiaTheme="majorEastAsia" w:hAnsi="Rockwell" w:cstheme="majorBidi"/>
          <w:kern w:val="28"/>
          <w:sz w:val="24"/>
          <w:szCs w:val="24"/>
        </w:rPr>
      </w:pPr>
    </w:p>
    <w:p w:rsidR="00B354F3" w:rsidRPr="00422183" w:rsidRDefault="00B354F3"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La population du Burkina Faso est estimée à 19 034 397 habitants en 2016 et pourrait atteindre 21 510 181 </w:t>
      </w:r>
      <w:r w:rsidR="001340B9" w:rsidRPr="00422183">
        <w:rPr>
          <w:rFonts w:ascii="Rockwell" w:eastAsiaTheme="majorEastAsia" w:hAnsi="Rockwell" w:cstheme="majorBidi"/>
          <w:kern w:val="28"/>
          <w:sz w:val="24"/>
          <w:szCs w:val="24"/>
        </w:rPr>
        <w:t>d’</w:t>
      </w:r>
      <w:r w:rsidRPr="00422183">
        <w:rPr>
          <w:rFonts w:ascii="Rockwell" w:eastAsiaTheme="majorEastAsia" w:hAnsi="Rockwell" w:cstheme="majorBidi"/>
          <w:kern w:val="28"/>
          <w:sz w:val="24"/>
          <w:szCs w:val="24"/>
        </w:rPr>
        <w:t>habitants en 2020. Cette pop</w:t>
      </w:r>
      <w:r w:rsidR="00123209" w:rsidRPr="00422183">
        <w:rPr>
          <w:rFonts w:ascii="Rockwell" w:eastAsiaTheme="majorEastAsia" w:hAnsi="Rockwell" w:cstheme="majorBidi"/>
          <w:kern w:val="28"/>
          <w:sz w:val="24"/>
          <w:szCs w:val="24"/>
        </w:rPr>
        <w:t xml:space="preserve">ulation est caractérisée par </w:t>
      </w:r>
      <w:r w:rsidRPr="00422183">
        <w:rPr>
          <w:rFonts w:ascii="Rockwell" w:eastAsiaTheme="majorEastAsia" w:hAnsi="Rockwell" w:cstheme="majorBidi"/>
          <w:kern w:val="28"/>
          <w:sz w:val="24"/>
          <w:szCs w:val="24"/>
        </w:rPr>
        <w:t>son extrême jeunesse. En effet, 47%</w:t>
      </w:r>
      <w:r w:rsidR="00123209" w:rsidRPr="00422183">
        <w:rPr>
          <w:rFonts w:ascii="Rockwell" w:eastAsiaTheme="majorEastAsia" w:hAnsi="Rockwell" w:cstheme="majorBidi"/>
          <w:kern w:val="28"/>
          <w:sz w:val="24"/>
          <w:szCs w:val="24"/>
        </w:rPr>
        <w:t xml:space="preserve"> de la population est</w:t>
      </w:r>
      <w:r w:rsidRPr="00422183">
        <w:rPr>
          <w:rFonts w:ascii="Rockwell" w:eastAsiaTheme="majorEastAsia" w:hAnsi="Rockwell" w:cstheme="majorBidi"/>
          <w:kern w:val="28"/>
          <w:sz w:val="24"/>
          <w:szCs w:val="24"/>
        </w:rPr>
        <w:t xml:space="preserve"> âgé</w:t>
      </w:r>
      <w:r w:rsidR="001340B9" w:rsidRPr="00422183">
        <w:rPr>
          <w:rFonts w:ascii="Rockwell" w:eastAsiaTheme="majorEastAsia" w:hAnsi="Rockwell" w:cstheme="majorBidi"/>
          <w:kern w:val="28"/>
          <w:sz w:val="24"/>
          <w:szCs w:val="24"/>
        </w:rPr>
        <w:t>e</w:t>
      </w:r>
      <w:r w:rsidRPr="00422183">
        <w:rPr>
          <w:rFonts w:ascii="Rockwell" w:eastAsiaTheme="majorEastAsia" w:hAnsi="Rockwell" w:cstheme="majorBidi"/>
          <w:kern w:val="28"/>
          <w:sz w:val="24"/>
          <w:szCs w:val="24"/>
        </w:rPr>
        <w:t xml:space="preserve"> de moins de 15 ans, 67% de moins de 25 ans et 33,2% de</w:t>
      </w:r>
      <w:r w:rsidR="00123209" w:rsidRPr="00422183">
        <w:rPr>
          <w:rFonts w:ascii="Rockwell" w:eastAsiaTheme="majorEastAsia" w:hAnsi="Rockwell" w:cstheme="majorBidi"/>
          <w:kern w:val="28"/>
          <w:sz w:val="24"/>
          <w:szCs w:val="24"/>
        </w:rPr>
        <w:t>s</w:t>
      </w:r>
      <w:r w:rsidRPr="00422183">
        <w:rPr>
          <w:rFonts w:ascii="Rockwell" w:eastAsiaTheme="majorEastAsia" w:hAnsi="Rockwell" w:cstheme="majorBidi"/>
          <w:kern w:val="28"/>
          <w:sz w:val="24"/>
          <w:szCs w:val="24"/>
        </w:rPr>
        <w:t xml:space="preserve"> jeu</w:t>
      </w:r>
      <w:r w:rsidR="000853EA" w:rsidRPr="00422183">
        <w:rPr>
          <w:rFonts w:ascii="Rockwell" w:eastAsiaTheme="majorEastAsia" w:hAnsi="Rockwell" w:cstheme="majorBidi"/>
          <w:kern w:val="28"/>
          <w:sz w:val="24"/>
          <w:szCs w:val="24"/>
        </w:rPr>
        <w:t xml:space="preserve">nes </w:t>
      </w:r>
      <w:r w:rsidR="00123209" w:rsidRPr="00422183">
        <w:rPr>
          <w:rFonts w:ascii="Rockwell" w:eastAsiaTheme="majorEastAsia" w:hAnsi="Rockwell" w:cstheme="majorBidi"/>
          <w:kern w:val="28"/>
          <w:sz w:val="24"/>
          <w:szCs w:val="24"/>
        </w:rPr>
        <w:t xml:space="preserve">ont un </w:t>
      </w:r>
      <w:r w:rsidR="000853EA" w:rsidRPr="00422183">
        <w:rPr>
          <w:rFonts w:ascii="Rockwell" w:eastAsiaTheme="majorEastAsia" w:hAnsi="Rockwell" w:cstheme="majorBidi"/>
          <w:kern w:val="28"/>
          <w:sz w:val="24"/>
          <w:szCs w:val="24"/>
        </w:rPr>
        <w:t xml:space="preserve">âge </w:t>
      </w:r>
      <w:r w:rsidR="00123209" w:rsidRPr="00422183">
        <w:rPr>
          <w:rFonts w:ascii="Rockwell" w:eastAsiaTheme="majorEastAsia" w:hAnsi="Rockwell" w:cstheme="majorBidi"/>
          <w:kern w:val="28"/>
          <w:sz w:val="24"/>
          <w:szCs w:val="24"/>
        </w:rPr>
        <w:t>compris entre</w:t>
      </w:r>
      <w:r w:rsidR="007A2CF3" w:rsidRPr="00422183">
        <w:rPr>
          <w:rFonts w:ascii="Rockwell" w:eastAsiaTheme="majorEastAsia" w:hAnsi="Rockwell" w:cstheme="majorBidi"/>
          <w:kern w:val="28"/>
          <w:sz w:val="24"/>
          <w:szCs w:val="24"/>
        </w:rPr>
        <w:t xml:space="preserve"> </w:t>
      </w:r>
      <w:r w:rsidR="000853EA" w:rsidRPr="00422183">
        <w:rPr>
          <w:rFonts w:ascii="Rockwell" w:eastAsiaTheme="majorEastAsia" w:hAnsi="Rockwell" w:cstheme="majorBidi"/>
          <w:kern w:val="28"/>
          <w:sz w:val="24"/>
          <w:szCs w:val="24"/>
        </w:rPr>
        <w:t>15</w:t>
      </w:r>
      <w:r w:rsidR="00123209" w:rsidRPr="00422183">
        <w:rPr>
          <w:rFonts w:ascii="Rockwell" w:eastAsiaTheme="majorEastAsia" w:hAnsi="Rockwell" w:cstheme="majorBidi"/>
          <w:kern w:val="28"/>
          <w:sz w:val="24"/>
          <w:szCs w:val="24"/>
        </w:rPr>
        <w:t xml:space="preserve"> et </w:t>
      </w:r>
      <w:r w:rsidR="000853EA" w:rsidRPr="00422183">
        <w:rPr>
          <w:rFonts w:ascii="Rockwell" w:eastAsiaTheme="majorEastAsia" w:hAnsi="Rockwell" w:cstheme="majorBidi"/>
          <w:kern w:val="28"/>
          <w:sz w:val="24"/>
          <w:szCs w:val="24"/>
        </w:rPr>
        <w:t>35</w:t>
      </w:r>
      <w:r w:rsidRPr="00422183">
        <w:rPr>
          <w:rFonts w:ascii="Rockwell" w:eastAsiaTheme="majorEastAsia" w:hAnsi="Rockwell" w:cstheme="majorBidi"/>
          <w:kern w:val="28"/>
          <w:sz w:val="24"/>
          <w:szCs w:val="24"/>
        </w:rPr>
        <w:t xml:space="preserve"> ans.</w:t>
      </w:r>
    </w:p>
    <w:p w:rsidR="00B354F3" w:rsidRPr="00422183" w:rsidRDefault="00B354F3" w:rsidP="003A0820">
      <w:pPr>
        <w:spacing w:after="0" w:line="240" w:lineRule="auto"/>
        <w:jc w:val="both"/>
        <w:rPr>
          <w:rFonts w:ascii="Rockwell" w:eastAsiaTheme="majorEastAsia" w:hAnsi="Rockwell" w:cstheme="majorBidi"/>
          <w:kern w:val="28"/>
          <w:sz w:val="24"/>
          <w:szCs w:val="24"/>
        </w:rPr>
      </w:pPr>
    </w:p>
    <w:p w:rsidR="0046676C" w:rsidRPr="00422183" w:rsidRDefault="00B354F3"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Cette jeunesse de la population constitue, à moyen et long termes, un important atout pour le développement, à condition qu'il lui soit assuré une bonne santé, une bonne formation et son intégration effective dans le système national de production. Mais, à court terme, elle induit des rapports de dépendance élevés.</w:t>
      </w:r>
      <w:r w:rsidR="0046676C" w:rsidRPr="00422183">
        <w:rPr>
          <w:rFonts w:ascii="Rockwell" w:eastAsiaTheme="majorEastAsia" w:hAnsi="Rockwell" w:cstheme="majorBidi"/>
          <w:kern w:val="28"/>
          <w:sz w:val="24"/>
          <w:szCs w:val="24"/>
        </w:rPr>
        <w:t xml:space="preserve"> </w:t>
      </w:r>
    </w:p>
    <w:p w:rsidR="0046676C" w:rsidRPr="00422183" w:rsidRDefault="0046676C" w:rsidP="003A0820">
      <w:pPr>
        <w:spacing w:after="0" w:line="240" w:lineRule="auto"/>
        <w:jc w:val="both"/>
        <w:rPr>
          <w:rFonts w:ascii="Rockwell" w:eastAsiaTheme="majorEastAsia" w:hAnsi="Rockwell" w:cstheme="majorBidi"/>
          <w:kern w:val="28"/>
          <w:sz w:val="24"/>
          <w:szCs w:val="24"/>
        </w:rPr>
      </w:pPr>
    </w:p>
    <w:p w:rsidR="0046676C" w:rsidRPr="00422183" w:rsidRDefault="0046676C"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Selon les projections démographiques, en 2020 un tiers de la population du Burkina Faso vivrait en ville. Cette croissance urbaine devrait être le signe du développement si elle est accompagnée d'une croissance économique équilibrée pouvant déboucher sur un développement intégré.</w:t>
      </w:r>
    </w:p>
    <w:p w:rsidR="0046676C" w:rsidRPr="00422183" w:rsidRDefault="0046676C" w:rsidP="003A0820">
      <w:pPr>
        <w:spacing w:after="0" w:line="240" w:lineRule="auto"/>
        <w:jc w:val="both"/>
        <w:rPr>
          <w:rFonts w:ascii="Rockwell" w:eastAsiaTheme="majorEastAsia" w:hAnsi="Rockwell" w:cstheme="majorBidi"/>
          <w:kern w:val="28"/>
          <w:sz w:val="24"/>
          <w:szCs w:val="24"/>
        </w:rPr>
      </w:pPr>
    </w:p>
    <w:p w:rsidR="0046676C" w:rsidRPr="00422183" w:rsidRDefault="0046676C"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 xml:space="preserve">La forte croissance démographique (3,1%) résulte du taux brut de natalité élevé (33,4‰ en 2015), d'une baisse du taux brut de mortalité (11,8‰ en 2016) et d'un solde migratoire </w:t>
      </w:r>
      <w:r w:rsidR="00423450" w:rsidRPr="00422183">
        <w:rPr>
          <w:rFonts w:ascii="Rockwell" w:eastAsiaTheme="majorEastAsia" w:hAnsi="Rockwell" w:cstheme="majorBidi"/>
          <w:kern w:val="28"/>
          <w:sz w:val="24"/>
          <w:szCs w:val="24"/>
        </w:rPr>
        <w:t>négatif et en baisse continue.</w:t>
      </w:r>
    </w:p>
    <w:p w:rsidR="0046676C" w:rsidRPr="00422183" w:rsidRDefault="0046676C" w:rsidP="003A0820">
      <w:pPr>
        <w:spacing w:after="0" w:line="240" w:lineRule="auto"/>
        <w:jc w:val="both"/>
        <w:rPr>
          <w:rFonts w:ascii="Rockwell" w:eastAsiaTheme="majorEastAsia" w:hAnsi="Rockwell" w:cstheme="majorBidi"/>
          <w:kern w:val="28"/>
          <w:sz w:val="24"/>
          <w:szCs w:val="24"/>
        </w:rPr>
      </w:pPr>
    </w:p>
    <w:p w:rsidR="0046676C" w:rsidRPr="00422183" w:rsidRDefault="0046676C" w:rsidP="003A0820">
      <w:pPr>
        <w:spacing w:after="0" w:line="240" w:lineRule="auto"/>
        <w:jc w:val="both"/>
        <w:rPr>
          <w:rFonts w:ascii="Rockwell" w:eastAsiaTheme="majorEastAsia" w:hAnsi="Rockwell" w:cstheme="majorBidi"/>
          <w:kern w:val="28"/>
          <w:sz w:val="24"/>
          <w:szCs w:val="24"/>
        </w:rPr>
      </w:pPr>
      <w:r w:rsidRPr="00422183">
        <w:rPr>
          <w:rFonts w:ascii="Rockwell" w:eastAsiaTheme="majorEastAsia" w:hAnsi="Rockwell" w:cstheme="majorBidi"/>
          <w:kern w:val="28"/>
          <w:sz w:val="24"/>
          <w:szCs w:val="24"/>
        </w:rPr>
        <w:t>Au demeurant, la dynamique démographique actuelle du Burkina Faso ne présente pas des opportunités à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économie pour tirer profit du dividende démographique. Pour ce faire, les principaux défis à relever peuvent se résumer comme suit : (</w:t>
      </w:r>
      <w:r w:rsidR="00E93B70" w:rsidRPr="00422183">
        <w:rPr>
          <w:rFonts w:ascii="Rockwell" w:eastAsiaTheme="majorEastAsia" w:hAnsi="Rockwell" w:cstheme="majorBidi"/>
          <w:kern w:val="28"/>
          <w:sz w:val="24"/>
          <w:szCs w:val="24"/>
        </w:rPr>
        <w:t>i</w:t>
      </w:r>
      <w:r w:rsidRPr="00422183">
        <w:rPr>
          <w:rFonts w:ascii="Rockwell" w:eastAsiaTheme="majorEastAsia" w:hAnsi="Rockwell" w:cstheme="majorBidi"/>
          <w:kern w:val="28"/>
          <w:sz w:val="24"/>
          <w:szCs w:val="24"/>
        </w:rPr>
        <w:t xml:space="preserve">) </w:t>
      </w:r>
      <w:r w:rsidR="001340B9" w:rsidRPr="00422183">
        <w:rPr>
          <w:rFonts w:ascii="Rockwell" w:eastAsiaTheme="majorEastAsia" w:hAnsi="Rockwell" w:cstheme="majorBidi"/>
          <w:kern w:val="28"/>
          <w:sz w:val="24"/>
          <w:szCs w:val="24"/>
        </w:rPr>
        <w:t>le d</w:t>
      </w:r>
      <w:r w:rsidRPr="00422183">
        <w:rPr>
          <w:rFonts w:ascii="Rockwell" w:eastAsiaTheme="majorEastAsia" w:hAnsi="Rockwell" w:cstheme="majorBidi"/>
          <w:kern w:val="28"/>
          <w:sz w:val="24"/>
          <w:szCs w:val="24"/>
        </w:rPr>
        <w:t>éveloppement des équipements collectifs, (i</w:t>
      </w:r>
      <w:r w:rsidR="00E93B70" w:rsidRPr="00422183">
        <w:rPr>
          <w:rFonts w:ascii="Rockwell" w:eastAsiaTheme="majorEastAsia" w:hAnsi="Rockwell" w:cstheme="majorBidi"/>
          <w:kern w:val="28"/>
          <w:sz w:val="24"/>
          <w:szCs w:val="24"/>
        </w:rPr>
        <w:t>i</w:t>
      </w:r>
      <w:r w:rsidRPr="00422183">
        <w:rPr>
          <w:rFonts w:ascii="Rockwell" w:eastAsiaTheme="majorEastAsia" w:hAnsi="Rockwell" w:cstheme="majorBidi"/>
          <w:kern w:val="28"/>
          <w:sz w:val="24"/>
          <w:szCs w:val="24"/>
        </w:rPr>
        <w:t xml:space="preserve">) la </w:t>
      </w:r>
      <w:r w:rsidR="00E93B70" w:rsidRPr="00422183">
        <w:rPr>
          <w:rFonts w:ascii="Rockwell" w:eastAsiaTheme="majorEastAsia" w:hAnsi="Rockwell" w:cstheme="majorBidi"/>
          <w:kern w:val="28"/>
          <w:sz w:val="24"/>
          <w:szCs w:val="24"/>
        </w:rPr>
        <w:t xml:space="preserve">maîtrise </w:t>
      </w:r>
      <w:r w:rsidRPr="00422183">
        <w:rPr>
          <w:rFonts w:ascii="Rockwell" w:eastAsiaTheme="majorEastAsia" w:hAnsi="Rockwell" w:cstheme="majorBidi"/>
          <w:kern w:val="28"/>
          <w:sz w:val="24"/>
          <w:szCs w:val="24"/>
        </w:rPr>
        <w:t>de la fécondité, (ii</w:t>
      </w:r>
      <w:r w:rsidR="00E93B70" w:rsidRPr="00422183">
        <w:rPr>
          <w:rFonts w:ascii="Rockwell" w:eastAsiaTheme="majorEastAsia" w:hAnsi="Rockwell" w:cstheme="majorBidi"/>
          <w:kern w:val="28"/>
          <w:sz w:val="24"/>
          <w:szCs w:val="24"/>
        </w:rPr>
        <w:t>i</w:t>
      </w:r>
      <w:r w:rsidRPr="00422183">
        <w:rPr>
          <w:rFonts w:ascii="Rockwell" w:eastAsiaTheme="majorEastAsia" w:hAnsi="Rockwell" w:cstheme="majorBidi"/>
          <w:kern w:val="28"/>
          <w:sz w:val="24"/>
          <w:szCs w:val="24"/>
        </w:rPr>
        <w:t>) une survie de 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enfant</w:t>
      </w:r>
      <w:r w:rsidR="00597F7D" w:rsidRPr="00422183">
        <w:rPr>
          <w:rFonts w:ascii="Rockwell" w:eastAsiaTheme="majorEastAsia" w:hAnsi="Rockwell" w:cstheme="majorBidi"/>
          <w:kern w:val="28"/>
          <w:sz w:val="24"/>
          <w:szCs w:val="24"/>
        </w:rPr>
        <w:t>,</w:t>
      </w:r>
      <w:r w:rsidR="00706A0B" w:rsidRPr="00422183">
        <w:rPr>
          <w:rFonts w:ascii="Rockwell" w:eastAsiaTheme="majorEastAsia" w:hAnsi="Rockwell" w:cstheme="majorBidi"/>
          <w:kern w:val="28"/>
          <w:sz w:val="24"/>
          <w:szCs w:val="24"/>
        </w:rPr>
        <w:t xml:space="preserve"> </w:t>
      </w:r>
      <w:r w:rsidRPr="00422183">
        <w:rPr>
          <w:rFonts w:ascii="Rockwell" w:eastAsiaTheme="majorEastAsia" w:hAnsi="Rockwell" w:cstheme="majorBidi"/>
          <w:kern w:val="28"/>
          <w:sz w:val="24"/>
          <w:szCs w:val="24"/>
        </w:rPr>
        <w:t>(i</w:t>
      </w:r>
      <w:r w:rsidR="00E93B70" w:rsidRPr="00422183">
        <w:rPr>
          <w:rFonts w:ascii="Rockwell" w:eastAsiaTheme="majorEastAsia" w:hAnsi="Rockwell" w:cstheme="majorBidi"/>
          <w:kern w:val="28"/>
          <w:sz w:val="24"/>
          <w:szCs w:val="24"/>
        </w:rPr>
        <w:t>v</w:t>
      </w:r>
      <w:r w:rsidRPr="00422183">
        <w:rPr>
          <w:rFonts w:ascii="Rockwell" w:eastAsiaTheme="majorEastAsia" w:hAnsi="Rockwell" w:cstheme="majorBidi"/>
          <w:kern w:val="28"/>
          <w:sz w:val="24"/>
          <w:szCs w:val="24"/>
        </w:rPr>
        <w:t xml:space="preserve">) </w:t>
      </w:r>
      <w:r w:rsidR="001340B9" w:rsidRPr="00422183">
        <w:rPr>
          <w:rFonts w:ascii="Rockwell" w:eastAsiaTheme="majorEastAsia" w:hAnsi="Rockwell" w:cstheme="majorBidi"/>
          <w:kern w:val="28"/>
          <w:sz w:val="24"/>
          <w:szCs w:val="24"/>
        </w:rPr>
        <w:t>l’</w:t>
      </w:r>
      <w:r w:rsidR="00706A0B" w:rsidRPr="00422183">
        <w:rPr>
          <w:rFonts w:ascii="Rockwell" w:eastAsiaTheme="majorEastAsia" w:hAnsi="Rockwell" w:cstheme="majorBidi"/>
          <w:kern w:val="28"/>
          <w:sz w:val="24"/>
          <w:szCs w:val="24"/>
        </w:rPr>
        <w:t xml:space="preserve">accès à </w:t>
      </w:r>
      <w:r w:rsidRPr="00422183">
        <w:rPr>
          <w:rFonts w:ascii="Rockwell" w:eastAsiaTheme="majorEastAsia" w:hAnsi="Rockwell" w:cstheme="majorBidi"/>
          <w:kern w:val="28"/>
          <w:sz w:val="24"/>
          <w:szCs w:val="24"/>
        </w:rPr>
        <w:t>l</w:t>
      </w:r>
      <w:r w:rsidR="006C72DE"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éducation</w:t>
      </w:r>
      <w:r w:rsidR="00706A0B"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w:t>
      </w:r>
      <w:r w:rsidR="00706A0B" w:rsidRPr="00422183">
        <w:rPr>
          <w:rFonts w:ascii="Rockwell" w:eastAsiaTheme="majorEastAsia" w:hAnsi="Rockwell" w:cstheme="majorBidi"/>
          <w:kern w:val="28"/>
          <w:sz w:val="24"/>
          <w:szCs w:val="24"/>
        </w:rPr>
        <w:t xml:space="preserve">à l’eau potable </w:t>
      </w:r>
      <w:r w:rsidRPr="00422183">
        <w:rPr>
          <w:rFonts w:ascii="Rockwell" w:eastAsiaTheme="majorEastAsia" w:hAnsi="Rockwell" w:cstheme="majorBidi"/>
          <w:kern w:val="28"/>
          <w:sz w:val="24"/>
          <w:szCs w:val="24"/>
        </w:rPr>
        <w:t>et la santé de la population</w:t>
      </w:r>
      <w:r w:rsidR="00597F7D" w:rsidRPr="00422183">
        <w:rPr>
          <w:rFonts w:ascii="Rockwell" w:eastAsiaTheme="majorEastAsia" w:hAnsi="Rockwell" w:cstheme="majorBidi"/>
          <w:kern w:val="28"/>
          <w:sz w:val="24"/>
          <w:szCs w:val="24"/>
        </w:rPr>
        <w:t>,</w:t>
      </w:r>
      <w:r w:rsidRPr="00422183">
        <w:rPr>
          <w:rFonts w:ascii="Rockwell" w:eastAsiaTheme="majorEastAsia" w:hAnsi="Rockwell" w:cstheme="majorBidi"/>
          <w:kern w:val="28"/>
          <w:sz w:val="24"/>
          <w:szCs w:val="24"/>
        </w:rPr>
        <w:t xml:space="preserve"> </w:t>
      </w:r>
      <w:r w:rsidR="00706A0B" w:rsidRPr="00422183">
        <w:rPr>
          <w:rFonts w:ascii="Rockwell" w:eastAsiaTheme="majorEastAsia" w:hAnsi="Rockwell" w:cstheme="majorBidi"/>
          <w:kern w:val="28"/>
          <w:sz w:val="24"/>
          <w:szCs w:val="24"/>
        </w:rPr>
        <w:t xml:space="preserve">(v) la formation professionnelle et l’employabilité des jeunes et </w:t>
      </w:r>
      <w:r w:rsidRPr="00422183">
        <w:rPr>
          <w:rFonts w:ascii="Rockwell" w:eastAsiaTheme="majorEastAsia" w:hAnsi="Rockwell" w:cstheme="majorBidi"/>
          <w:kern w:val="28"/>
          <w:sz w:val="24"/>
          <w:szCs w:val="24"/>
        </w:rPr>
        <w:t>(v</w:t>
      </w:r>
      <w:r w:rsidR="00706A0B" w:rsidRPr="00422183">
        <w:rPr>
          <w:rFonts w:ascii="Rockwell" w:eastAsiaTheme="majorEastAsia" w:hAnsi="Rockwell" w:cstheme="majorBidi"/>
          <w:kern w:val="28"/>
          <w:sz w:val="24"/>
          <w:szCs w:val="24"/>
        </w:rPr>
        <w:t>i</w:t>
      </w:r>
      <w:r w:rsidRPr="00422183">
        <w:rPr>
          <w:rFonts w:ascii="Rockwell" w:eastAsiaTheme="majorEastAsia" w:hAnsi="Rockwell" w:cstheme="majorBidi"/>
          <w:kern w:val="28"/>
          <w:sz w:val="24"/>
          <w:szCs w:val="24"/>
        </w:rPr>
        <w:t>) la bonne gouve</w:t>
      </w:r>
      <w:r w:rsidR="00423450" w:rsidRPr="00422183">
        <w:rPr>
          <w:rFonts w:ascii="Rockwell" w:eastAsiaTheme="majorEastAsia" w:hAnsi="Rockwell" w:cstheme="majorBidi"/>
          <w:kern w:val="28"/>
          <w:sz w:val="24"/>
          <w:szCs w:val="24"/>
        </w:rPr>
        <w:t>rnance économique et politique.</w:t>
      </w:r>
    </w:p>
    <w:p w:rsidR="00B354F3" w:rsidRPr="00422183" w:rsidRDefault="00B354F3" w:rsidP="003A0820">
      <w:pPr>
        <w:spacing w:after="0" w:line="240" w:lineRule="auto"/>
        <w:jc w:val="both"/>
        <w:rPr>
          <w:rFonts w:ascii="Rockwell" w:eastAsiaTheme="majorEastAsia" w:hAnsi="Rockwell" w:cstheme="majorBidi"/>
          <w:kern w:val="28"/>
          <w:sz w:val="24"/>
          <w:szCs w:val="24"/>
        </w:rPr>
      </w:pPr>
    </w:p>
    <w:p w:rsidR="00070C40" w:rsidRPr="00422183" w:rsidRDefault="00222A30" w:rsidP="003A0820">
      <w:pPr>
        <w:pStyle w:val="PNDES3"/>
        <w:rPr>
          <w:rFonts w:ascii="Rockwell" w:hAnsi="Rockwell"/>
          <w:bCs/>
          <w:iCs/>
          <w:kern w:val="28"/>
        </w:rPr>
      </w:pPr>
      <w:bookmarkStart w:id="115" w:name="_Toc452994152"/>
      <w:bookmarkStart w:id="116" w:name="_Toc452994600"/>
      <w:bookmarkStart w:id="117" w:name="_Toc452995040"/>
      <w:bookmarkStart w:id="118" w:name="_Toc453160740"/>
      <w:bookmarkStart w:id="119" w:name="_Toc455132725"/>
      <w:r w:rsidRPr="00422183">
        <w:rPr>
          <w:rFonts w:ascii="Rockwell" w:hAnsi="Rockwell"/>
        </w:rPr>
        <w:t>Une</w:t>
      </w:r>
      <w:r w:rsidR="008951FE" w:rsidRPr="00422183">
        <w:rPr>
          <w:rFonts w:ascii="Rockwell" w:hAnsi="Rockwell"/>
        </w:rPr>
        <w:t xml:space="preserve"> insuffisance remarquable de ressources humaines, d</w:t>
      </w:r>
      <w:r w:rsidRPr="00422183">
        <w:rPr>
          <w:rFonts w:ascii="Rockwell" w:hAnsi="Rockwell"/>
        </w:rPr>
        <w:t>'</w:t>
      </w:r>
      <w:r w:rsidR="008951FE" w:rsidRPr="00422183">
        <w:rPr>
          <w:rFonts w:ascii="Rockwell" w:hAnsi="Rockwell"/>
        </w:rPr>
        <w:t xml:space="preserve">équipements et </w:t>
      </w:r>
      <w:r w:rsidRPr="00422183">
        <w:rPr>
          <w:rFonts w:ascii="Rockwell" w:hAnsi="Rockwell"/>
        </w:rPr>
        <w:t>d'</w:t>
      </w:r>
      <w:r w:rsidR="008951FE" w:rsidRPr="00422183">
        <w:rPr>
          <w:rFonts w:ascii="Rockwell" w:hAnsi="Rockwell"/>
        </w:rPr>
        <w:t>infrastructures, de produits de traitement et de qualité des services</w:t>
      </w:r>
      <w:bookmarkEnd w:id="115"/>
      <w:bookmarkEnd w:id="116"/>
      <w:bookmarkEnd w:id="117"/>
      <w:bookmarkEnd w:id="118"/>
      <w:r w:rsidRPr="00422183">
        <w:rPr>
          <w:rFonts w:ascii="Rockwell" w:hAnsi="Rockwell"/>
        </w:rPr>
        <w:t xml:space="preserve"> dans le secteur de la santé</w:t>
      </w:r>
      <w:bookmarkEnd w:id="119"/>
    </w:p>
    <w:p w:rsidR="00B059FD" w:rsidRPr="00422183" w:rsidRDefault="00B059FD" w:rsidP="003A0820">
      <w:pPr>
        <w:autoSpaceDE w:val="0"/>
        <w:autoSpaceDN w:val="0"/>
        <w:adjustRightInd w:val="0"/>
        <w:spacing w:after="0" w:line="240" w:lineRule="auto"/>
        <w:jc w:val="both"/>
        <w:rPr>
          <w:rFonts w:ascii="Rockwell" w:hAnsi="Rockwell" w:cs="Tahoma"/>
          <w:sz w:val="24"/>
          <w:szCs w:val="24"/>
        </w:rPr>
      </w:pPr>
    </w:p>
    <w:p w:rsidR="008A6B38" w:rsidRPr="00422183" w:rsidRDefault="001A2493" w:rsidP="003A0820">
      <w:pPr>
        <w:autoSpaceDE w:val="0"/>
        <w:autoSpaceDN w:val="0"/>
        <w:adjustRightInd w:val="0"/>
        <w:spacing w:after="0" w:line="240" w:lineRule="auto"/>
        <w:jc w:val="both"/>
        <w:rPr>
          <w:rFonts w:ascii="Rockwell" w:hAnsi="Rockwell"/>
          <w:sz w:val="24"/>
          <w:szCs w:val="24"/>
        </w:rPr>
      </w:pPr>
      <w:r w:rsidRPr="00422183">
        <w:rPr>
          <w:rFonts w:ascii="Rockwell" w:hAnsi="Rockwell"/>
          <w:sz w:val="24"/>
          <w:szCs w:val="24"/>
        </w:rPr>
        <w:t>Le profil d</w:t>
      </w:r>
      <w:r w:rsidR="008A6B38" w:rsidRPr="00422183">
        <w:rPr>
          <w:rFonts w:ascii="Rockwell" w:hAnsi="Rockwell"/>
          <w:sz w:val="24"/>
          <w:szCs w:val="24"/>
        </w:rPr>
        <w:t xml:space="preserve">es indicateurs de santé publique demeure préoccupant. En effet, les indicateurs de mortalité maternelle, néonatale et infantile, </w:t>
      </w:r>
      <w:r w:rsidR="006D07CD" w:rsidRPr="00422183">
        <w:rPr>
          <w:rFonts w:ascii="Rockwell" w:hAnsi="Rockwell"/>
          <w:sz w:val="24"/>
          <w:szCs w:val="24"/>
        </w:rPr>
        <w:t>respectivement de</w:t>
      </w:r>
      <w:r w:rsidR="008A6B38" w:rsidRPr="00422183">
        <w:rPr>
          <w:rFonts w:ascii="Rockwell" w:hAnsi="Rockwell"/>
          <w:sz w:val="24"/>
          <w:szCs w:val="24"/>
        </w:rPr>
        <w:t xml:space="preserve"> 330 pour 100</w:t>
      </w:r>
      <w:r w:rsidR="001C695E" w:rsidRPr="00422183">
        <w:rPr>
          <w:rFonts w:ascii="Rockwell" w:hAnsi="Rockwell"/>
          <w:sz w:val="24"/>
          <w:szCs w:val="24"/>
        </w:rPr>
        <w:t xml:space="preserve"> </w:t>
      </w:r>
      <w:r w:rsidR="008A6B38" w:rsidRPr="00422183">
        <w:rPr>
          <w:rFonts w:ascii="Rockwell" w:hAnsi="Rockwell"/>
          <w:sz w:val="24"/>
          <w:szCs w:val="24"/>
        </w:rPr>
        <w:t xml:space="preserve">000 nouvelles naissances, 23 pour 1000 et 43 pour mille nouvelles naissances, sont en </w:t>
      </w:r>
      <w:r w:rsidR="001C695E" w:rsidRPr="00422183">
        <w:rPr>
          <w:rFonts w:ascii="Rockwell" w:hAnsi="Rockwell"/>
          <w:sz w:val="24"/>
          <w:szCs w:val="24"/>
        </w:rPr>
        <w:t xml:space="preserve">dessus </w:t>
      </w:r>
      <w:r w:rsidR="008A6B38" w:rsidRPr="00422183">
        <w:rPr>
          <w:rFonts w:ascii="Rockwell" w:hAnsi="Rockwell"/>
          <w:sz w:val="24"/>
          <w:szCs w:val="24"/>
        </w:rPr>
        <w:t xml:space="preserve">des normes internationales et des cibles </w:t>
      </w:r>
      <w:r w:rsidR="006110A3" w:rsidRPr="00422183">
        <w:rPr>
          <w:rFonts w:ascii="Rockwell" w:hAnsi="Rockwell"/>
          <w:sz w:val="24"/>
          <w:szCs w:val="24"/>
        </w:rPr>
        <w:t xml:space="preserve">des </w:t>
      </w:r>
      <w:r w:rsidR="003F2E59" w:rsidRPr="00422183">
        <w:rPr>
          <w:rFonts w:ascii="Rockwell" w:hAnsi="Rockwell"/>
          <w:sz w:val="24"/>
          <w:szCs w:val="24"/>
        </w:rPr>
        <w:t>Objectifs du millénaire pour le développement (</w:t>
      </w:r>
      <w:r w:rsidR="008A6B38" w:rsidRPr="00422183">
        <w:rPr>
          <w:rFonts w:ascii="Rockwell" w:hAnsi="Rockwell"/>
          <w:sz w:val="24"/>
          <w:szCs w:val="24"/>
        </w:rPr>
        <w:t>OMD</w:t>
      </w:r>
      <w:r w:rsidR="003F2E59" w:rsidRPr="00422183">
        <w:rPr>
          <w:rFonts w:ascii="Rockwell" w:hAnsi="Rockwell"/>
          <w:sz w:val="24"/>
          <w:szCs w:val="24"/>
        </w:rPr>
        <w:t>)</w:t>
      </w:r>
      <w:r w:rsidR="008A6B38" w:rsidRPr="00422183">
        <w:rPr>
          <w:rFonts w:ascii="Rockwell" w:hAnsi="Rockwell"/>
          <w:sz w:val="24"/>
          <w:szCs w:val="24"/>
        </w:rPr>
        <w:t xml:space="preserve"> y relatives. </w:t>
      </w:r>
      <w:r w:rsidR="007F13A5" w:rsidRPr="00422183">
        <w:rPr>
          <w:rFonts w:ascii="Rockwell" w:hAnsi="Rockwell"/>
          <w:sz w:val="24"/>
          <w:szCs w:val="24"/>
        </w:rPr>
        <w:t>De même, les ressources humaines, les effect</w:t>
      </w:r>
      <w:r w:rsidR="004D6AD9" w:rsidRPr="00422183">
        <w:rPr>
          <w:rFonts w:ascii="Rockwell" w:hAnsi="Rockwell"/>
          <w:sz w:val="24"/>
          <w:szCs w:val="24"/>
        </w:rPr>
        <w:t>ifs des infrastructures et les indicateurs de</w:t>
      </w:r>
      <w:r w:rsidR="007F13A5" w:rsidRPr="00422183">
        <w:rPr>
          <w:rFonts w:ascii="Rockwell" w:hAnsi="Rockwell"/>
          <w:sz w:val="24"/>
          <w:szCs w:val="24"/>
        </w:rPr>
        <w:t xml:space="preserve"> couverture</w:t>
      </w:r>
      <w:r w:rsidR="004D6AD9" w:rsidRPr="00422183">
        <w:rPr>
          <w:rFonts w:ascii="Rockwell" w:hAnsi="Rockwell"/>
          <w:sz w:val="24"/>
          <w:szCs w:val="24"/>
        </w:rPr>
        <w:t xml:space="preserve"> restent en dessous des normes</w:t>
      </w:r>
      <w:r w:rsidR="0071330A" w:rsidRPr="00422183">
        <w:rPr>
          <w:rFonts w:ascii="Rockwell" w:hAnsi="Rockwell"/>
          <w:sz w:val="24"/>
          <w:szCs w:val="24"/>
        </w:rPr>
        <w:t xml:space="preserve"> recommandées</w:t>
      </w:r>
      <w:r w:rsidR="004D6AD9" w:rsidRPr="00422183">
        <w:rPr>
          <w:rFonts w:ascii="Rockwell" w:hAnsi="Rockwell"/>
          <w:sz w:val="24"/>
          <w:szCs w:val="24"/>
        </w:rPr>
        <w:t xml:space="preserve">. </w:t>
      </w:r>
      <w:r w:rsidR="0071330A" w:rsidRPr="00422183">
        <w:rPr>
          <w:rFonts w:ascii="Rockwell" w:hAnsi="Rockwell"/>
          <w:sz w:val="24"/>
          <w:szCs w:val="24"/>
        </w:rPr>
        <w:t xml:space="preserve">Par ailleurs, la prise en charge systématique de la </w:t>
      </w:r>
      <w:r w:rsidR="006D07CD" w:rsidRPr="00422183">
        <w:rPr>
          <w:rFonts w:ascii="Rockwell" w:hAnsi="Rockwell"/>
          <w:sz w:val="24"/>
          <w:szCs w:val="24"/>
        </w:rPr>
        <w:t xml:space="preserve">malnutrition </w:t>
      </w:r>
      <w:r w:rsidR="006110A3" w:rsidRPr="00422183">
        <w:rPr>
          <w:rFonts w:ascii="Rockwell" w:hAnsi="Rockwell"/>
          <w:sz w:val="24"/>
          <w:szCs w:val="24"/>
        </w:rPr>
        <w:t xml:space="preserve">devra </w:t>
      </w:r>
      <w:r w:rsidR="00456AC2" w:rsidRPr="00422183">
        <w:rPr>
          <w:rFonts w:ascii="Rockwell" w:hAnsi="Rockwell"/>
          <w:sz w:val="24"/>
          <w:szCs w:val="24"/>
        </w:rPr>
        <w:t>être améliorée.</w:t>
      </w:r>
    </w:p>
    <w:p w:rsidR="008A6B38" w:rsidRPr="00422183" w:rsidRDefault="008A6B38" w:rsidP="003A0820">
      <w:pPr>
        <w:autoSpaceDE w:val="0"/>
        <w:autoSpaceDN w:val="0"/>
        <w:adjustRightInd w:val="0"/>
        <w:spacing w:after="0" w:line="240" w:lineRule="auto"/>
        <w:jc w:val="both"/>
        <w:rPr>
          <w:rFonts w:ascii="Rockwell" w:hAnsi="Rockwell"/>
          <w:sz w:val="24"/>
          <w:szCs w:val="24"/>
        </w:rPr>
      </w:pPr>
    </w:p>
    <w:p w:rsidR="00070C40" w:rsidRPr="00422183" w:rsidRDefault="002A18DC" w:rsidP="003A0820">
      <w:pPr>
        <w:autoSpaceDE w:val="0"/>
        <w:autoSpaceDN w:val="0"/>
        <w:adjustRightInd w:val="0"/>
        <w:spacing w:after="0" w:line="240" w:lineRule="auto"/>
        <w:jc w:val="both"/>
        <w:rPr>
          <w:rFonts w:ascii="Rockwell" w:hAnsi="Rockwell" w:cs="Tahoma"/>
          <w:sz w:val="24"/>
          <w:szCs w:val="24"/>
        </w:rPr>
      </w:pPr>
      <w:r w:rsidRPr="00422183">
        <w:rPr>
          <w:rFonts w:ascii="Rockwell" w:hAnsi="Rockwell"/>
          <w:sz w:val="24"/>
          <w:szCs w:val="24"/>
        </w:rPr>
        <w:t>L</w:t>
      </w:r>
      <w:r w:rsidR="00154971" w:rsidRPr="00422183">
        <w:rPr>
          <w:rFonts w:ascii="Rockwell" w:hAnsi="Rockwell"/>
          <w:sz w:val="24"/>
          <w:szCs w:val="24"/>
        </w:rPr>
        <w:t xml:space="preserve">es </w:t>
      </w:r>
      <w:r w:rsidR="006D07CD" w:rsidRPr="00422183">
        <w:rPr>
          <w:rFonts w:ascii="Rockwell" w:hAnsi="Rockwell"/>
          <w:sz w:val="24"/>
          <w:szCs w:val="24"/>
        </w:rPr>
        <w:t>principaux défis</w:t>
      </w:r>
      <w:r w:rsidR="00154971" w:rsidRPr="00422183">
        <w:rPr>
          <w:rFonts w:ascii="Rockwell" w:hAnsi="Rockwell"/>
          <w:sz w:val="24"/>
          <w:szCs w:val="24"/>
        </w:rPr>
        <w:t xml:space="preserve"> se résument </w:t>
      </w:r>
      <w:r w:rsidR="00163804" w:rsidRPr="00422183">
        <w:rPr>
          <w:rFonts w:ascii="Rockwell" w:hAnsi="Rockwell"/>
          <w:sz w:val="24"/>
          <w:szCs w:val="24"/>
        </w:rPr>
        <w:t>comme</w:t>
      </w:r>
      <w:r w:rsidR="00154971" w:rsidRPr="00422183">
        <w:rPr>
          <w:rFonts w:ascii="Rockwell" w:hAnsi="Rockwell"/>
          <w:sz w:val="24"/>
          <w:szCs w:val="24"/>
        </w:rPr>
        <w:t xml:space="preserve"> suit</w:t>
      </w:r>
      <w:r w:rsidR="00163804" w:rsidRPr="00422183">
        <w:rPr>
          <w:rFonts w:ascii="Rockwell" w:hAnsi="Rockwell"/>
          <w:sz w:val="24"/>
          <w:szCs w:val="24"/>
        </w:rPr>
        <w:t> : (i)</w:t>
      </w:r>
      <w:r w:rsidRPr="00422183">
        <w:rPr>
          <w:rFonts w:ascii="Rockwell" w:hAnsi="Rockwell"/>
          <w:sz w:val="24"/>
          <w:szCs w:val="24"/>
        </w:rPr>
        <w:t xml:space="preserve"> l</w:t>
      </w:r>
      <w:r w:rsidR="006C72DE" w:rsidRPr="00422183">
        <w:rPr>
          <w:rFonts w:ascii="Rockwell" w:hAnsi="Rockwell"/>
          <w:sz w:val="24"/>
          <w:szCs w:val="24"/>
        </w:rPr>
        <w:t>'</w:t>
      </w:r>
      <w:r w:rsidRPr="00422183">
        <w:rPr>
          <w:rFonts w:ascii="Rockwell" w:hAnsi="Rockwell"/>
          <w:sz w:val="24"/>
          <w:szCs w:val="24"/>
        </w:rPr>
        <w:t>amélioration de la qualité de l</w:t>
      </w:r>
      <w:r w:rsidR="006C72DE" w:rsidRPr="00422183">
        <w:rPr>
          <w:rFonts w:ascii="Rockwell" w:hAnsi="Rockwell"/>
          <w:sz w:val="24"/>
          <w:szCs w:val="24"/>
        </w:rPr>
        <w:t>'</w:t>
      </w:r>
      <w:r w:rsidRPr="00422183">
        <w:rPr>
          <w:rFonts w:ascii="Rockwell" w:hAnsi="Rockwell"/>
          <w:sz w:val="24"/>
          <w:szCs w:val="24"/>
        </w:rPr>
        <w:t>offre de service</w:t>
      </w:r>
      <w:r w:rsidR="00B56A0D" w:rsidRPr="00422183">
        <w:rPr>
          <w:rFonts w:ascii="Rockwell" w:hAnsi="Rockwell"/>
          <w:sz w:val="24"/>
          <w:szCs w:val="24"/>
        </w:rPr>
        <w:t>s</w:t>
      </w:r>
      <w:r w:rsidRPr="00422183">
        <w:rPr>
          <w:rFonts w:ascii="Rockwell" w:hAnsi="Rockwell"/>
          <w:sz w:val="24"/>
          <w:szCs w:val="24"/>
        </w:rPr>
        <w:t xml:space="preserve"> de santé,</w:t>
      </w:r>
      <w:r w:rsidR="00456AC2" w:rsidRPr="00422183">
        <w:rPr>
          <w:rFonts w:ascii="Rockwell" w:hAnsi="Rockwell"/>
          <w:sz w:val="24"/>
          <w:szCs w:val="24"/>
        </w:rPr>
        <w:t xml:space="preserve"> </w:t>
      </w:r>
      <w:r w:rsidRPr="00422183">
        <w:rPr>
          <w:rFonts w:ascii="Rockwell" w:hAnsi="Rockwell"/>
          <w:sz w:val="24"/>
          <w:szCs w:val="24"/>
        </w:rPr>
        <w:t>(ii) l</w:t>
      </w:r>
      <w:r w:rsidR="006C72DE" w:rsidRPr="00422183">
        <w:rPr>
          <w:rFonts w:ascii="Rockwell" w:hAnsi="Rockwell"/>
          <w:sz w:val="24"/>
          <w:szCs w:val="24"/>
        </w:rPr>
        <w:t>'</w:t>
      </w:r>
      <w:r w:rsidRPr="00422183">
        <w:rPr>
          <w:rFonts w:ascii="Rockwell" w:hAnsi="Rockwell"/>
          <w:sz w:val="24"/>
          <w:szCs w:val="24"/>
        </w:rPr>
        <w:t>accroissement de l</w:t>
      </w:r>
      <w:r w:rsidR="006C72DE" w:rsidRPr="00422183">
        <w:rPr>
          <w:rFonts w:ascii="Rockwell" w:hAnsi="Rockwell"/>
          <w:sz w:val="24"/>
          <w:szCs w:val="24"/>
        </w:rPr>
        <w:t>'</w:t>
      </w:r>
      <w:r w:rsidRPr="00422183">
        <w:rPr>
          <w:rFonts w:ascii="Rockwell" w:hAnsi="Rockwell"/>
          <w:sz w:val="24"/>
          <w:szCs w:val="24"/>
        </w:rPr>
        <w:t>accès aux services de santé</w:t>
      </w:r>
      <w:r w:rsidR="006D679C" w:rsidRPr="00422183">
        <w:rPr>
          <w:rFonts w:ascii="Rockwell" w:hAnsi="Rockwell"/>
          <w:sz w:val="24"/>
          <w:szCs w:val="24"/>
        </w:rPr>
        <w:t>,</w:t>
      </w:r>
      <w:r w:rsidRPr="00422183">
        <w:rPr>
          <w:rFonts w:ascii="Rockwell" w:hAnsi="Rockwell"/>
          <w:sz w:val="24"/>
          <w:szCs w:val="24"/>
        </w:rPr>
        <w:t xml:space="preserve"> (iii) la mise </w:t>
      </w:r>
      <w:r w:rsidR="009764BF" w:rsidRPr="00422183">
        <w:rPr>
          <w:rFonts w:ascii="Rockwell" w:hAnsi="Rockwell"/>
          <w:sz w:val="24"/>
          <w:szCs w:val="24"/>
        </w:rPr>
        <w:t xml:space="preserve">à disposition </w:t>
      </w:r>
      <w:r w:rsidRPr="00422183">
        <w:rPr>
          <w:rFonts w:ascii="Rockwell" w:hAnsi="Rockwell"/>
          <w:sz w:val="24"/>
          <w:szCs w:val="24"/>
        </w:rPr>
        <w:t xml:space="preserve">des ressources humaines </w:t>
      </w:r>
      <w:r w:rsidR="007C0FA7" w:rsidRPr="00422183">
        <w:rPr>
          <w:rFonts w:ascii="Rockwell" w:hAnsi="Rockwell"/>
          <w:sz w:val="24"/>
          <w:szCs w:val="24"/>
        </w:rPr>
        <w:t xml:space="preserve">et des infrastructures </w:t>
      </w:r>
      <w:r w:rsidRPr="00422183">
        <w:rPr>
          <w:rFonts w:ascii="Rockwell" w:hAnsi="Rockwell"/>
          <w:sz w:val="24"/>
          <w:szCs w:val="24"/>
        </w:rPr>
        <w:t xml:space="preserve">aux normes internationales, (iv) </w:t>
      </w:r>
      <w:r w:rsidR="005556AA" w:rsidRPr="00422183">
        <w:rPr>
          <w:rFonts w:ascii="Rockwell" w:hAnsi="Rockwell"/>
          <w:sz w:val="24"/>
          <w:szCs w:val="24"/>
        </w:rPr>
        <w:t>la réduction des inégalités régionales, (v) le renforcement du système d</w:t>
      </w:r>
      <w:r w:rsidR="006C72DE" w:rsidRPr="00422183">
        <w:rPr>
          <w:rFonts w:ascii="Rockwell" w:hAnsi="Rockwell"/>
          <w:sz w:val="24"/>
          <w:szCs w:val="24"/>
        </w:rPr>
        <w:t>'</w:t>
      </w:r>
      <w:r w:rsidR="005556AA" w:rsidRPr="00422183">
        <w:rPr>
          <w:rFonts w:ascii="Rockwell" w:hAnsi="Rockwell"/>
          <w:sz w:val="24"/>
          <w:szCs w:val="24"/>
        </w:rPr>
        <w:t xml:space="preserve">information sanitaire, (vi) </w:t>
      </w:r>
      <w:r w:rsidR="00456AC2" w:rsidRPr="00422183">
        <w:rPr>
          <w:rFonts w:ascii="Rockwell" w:hAnsi="Rockwell"/>
          <w:sz w:val="24"/>
          <w:szCs w:val="24"/>
        </w:rPr>
        <w:t xml:space="preserve">la prévention et </w:t>
      </w:r>
      <w:r w:rsidR="005556AA" w:rsidRPr="00422183">
        <w:rPr>
          <w:rFonts w:ascii="Rockwell" w:hAnsi="Rockwell"/>
          <w:sz w:val="24"/>
          <w:szCs w:val="24"/>
        </w:rPr>
        <w:t>l</w:t>
      </w:r>
      <w:r w:rsidR="006C72DE" w:rsidRPr="00422183">
        <w:rPr>
          <w:rFonts w:ascii="Rockwell" w:hAnsi="Rockwell"/>
          <w:sz w:val="24"/>
          <w:szCs w:val="24"/>
        </w:rPr>
        <w:t>'</w:t>
      </w:r>
      <w:r w:rsidR="005556AA" w:rsidRPr="00422183">
        <w:rPr>
          <w:rFonts w:ascii="Rockwell" w:hAnsi="Rockwell"/>
          <w:sz w:val="24"/>
          <w:szCs w:val="24"/>
        </w:rPr>
        <w:t xml:space="preserve">amélioration de la prise en charge </w:t>
      </w:r>
      <w:r w:rsidR="00456AC2" w:rsidRPr="00422183">
        <w:rPr>
          <w:rFonts w:ascii="Rockwell" w:hAnsi="Rockwell"/>
          <w:sz w:val="24"/>
          <w:szCs w:val="24"/>
        </w:rPr>
        <w:t xml:space="preserve">intégrée </w:t>
      </w:r>
      <w:r w:rsidR="007C0FA7" w:rsidRPr="00422183">
        <w:rPr>
          <w:rFonts w:ascii="Rockwell" w:hAnsi="Rockwell"/>
          <w:sz w:val="24"/>
          <w:szCs w:val="24"/>
        </w:rPr>
        <w:t>de la mal</w:t>
      </w:r>
      <w:r w:rsidR="005556AA" w:rsidRPr="00422183">
        <w:rPr>
          <w:rFonts w:ascii="Rockwell" w:hAnsi="Rockwell"/>
          <w:sz w:val="24"/>
          <w:szCs w:val="24"/>
        </w:rPr>
        <w:t>nutrition</w:t>
      </w:r>
      <w:r w:rsidR="00CD598A" w:rsidRPr="00422183">
        <w:rPr>
          <w:rFonts w:ascii="Rockwell" w:hAnsi="Rockwell"/>
          <w:sz w:val="24"/>
          <w:szCs w:val="24"/>
        </w:rPr>
        <w:t xml:space="preserve">, </w:t>
      </w:r>
      <w:r w:rsidR="008A6B38" w:rsidRPr="00422183">
        <w:rPr>
          <w:rFonts w:ascii="Rockwell" w:hAnsi="Rockwell"/>
          <w:sz w:val="24"/>
          <w:szCs w:val="24"/>
        </w:rPr>
        <w:t>(vii)</w:t>
      </w:r>
      <w:r w:rsidR="00BF1777" w:rsidRPr="00422183">
        <w:rPr>
          <w:rFonts w:ascii="Rockwell" w:hAnsi="Rockwell"/>
          <w:sz w:val="24"/>
          <w:szCs w:val="24"/>
        </w:rPr>
        <w:t xml:space="preserve"> le développement de la recherche</w:t>
      </w:r>
      <w:r w:rsidR="00CD0C28" w:rsidRPr="00422183">
        <w:rPr>
          <w:rFonts w:ascii="Rockwell" w:hAnsi="Rockwell"/>
          <w:sz w:val="24"/>
          <w:szCs w:val="24"/>
        </w:rPr>
        <w:t xml:space="preserve"> en santé</w:t>
      </w:r>
      <w:r w:rsidR="00CD598A" w:rsidRPr="00422183">
        <w:rPr>
          <w:rFonts w:ascii="Rockwell" w:hAnsi="Rockwell"/>
          <w:sz w:val="24"/>
          <w:szCs w:val="24"/>
        </w:rPr>
        <w:t>, et</w:t>
      </w:r>
      <w:r w:rsidR="006D679C" w:rsidRPr="00422183">
        <w:rPr>
          <w:rFonts w:ascii="Rockwell" w:hAnsi="Rockwell"/>
          <w:sz w:val="24"/>
          <w:szCs w:val="24"/>
        </w:rPr>
        <w:t xml:space="preserve"> </w:t>
      </w:r>
      <w:r w:rsidR="00CD598A" w:rsidRPr="00422183">
        <w:rPr>
          <w:rFonts w:ascii="Rockwell" w:hAnsi="Rockwell"/>
          <w:sz w:val="24"/>
          <w:szCs w:val="24"/>
        </w:rPr>
        <w:t>(viii) la gouvernance des établissements de santé</w:t>
      </w:r>
      <w:r w:rsidR="005556AA" w:rsidRPr="00422183">
        <w:rPr>
          <w:rFonts w:ascii="Rockwell" w:hAnsi="Rockwell"/>
          <w:sz w:val="24"/>
          <w:szCs w:val="24"/>
        </w:rPr>
        <w:t>.</w:t>
      </w:r>
    </w:p>
    <w:p w:rsidR="00B059FD" w:rsidRPr="00422183" w:rsidRDefault="00B059FD" w:rsidP="003A0820">
      <w:pPr>
        <w:spacing w:after="0" w:line="240" w:lineRule="auto"/>
        <w:jc w:val="both"/>
        <w:rPr>
          <w:rFonts w:ascii="Rockwell" w:hAnsi="Rockwell"/>
          <w:sz w:val="24"/>
          <w:szCs w:val="24"/>
        </w:rPr>
      </w:pPr>
      <w:bookmarkStart w:id="120" w:name="_Toc285732046"/>
    </w:p>
    <w:p w:rsidR="00B059FD" w:rsidRPr="00422183" w:rsidRDefault="00217F31" w:rsidP="003A0820">
      <w:pPr>
        <w:pStyle w:val="PNDES3"/>
        <w:rPr>
          <w:rFonts w:ascii="Rockwell" w:hAnsi="Rockwell"/>
        </w:rPr>
      </w:pPr>
      <w:bookmarkStart w:id="121" w:name="_Toc449528564"/>
      <w:bookmarkStart w:id="122" w:name="_Toc452994153"/>
      <w:bookmarkStart w:id="123" w:name="_Toc452994601"/>
      <w:bookmarkStart w:id="124" w:name="_Toc452995041"/>
      <w:bookmarkStart w:id="125" w:name="_Toc453160741"/>
      <w:bookmarkStart w:id="126" w:name="_Toc455132726"/>
      <w:bookmarkEnd w:id="120"/>
      <w:r w:rsidRPr="00422183">
        <w:rPr>
          <w:rFonts w:ascii="Rockwell" w:hAnsi="Rockwell"/>
        </w:rPr>
        <w:t>Une é</w:t>
      </w:r>
      <w:r w:rsidR="00B059FD" w:rsidRPr="00422183">
        <w:rPr>
          <w:rFonts w:ascii="Rockwell" w:hAnsi="Rockwell"/>
        </w:rPr>
        <w:t xml:space="preserve">ducation et </w:t>
      </w:r>
      <w:r w:rsidRPr="00422183">
        <w:rPr>
          <w:rFonts w:ascii="Rockwell" w:hAnsi="Rockwell"/>
        </w:rPr>
        <w:t xml:space="preserve">une </w:t>
      </w:r>
      <w:r w:rsidR="00B059FD" w:rsidRPr="00422183">
        <w:rPr>
          <w:rFonts w:ascii="Rockwell" w:hAnsi="Rockwell"/>
        </w:rPr>
        <w:t xml:space="preserve">formation </w:t>
      </w:r>
      <w:r w:rsidR="00394CED" w:rsidRPr="00422183">
        <w:rPr>
          <w:rFonts w:ascii="Rockwell" w:hAnsi="Rockwell"/>
        </w:rPr>
        <w:t>e</w:t>
      </w:r>
      <w:r w:rsidR="00B059FD" w:rsidRPr="00422183">
        <w:rPr>
          <w:rFonts w:ascii="Rockwell" w:hAnsi="Rockwell"/>
        </w:rPr>
        <w:t>n perte de qualité</w:t>
      </w:r>
      <w:r w:rsidRPr="00422183">
        <w:rPr>
          <w:rFonts w:ascii="Rockwell" w:hAnsi="Rockwell"/>
        </w:rPr>
        <w:t xml:space="preserve"> et</w:t>
      </w:r>
      <w:r w:rsidR="00B059FD" w:rsidRPr="00422183">
        <w:rPr>
          <w:rFonts w:ascii="Rockwell" w:hAnsi="Rockwell"/>
        </w:rPr>
        <w:t xml:space="preserve"> </w:t>
      </w:r>
      <w:r w:rsidR="004C67EE" w:rsidRPr="00422183">
        <w:rPr>
          <w:rFonts w:ascii="Rockwell" w:hAnsi="Rockwell"/>
        </w:rPr>
        <w:t xml:space="preserve">de performance </w:t>
      </w:r>
      <w:r w:rsidR="00B059FD" w:rsidRPr="00422183">
        <w:rPr>
          <w:rFonts w:ascii="Rockwell" w:hAnsi="Rockwell"/>
        </w:rPr>
        <w:t>faiblement adaptée</w:t>
      </w:r>
      <w:r w:rsidR="006E65C4" w:rsidRPr="00422183">
        <w:rPr>
          <w:rFonts w:ascii="Rockwell" w:hAnsi="Rockwell"/>
        </w:rPr>
        <w:t>s</w:t>
      </w:r>
      <w:r w:rsidR="00B059FD" w:rsidRPr="00422183">
        <w:rPr>
          <w:rFonts w:ascii="Rockwell" w:hAnsi="Rockwell"/>
        </w:rPr>
        <w:t xml:space="preserve"> aux besoins de l</w:t>
      </w:r>
      <w:r w:rsidR="00B11A61" w:rsidRPr="00422183">
        <w:rPr>
          <w:rFonts w:ascii="Rockwell" w:hAnsi="Rockwell"/>
        </w:rPr>
        <w:t>'</w:t>
      </w:r>
      <w:r w:rsidR="00B059FD" w:rsidRPr="00422183">
        <w:rPr>
          <w:rFonts w:ascii="Rockwell" w:hAnsi="Rockwell"/>
        </w:rPr>
        <w:t>économie</w:t>
      </w:r>
      <w:bookmarkEnd w:id="121"/>
      <w:bookmarkEnd w:id="122"/>
      <w:bookmarkEnd w:id="123"/>
      <w:bookmarkEnd w:id="124"/>
      <w:bookmarkEnd w:id="125"/>
      <w:bookmarkEnd w:id="126"/>
    </w:p>
    <w:p w:rsidR="00B059FD" w:rsidRPr="00422183" w:rsidRDefault="00B059FD" w:rsidP="003A0820">
      <w:pPr>
        <w:spacing w:after="0" w:line="240" w:lineRule="auto"/>
        <w:jc w:val="both"/>
        <w:rPr>
          <w:rFonts w:ascii="Rockwell" w:hAnsi="Rockwell"/>
          <w:sz w:val="24"/>
          <w:szCs w:val="24"/>
        </w:rPr>
      </w:pPr>
    </w:p>
    <w:p w:rsidR="00B059FD" w:rsidRPr="00422183" w:rsidRDefault="00802EEC" w:rsidP="003A0820">
      <w:pPr>
        <w:spacing w:after="0" w:line="240" w:lineRule="auto"/>
        <w:jc w:val="both"/>
        <w:rPr>
          <w:rFonts w:ascii="Rockwell" w:eastAsia="Times New Roman" w:hAnsi="Rockwell" w:cs="ArialNarrow"/>
          <w:bCs/>
          <w:iCs/>
          <w:sz w:val="24"/>
          <w:szCs w:val="24"/>
          <w:lang w:bidi="en-US"/>
        </w:rPr>
      </w:pPr>
      <w:r w:rsidRPr="00422183">
        <w:rPr>
          <w:rFonts w:ascii="Rockwell" w:eastAsia="Times New Roman" w:hAnsi="Rockwell" w:cs="ArialNarrow"/>
          <w:bCs/>
          <w:iCs/>
          <w:sz w:val="24"/>
          <w:szCs w:val="24"/>
          <w:lang w:bidi="en-US"/>
        </w:rPr>
        <w:t>L</w:t>
      </w:r>
      <w:r w:rsidR="00394CED" w:rsidRPr="00422183">
        <w:rPr>
          <w:rFonts w:ascii="Rockwell" w:eastAsia="Times New Roman" w:hAnsi="Rockwell" w:cs="ArialNarrow"/>
          <w:bCs/>
          <w:iCs/>
          <w:sz w:val="24"/>
          <w:szCs w:val="24"/>
          <w:lang w:bidi="en-US"/>
        </w:rPr>
        <w:t>e</w:t>
      </w:r>
      <w:r w:rsidR="00B059FD" w:rsidRPr="00422183">
        <w:rPr>
          <w:rFonts w:ascii="Rockwell" w:eastAsia="Times New Roman" w:hAnsi="Rockwell" w:cs="ArialNarrow"/>
          <w:bCs/>
          <w:iCs/>
          <w:sz w:val="24"/>
          <w:szCs w:val="24"/>
          <w:lang w:bidi="en-US"/>
        </w:rPr>
        <w:t xml:space="preserve"> système éducatif </w:t>
      </w:r>
      <w:r w:rsidR="00394CED" w:rsidRPr="00422183">
        <w:rPr>
          <w:rFonts w:ascii="Rockwell" w:eastAsia="Times New Roman" w:hAnsi="Rockwell" w:cs="ArialNarrow"/>
          <w:bCs/>
          <w:iCs/>
          <w:sz w:val="24"/>
          <w:szCs w:val="24"/>
          <w:lang w:bidi="en-US"/>
        </w:rPr>
        <w:t xml:space="preserve">burkinabè </w:t>
      </w:r>
      <w:r w:rsidR="006D07CD" w:rsidRPr="00422183">
        <w:rPr>
          <w:rFonts w:ascii="Rockwell" w:eastAsia="Times New Roman" w:hAnsi="Rockwell" w:cs="ArialNarrow"/>
          <w:bCs/>
          <w:iCs/>
          <w:sz w:val="24"/>
          <w:szCs w:val="24"/>
          <w:lang w:bidi="en-US"/>
        </w:rPr>
        <w:t>a</w:t>
      </w:r>
      <w:r w:rsidR="00B059FD" w:rsidRPr="00422183">
        <w:rPr>
          <w:rFonts w:ascii="Rockwell" w:eastAsia="Times New Roman" w:hAnsi="Rockwell" w:cs="ArialNarrow"/>
          <w:bCs/>
          <w:iCs/>
          <w:sz w:val="24"/>
          <w:szCs w:val="24"/>
          <w:lang w:bidi="en-US"/>
        </w:rPr>
        <w:t xml:space="preserve"> un caractère généraliste</w:t>
      </w:r>
      <w:r w:rsidR="00D570D0" w:rsidRPr="00422183">
        <w:rPr>
          <w:rFonts w:ascii="Rockwell" w:eastAsia="Times New Roman" w:hAnsi="Rockwell" w:cs="ArialNarrow"/>
          <w:bCs/>
          <w:iCs/>
          <w:sz w:val="24"/>
          <w:szCs w:val="24"/>
          <w:lang w:bidi="en-US"/>
        </w:rPr>
        <w:t>,</w:t>
      </w:r>
      <w:r w:rsidR="00B059FD" w:rsidRPr="00422183">
        <w:rPr>
          <w:rFonts w:ascii="Rockwell" w:eastAsia="Times New Roman" w:hAnsi="Rockwell" w:cs="ArialNarrow"/>
          <w:bCs/>
          <w:iCs/>
          <w:sz w:val="24"/>
          <w:szCs w:val="24"/>
          <w:lang w:bidi="en-US"/>
        </w:rPr>
        <w:t xml:space="preserve"> peu professionnalisant et ne répond pas au</w:t>
      </w:r>
      <w:r w:rsidR="00456936" w:rsidRPr="00422183">
        <w:rPr>
          <w:rFonts w:ascii="Rockwell" w:eastAsia="Times New Roman" w:hAnsi="Rockwell" w:cs="ArialNarrow"/>
          <w:bCs/>
          <w:iCs/>
          <w:sz w:val="24"/>
          <w:szCs w:val="24"/>
          <w:lang w:bidi="en-US"/>
        </w:rPr>
        <w:t>x</w:t>
      </w:r>
      <w:r w:rsidR="00B059FD" w:rsidRPr="00422183">
        <w:rPr>
          <w:rFonts w:ascii="Rockwell" w:eastAsia="Times New Roman" w:hAnsi="Rockwell" w:cs="ArialNarrow"/>
          <w:bCs/>
          <w:iCs/>
          <w:sz w:val="24"/>
          <w:szCs w:val="24"/>
          <w:lang w:bidi="en-US"/>
        </w:rPr>
        <w:t xml:space="preserve"> besoin</w:t>
      </w:r>
      <w:r w:rsidR="00456936" w:rsidRPr="00422183">
        <w:rPr>
          <w:rFonts w:ascii="Rockwell" w:eastAsia="Times New Roman" w:hAnsi="Rockwell" w:cs="ArialNarrow"/>
          <w:bCs/>
          <w:iCs/>
          <w:sz w:val="24"/>
          <w:szCs w:val="24"/>
          <w:lang w:bidi="en-US"/>
        </w:rPr>
        <w:t>s</w:t>
      </w:r>
      <w:r w:rsidR="00B059FD" w:rsidRPr="00422183">
        <w:rPr>
          <w:rFonts w:ascii="Rockwell" w:eastAsia="Times New Roman" w:hAnsi="Rockwell" w:cs="ArialNarrow"/>
          <w:bCs/>
          <w:iCs/>
          <w:sz w:val="24"/>
          <w:szCs w:val="24"/>
          <w:lang w:bidi="en-US"/>
        </w:rPr>
        <w:t xml:space="preserve"> du marché de l</w:t>
      </w:r>
      <w:r w:rsidR="00B11A61" w:rsidRPr="00422183">
        <w:rPr>
          <w:rFonts w:ascii="Rockwell" w:eastAsia="Times New Roman" w:hAnsi="Rockwell" w:cs="ArialNarrow"/>
          <w:bCs/>
          <w:iCs/>
          <w:sz w:val="24"/>
          <w:szCs w:val="24"/>
          <w:lang w:bidi="en-US"/>
        </w:rPr>
        <w:t>'</w:t>
      </w:r>
      <w:r w:rsidR="00B059FD" w:rsidRPr="00422183">
        <w:rPr>
          <w:rFonts w:ascii="Rockwell" w:eastAsia="Times New Roman" w:hAnsi="Rockwell" w:cs="ArialNarrow"/>
          <w:bCs/>
          <w:iCs/>
          <w:sz w:val="24"/>
          <w:szCs w:val="24"/>
          <w:lang w:bidi="en-US"/>
        </w:rPr>
        <w:t xml:space="preserve">emploi. </w:t>
      </w:r>
      <w:r w:rsidR="00952A67" w:rsidRPr="00422183">
        <w:rPr>
          <w:rFonts w:ascii="Rockwell" w:eastAsia="Times New Roman" w:hAnsi="Rockwell" w:cs="ArialNarrow"/>
          <w:bCs/>
          <w:iCs/>
          <w:sz w:val="24"/>
          <w:szCs w:val="24"/>
          <w:lang w:bidi="en-US"/>
        </w:rPr>
        <w:t>En dépit d</w:t>
      </w:r>
      <w:r w:rsidR="00B059FD" w:rsidRPr="00422183">
        <w:rPr>
          <w:rFonts w:ascii="Rockwell" w:eastAsia="Times New Roman" w:hAnsi="Rockwell" w:cs="ArialNarrow"/>
          <w:bCs/>
          <w:iCs/>
          <w:sz w:val="24"/>
          <w:szCs w:val="24"/>
          <w:lang w:bidi="en-US"/>
        </w:rPr>
        <w:t>es différentes réformes entreprises</w:t>
      </w:r>
      <w:r w:rsidR="006223ED" w:rsidRPr="00422183">
        <w:rPr>
          <w:rFonts w:ascii="Rockwell" w:eastAsia="Times New Roman" w:hAnsi="Rockwell" w:cs="ArialNarrow"/>
          <w:bCs/>
          <w:iCs/>
          <w:sz w:val="24"/>
          <w:szCs w:val="24"/>
          <w:lang w:bidi="en-US"/>
        </w:rPr>
        <w:t>, du reste inadaptées</w:t>
      </w:r>
      <w:r w:rsidR="00952A67" w:rsidRPr="00422183">
        <w:rPr>
          <w:rFonts w:ascii="Rockwell" w:eastAsia="Times New Roman" w:hAnsi="Rockwell" w:cs="ArialNarrow"/>
          <w:bCs/>
          <w:iCs/>
          <w:sz w:val="24"/>
          <w:szCs w:val="24"/>
          <w:lang w:bidi="en-US"/>
        </w:rPr>
        <w:t xml:space="preserve">, </w:t>
      </w:r>
      <w:r w:rsidRPr="00422183">
        <w:rPr>
          <w:rFonts w:ascii="Rockwell" w:eastAsia="Times New Roman" w:hAnsi="Rockwell" w:cs="ArialNarrow"/>
          <w:bCs/>
          <w:iCs/>
          <w:sz w:val="24"/>
          <w:szCs w:val="24"/>
          <w:lang w:bidi="en-US"/>
        </w:rPr>
        <w:t>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éducation de base est en perte de qualité,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 xml:space="preserve">Enseignement et la </w:t>
      </w:r>
      <w:r w:rsidR="0029656E" w:rsidRPr="00422183">
        <w:rPr>
          <w:rFonts w:ascii="Rockwell" w:eastAsia="Times New Roman" w:hAnsi="Rockwell" w:cs="ArialNarrow"/>
          <w:bCs/>
          <w:iCs/>
          <w:sz w:val="24"/>
          <w:szCs w:val="24"/>
          <w:lang w:bidi="en-US"/>
        </w:rPr>
        <w:t>f</w:t>
      </w:r>
      <w:r w:rsidRPr="00422183">
        <w:rPr>
          <w:rFonts w:ascii="Rockwell" w:eastAsia="Times New Roman" w:hAnsi="Rockwell" w:cs="ArialNarrow"/>
          <w:bCs/>
          <w:iCs/>
          <w:sz w:val="24"/>
          <w:szCs w:val="24"/>
          <w:lang w:bidi="en-US"/>
        </w:rPr>
        <w:t xml:space="preserve">ormation </w:t>
      </w:r>
      <w:r w:rsidR="0029656E" w:rsidRPr="00422183">
        <w:rPr>
          <w:rFonts w:ascii="Rockwell" w:eastAsia="Times New Roman" w:hAnsi="Rockwell" w:cs="ArialNarrow"/>
          <w:bCs/>
          <w:iCs/>
          <w:sz w:val="24"/>
          <w:szCs w:val="24"/>
          <w:lang w:bidi="en-US"/>
        </w:rPr>
        <w:t>t</w:t>
      </w:r>
      <w:r w:rsidRPr="00422183">
        <w:rPr>
          <w:rFonts w:ascii="Rockwell" w:eastAsia="Times New Roman" w:hAnsi="Rockwell" w:cs="ArialNarrow"/>
          <w:bCs/>
          <w:iCs/>
          <w:sz w:val="24"/>
          <w:szCs w:val="24"/>
          <w:lang w:bidi="en-US"/>
        </w:rPr>
        <w:t xml:space="preserve">echniques et </w:t>
      </w:r>
      <w:r w:rsidR="0029656E" w:rsidRPr="00422183">
        <w:rPr>
          <w:rFonts w:ascii="Rockwell" w:eastAsia="Times New Roman" w:hAnsi="Rockwell" w:cs="ArialNarrow"/>
          <w:bCs/>
          <w:iCs/>
          <w:sz w:val="24"/>
          <w:szCs w:val="24"/>
          <w:lang w:bidi="en-US"/>
        </w:rPr>
        <w:t>p</w:t>
      </w:r>
      <w:r w:rsidRPr="00422183">
        <w:rPr>
          <w:rFonts w:ascii="Rockwell" w:eastAsia="Times New Roman" w:hAnsi="Rockwell" w:cs="ArialNarrow"/>
          <w:bCs/>
          <w:iCs/>
          <w:sz w:val="24"/>
          <w:szCs w:val="24"/>
          <w:lang w:bidi="en-US"/>
        </w:rPr>
        <w:t>rofessionnels (EFTP) reste</w:t>
      </w:r>
      <w:r w:rsidR="004E5B30" w:rsidRPr="00422183">
        <w:rPr>
          <w:rFonts w:ascii="Rockwell" w:eastAsia="Times New Roman" w:hAnsi="Rockwell" w:cs="ArialNarrow"/>
          <w:bCs/>
          <w:iCs/>
          <w:sz w:val="24"/>
          <w:szCs w:val="24"/>
          <w:lang w:bidi="en-US"/>
        </w:rPr>
        <w:t>nt</w:t>
      </w:r>
      <w:r w:rsidRPr="00422183">
        <w:rPr>
          <w:rFonts w:ascii="Rockwell" w:eastAsia="Times New Roman" w:hAnsi="Rockwell" w:cs="ArialNarrow"/>
          <w:bCs/>
          <w:iCs/>
          <w:sz w:val="24"/>
          <w:szCs w:val="24"/>
          <w:lang w:bidi="en-US"/>
        </w:rPr>
        <w:t xml:space="preserve"> qualitativement et </w:t>
      </w:r>
      <w:r w:rsidR="006D07CD" w:rsidRPr="00422183">
        <w:rPr>
          <w:rFonts w:ascii="Rockwell" w:eastAsia="Times New Roman" w:hAnsi="Rockwell" w:cs="ArialNarrow"/>
          <w:bCs/>
          <w:iCs/>
          <w:sz w:val="24"/>
          <w:szCs w:val="24"/>
          <w:lang w:bidi="en-US"/>
        </w:rPr>
        <w:t>quantitativement faible</w:t>
      </w:r>
      <w:r w:rsidR="00217F31" w:rsidRPr="00422183">
        <w:rPr>
          <w:rFonts w:ascii="Rockwell" w:eastAsia="Times New Roman" w:hAnsi="Rockwell" w:cs="ArialNarrow"/>
          <w:bCs/>
          <w:iCs/>
          <w:sz w:val="24"/>
          <w:szCs w:val="24"/>
          <w:lang w:bidi="en-US"/>
        </w:rPr>
        <w:t>s et</w:t>
      </w:r>
      <w:r w:rsidRPr="00422183">
        <w:rPr>
          <w:rFonts w:ascii="Rockwell" w:eastAsia="Times New Roman" w:hAnsi="Rockwell" w:cs="ArialNarrow"/>
          <w:bCs/>
          <w:iCs/>
          <w:sz w:val="24"/>
          <w:szCs w:val="24"/>
          <w:lang w:bidi="en-US"/>
        </w:rPr>
        <w:t xml:space="preserve"> </w:t>
      </w:r>
      <w:r w:rsidR="00F817CB" w:rsidRPr="00422183">
        <w:rPr>
          <w:rFonts w:ascii="Rockwell" w:eastAsia="Times New Roman" w:hAnsi="Rockwell" w:cs="ArialNarrow"/>
          <w:bCs/>
          <w:iCs/>
          <w:sz w:val="24"/>
          <w:szCs w:val="24"/>
          <w:lang w:bidi="en-US"/>
        </w:rPr>
        <w:t>désorganisé</w:t>
      </w:r>
      <w:r w:rsidR="00217F31" w:rsidRPr="00422183">
        <w:rPr>
          <w:rFonts w:ascii="Rockwell" w:eastAsia="Times New Roman" w:hAnsi="Rockwell" w:cs="ArialNarrow"/>
          <w:bCs/>
          <w:iCs/>
          <w:sz w:val="24"/>
          <w:szCs w:val="24"/>
          <w:lang w:bidi="en-US"/>
        </w:rPr>
        <w:t>s</w:t>
      </w:r>
      <w:r w:rsidR="00F817CB" w:rsidRPr="00422183">
        <w:rPr>
          <w:rFonts w:ascii="Rockwell" w:eastAsia="Times New Roman" w:hAnsi="Rockwell" w:cs="ArialNarrow"/>
          <w:bCs/>
          <w:iCs/>
          <w:sz w:val="24"/>
          <w:szCs w:val="24"/>
          <w:lang w:bidi="en-US"/>
        </w:rPr>
        <w:t xml:space="preserve">, </w:t>
      </w:r>
      <w:r w:rsidRPr="00422183">
        <w:rPr>
          <w:rFonts w:ascii="Rockwell" w:eastAsia="Times New Roman" w:hAnsi="Rockwell" w:cs="ArialNarrow"/>
          <w:bCs/>
          <w:iCs/>
          <w:sz w:val="24"/>
          <w:szCs w:val="24"/>
          <w:lang w:bidi="en-US"/>
        </w:rPr>
        <w:t>avec des disparités régionales et de genre accentué</w:t>
      </w:r>
      <w:r w:rsidR="00945CEC" w:rsidRPr="00422183">
        <w:rPr>
          <w:rFonts w:ascii="Rockwell" w:eastAsia="Times New Roman" w:hAnsi="Rockwell" w:cs="ArialNarrow"/>
          <w:bCs/>
          <w:iCs/>
          <w:sz w:val="24"/>
          <w:szCs w:val="24"/>
          <w:lang w:bidi="en-US"/>
        </w:rPr>
        <w:t>e</w:t>
      </w:r>
      <w:r w:rsidRPr="00422183">
        <w:rPr>
          <w:rFonts w:ascii="Rockwell" w:eastAsia="Times New Roman" w:hAnsi="Rockwell" w:cs="ArialNarrow"/>
          <w:bCs/>
          <w:iCs/>
          <w:sz w:val="24"/>
          <w:szCs w:val="24"/>
          <w:lang w:bidi="en-US"/>
        </w:rPr>
        <w:t>s. Les ordres d</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 xml:space="preserve">enseignement post-primaire, secondaire et </w:t>
      </w:r>
      <w:r w:rsidR="006D07CD" w:rsidRPr="00422183">
        <w:rPr>
          <w:rFonts w:ascii="Rockwell" w:eastAsia="Times New Roman" w:hAnsi="Rockwell" w:cs="ArialNarrow"/>
          <w:bCs/>
          <w:iCs/>
          <w:sz w:val="24"/>
          <w:szCs w:val="24"/>
          <w:lang w:bidi="en-US"/>
        </w:rPr>
        <w:t>supérieur sont</w:t>
      </w:r>
      <w:r w:rsidRPr="00422183">
        <w:rPr>
          <w:rFonts w:ascii="Rockwell" w:eastAsia="Times New Roman" w:hAnsi="Rockwell" w:cs="ArialNarrow"/>
          <w:bCs/>
          <w:iCs/>
          <w:sz w:val="24"/>
          <w:szCs w:val="24"/>
          <w:lang w:bidi="en-US"/>
        </w:rPr>
        <w:t xml:space="preserve"> principalement </w:t>
      </w:r>
      <w:r w:rsidR="00F817CB" w:rsidRPr="00422183">
        <w:rPr>
          <w:rFonts w:ascii="Rockwell" w:eastAsia="Times New Roman" w:hAnsi="Rockwell" w:cs="ArialNarrow"/>
          <w:bCs/>
          <w:iCs/>
          <w:sz w:val="24"/>
          <w:szCs w:val="24"/>
          <w:lang w:bidi="en-US"/>
        </w:rPr>
        <w:t>basés sur un système</w:t>
      </w:r>
      <w:r w:rsidRPr="00422183">
        <w:rPr>
          <w:rFonts w:ascii="Rockwell" w:eastAsia="Times New Roman" w:hAnsi="Rockwell" w:cs="ArialNarrow"/>
          <w:bCs/>
          <w:iCs/>
          <w:sz w:val="24"/>
          <w:szCs w:val="24"/>
          <w:lang w:bidi="en-US"/>
        </w:rPr>
        <w:t xml:space="preserve"> généraliste </w:t>
      </w:r>
      <w:r w:rsidR="00F817CB" w:rsidRPr="00422183">
        <w:rPr>
          <w:rFonts w:ascii="Rockwell" w:eastAsia="Times New Roman" w:hAnsi="Rockwell" w:cs="ArialNarrow"/>
          <w:bCs/>
          <w:iCs/>
          <w:sz w:val="24"/>
          <w:szCs w:val="24"/>
          <w:lang w:bidi="en-US"/>
        </w:rPr>
        <w:t xml:space="preserve">peu tourné </w:t>
      </w:r>
      <w:r w:rsidRPr="00422183">
        <w:rPr>
          <w:rFonts w:ascii="Rockwell" w:eastAsia="Times New Roman" w:hAnsi="Rockwell" w:cs="ArialNarrow"/>
          <w:bCs/>
          <w:iCs/>
          <w:sz w:val="24"/>
          <w:szCs w:val="24"/>
          <w:lang w:bidi="en-US"/>
        </w:rPr>
        <w:t xml:space="preserve">vers </w:t>
      </w:r>
      <w:r w:rsidR="00F817CB" w:rsidRPr="00422183">
        <w:rPr>
          <w:rFonts w:ascii="Rockwell" w:eastAsia="Times New Roman" w:hAnsi="Rockwell" w:cs="ArialNarrow"/>
          <w:bCs/>
          <w:iCs/>
          <w:sz w:val="24"/>
          <w:szCs w:val="24"/>
          <w:lang w:bidi="en-US"/>
        </w:rPr>
        <w:t>l</w:t>
      </w:r>
      <w:r w:rsidR="006C72DE" w:rsidRPr="00422183">
        <w:rPr>
          <w:rFonts w:ascii="Rockwell" w:eastAsia="Times New Roman" w:hAnsi="Rockwell" w:cs="ArialNarrow"/>
          <w:bCs/>
          <w:iCs/>
          <w:sz w:val="24"/>
          <w:szCs w:val="24"/>
          <w:lang w:bidi="en-US"/>
        </w:rPr>
        <w:t>'</w:t>
      </w:r>
      <w:r w:rsidR="00F817CB" w:rsidRPr="00422183">
        <w:rPr>
          <w:rFonts w:ascii="Rockwell" w:eastAsia="Times New Roman" w:hAnsi="Rockwell" w:cs="ArialNarrow"/>
          <w:bCs/>
          <w:iCs/>
          <w:sz w:val="24"/>
          <w:szCs w:val="24"/>
          <w:lang w:bidi="en-US"/>
        </w:rPr>
        <w:t>apprentissage d</w:t>
      </w:r>
      <w:r w:rsidR="006C72DE" w:rsidRPr="00422183">
        <w:rPr>
          <w:rFonts w:ascii="Rockwell" w:eastAsia="Times New Roman" w:hAnsi="Rockwell" w:cs="ArialNarrow"/>
          <w:bCs/>
          <w:iCs/>
          <w:sz w:val="24"/>
          <w:szCs w:val="24"/>
          <w:lang w:bidi="en-US"/>
        </w:rPr>
        <w:t>'</w:t>
      </w:r>
      <w:r w:rsidR="00F817CB" w:rsidRPr="00422183">
        <w:rPr>
          <w:rFonts w:ascii="Rockwell" w:eastAsia="Times New Roman" w:hAnsi="Rockwell" w:cs="ArialNarrow"/>
          <w:bCs/>
          <w:iCs/>
          <w:sz w:val="24"/>
          <w:szCs w:val="24"/>
          <w:lang w:bidi="en-US"/>
        </w:rPr>
        <w:t>un métier</w:t>
      </w:r>
      <w:r w:rsidR="00047B98" w:rsidRPr="00422183">
        <w:rPr>
          <w:rFonts w:ascii="Rockwell" w:eastAsia="Times New Roman" w:hAnsi="Rockwell" w:cs="ArialNarrow"/>
          <w:bCs/>
          <w:iCs/>
          <w:sz w:val="24"/>
          <w:szCs w:val="24"/>
          <w:lang w:bidi="en-US"/>
        </w:rPr>
        <w:t xml:space="preserve"> avec 3,4% des effectifs scolarisés dans l’EFTP sur les effectifs totaux dans l’enseignement général. Aussi, 63% des étudiants </w:t>
      </w:r>
      <w:r w:rsidR="00B56A0D" w:rsidRPr="00422183">
        <w:rPr>
          <w:rFonts w:ascii="Rockwell" w:eastAsia="Times New Roman" w:hAnsi="Rockwell" w:cs="ArialNarrow"/>
          <w:bCs/>
          <w:iCs/>
          <w:sz w:val="24"/>
          <w:szCs w:val="24"/>
          <w:lang w:bidi="en-US"/>
        </w:rPr>
        <w:t>sont</w:t>
      </w:r>
      <w:r w:rsidR="00047B98" w:rsidRPr="00422183">
        <w:rPr>
          <w:rFonts w:ascii="Rockwell" w:eastAsia="Times New Roman" w:hAnsi="Rockwell" w:cs="ArialNarrow"/>
          <w:bCs/>
          <w:iCs/>
          <w:sz w:val="24"/>
          <w:szCs w:val="24"/>
          <w:lang w:bidi="en-US"/>
        </w:rPr>
        <w:t xml:space="preserve"> orienté</w:t>
      </w:r>
      <w:r w:rsidR="00B56A0D" w:rsidRPr="00422183">
        <w:rPr>
          <w:rFonts w:ascii="Rockwell" w:eastAsia="Times New Roman" w:hAnsi="Rockwell" w:cs="ArialNarrow"/>
          <w:bCs/>
          <w:iCs/>
          <w:sz w:val="24"/>
          <w:szCs w:val="24"/>
          <w:lang w:bidi="en-US"/>
        </w:rPr>
        <w:t>s</w:t>
      </w:r>
      <w:r w:rsidR="00047B98" w:rsidRPr="00422183">
        <w:rPr>
          <w:rFonts w:ascii="Rockwell" w:eastAsia="Times New Roman" w:hAnsi="Rockwell" w:cs="ArialNarrow"/>
          <w:bCs/>
          <w:iCs/>
          <w:sz w:val="24"/>
          <w:szCs w:val="24"/>
          <w:lang w:bidi="en-US"/>
        </w:rPr>
        <w:t xml:space="preserve"> dans des filières des sciences sociales et humaines</w:t>
      </w:r>
      <w:r w:rsidR="00F817CB" w:rsidRPr="00422183">
        <w:rPr>
          <w:rFonts w:ascii="Rockwell" w:eastAsia="Times New Roman" w:hAnsi="Rockwell" w:cs="ArialNarrow"/>
          <w:bCs/>
          <w:iCs/>
          <w:sz w:val="24"/>
          <w:szCs w:val="24"/>
          <w:lang w:bidi="en-US"/>
        </w:rPr>
        <w:t>. L</w:t>
      </w:r>
      <w:r w:rsidR="006C72DE" w:rsidRPr="00422183">
        <w:rPr>
          <w:rFonts w:ascii="Rockwell" w:eastAsia="Times New Roman" w:hAnsi="Rockwell" w:cs="ArialNarrow"/>
          <w:bCs/>
          <w:iCs/>
          <w:sz w:val="24"/>
          <w:szCs w:val="24"/>
          <w:lang w:bidi="en-US"/>
        </w:rPr>
        <w:t>'</w:t>
      </w:r>
      <w:r w:rsidR="00F817CB" w:rsidRPr="00422183">
        <w:rPr>
          <w:rFonts w:ascii="Rockwell" w:eastAsia="Times New Roman" w:hAnsi="Rockwell" w:cs="ArialNarrow"/>
          <w:bCs/>
          <w:iCs/>
          <w:sz w:val="24"/>
          <w:szCs w:val="24"/>
          <w:lang w:bidi="en-US"/>
        </w:rPr>
        <w:t xml:space="preserve">enseignement supérieur est dans une </w:t>
      </w:r>
      <w:r w:rsidR="00952A67" w:rsidRPr="00422183">
        <w:rPr>
          <w:rFonts w:ascii="Rockwell" w:eastAsia="Times New Roman" w:hAnsi="Rockwell" w:cs="ArialNarrow"/>
          <w:bCs/>
          <w:iCs/>
          <w:sz w:val="24"/>
          <w:szCs w:val="24"/>
          <w:lang w:bidi="en-US"/>
        </w:rPr>
        <w:t xml:space="preserve">crise </w:t>
      </w:r>
      <w:r w:rsidR="006D07CD" w:rsidRPr="00422183">
        <w:rPr>
          <w:rFonts w:ascii="Rockwell" w:eastAsia="Times New Roman" w:hAnsi="Rockwell" w:cs="ArialNarrow"/>
          <w:bCs/>
          <w:iCs/>
          <w:sz w:val="24"/>
          <w:szCs w:val="24"/>
          <w:lang w:bidi="en-US"/>
        </w:rPr>
        <w:t>permanente, mettant</w:t>
      </w:r>
      <w:r w:rsidR="00952A67" w:rsidRPr="00422183">
        <w:rPr>
          <w:rFonts w:ascii="Rockwell" w:eastAsia="Times New Roman" w:hAnsi="Rockwell" w:cs="ArialNarrow"/>
          <w:bCs/>
          <w:iCs/>
          <w:sz w:val="24"/>
          <w:szCs w:val="24"/>
          <w:lang w:bidi="en-US"/>
        </w:rPr>
        <w:t xml:space="preserve"> </w:t>
      </w:r>
      <w:r w:rsidR="00B56A0D" w:rsidRPr="00422183">
        <w:rPr>
          <w:rFonts w:ascii="Rockwell" w:eastAsia="Times New Roman" w:hAnsi="Rockwell" w:cs="ArialNarrow"/>
          <w:bCs/>
          <w:iCs/>
          <w:sz w:val="24"/>
          <w:szCs w:val="24"/>
          <w:lang w:bidi="en-US"/>
        </w:rPr>
        <w:t>ainsi</w:t>
      </w:r>
      <w:r w:rsidR="00952A67" w:rsidRPr="00422183">
        <w:rPr>
          <w:rFonts w:ascii="Rockwell" w:eastAsia="Times New Roman" w:hAnsi="Rockwell" w:cs="ArialNarrow"/>
          <w:bCs/>
          <w:iCs/>
          <w:sz w:val="24"/>
          <w:szCs w:val="24"/>
          <w:lang w:bidi="en-US"/>
        </w:rPr>
        <w:t xml:space="preserve"> en mal </w:t>
      </w:r>
      <w:r w:rsidR="00B059FD" w:rsidRPr="00422183">
        <w:rPr>
          <w:rFonts w:ascii="Rockwell" w:eastAsia="Times New Roman" w:hAnsi="Rockwell" w:cs="ArialNarrow"/>
          <w:bCs/>
          <w:iCs/>
          <w:sz w:val="24"/>
          <w:szCs w:val="24"/>
          <w:lang w:bidi="en-US"/>
        </w:rPr>
        <w:t>le calendrier universitaire.</w:t>
      </w:r>
    </w:p>
    <w:p w:rsidR="0067079C" w:rsidRPr="00422183" w:rsidRDefault="0067079C" w:rsidP="003A0820">
      <w:pPr>
        <w:spacing w:after="0" w:line="240" w:lineRule="auto"/>
        <w:jc w:val="both"/>
        <w:rPr>
          <w:rFonts w:ascii="Rockwell" w:eastAsia="Times New Roman" w:hAnsi="Rockwell" w:cs="ArialNarrow"/>
          <w:bCs/>
          <w:iCs/>
          <w:sz w:val="24"/>
          <w:szCs w:val="24"/>
          <w:lang w:bidi="en-US"/>
        </w:rPr>
      </w:pPr>
    </w:p>
    <w:p w:rsidR="0067079C" w:rsidRPr="00422183" w:rsidRDefault="0067079C" w:rsidP="003A0820">
      <w:pPr>
        <w:spacing w:after="0" w:line="240" w:lineRule="auto"/>
        <w:jc w:val="both"/>
        <w:rPr>
          <w:rFonts w:ascii="Rockwell" w:eastAsia="Times New Roman" w:hAnsi="Rockwell" w:cs="ArialNarrow"/>
          <w:bCs/>
          <w:iCs/>
          <w:sz w:val="24"/>
          <w:szCs w:val="24"/>
          <w:lang w:bidi="en-US"/>
        </w:rPr>
      </w:pPr>
      <w:r w:rsidRPr="00422183">
        <w:rPr>
          <w:rFonts w:ascii="Rockwell" w:eastAsia="Times New Roman" w:hAnsi="Rockwell" w:cs="ArialNarrow"/>
          <w:bCs/>
          <w:iCs/>
          <w:sz w:val="24"/>
          <w:szCs w:val="24"/>
          <w:lang w:bidi="en-US"/>
        </w:rPr>
        <w:t>Les défis du système éducatif sont les suivants : (i)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amélioration de la qualité de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éducation de base, (ii)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accroissement et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amélioration de la qualité</w:t>
      </w:r>
      <w:r w:rsidR="006223ED" w:rsidRPr="00422183">
        <w:rPr>
          <w:rFonts w:ascii="Rockwell" w:eastAsia="Times New Roman" w:hAnsi="Rockwell" w:cs="ArialNarrow"/>
          <w:bCs/>
          <w:iCs/>
          <w:sz w:val="24"/>
          <w:szCs w:val="24"/>
          <w:lang w:bidi="en-US"/>
        </w:rPr>
        <w:t xml:space="preserve"> et </w:t>
      </w:r>
      <w:r w:rsidRPr="00422183">
        <w:rPr>
          <w:rFonts w:ascii="Rockwell" w:eastAsia="Times New Roman" w:hAnsi="Rockwell" w:cs="ArialNarrow"/>
          <w:bCs/>
          <w:iCs/>
          <w:sz w:val="24"/>
          <w:szCs w:val="24"/>
          <w:lang w:bidi="en-US"/>
        </w:rPr>
        <w:t>de l</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offre d</w:t>
      </w:r>
      <w:r w:rsidR="006C72DE"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E</w:t>
      </w:r>
      <w:r w:rsidR="006223ED" w:rsidRPr="00422183">
        <w:rPr>
          <w:rFonts w:ascii="Rockwell" w:eastAsia="Times New Roman" w:hAnsi="Rockwell" w:cs="ArialNarrow"/>
          <w:bCs/>
          <w:iCs/>
          <w:sz w:val="24"/>
          <w:szCs w:val="24"/>
          <w:lang w:bidi="en-US"/>
        </w:rPr>
        <w:t xml:space="preserve">nseignement et </w:t>
      </w:r>
      <w:r w:rsidR="00B56A0D" w:rsidRPr="00422183">
        <w:rPr>
          <w:rFonts w:ascii="Rockwell" w:eastAsia="Times New Roman" w:hAnsi="Rockwell" w:cs="ArialNarrow"/>
          <w:bCs/>
          <w:iCs/>
          <w:sz w:val="24"/>
          <w:szCs w:val="24"/>
          <w:lang w:bidi="en-US"/>
        </w:rPr>
        <w:t xml:space="preserve">de </w:t>
      </w:r>
      <w:r w:rsidR="006223ED" w:rsidRPr="00422183">
        <w:rPr>
          <w:rFonts w:ascii="Rockwell" w:eastAsia="Times New Roman" w:hAnsi="Rockwell" w:cs="ArialNarrow"/>
          <w:bCs/>
          <w:iCs/>
          <w:sz w:val="24"/>
          <w:szCs w:val="24"/>
          <w:lang w:bidi="en-US"/>
        </w:rPr>
        <w:t>formation technique</w:t>
      </w:r>
      <w:r w:rsidR="004C67EE" w:rsidRPr="00422183">
        <w:rPr>
          <w:rFonts w:ascii="Rockwell" w:eastAsia="Times New Roman" w:hAnsi="Rockwell" w:cs="ArialNarrow"/>
          <w:bCs/>
          <w:iCs/>
          <w:sz w:val="24"/>
          <w:szCs w:val="24"/>
          <w:lang w:bidi="en-US"/>
        </w:rPr>
        <w:t>s</w:t>
      </w:r>
      <w:r w:rsidR="006223ED" w:rsidRPr="00422183">
        <w:rPr>
          <w:rFonts w:ascii="Rockwell" w:eastAsia="Times New Roman" w:hAnsi="Rockwell" w:cs="ArialNarrow"/>
          <w:bCs/>
          <w:iCs/>
          <w:sz w:val="24"/>
          <w:szCs w:val="24"/>
          <w:lang w:bidi="en-US"/>
        </w:rPr>
        <w:t xml:space="preserve"> et p</w:t>
      </w:r>
      <w:r w:rsidR="004C67EE" w:rsidRPr="00422183">
        <w:rPr>
          <w:rFonts w:ascii="Rockwell" w:eastAsia="Times New Roman" w:hAnsi="Rockwell" w:cs="ArialNarrow"/>
          <w:bCs/>
          <w:iCs/>
          <w:sz w:val="24"/>
          <w:szCs w:val="24"/>
          <w:lang w:bidi="en-US"/>
        </w:rPr>
        <w:t>rofessionnels</w:t>
      </w:r>
      <w:r w:rsidR="006223ED"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 xml:space="preserve"> et la réduction des disparités, </w:t>
      </w:r>
      <w:r w:rsidR="006223ED" w:rsidRPr="00422183">
        <w:rPr>
          <w:rFonts w:ascii="Rockwell" w:eastAsia="Times New Roman" w:hAnsi="Rockwell" w:cs="ArialNarrow"/>
          <w:bCs/>
          <w:iCs/>
          <w:sz w:val="24"/>
          <w:szCs w:val="24"/>
          <w:lang w:bidi="en-US"/>
        </w:rPr>
        <w:t xml:space="preserve">(iii) l’amélioration de l’accès et de la qualité de l’enseignement </w:t>
      </w:r>
      <w:r w:rsidR="004C67EE" w:rsidRPr="00422183">
        <w:rPr>
          <w:rFonts w:ascii="Rockwell" w:eastAsia="Times New Roman" w:hAnsi="Rockwell" w:cs="ArialNarrow"/>
          <w:bCs/>
          <w:iCs/>
          <w:sz w:val="24"/>
          <w:szCs w:val="24"/>
          <w:lang w:bidi="en-US"/>
        </w:rPr>
        <w:t xml:space="preserve">secondaire et </w:t>
      </w:r>
      <w:r w:rsidR="006223ED" w:rsidRPr="00422183">
        <w:rPr>
          <w:rFonts w:ascii="Rockwell" w:eastAsia="Times New Roman" w:hAnsi="Rockwell" w:cs="ArialNarrow"/>
          <w:bCs/>
          <w:iCs/>
          <w:sz w:val="24"/>
          <w:szCs w:val="24"/>
          <w:lang w:bidi="en-US"/>
        </w:rPr>
        <w:t xml:space="preserve">supérieur, </w:t>
      </w:r>
      <w:r w:rsidRPr="00422183">
        <w:rPr>
          <w:rFonts w:ascii="Rockwell" w:eastAsia="Times New Roman" w:hAnsi="Rockwell" w:cs="ArialNarrow"/>
          <w:bCs/>
          <w:iCs/>
          <w:sz w:val="24"/>
          <w:szCs w:val="24"/>
          <w:lang w:bidi="en-US"/>
        </w:rPr>
        <w:t>(i</w:t>
      </w:r>
      <w:r w:rsidR="006223ED" w:rsidRPr="00422183">
        <w:rPr>
          <w:rFonts w:ascii="Rockwell" w:eastAsia="Times New Roman" w:hAnsi="Rockwell" w:cs="ArialNarrow"/>
          <w:bCs/>
          <w:iCs/>
          <w:sz w:val="24"/>
          <w:szCs w:val="24"/>
          <w:lang w:bidi="en-US"/>
        </w:rPr>
        <w:t>v</w:t>
      </w:r>
      <w:r w:rsidRPr="00422183">
        <w:rPr>
          <w:rFonts w:ascii="Rockwell" w:eastAsia="Times New Roman" w:hAnsi="Rockwell" w:cs="ArialNarrow"/>
          <w:bCs/>
          <w:iCs/>
          <w:sz w:val="24"/>
          <w:szCs w:val="24"/>
          <w:lang w:bidi="en-US"/>
        </w:rPr>
        <w:t>) la réforme de</w:t>
      </w:r>
      <w:r w:rsidR="00281F95" w:rsidRPr="00422183">
        <w:rPr>
          <w:rFonts w:ascii="Rockwell" w:eastAsia="Times New Roman" w:hAnsi="Rockwell" w:cs="ArialNarrow"/>
          <w:bCs/>
          <w:iCs/>
          <w:sz w:val="24"/>
          <w:szCs w:val="24"/>
          <w:lang w:bidi="en-US"/>
        </w:rPr>
        <w:t xml:space="preserve">s </w:t>
      </w:r>
      <w:r w:rsidRPr="00422183">
        <w:rPr>
          <w:rFonts w:ascii="Rockwell" w:eastAsia="Times New Roman" w:hAnsi="Rockwell" w:cs="ArialNarrow"/>
          <w:bCs/>
          <w:iCs/>
          <w:sz w:val="24"/>
          <w:szCs w:val="24"/>
          <w:lang w:bidi="en-US"/>
        </w:rPr>
        <w:t>enseignement</w:t>
      </w:r>
      <w:r w:rsidR="00281F95" w:rsidRPr="00422183">
        <w:rPr>
          <w:rFonts w:ascii="Rockwell" w:eastAsia="Times New Roman" w:hAnsi="Rockwell" w:cs="ArialNarrow"/>
          <w:bCs/>
          <w:iCs/>
          <w:sz w:val="24"/>
          <w:szCs w:val="24"/>
          <w:lang w:bidi="en-US"/>
        </w:rPr>
        <w:t>s</w:t>
      </w:r>
      <w:r w:rsidRPr="00422183">
        <w:rPr>
          <w:rFonts w:ascii="Rockwell" w:eastAsia="Times New Roman" w:hAnsi="Rockwell" w:cs="ArialNarrow"/>
          <w:bCs/>
          <w:iCs/>
          <w:sz w:val="24"/>
          <w:szCs w:val="24"/>
          <w:lang w:bidi="en-US"/>
        </w:rPr>
        <w:t xml:space="preserve"> </w:t>
      </w:r>
      <w:r w:rsidR="003F540F" w:rsidRPr="00422183">
        <w:rPr>
          <w:rFonts w:ascii="Rockwell" w:eastAsia="Times New Roman" w:hAnsi="Rockwell" w:cs="ArialNarrow"/>
          <w:bCs/>
          <w:iCs/>
          <w:sz w:val="24"/>
          <w:szCs w:val="24"/>
          <w:lang w:bidi="en-US"/>
        </w:rPr>
        <w:t xml:space="preserve">primaire, </w:t>
      </w:r>
      <w:r w:rsidRPr="00422183">
        <w:rPr>
          <w:rFonts w:ascii="Rockwell" w:eastAsia="Times New Roman" w:hAnsi="Rockwell" w:cs="ArialNarrow"/>
          <w:bCs/>
          <w:iCs/>
          <w:sz w:val="24"/>
          <w:szCs w:val="24"/>
          <w:lang w:bidi="en-US"/>
        </w:rPr>
        <w:t>post-primaire</w:t>
      </w:r>
      <w:r w:rsidR="00281F95" w:rsidRPr="00422183">
        <w:rPr>
          <w:rFonts w:ascii="Rockwell" w:eastAsia="Times New Roman" w:hAnsi="Rockwell" w:cs="ArialNarrow"/>
          <w:bCs/>
          <w:iCs/>
          <w:sz w:val="24"/>
          <w:szCs w:val="24"/>
          <w:lang w:bidi="en-US"/>
        </w:rPr>
        <w:t>,</w:t>
      </w:r>
      <w:r w:rsidRPr="00422183">
        <w:rPr>
          <w:rFonts w:ascii="Rockwell" w:eastAsia="Times New Roman" w:hAnsi="Rockwell" w:cs="ArialNarrow"/>
          <w:bCs/>
          <w:iCs/>
          <w:sz w:val="24"/>
          <w:szCs w:val="24"/>
          <w:lang w:bidi="en-US"/>
        </w:rPr>
        <w:t xml:space="preserve"> secondaire</w:t>
      </w:r>
      <w:r w:rsidR="006E6A4E" w:rsidRPr="00422183">
        <w:rPr>
          <w:rFonts w:ascii="Rockwell" w:eastAsia="Times New Roman" w:hAnsi="Rockwell" w:cs="ArialNarrow"/>
          <w:bCs/>
          <w:iCs/>
          <w:sz w:val="24"/>
          <w:szCs w:val="24"/>
          <w:lang w:bidi="en-US"/>
        </w:rPr>
        <w:t xml:space="preserve"> et supérieur pour les adapter aux</w:t>
      </w:r>
      <w:r w:rsidR="0029656E" w:rsidRPr="00422183">
        <w:rPr>
          <w:rFonts w:ascii="Rockwell" w:eastAsia="Times New Roman" w:hAnsi="Rockwell" w:cs="ArialNarrow"/>
          <w:bCs/>
          <w:iCs/>
          <w:sz w:val="24"/>
          <w:szCs w:val="24"/>
          <w:lang w:bidi="en-US"/>
        </w:rPr>
        <w:t xml:space="preserve"> besoins</w:t>
      </w:r>
      <w:r w:rsidR="006E6A4E" w:rsidRPr="00422183">
        <w:rPr>
          <w:rFonts w:ascii="Rockwell" w:eastAsia="Times New Roman" w:hAnsi="Rockwell" w:cs="ArialNarrow"/>
          <w:bCs/>
          <w:iCs/>
          <w:sz w:val="24"/>
          <w:szCs w:val="24"/>
          <w:lang w:bidi="en-US"/>
        </w:rPr>
        <w:t xml:space="preserve"> de la transformation structurelle de l</w:t>
      </w:r>
      <w:r w:rsidR="006C72DE" w:rsidRPr="00422183">
        <w:rPr>
          <w:rFonts w:ascii="Rockwell" w:eastAsia="Times New Roman" w:hAnsi="Rockwell" w:cs="ArialNarrow"/>
          <w:bCs/>
          <w:iCs/>
          <w:sz w:val="24"/>
          <w:szCs w:val="24"/>
          <w:lang w:bidi="en-US"/>
        </w:rPr>
        <w:t>'</w:t>
      </w:r>
      <w:r w:rsidR="006E6A4E" w:rsidRPr="00422183">
        <w:rPr>
          <w:rFonts w:ascii="Rockwell" w:eastAsia="Times New Roman" w:hAnsi="Rockwell" w:cs="ArialNarrow"/>
          <w:bCs/>
          <w:iCs/>
          <w:sz w:val="24"/>
          <w:szCs w:val="24"/>
          <w:lang w:bidi="en-US"/>
        </w:rPr>
        <w:t>économie</w:t>
      </w:r>
      <w:r w:rsidRPr="00422183">
        <w:rPr>
          <w:rFonts w:ascii="Rockwell" w:eastAsia="Times New Roman" w:hAnsi="Rockwell" w:cs="ArialNarrow"/>
          <w:bCs/>
          <w:iCs/>
          <w:sz w:val="24"/>
          <w:szCs w:val="24"/>
          <w:lang w:bidi="en-US"/>
        </w:rPr>
        <w:t xml:space="preserve">, </w:t>
      </w:r>
      <w:r w:rsidR="00D50D9E" w:rsidRPr="00422183">
        <w:rPr>
          <w:rFonts w:ascii="Rockwell" w:eastAsia="Times New Roman" w:hAnsi="Rockwell" w:cs="ArialNarrow"/>
          <w:bCs/>
          <w:iCs/>
          <w:sz w:val="24"/>
          <w:szCs w:val="24"/>
          <w:lang w:bidi="en-US"/>
        </w:rPr>
        <w:t>(v) le renforcement des capacités humaines et matérielles</w:t>
      </w:r>
      <w:r w:rsidR="00916ABB" w:rsidRPr="00422183">
        <w:rPr>
          <w:rFonts w:ascii="Rockwell" w:eastAsia="Times New Roman" w:hAnsi="Rockwell" w:cs="ArialNarrow"/>
          <w:bCs/>
          <w:iCs/>
          <w:sz w:val="24"/>
          <w:szCs w:val="24"/>
          <w:lang w:bidi="en-US"/>
        </w:rPr>
        <w:t> </w:t>
      </w:r>
      <w:r w:rsidR="0072207F" w:rsidRPr="00422183">
        <w:rPr>
          <w:rFonts w:ascii="Rockwell" w:eastAsia="Times New Roman" w:hAnsi="Rockwell" w:cs="ArialNarrow"/>
          <w:bCs/>
          <w:iCs/>
          <w:sz w:val="24"/>
          <w:szCs w:val="24"/>
          <w:lang w:bidi="en-US"/>
        </w:rPr>
        <w:t xml:space="preserve"> et </w:t>
      </w:r>
      <w:r w:rsidR="00916ABB" w:rsidRPr="00422183">
        <w:rPr>
          <w:rFonts w:ascii="Rockwell" w:eastAsia="Times New Roman" w:hAnsi="Rockwell" w:cs="ArialNarrow"/>
          <w:bCs/>
          <w:iCs/>
          <w:sz w:val="24"/>
          <w:szCs w:val="24"/>
          <w:lang w:bidi="en-US"/>
        </w:rPr>
        <w:t>(vi) l</w:t>
      </w:r>
      <w:r w:rsidR="006C72DE" w:rsidRPr="00422183">
        <w:rPr>
          <w:rFonts w:ascii="Rockwell" w:eastAsia="Times New Roman" w:hAnsi="Rockwell" w:cs="ArialNarrow"/>
          <w:bCs/>
          <w:iCs/>
          <w:sz w:val="24"/>
          <w:szCs w:val="24"/>
          <w:lang w:bidi="en-US"/>
        </w:rPr>
        <w:t>'</w:t>
      </w:r>
      <w:r w:rsidR="00916ABB" w:rsidRPr="00422183">
        <w:rPr>
          <w:rFonts w:ascii="Rockwell" w:eastAsia="Times New Roman" w:hAnsi="Rockwell" w:cs="ArialNarrow"/>
          <w:bCs/>
          <w:iCs/>
          <w:sz w:val="24"/>
          <w:szCs w:val="24"/>
          <w:lang w:bidi="en-US"/>
        </w:rPr>
        <w:t>amélioration de l</w:t>
      </w:r>
      <w:r w:rsidR="006C72DE" w:rsidRPr="00422183">
        <w:rPr>
          <w:rFonts w:ascii="Rockwell" w:eastAsia="Times New Roman" w:hAnsi="Rockwell" w:cs="ArialNarrow"/>
          <w:bCs/>
          <w:iCs/>
          <w:sz w:val="24"/>
          <w:szCs w:val="24"/>
          <w:lang w:bidi="en-US"/>
        </w:rPr>
        <w:t>'</w:t>
      </w:r>
      <w:r w:rsidR="00916ABB" w:rsidRPr="00422183">
        <w:rPr>
          <w:rFonts w:ascii="Rockwell" w:eastAsia="Times New Roman" w:hAnsi="Rockwell" w:cs="ArialNarrow"/>
          <w:bCs/>
          <w:iCs/>
          <w:sz w:val="24"/>
          <w:szCs w:val="24"/>
          <w:lang w:bidi="en-US"/>
        </w:rPr>
        <w:t>accès</w:t>
      </w:r>
      <w:r w:rsidR="006223ED" w:rsidRPr="00422183">
        <w:rPr>
          <w:rFonts w:ascii="Rockwell" w:eastAsia="Times New Roman" w:hAnsi="Rockwell" w:cs="ArialNarrow"/>
          <w:bCs/>
          <w:iCs/>
          <w:sz w:val="24"/>
          <w:szCs w:val="24"/>
          <w:lang w:bidi="en-US"/>
        </w:rPr>
        <w:t xml:space="preserve"> et de la qualité</w:t>
      </w:r>
      <w:r w:rsidR="00916ABB" w:rsidRPr="00422183">
        <w:rPr>
          <w:rFonts w:ascii="Rockwell" w:eastAsia="Times New Roman" w:hAnsi="Rockwell" w:cs="ArialNarrow"/>
          <w:bCs/>
          <w:iCs/>
          <w:sz w:val="24"/>
          <w:szCs w:val="24"/>
          <w:lang w:bidi="en-US"/>
        </w:rPr>
        <w:t xml:space="preserve"> </w:t>
      </w:r>
      <w:r w:rsidR="006223ED" w:rsidRPr="00422183">
        <w:rPr>
          <w:rFonts w:ascii="Rockwell" w:eastAsia="Times New Roman" w:hAnsi="Rockwell" w:cs="ArialNarrow"/>
          <w:bCs/>
          <w:iCs/>
          <w:sz w:val="24"/>
          <w:szCs w:val="24"/>
          <w:lang w:bidi="en-US"/>
        </w:rPr>
        <w:t>de</w:t>
      </w:r>
      <w:r w:rsidR="00916ABB" w:rsidRPr="00422183">
        <w:rPr>
          <w:rFonts w:ascii="Rockwell" w:eastAsia="Times New Roman" w:hAnsi="Rockwell" w:cs="ArialNarrow"/>
          <w:bCs/>
          <w:iCs/>
          <w:sz w:val="24"/>
          <w:szCs w:val="24"/>
          <w:lang w:bidi="en-US"/>
        </w:rPr>
        <w:t xml:space="preserve"> la formation professionnelle</w:t>
      </w:r>
      <w:r w:rsidR="00D50D9E" w:rsidRPr="00422183">
        <w:rPr>
          <w:rFonts w:ascii="Rockwell" w:eastAsia="Times New Roman" w:hAnsi="Rockwell" w:cs="ArialNarrow"/>
          <w:bCs/>
          <w:iCs/>
          <w:sz w:val="24"/>
          <w:szCs w:val="24"/>
          <w:lang w:bidi="en-US"/>
        </w:rPr>
        <w:t>.</w:t>
      </w:r>
    </w:p>
    <w:p w:rsidR="00B059FD" w:rsidRPr="00422183" w:rsidRDefault="00B059FD" w:rsidP="003A0820">
      <w:pPr>
        <w:autoSpaceDE w:val="0"/>
        <w:autoSpaceDN w:val="0"/>
        <w:adjustRightInd w:val="0"/>
        <w:spacing w:after="0" w:line="240" w:lineRule="auto"/>
        <w:jc w:val="both"/>
        <w:rPr>
          <w:rFonts w:ascii="Rockwell" w:hAnsi="Rockwell" w:cs="Times New Roman"/>
          <w:sz w:val="24"/>
          <w:szCs w:val="24"/>
        </w:rPr>
      </w:pPr>
    </w:p>
    <w:p w:rsidR="00F76A5C" w:rsidRPr="00422183" w:rsidRDefault="00F76A5C" w:rsidP="003A0820">
      <w:pPr>
        <w:pStyle w:val="PNDES3"/>
        <w:rPr>
          <w:rFonts w:ascii="Rockwell" w:hAnsi="Rockwell"/>
        </w:rPr>
      </w:pPr>
      <w:bookmarkStart w:id="127" w:name="_Toc453160742"/>
      <w:bookmarkStart w:id="128" w:name="_Toc455132727"/>
      <w:r w:rsidRPr="00422183">
        <w:rPr>
          <w:rFonts w:ascii="Rockwell" w:hAnsi="Rockwell"/>
        </w:rPr>
        <w:t xml:space="preserve">Une recherche scientifique faiblement développée </w:t>
      </w:r>
      <w:r w:rsidR="00217F31" w:rsidRPr="00422183">
        <w:rPr>
          <w:rFonts w:ascii="Rockwell" w:hAnsi="Rockwell"/>
        </w:rPr>
        <w:t xml:space="preserve">et </w:t>
      </w:r>
      <w:r w:rsidRPr="00422183">
        <w:rPr>
          <w:rFonts w:ascii="Rockwell" w:hAnsi="Rockwell"/>
        </w:rPr>
        <w:t xml:space="preserve">contribuant très peu au bien </w:t>
      </w:r>
      <w:r w:rsidR="00CD6002" w:rsidRPr="00422183">
        <w:rPr>
          <w:rFonts w:ascii="Rockwell" w:hAnsi="Rockwell"/>
        </w:rPr>
        <w:t>être des burkinabè</w:t>
      </w:r>
      <w:bookmarkEnd w:id="127"/>
      <w:bookmarkEnd w:id="128"/>
    </w:p>
    <w:p w:rsidR="00F76A5C" w:rsidRPr="00422183" w:rsidRDefault="00F76A5C" w:rsidP="003A0820">
      <w:pPr>
        <w:autoSpaceDE w:val="0"/>
        <w:autoSpaceDN w:val="0"/>
        <w:adjustRightInd w:val="0"/>
        <w:spacing w:after="0" w:line="240" w:lineRule="auto"/>
        <w:jc w:val="both"/>
        <w:rPr>
          <w:rFonts w:ascii="Rockwell" w:hAnsi="Rockwell" w:cs="Times New Roman"/>
          <w:sz w:val="24"/>
          <w:szCs w:val="24"/>
        </w:rPr>
      </w:pPr>
    </w:p>
    <w:p w:rsidR="00B20BC1" w:rsidRPr="00422183" w:rsidRDefault="00633D25" w:rsidP="003A0820">
      <w:pPr>
        <w:spacing w:after="0" w:line="240" w:lineRule="auto"/>
        <w:jc w:val="both"/>
        <w:rPr>
          <w:rFonts w:ascii="Rockwell" w:eastAsia="Times New Roman" w:hAnsi="Rockwell" w:cs="ArialNarrow"/>
          <w:bCs/>
          <w:iCs/>
          <w:sz w:val="24"/>
          <w:szCs w:val="24"/>
          <w:lang w:bidi="en-US"/>
        </w:rPr>
      </w:pPr>
      <w:r w:rsidRPr="00422183">
        <w:rPr>
          <w:rFonts w:ascii="Rockwell" w:hAnsi="Rockwell" w:cs="Times New Roman"/>
          <w:sz w:val="24"/>
          <w:szCs w:val="24"/>
        </w:rPr>
        <w:t>L</w:t>
      </w:r>
      <w:r w:rsidR="00B20BC1" w:rsidRPr="00422183">
        <w:rPr>
          <w:rFonts w:ascii="Rockwell" w:hAnsi="Rockwell" w:cs="Times New Roman"/>
          <w:sz w:val="24"/>
          <w:szCs w:val="24"/>
        </w:rPr>
        <w:t xml:space="preserve">a recherche scientifique </w:t>
      </w:r>
      <w:r w:rsidR="006952D4" w:rsidRPr="00422183">
        <w:rPr>
          <w:rFonts w:ascii="Rockwell" w:hAnsi="Rockwell" w:cs="Times New Roman"/>
          <w:sz w:val="24"/>
          <w:szCs w:val="24"/>
        </w:rPr>
        <w:t>est marqué</w:t>
      </w:r>
      <w:r w:rsidRPr="00422183">
        <w:rPr>
          <w:rFonts w:ascii="Rockwell" w:hAnsi="Rockwell" w:cs="Times New Roman"/>
          <w:sz w:val="24"/>
          <w:szCs w:val="24"/>
        </w:rPr>
        <w:t>e</w:t>
      </w:r>
      <w:r w:rsidR="006952D4" w:rsidRPr="00422183">
        <w:rPr>
          <w:rFonts w:ascii="Rockwell" w:hAnsi="Rockwell" w:cs="Times New Roman"/>
          <w:sz w:val="24"/>
          <w:szCs w:val="24"/>
        </w:rPr>
        <w:t xml:space="preserve"> par des contraintes</w:t>
      </w:r>
      <w:r w:rsidR="00B20BC1" w:rsidRPr="00422183">
        <w:rPr>
          <w:rFonts w:ascii="Rockwell" w:hAnsi="Rockwell" w:cs="Times New Roman"/>
          <w:sz w:val="24"/>
          <w:szCs w:val="24"/>
        </w:rPr>
        <w:t xml:space="preserve"> institutionnel</w:t>
      </w:r>
      <w:r w:rsidR="006952D4" w:rsidRPr="00422183">
        <w:rPr>
          <w:rFonts w:ascii="Rockwell" w:hAnsi="Rockwell" w:cs="Times New Roman"/>
          <w:sz w:val="24"/>
          <w:szCs w:val="24"/>
        </w:rPr>
        <w:t>les</w:t>
      </w:r>
      <w:r w:rsidR="00B20BC1" w:rsidRPr="00422183">
        <w:rPr>
          <w:rFonts w:ascii="Rockwell" w:hAnsi="Rockwell" w:cs="Times New Roman"/>
          <w:sz w:val="24"/>
          <w:szCs w:val="24"/>
        </w:rPr>
        <w:t xml:space="preserve"> et organisationnel</w:t>
      </w:r>
      <w:r w:rsidR="006952D4" w:rsidRPr="00422183">
        <w:rPr>
          <w:rFonts w:ascii="Rockwell" w:hAnsi="Rockwell" w:cs="Times New Roman"/>
          <w:sz w:val="24"/>
          <w:szCs w:val="24"/>
        </w:rPr>
        <w:t xml:space="preserve">les qui </w:t>
      </w:r>
      <w:r w:rsidR="00B20BC1" w:rsidRPr="00422183">
        <w:rPr>
          <w:rFonts w:ascii="Rockwell" w:hAnsi="Rockwell" w:cs="Times New Roman"/>
          <w:sz w:val="24"/>
          <w:szCs w:val="24"/>
        </w:rPr>
        <w:t xml:space="preserve">se traduisent par </w:t>
      </w:r>
      <w:r w:rsidR="00B20BC1" w:rsidRPr="00422183">
        <w:rPr>
          <w:rFonts w:ascii="Rockwell" w:eastAsia="Times New Roman" w:hAnsi="Rockwell" w:cs="ArialNarrow"/>
          <w:bCs/>
          <w:iCs/>
          <w:sz w:val="24"/>
          <w:szCs w:val="24"/>
          <w:lang w:bidi="en-US"/>
        </w:rPr>
        <w:t>la faible coordination des activités de recherche menées dans plusieurs ministères, la faible implication du gouvernement dans l'orientation et l</w:t>
      </w:r>
      <w:r w:rsidR="006C72DE" w:rsidRPr="00422183">
        <w:rPr>
          <w:rFonts w:ascii="Rockwell" w:eastAsia="Times New Roman" w:hAnsi="Rockwell" w:cs="ArialNarrow"/>
          <w:bCs/>
          <w:iCs/>
          <w:sz w:val="24"/>
          <w:szCs w:val="24"/>
          <w:lang w:bidi="en-US"/>
        </w:rPr>
        <w:t>'</w:t>
      </w:r>
      <w:r w:rsidR="00B20BC1" w:rsidRPr="00422183">
        <w:rPr>
          <w:rFonts w:ascii="Rockwell" w:eastAsia="Times New Roman" w:hAnsi="Rockwell" w:cs="ArialNarrow"/>
          <w:bCs/>
          <w:iCs/>
          <w:sz w:val="24"/>
          <w:szCs w:val="24"/>
          <w:lang w:bidi="en-US"/>
        </w:rPr>
        <w:t>inexistence d</w:t>
      </w:r>
      <w:r w:rsidR="006C72DE" w:rsidRPr="00422183">
        <w:rPr>
          <w:rFonts w:ascii="Rockwell" w:eastAsia="Times New Roman" w:hAnsi="Rockwell" w:cs="ArialNarrow"/>
          <w:bCs/>
          <w:iCs/>
          <w:sz w:val="24"/>
          <w:szCs w:val="24"/>
          <w:lang w:bidi="en-US"/>
        </w:rPr>
        <w:t>'</w:t>
      </w:r>
      <w:r w:rsidR="00B20BC1" w:rsidRPr="00422183">
        <w:rPr>
          <w:rFonts w:ascii="Rockwell" w:eastAsia="Times New Roman" w:hAnsi="Rockwell" w:cs="ArialNarrow"/>
          <w:bCs/>
          <w:iCs/>
          <w:sz w:val="24"/>
          <w:szCs w:val="24"/>
          <w:lang w:bidi="en-US"/>
        </w:rPr>
        <w:t xml:space="preserve">un cadre formel de partenariat </w:t>
      </w:r>
      <w:r w:rsidR="006952D4" w:rsidRPr="00422183">
        <w:rPr>
          <w:rFonts w:ascii="Rockwell" w:eastAsia="Times New Roman" w:hAnsi="Rockwell" w:cs="ArialNarrow"/>
          <w:bCs/>
          <w:iCs/>
          <w:sz w:val="24"/>
          <w:szCs w:val="24"/>
          <w:lang w:bidi="en-US"/>
        </w:rPr>
        <w:t>fait essentiellement</w:t>
      </w:r>
      <w:r w:rsidR="00B20BC1" w:rsidRPr="00422183">
        <w:rPr>
          <w:rFonts w:ascii="Rockwell" w:eastAsia="Times New Roman" w:hAnsi="Rockwell" w:cs="ArialNarrow"/>
          <w:bCs/>
          <w:iCs/>
          <w:sz w:val="24"/>
          <w:szCs w:val="24"/>
          <w:lang w:bidi="en-US"/>
        </w:rPr>
        <w:t xml:space="preserve"> </w:t>
      </w:r>
      <w:r w:rsidR="006952D4" w:rsidRPr="00422183">
        <w:rPr>
          <w:rFonts w:ascii="Rockwell" w:eastAsia="Times New Roman" w:hAnsi="Rockwell" w:cs="ArialNarrow"/>
          <w:bCs/>
          <w:iCs/>
          <w:sz w:val="24"/>
          <w:szCs w:val="24"/>
          <w:lang w:bidi="en-US"/>
        </w:rPr>
        <w:t>d'</w:t>
      </w:r>
      <w:r w:rsidR="00B20BC1" w:rsidRPr="00422183">
        <w:rPr>
          <w:rFonts w:ascii="Rockwell" w:eastAsia="Times New Roman" w:hAnsi="Rockwell" w:cs="ArialNarrow"/>
          <w:bCs/>
          <w:iCs/>
          <w:sz w:val="24"/>
          <w:szCs w:val="24"/>
          <w:lang w:bidi="en-US"/>
        </w:rPr>
        <w:t>initiatives personnelles</w:t>
      </w:r>
      <w:r w:rsidR="00B20BC1" w:rsidRPr="00422183">
        <w:rPr>
          <w:rFonts w:ascii="Rockwell" w:hAnsi="Rockwell" w:cs="Times New Roman"/>
          <w:sz w:val="24"/>
          <w:szCs w:val="24"/>
        </w:rPr>
        <w:t xml:space="preserve">. </w:t>
      </w:r>
      <w:r w:rsidR="006952D4" w:rsidRPr="00422183">
        <w:rPr>
          <w:rFonts w:ascii="Rockwell" w:hAnsi="Rockwell" w:cs="Times New Roman"/>
          <w:sz w:val="24"/>
          <w:szCs w:val="24"/>
        </w:rPr>
        <w:t>De</w:t>
      </w:r>
      <w:r w:rsidR="00B20BC1" w:rsidRPr="00422183">
        <w:rPr>
          <w:rFonts w:ascii="Rockwell" w:hAnsi="Rockwell" w:cs="Times New Roman"/>
          <w:sz w:val="24"/>
          <w:szCs w:val="24"/>
        </w:rPr>
        <w:t xml:space="preserve"> plus</w:t>
      </w:r>
      <w:r w:rsidR="006952D4" w:rsidRPr="00422183">
        <w:rPr>
          <w:rFonts w:ascii="Rockwell" w:hAnsi="Rockwell" w:cs="Times New Roman"/>
          <w:sz w:val="24"/>
          <w:szCs w:val="24"/>
        </w:rPr>
        <w:t>,</w:t>
      </w:r>
      <w:r w:rsidR="00B20BC1" w:rsidRPr="00422183">
        <w:rPr>
          <w:rFonts w:ascii="Rockwell" w:hAnsi="Rockwell" w:cs="Times New Roman"/>
          <w:sz w:val="24"/>
          <w:szCs w:val="24"/>
        </w:rPr>
        <w:t xml:space="preserve"> le système national de </w:t>
      </w:r>
      <w:r w:rsidR="006952D4" w:rsidRPr="00422183">
        <w:rPr>
          <w:rFonts w:ascii="Rockwell" w:hAnsi="Rockwell" w:cs="Times New Roman"/>
          <w:sz w:val="24"/>
          <w:szCs w:val="24"/>
        </w:rPr>
        <w:t xml:space="preserve">la </w:t>
      </w:r>
      <w:r w:rsidR="00B20BC1" w:rsidRPr="00422183">
        <w:rPr>
          <w:rFonts w:ascii="Rockwell" w:hAnsi="Rockwell" w:cs="Times New Roman"/>
          <w:sz w:val="24"/>
          <w:szCs w:val="24"/>
        </w:rPr>
        <w:t>recherche souf</w:t>
      </w:r>
      <w:r w:rsidR="00CD6002" w:rsidRPr="00422183">
        <w:rPr>
          <w:rFonts w:ascii="Rockwell" w:hAnsi="Rockwell" w:cs="Times New Roman"/>
          <w:sz w:val="24"/>
          <w:szCs w:val="24"/>
        </w:rPr>
        <w:t>f</w:t>
      </w:r>
      <w:r w:rsidR="00B20BC1" w:rsidRPr="00422183">
        <w:rPr>
          <w:rFonts w:ascii="Rockwell" w:hAnsi="Rockwell" w:cs="Times New Roman"/>
          <w:sz w:val="24"/>
          <w:szCs w:val="24"/>
        </w:rPr>
        <w:t xml:space="preserve">re de la faible valorisation de ses résultats, </w:t>
      </w:r>
      <w:r w:rsidRPr="00422183">
        <w:rPr>
          <w:rFonts w:ascii="Rockwell" w:hAnsi="Rockwell" w:cs="Times New Roman"/>
          <w:sz w:val="24"/>
          <w:szCs w:val="24"/>
        </w:rPr>
        <w:t xml:space="preserve">de la </w:t>
      </w:r>
      <w:r w:rsidRPr="00422183">
        <w:rPr>
          <w:rFonts w:ascii="Rockwell" w:eastAsia="Times New Roman" w:hAnsi="Rockwell" w:cs="ArialNarrow"/>
          <w:bCs/>
          <w:iCs/>
          <w:sz w:val="24"/>
          <w:szCs w:val="24"/>
          <w:lang w:bidi="en-US"/>
        </w:rPr>
        <w:t>vétusté des infrastructures et des équipements, de l’insécurité foncière des stations de recherche,</w:t>
      </w:r>
      <w:r w:rsidRPr="00422183">
        <w:rPr>
          <w:rFonts w:ascii="Rockwell" w:hAnsi="Rockwell" w:cs="Times New Roman"/>
          <w:sz w:val="24"/>
          <w:szCs w:val="24"/>
        </w:rPr>
        <w:t xml:space="preserve"> </w:t>
      </w:r>
      <w:r w:rsidR="006952D4" w:rsidRPr="00422183">
        <w:rPr>
          <w:rFonts w:ascii="Rockwell" w:hAnsi="Rockwell" w:cs="Times New Roman"/>
          <w:sz w:val="24"/>
          <w:szCs w:val="24"/>
        </w:rPr>
        <w:t xml:space="preserve">de </w:t>
      </w:r>
      <w:r w:rsidR="00B20BC1" w:rsidRPr="00422183">
        <w:rPr>
          <w:rFonts w:ascii="Rockwell" w:hAnsi="Rockwell" w:cs="Times New Roman"/>
          <w:sz w:val="24"/>
          <w:szCs w:val="24"/>
        </w:rPr>
        <w:t xml:space="preserve">la </w:t>
      </w:r>
      <w:r w:rsidR="00CD6002" w:rsidRPr="00422183">
        <w:rPr>
          <w:rFonts w:ascii="Rockwell" w:eastAsia="Times New Roman" w:hAnsi="Rockwell" w:cs="ArialNarrow"/>
          <w:bCs/>
          <w:iCs/>
          <w:sz w:val="24"/>
          <w:szCs w:val="24"/>
          <w:lang w:bidi="en-US"/>
        </w:rPr>
        <w:t>quasi-inexistence</w:t>
      </w:r>
      <w:r w:rsidR="00B20BC1" w:rsidRPr="00422183">
        <w:rPr>
          <w:rFonts w:ascii="Rockwell" w:eastAsia="Times New Roman" w:hAnsi="Rockwell" w:cs="ArialNarrow"/>
          <w:bCs/>
          <w:iCs/>
          <w:sz w:val="24"/>
          <w:szCs w:val="24"/>
          <w:lang w:bidi="en-US"/>
        </w:rPr>
        <w:t xml:space="preserve"> de recherche-développement, </w:t>
      </w:r>
      <w:r w:rsidR="006952D4" w:rsidRPr="00422183">
        <w:rPr>
          <w:rFonts w:ascii="Rockwell" w:eastAsia="Times New Roman" w:hAnsi="Rockwell" w:cs="ArialNarrow"/>
          <w:bCs/>
          <w:iCs/>
          <w:sz w:val="24"/>
          <w:szCs w:val="24"/>
          <w:lang w:bidi="en-US"/>
        </w:rPr>
        <w:t>du</w:t>
      </w:r>
      <w:r w:rsidR="00B20BC1" w:rsidRPr="00422183">
        <w:rPr>
          <w:rFonts w:ascii="Rockwell" w:eastAsia="Times New Roman" w:hAnsi="Rockwell" w:cs="ArialNarrow"/>
          <w:bCs/>
          <w:iCs/>
          <w:sz w:val="24"/>
          <w:szCs w:val="24"/>
          <w:lang w:bidi="en-US"/>
        </w:rPr>
        <w:t xml:space="preserve"> vieillissement des ressources humaines et matérielles et </w:t>
      </w:r>
      <w:r w:rsidR="006952D4" w:rsidRPr="00422183">
        <w:rPr>
          <w:rFonts w:ascii="Rockwell" w:eastAsia="Times New Roman" w:hAnsi="Rockwell" w:cs="ArialNarrow"/>
          <w:bCs/>
          <w:iCs/>
          <w:sz w:val="24"/>
          <w:szCs w:val="24"/>
          <w:lang w:bidi="en-US"/>
        </w:rPr>
        <w:t xml:space="preserve">de </w:t>
      </w:r>
      <w:r w:rsidR="00B20BC1" w:rsidRPr="00422183">
        <w:rPr>
          <w:rFonts w:ascii="Rockwell" w:eastAsia="Times New Roman" w:hAnsi="Rockwell" w:cs="ArialNarrow"/>
          <w:bCs/>
          <w:iCs/>
          <w:sz w:val="24"/>
          <w:szCs w:val="24"/>
          <w:lang w:bidi="en-US"/>
        </w:rPr>
        <w:t>la faiblesse du financement de l</w:t>
      </w:r>
      <w:r w:rsidR="006C72DE" w:rsidRPr="00422183">
        <w:rPr>
          <w:rFonts w:ascii="Rockwell" w:eastAsia="Times New Roman" w:hAnsi="Rockwell" w:cs="ArialNarrow"/>
          <w:bCs/>
          <w:iCs/>
          <w:sz w:val="24"/>
          <w:szCs w:val="24"/>
          <w:lang w:bidi="en-US"/>
        </w:rPr>
        <w:t>'</w:t>
      </w:r>
      <w:r w:rsidR="00426AE6" w:rsidRPr="00422183">
        <w:rPr>
          <w:rFonts w:ascii="Rockwell" w:eastAsia="Times New Roman" w:hAnsi="Rockwell" w:cs="ArialNarrow"/>
          <w:bCs/>
          <w:iCs/>
          <w:sz w:val="24"/>
          <w:szCs w:val="24"/>
          <w:lang w:bidi="en-US"/>
        </w:rPr>
        <w:t>État.</w:t>
      </w:r>
    </w:p>
    <w:p w:rsidR="00B20BC1" w:rsidRPr="00422183" w:rsidRDefault="00B20BC1" w:rsidP="003A0820">
      <w:pPr>
        <w:spacing w:after="0" w:line="240" w:lineRule="auto"/>
        <w:jc w:val="both"/>
        <w:rPr>
          <w:rFonts w:ascii="Rockwell" w:eastAsia="Times New Roman" w:hAnsi="Rockwell" w:cs="ArialNarrow"/>
          <w:bCs/>
          <w:iCs/>
          <w:sz w:val="24"/>
          <w:szCs w:val="24"/>
          <w:lang w:bidi="en-US"/>
        </w:rPr>
      </w:pPr>
    </w:p>
    <w:p w:rsidR="00B20BC1" w:rsidRPr="00422183" w:rsidRDefault="00B20BC1" w:rsidP="003A0820">
      <w:pPr>
        <w:spacing w:after="0" w:line="240" w:lineRule="auto"/>
        <w:jc w:val="both"/>
        <w:rPr>
          <w:rFonts w:ascii="Rockwell" w:hAnsi="Rockwell"/>
          <w:iCs/>
          <w:sz w:val="24"/>
          <w:szCs w:val="24"/>
        </w:rPr>
      </w:pPr>
      <w:r w:rsidRPr="00422183">
        <w:rPr>
          <w:rFonts w:ascii="Rockwell" w:hAnsi="Rockwell"/>
          <w:iCs/>
          <w:sz w:val="24"/>
          <w:szCs w:val="24"/>
        </w:rPr>
        <w:t xml:space="preserve">En vue de développer la recherche scientifique et technologique et </w:t>
      </w:r>
      <w:r w:rsidR="00CD6002" w:rsidRPr="00422183">
        <w:rPr>
          <w:rFonts w:ascii="Rockwell" w:hAnsi="Rockwell"/>
          <w:iCs/>
          <w:sz w:val="24"/>
          <w:szCs w:val="24"/>
        </w:rPr>
        <w:t xml:space="preserve">de valoriser </w:t>
      </w:r>
      <w:r w:rsidR="006952D4" w:rsidRPr="00422183">
        <w:rPr>
          <w:rFonts w:ascii="Rockwell" w:hAnsi="Rockwell"/>
          <w:iCs/>
          <w:sz w:val="24"/>
          <w:szCs w:val="24"/>
        </w:rPr>
        <w:t>s</w:t>
      </w:r>
      <w:r w:rsidRPr="00422183">
        <w:rPr>
          <w:rFonts w:ascii="Rockwell" w:hAnsi="Rockwell"/>
          <w:iCs/>
          <w:sz w:val="24"/>
          <w:szCs w:val="24"/>
        </w:rPr>
        <w:t xml:space="preserve">es résultats, </w:t>
      </w:r>
      <w:r w:rsidR="006952D4" w:rsidRPr="00422183">
        <w:rPr>
          <w:rFonts w:ascii="Rockwell" w:hAnsi="Rockwell"/>
          <w:iCs/>
          <w:sz w:val="24"/>
          <w:szCs w:val="24"/>
        </w:rPr>
        <w:t>il importe de parvenir</w:t>
      </w:r>
      <w:r w:rsidRPr="00422183">
        <w:rPr>
          <w:rFonts w:ascii="Rockwell" w:hAnsi="Rockwell"/>
          <w:iCs/>
          <w:sz w:val="24"/>
          <w:szCs w:val="24"/>
        </w:rPr>
        <w:t xml:space="preserve"> : (i) </w:t>
      </w:r>
      <w:r w:rsidR="006952D4" w:rsidRPr="00422183">
        <w:rPr>
          <w:rFonts w:ascii="Rockwell" w:hAnsi="Rockwell"/>
          <w:iCs/>
          <w:sz w:val="24"/>
          <w:szCs w:val="24"/>
        </w:rPr>
        <w:t xml:space="preserve">à </w:t>
      </w:r>
      <w:r w:rsidRPr="00422183">
        <w:rPr>
          <w:rFonts w:ascii="Rockwell" w:hAnsi="Rockwell"/>
          <w:iCs/>
          <w:sz w:val="24"/>
          <w:szCs w:val="24"/>
        </w:rPr>
        <w:t xml:space="preserve">l'amélioration de la gouvernance de la recherche, (ii) </w:t>
      </w:r>
      <w:r w:rsidR="006952D4" w:rsidRPr="00422183">
        <w:rPr>
          <w:rFonts w:ascii="Rockwell" w:hAnsi="Rockwell"/>
          <w:iCs/>
          <w:sz w:val="24"/>
          <w:szCs w:val="24"/>
        </w:rPr>
        <w:t>au</w:t>
      </w:r>
      <w:r w:rsidRPr="00422183">
        <w:rPr>
          <w:rFonts w:ascii="Rockwell" w:hAnsi="Rockwell"/>
          <w:iCs/>
          <w:sz w:val="24"/>
          <w:szCs w:val="24"/>
        </w:rPr>
        <w:t xml:space="preserve"> renforcement des capacités en ressources humaines, matérielles et financière</w:t>
      </w:r>
      <w:r w:rsidR="00CD6002" w:rsidRPr="00422183">
        <w:rPr>
          <w:rFonts w:ascii="Rockwell" w:hAnsi="Rockwell"/>
          <w:iCs/>
          <w:sz w:val="24"/>
          <w:szCs w:val="24"/>
        </w:rPr>
        <w:t>s</w:t>
      </w:r>
      <w:r w:rsidRPr="00422183">
        <w:rPr>
          <w:rFonts w:ascii="Rockwell" w:hAnsi="Rockwell"/>
          <w:iCs/>
          <w:sz w:val="24"/>
          <w:szCs w:val="24"/>
        </w:rPr>
        <w:t xml:space="preserve"> de la recherche scientifique et technologique, (iii) </w:t>
      </w:r>
      <w:r w:rsidR="006952D4" w:rsidRPr="00422183">
        <w:rPr>
          <w:rFonts w:ascii="Rockwell" w:hAnsi="Rockwell"/>
          <w:iCs/>
          <w:sz w:val="24"/>
          <w:szCs w:val="24"/>
        </w:rPr>
        <w:t xml:space="preserve">à </w:t>
      </w:r>
      <w:r w:rsidRPr="00422183">
        <w:rPr>
          <w:rFonts w:ascii="Rockwell" w:hAnsi="Rockwell"/>
          <w:iCs/>
          <w:sz w:val="24"/>
          <w:szCs w:val="24"/>
        </w:rPr>
        <w:t>l</w:t>
      </w:r>
      <w:r w:rsidR="006C72DE" w:rsidRPr="00422183">
        <w:rPr>
          <w:rFonts w:ascii="Rockwell" w:hAnsi="Rockwell"/>
          <w:iCs/>
          <w:sz w:val="24"/>
          <w:szCs w:val="24"/>
        </w:rPr>
        <w:t>'</w:t>
      </w:r>
      <w:r w:rsidRPr="00422183">
        <w:rPr>
          <w:rFonts w:ascii="Rockwell" w:hAnsi="Rockwell"/>
          <w:iCs/>
          <w:sz w:val="24"/>
          <w:szCs w:val="24"/>
        </w:rPr>
        <w:t xml:space="preserve">orientation de la recherche vers les objectifs du développement, (iv) </w:t>
      </w:r>
      <w:r w:rsidR="006952D4" w:rsidRPr="00422183">
        <w:rPr>
          <w:rFonts w:ascii="Rockwell" w:hAnsi="Rockwell"/>
          <w:iCs/>
          <w:sz w:val="24"/>
          <w:szCs w:val="24"/>
        </w:rPr>
        <w:t>au</w:t>
      </w:r>
      <w:r w:rsidRPr="00422183">
        <w:rPr>
          <w:rFonts w:ascii="Rockwell" w:hAnsi="Rockwell"/>
          <w:iCs/>
          <w:sz w:val="24"/>
          <w:szCs w:val="24"/>
        </w:rPr>
        <w:t xml:space="preserve"> renf</w:t>
      </w:r>
      <w:r w:rsidR="006952D4" w:rsidRPr="00422183">
        <w:rPr>
          <w:rFonts w:ascii="Rockwell" w:hAnsi="Rockwell"/>
          <w:iCs/>
          <w:sz w:val="24"/>
          <w:szCs w:val="24"/>
        </w:rPr>
        <w:t>orcement du partenariat public-</w:t>
      </w:r>
      <w:r w:rsidRPr="00422183">
        <w:rPr>
          <w:rFonts w:ascii="Rockwell" w:hAnsi="Rockwell"/>
          <w:iCs/>
          <w:sz w:val="24"/>
          <w:szCs w:val="24"/>
        </w:rPr>
        <w:t>privé dans la</w:t>
      </w:r>
      <w:r w:rsidR="00633D25" w:rsidRPr="00422183">
        <w:rPr>
          <w:rFonts w:ascii="Rockwell" w:hAnsi="Rockwell"/>
          <w:iCs/>
          <w:sz w:val="24"/>
          <w:szCs w:val="24"/>
        </w:rPr>
        <w:t xml:space="preserve"> valorisation des résultats de la</w:t>
      </w:r>
      <w:r w:rsidRPr="00422183">
        <w:rPr>
          <w:rFonts w:ascii="Rockwell" w:hAnsi="Rockwell"/>
          <w:iCs/>
          <w:sz w:val="24"/>
          <w:szCs w:val="24"/>
        </w:rPr>
        <w:t xml:space="preserve"> recherche</w:t>
      </w:r>
      <w:r w:rsidR="00633D25" w:rsidRPr="00422183">
        <w:rPr>
          <w:rFonts w:ascii="Rockwell" w:hAnsi="Rockwell"/>
          <w:iCs/>
          <w:sz w:val="24"/>
          <w:szCs w:val="24"/>
        </w:rPr>
        <w:t xml:space="preserve">, </w:t>
      </w:r>
      <w:r w:rsidRPr="00422183">
        <w:rPr>
          <w:rFonts w:ascii="Rockwell" w:hAnsi="Rockwell"/>
          <w:iCs/>
          <w:sz w:val="24"/>
          <w:szCs w:val="24"/>
        </w:rPr>
        <w:t xml:space="preserve">(v) </w:t>
      </w:r>
      <w:r w:rsidR="006952D4" w:rsidRPr="00422183">
        <w:rPr>
          <w:rFonts w:ascii="Rockwell" w:hAnsi="Rockwell"/>
          <w:iCs/>
          <w:sz w:val="24"/>
          <w:szCs w:val="24"/>
        </w:rPr>
        <w:t>à</w:t>
      </w:r>
      <w:r w:rsidRPr="00422183">
        <w:rPr>
          <w:rFonts w:ascii="Rockwell" w:hAnsi="Rockwell"/>
          <w:iCs/>
          <w:sz w:val="24"/>
          <w:szCs w:val="24"/>
        </w:rPr>
        <w:t xml:space="preserve"> la promotion de la coopération régionale</w:t>
      </w:r>
      <w:r w:rsidR="00633D25" w:rsidRPr="00422183">
        <w:rPr>
          <w:rFonts w:ascii="Rockwell" w:hAnsi="Rockwell"/>
          <w:iCs/>
          <w:sz w:val="24"/>
          <w:szCs w:val="24"/>
        </w:rPr>
        <w:t xml:space="preserve"> et internationale</w:t>
      </w:r>
      <w:r w:rsidRPr="00422183">
        <w:rPr>
          <w:rFonts w:ascii="Rockwell" w:hAnsi="Rockwell"/>
          <w:iCs/>
          <w:sz w:val="24"/>
          <w:szCs w:val="24"/>
        </w:rPr>
        <w:t xml:space="preserve"> dans le domaine </w:t>
      </w:r>
      <w:r w:rsidR="00CD6002" w:rsidRPr="00422183">
        <w:rPr>
          <w:rFonts w:ascii="Rockwell" w:hAnsi="Rockwell"/>
          <w:iCs/>
          <w:sz w:val="24"/>
          <w:szCs w:val="24"/>
        </w:rPr>
        <w:t xml:space="preserve">de </w:t>
      </w:r>
      <w:r w:rsidRPr="00422183">
        <w:rPr>
          <w:rFonts w:ascii="Rockwell" w:hAnsi="Rockwell"/>
          <w:iCs/>
          <w:sz w:val="24"/>
          <w:szCs w:val="24"/>
        </w:rPr>
        <w:t>la recherche scientifique et technologique</w:t>
      </w:r>
      <w:r w:rsidR="00633D25" w:rsidRPr="00422183">
        <w:rPr>
          <w:rFonts w:ascii="Rockwell" w:hAnsi="Rockwell"/>
          <w:iCs/>
          <w:sz w:val="24"/>
          <w:szCs w:val="24"/>
        </w:rPr>
        <w:t>.</w:t>
      </w:r>
    </w:p>
    <w:p w:rsidR="005416B9" w:rsidRPr="00422183" w:rsidRDefault="005416B9" w:rsidP="003A0820">
      <w:pPr>
        <w:spacing w:after="0" w:line="240" w:lineRule="auto"/>
        <w:jc w:val="both"/>
        <w:rPr>
          <w:rFonts w:ascii="Rockwell" w:hAnsi="Rockwell"/>
          <w:iCs/>
          <w:sz w:val="24"/>
          <w:szCs w:val="24"/>
        </w:rPr>
      </w:pPr>
    </w:p>
    <w:p w:rsidR="00B059FD" w:rsidRPr="00422183" w:rsidRDefault="006952D4" w:rsidP="003A0820">
      <w:pPr>
        <w:pStyle w:val="PNDES3"/>
        <w:rPr>
          <w:rFonts w:ascii="Rockwell" w:hAnsi="Rockwell"/>
        </w:rPr>
      </w:pPr>
      <w:bookmarkStart w:id="129" w:name="_Toc452994154"/>
      <w:bookmarkStart w:id="130" w:name="_Toc452994602"/>
      <w:bookmarkStart w:id="131" w:name="_Toc452995042"/>
      <w:bookmarkStart w:id="132" w:name="_Toc453160743"/>
      <w:bookmarkStart w:id="133" w:name="_Toc455132728"/>
      <w:r w:rsidRPr="00422183">
        <w:rPr>
          <w:rFonts w:ascii="Rockwell" w:hAnsi="Rockwell"/>
        </w:rPr>
        <w:t xml:space="preserve">Une </w:t>
      </w:r>
      <w:r w:rsidR="00D73EBC" w:rsidRPr="00422183">
        <w:rPr>
          <w:rFonts w:ascii="Rockwell" w:hAnsi="Rockwell"/>
        </w:rPr>
        <w:t>offre d'emplois dominée par l</w:t>
      </w:r>
      <w:r w:rsidR="006C72DE" w:rsidRPr="00422183">
        <w:rPr>
          <w:rFonts w:ascii="Rockwell" w:hAnsi="Rockwell"/>
        </w:rPr>
        <w:t>'</w:t>
      </w:r>
      <w:r w:rsidR="00D73EBC" w:rsidRPr="00422183">
        <w:rPr>
          <w:rFonts w:ascii="Rockwell" w:hAnsi="Rockwell"/>
        </w:rPr>
        <w:t>économie</w:t>
      </w:r>
      <w:r w:rsidR="00152816" w:rsidRPr="00422183">
        <w:rPr>
          <w:rFonts w:ascii="Rockwell" w:hAnsi="Rockwell"/>
        </w:rPr>
        <w:t xml:space="preserve"> informel</w:t>
      </w:r>
      <w:r w:rsidR="00D73EBC" w:rsidRPr="00422183">
        <w:rPr>
          <w:rFonts w:ascii="Rockwell" w:hAnsi="Rockwell"/>
        </w:rPr>
        <w:t>le</w:t>
      </w:r>
      <w:r w:rsidR="00152816" w:rsidRPr="00422183">
        <w:rPr>
          <w:rFonts w:ascii="Rockwell" w:hAnsi="Rockwell"/>
        </w:rPr>
        <w:t xml:space="preserve"> et l'administration publique</w:t>
      </w:r>
      <w:bookmarkEnd w:id="129"/>
      <w:bookmarkEnd w:id="130"/>
      <w:bookmarkEnd w:id="131"/>
      <w:bookmarkEnd w:id="132"/>
      <w:bookmarkEnd w:id="133"/>
    </w:p>
    <w:p w:rsidR="00B059FD" w:rsidRPr="00422183" w:rsidRDefault="00B059FD" w:rsidP="003A0820">
      <w:pPr>
        <w:spacing w:after="0" w:line="240" w:lineRule="auto"/>
        <w:jc w:val="both"/>
        <w:rPr>
          <w:rFonts w:ascii="Rockwell" w:hAnsi="Rockwell" w:cs="Times New Roman"/>
          <w:bCs/>
          <w:sz w:val="24"/>
          <w:szCs w:val="24"/>
        </w:rPr>
      </w:pPr>
    </w:p>
    <w:p w:rsidR="003F540F" w:rsidRPr="00422183" w:rsidRDefault="003F540F" w:rsidP="003A0820">
      <w:pPr>
        <w:spacing w:after="0" w:line="240" w:lineRule="auto"/>
        <w:jc w:val="both"/>
        <w:rPr>
          <w:rFonts w:ascii="Rockwell" w:hAnsi="Rockwell" w:cs="Times New Roman"/>
          <w:bCs/>
          <w:sz w:val="24"/>
          <w:szCs w:val="24"/>
        </w:rPr>
      </w:pPr>
    </w:p>
    <w:p w:rsidR="00B56A0D" w:rsidRPr="00422183" w:rsidRDefault="00B56A0D" w:rsidP="00B56A0D">
      <w:pPr>
        <w:autoSpaceDE w:val="0"/>
        <w:autoSpaceDN w:val="0"/>
        <w:adjustRightInd w:val="0"/>
        <w:spacing w:after="0" w:line="240" w:lineRule="auto"/>
        <w:contextualSpacing/>
        <w:jc w:val="both"/>
        <w:rPr>
          <w:rFonts w:ascii="Rockwell" w:eastAsia="Calibri" w:hAnsi="Rockwell" w:cs="Times New Roman"/>
          <w:sz w:val="24"/>
          <w:szCs w:val="24"/>
          <w:lang w:eastAsia="en-GB"/>
        </w:rPr>
      </w:pPr>
      <w:r w:rsidRPr="00422183">
        <w:rPr>
          <w:rFonts w:ascii="Rockwell" w:eastAsia="Calibri" w:hAnsi="Rockwell" w:cs="Times New Roman"/>
          <w:sz w:val="24"/>
          <w:szCs w:val="24"/>
          <w:lang w:eastAsia="en-GB"/>
        </w:rPr>
        <w:t>L’impératif auquel doit répondre l’économie burkinabè est celui de relever le défi de créer des emplois décents et durables notamment pour les jeunes et les femmes qui arrivent sur le marché du travail. En 2014, l</w:t>
      </w:r>
      <w:r w:rsidRPr="00422183">
        <w:rPr>
          <w:rFonts w:ascii="Rockwell" w:eastAsia="Calibri" w:hAnsi="Rockwell" w:cs="Times New Roman"/>
          <w:sz w:val="24"/>
          <w:szCs w:val="24"/>
        </w:rPr>
        <w:t xml:space="preserve">e taux de chômage était estimé à 6,6% avec 14,1% des jeunes urbains de 15 à 24 ans et un taux de 20% pour les filles et 8% pour les garçons. Il </w:t>
      </w:r>
      <w:r w:rsidRPr="00422183">
        <w:rPr>
          <w:rFonts w:ascii="Rockwell" w:eastAsia="Calibri" w:hAnsi="Rockwell" w:cs="BookAntiqua"/>
          <w:sz w:val="24"/>
          <w:szCs w:val="24"/>
        </w:rPr>
        <w:t>est plus élevé en milieu urbain (7,1%) qu’en milieu rural</w:t>
      </w:r>
      <w:r w:rsidRPr="00422183">
        <w:rPr>
          <w:rFonts w:ascii="Rockwell" w:eastAsia="Calibri" w:hAnsi="Rockwell" w:cs="Times New Roman"/>
          <w:sz w:val="24"/>
          <w:szCs w:val="24"/>
        </w:rPr>
        <w:t xml:space="preserve"> où il est de 6,4%.</w:t>
      </w:r>
      <w:r w:rsidRPr="00422183">
        <w:rPr>
          <w:rFonts w:ascii="Rockwell" w:eastAsia="Calibri" w:hAnsi="Rockwell" w:cs="Times New Roman"/>
          <w:sz w:val="24"/>
          <w:szCs w:val="24"/>
          <w:lang w:eastAsia="en-GB"/>
        </w:rPr>
        <w:t xml:space="preserve"> Par ailleurs, la majorité des emplois ruraux ne sont pas décents car couvrent à peine 50% du temps des actifs occupés à l'exemple du secteur agricole où le taux de sous-emplois est de 64%.</w:t>
      </w:r>
    </w:p>
    <w:p w:rsidR="00AE4371" w:rsidRPr="00422183" w:rsidRDefault="00AE4371" w:rsidP="00B56A0D">
      <w:pPr>
        <w:autoSpaceDE w:val="0"/>
        <w:autoSpaceDN w:val="0"/>
        <w:adjustRightInd w:val="0"/>
        <w:spacing w:after="0" w:line="240" w:lineRule="auto"/>
        <w:contextualSpacing/>
        <w:jc w:val="both"/>
        <w:rPr>
          <w:rFonts w:ascii="Rockwell" w:eastAsia="Calibri" w:hAnsi="Rockwell" w:cs="Times New Roman"/>
          <w:sz w:val="24"/>
          <w:szCs w:val="24"/>
          <w:lang w:eastAsia="en-GB"/>
        </w:rPr>
      </w:pPr>
    </w:p>
    <w:p w:rsidR="00B56A0D" w:rsidRPr="00422183" w:rsidRDefault="00B56A0D" w:rsidP="00B56A0D">
      <w:pPr>
        <w:autoSpaceDE w:val="0"/>
        <w:autoSpaceDN w:val="0"/>
        <w:adjustRightInd w:val="0"/>
        <w:spacing w:after="0" w:line="240" w:lineRule="auto"/>
        <w:contextualSpacing/>
        <w:jc w:val="both"/>
        <w:rPr>
          <w:rFonts w:ascii="Rockwell" w:eastAsia="Calibri" w:hAnsi="Rockwell" w:cs="Times New Roman"/>
          <w:sz w:val="24"/>
          <w:szCs w:val="24"/>
          <w:lang w:eastAsia="en-GB"/>
        </w:rPr>
      </w:pPr>
      <w:r w:rsidRPr="00422183">
        <w:rPr>
          <w:rFonts w:ascii="Rockwell" w:eastAsia="Calibri" w:hAnsi="Rockwell" w:cs="Times New Roman"/>
          <w:sz w:val="24"/>
          <w:szCs w:val="24"/>
        </w:rPr>
        <w:t xml:space="preserve">D’une manière générale, l’emploi reste dominé par le secteur informel, puisque seulement 6,4% est fourni par le secteur moderne. </w:t>
      </w:r>
      <w:r w:rsidRPr="00422183">
        <w:rPr>
          <w:rFonts w:ascii="Rockwell" w:eastAsia="Calibri" w:hAnsi="Rockwell" w:cs="Times New Roman"/>
          <w:sz w:val="24"/>
          <w:szCs w:val="24"/>
          <w:lang w:eastAsia="en-GB"/>
        </w:rPr>
        <w:t>Avec une moyenne de 51,5% des emplois formels créés, la fonction publique demeure la principale pourvoyeuse d'e</w:t>
      </w:r>
      <w:r w:rsidR="00AE4371" w:rsidRPr="00422183">
        <w:rPr>
          <w:rFonts w:ascii="Rockwell" w:eastAsia="Calibri" w:hAnsi="Rockwell" w:cs="Times New Roman"/>
          <w:sz w:val="24"/>
          <w:szCs w:val="24"/>
          <w:lang w:eastAsia="en-GB"/>
        </w:rPr>
        <w:t>mplois formels au Burkina Faso.</w:t>
      </w:r>
    </w:p>
    <w:p w:rsidR="00AE4371" w:rsidRPr="00422183" w:rsidRDefault="00AE4371" w:rsidP="00B56A0D">
      <w:pPr>
        <w:autoSpaceDE w:val="0"/>
        <w:autoSpaceDN w:val="0"/>
        <w:adjustRightInd w:val="0"/>
        <w:spacing w:after="0" w:line="240" w:lineRule="auto"/>
        <w:contextualSpacing/>
        <w:jc w:val="both"/>
        <w:rPr>
          <w:rFonts w:ascii="Rockwell" w:eastAsia="Calibri" w:hAnsi="Rockwell" w:cs="Times New Roman"/>
          <w:sz w:val="24"/>
          <w:szCs w:val="24"/>
        </w:rPr>
      </w:pPr>
    </w:p>
    <w:p w:rsidR="00B56A0D" w:rsidRPr="00422183" w:rsidRDefault="00B56A0D" w:rsidP="00B56A0D">
      <w:pPr>
        <w:spacing w:after="0" w:line="240" w:lineRule="auto"/>
        <w:jc w:val="both"/>
        <w:rPr>
          <w:rFonts w:ascii="Rockwell" w:eastAsia="Calibri" w:hAnsi="Rockwell" w:cs="Times New Roman"/>
          <w:sz w:val="24"/>
          <w:szCs w:val="24"/>
        </w:rPr>
      </w:pPr>
      <w:r w:rsidRPr="00422183">
        <w:rPr>
          <w:rFonts w:ascii="Rockwell" w:eastAsia="Calibri" w:hAnsi="Rockwell" w:cs="Times New Roman"/>
          <w:sz w:val="24"/>
          <w:szCs w:val="24"/>
        </w:rPr>
        <w:t>Nonobstant les efforts d'organisation et de pilotage du secteur, l'abondement des fonds de promotion de l'emploi, l'augmentation des offres d'emplois de l'administration publique et l'amélioration de la gouvernance du marché du travail, de nombreux défis persistent. Ils concernent notamment : (i) l'amélioration de l'employabilité des jeunes actifs, (ii) la réduction du sous-emploi de la main d'œuvre rurale, (iii) l'élargissement de l'accès à la formation technique et professionnelle, (iv) la promotion de l'entreprenariat au profit des jeunes et des femmes, (v) l'amélioration de la gouvernance du marché du travail, l'extension et l'élargissement de la protection sociale.</w:t>
      </w:r>
    </w:p>
    <w:p w:rsidR="00B56A0D" w:rsidRPr="00422183" w:rsidRDefault="00B56A0D" w:rsidP="003A0820">
      <w:pPr>
        <w:spacing w:after="0" w:line="240" w:lineRule="auto"/>
        <w:jc w:val="both"/>
        <w:rPr>
          <w:rFonts w:ascii="Rockwell" w:eastAsia="Calibri" w:hAnsi="Rockwell" w:cs="Times New Roman"/>
          <w:sz w:val="24"/>
          <w:szCs w:val="24"/>
        </w:rPr>
      </w:pPr>
    </w:p>
    <w:p w:rsidR="00312971" w:rsidRPr="00422183" w:rsidRDefault="00312971" w:rsidP="003A0820">
      <w:pPr>
        <w:spacing w:after="0" w:line="240" w:lineRule="auto"/>
        <w:jc w:val="both"/>
        <w:rPr>
          <w:rFonts w:ascii="Rockwell" w:eastAsia="Calibri" w:hAnsi="Rockwell" w:cs="Times New Roman"/>
          <w:sz w:val="24"/>
          <w:szCs w:val="24"/>
        </w:rPr>
      </w:pPr>
    </w:p>
    <w:p w:rsidR="005D28E0" w:rsidRPr="00422183" w:rsidRDefault="003B7743" w:rsidP="003A0820">
      <w:pPr>
        <w:pStyle w:val="PNDES3"/>
        <w:rPr>
          <w:rFonts w:ascii="Rockwell" w:hAnsi="Rockwell"/>
        </w:rPr>
      </w:pPr>
      <w:bookmarkStart w:id="134" w:name="_Toc452994155"/>
      <w:bookmarkStart w:id="135" w:name="_Toc452994603"/>
      <w:bookmarkStart w:id="136" w:name="_Toc452995043"/>
      <w:bookmarkStart w:id="137" w:name="_Toc453160744"/>
      <w:bookmarkStart w:id="138" w:name="_Toc455132729"/>
      <w:r w:rsidRPr="00422183">
        <w:rPr>
          <w:rFonts w:ascii="Rockwell" w:hAnsi="Rockwell"/>
        </w:rPr>
        <w:t>Des acquis à consolider dans le secteur de l</w:t>
      </w:r>
      <w:r w:rsidR="006C72DE" w:rsidRPr="00422183">
        <w:rPr>
          <w:rFonts w:ascii="Rockwell" w:hAnsi="Rockwell"/>
        </w:rPr>
        <w:t>'</w:t>
      </w:r>
      <w:r w:rsidR="005D28E0" w:rsidRPr="00422183">
        <w:rPr>
          <w:rFonts w:ascii="Rockwell" w:hAnsi="Rockwell"/>
        </w:rPr>
        <w:t xml:space="preserve">environnement, </w:t>
      </w:r>
      <w:r w:rsidRPr="00422183">
        <w:rPr>
          <w:rFonts w:ascii="Rockwell" w:hAnsi="Rockwell"/>
        </w:rPr>
        <w:t xml:space="preserve">de </w:t>
      </w:r>
      <w:r w:rsidR="005D28E0" w:rsidRPr="00422183">
        <w:rPr>
          <w:rFonts w:ascii="Rockwell" w:hAnsi="Rockwell"/>
        </w:rPr>
        <w:t>l</w:t>
      </w:r>
      <w:r w:rsidR="006C72DE" w:rsidRPr="00422183">
        <w:rPr>
          <w:rFonts w:ascii="Rockwell" w:hAnsi="Rockwell"/>
        </w:rPr>
        <w:t>'</w:t>
      </w:r>
      <w:r w:rsidR="005D28E0" w:rsidRPr="00422183">
        <w:rPr>
          <w:rFonts w:ascii="Rockwell" w:hAnsi="Rockwell"/>
        </w:rPr>
        <w:t xml:space="preserve">eau et </w:t>
      </w:r>
      <w:r w:rsidRPr="00422183">
        <w:rPr>
          <w:rFonts w:ascii="Rockwell" w:hAnsi="Rockwell"/>
        </w:rPr>
        <w:t xml:space="preserve">de </w:t>
      </w:r>
      <w:r w:rsidR="005D28E0" w:rsidRPr="00422183">
        <w:rPr>
          <w:rFonts w:ascii="Rockwell" w:hAnsi="Rockwell"/>
        </w:rPr>
        <w:t>l</w:t>
      </w:r>
      <w:r w:rsidR="006C72DE" w:rsidRPr="00422183">
        <w:rPr>
          <w:rFonts w:ascii="Rockwell" w:hAnsi="Rockwell"/>
        </w:rPr>
        <w:t>'</w:t>
      </w:r>
      <w:r w:rsidR="005D28E0" w:rsidRPr="00422183">
        <w:rPr>
          <w:rFonts w:ascii="Rockwell" w:hAnsi="Rockwell"/>
        </w:rPr>
        <w:t>assainissement</w:t>
      </w:r>
      <w:bookmarkEnd w:id="134"/>
      <w:bookmarkEnd w:id="135"/>
      <w:bookmarkEnd w:id="136"/>
      <w:bookmarkEnd w:id="137"/>
      <w:bookmarkEnd w:id="138"/>
    </w:p>
    <w:p w:rsidR="00312971" w:rsidRPr="00422183" w:rsidRDefault="00312971" w:rsidP="003A0820">
      <w:pPr>
        <w:spacing w:after="0" w:line="240" w:lineRule="auto"/>
        <w:jc w:val="both"/>
        <w:rPr>
          <w:rFonts w:ascii="Rockwell" w:eastAsia="Calibri" w:hAnsi="Rockwell" w:cs="Times New Roman"/>
          <w:sz w:val="24"/>
          <w:szCs w:val="24"/>
        </w:rPr>
      </w:pPr>
    </w:p>
    <w:p w:rsidR="00F30BB0" w:rsidRPr="00422183" w:rsidRDefault="002B6F25" w:rsidP="003A0820">
      <w:pPr>
        <w:autoSpaceDE w:val="0"/>
        <w:autoSpaceDN w:val="0"/>
        <w:adjustRightInd w:val="0"/>
        <w:spacing w:after="0" w:line="240" w:lineRule="auto"/>
        <w:jc w:val="both"/>
        <w:rPr>
          <w:rFonts w:ascii="Rockwell" w:eastAsiaTheme="majorEastAsia" w:hAnsi="Rockwell" w:cstheme="majorBidi"/>
          <w:iCs/>
          <w:sz w:val="24"/>
          <w:szCs w:val="24"/>
        </w:rPr>
      </w:pPr>
      <w:r w:rsidRPr="00422183">
        <w:rPr>
          <w:rFonts w:ascii="Rockwell" w:hAnsi="Rockwell" w:cs="Tahoma"/>
          <w:sz w:val="24"/>
          <w:szCs w:val="24"/>
        </w:rPr>
        <w:t>L</w:t>
      </w:r>
      <w:r w:rsidR="00F30BB0" w:rsidRPr="00422183">
        <w:rPr>
          <w:rFonts w:ascii="Rockwell" w:hAnsi="Rockwell" w:cs="Tahoma"/>
          <w:sz w:val="24"/>
          <w:szCs w:val="24"/>
        </w:rPr>
        <w:t>a période 2011-2015 a vu le Burkina Faso</w:t>
      </w:r>
      <w:r w:rsidR="00CD598A" w:rsidRPr="00422183">
        <w:rPr>
          <w:rFonts w:ascii="Rockwell" w:hAnsi="Rockwell" w:cs="Tahoma"/>
          <w:sz w:val="24"/>
          <w:szCs w:val="24"/>
        </w:rPr>
        <w:t xml:space="preserve"> accomplir </w:t>
      </w:r>
      <w:r w:rsidR="00332EB9" w:rsidRPr="00422183">
        <w:rPr>
          <w:rFonts w:ascii="Rockwell" w:hAnsi="Rockwell" w:cs="Tahoma"/>
          <w:sz w:val="24"/>
          <w:szCs w:val="24"/>
        </w:rPr>
        <w:t>des progrès en matière de gestion</w:t>
      </w:r>
      <w:r w:rsidR="00F30BB0" w:rsidRPr="00422183">
        <w:rPr>
          <w:rFonts w:ascii="Rockwell" w:hAnsi="Rockwell" w:cs="Tahoma"/>
          <w:sz w:val="24"/>
          <w:szCs w:val="24"/>
        </w:rPr>
        <w:t xml:space="preserve"> durable </w:t>
      </w:r>
      <w:r w:rsidR="00332EB9" w:rsidRPr="00422183">
        <w:rPr>
          <w:rFonts w:ascii="Rockwell" w:hAnsi="Rockwell" w:cs="Tahoma"/>
          <w:sz w:val="24"/>
          <w:szCs w:val="24"/>
        </w:rPr>
        <w:t>de l</w:t>
      </w:r>
      <w:r w:rsidR="006C72DE" w:rsidRPr="00422183">
        <w:rPr>
          <w:rFonts w:ascii="Rockwell" w:hAnsi="Rockwell" w:cs="Tahoma"/>
          <w:sz w:val="24"/>
          <w:szCs w:val="24"/>
        </w:rPr>
        <w:t>'</w:t>
      </w:r>
      <w:r w:rsidR="00332EB9" w:rsidRPr="00422183">
        <w:rPr>
          <w:rFonts w:ascii="Rockwell" w:hAnsi="Rockwell" w:cs="Tahoma"/>
          <w:sz w:val="24"/>
          <w:szCs w:val="24"/>
        </w:rPr>
        <w:t>environnement, d</w:t>
      </w:r>
      <w:r w:rsidR="006C72DE" w:rsidRPr="00422183">
        <w:rPr>
          <w:rFonts w:ascii="Rockwell" w:hAnsi="Rockwell" w:cs="Tahoma"/>
          <w:sz w:val="24"/>
          <w:szCs w:val="24"/>
        </w:rPr>
        <w:t>'</w:t>
      </w:r>
      <w:r w:rsidR="00332EB9" w:rsidRPr="00422183">
        <w:rPr>
          <w:rFonts w:ascii="Rockwell" w:hAnsi="Rockwell" w:cs="Tahoma"/>
          <w:sz w:val="24"/>
          <w:szCs w:val="24"/>
        </w:rPr>
        <w:t xml:space="preserve">eau et </w:t>
      </w:r>
      <w:r w:rsidR="00B06DAC" w:rsidRPr="00422183">
        <w:rPr>
          <w:rFonts w:ascii="Rockwell" w:hAnsi="Rockwell" w:cs="Tahoma"/>
          <w:sz w:val="24"/>
          <w:szCs w:val="24"/>
        </w:rPr>
        <w:t>d</w:t>
      </w:r>
      <w:r w:rsidR="006C72DE" w:rsidRPr="00422183">
        <w:rPr>
          <w:rFonts w:ascii="Rockwell" w:hAnsi="Rockwell" w:cs="Tahoma"/>
          <w:sz w:val="24"/>
          <w:szCs w:val="24"/>
        </w:rPr>
        <w:t>'</w:t>
      </w:r>
      <w:r w:rsidR="00B06DAC" w:rsidRPr="00422183">
        <w:rPr>
          <w:rFonts w:ascii="Rockwell" w:hAnsi="Rockwell" w:cs="Tahoma"/>
          <w:sz w:val="24"/>
          <w:szCs w:val="24"/>
        </w:rPr>
        <w:t>assainissement</w:t>
      </w:r>
      <w:r w:rsidR="00332EB9" w:rsidRPr="00422183">
        <w:rPr>
          <w:rFonts w:ascii="Rockwell" w:hAnsi="Rockwell" w:cs="Tahoma"/>
          <w:sz w:val="24"/>
          <w:szCs w:val="24"/>
        </w:rPr>
        <w:t>. L</w:t>
      </w:r>
      <w:r w:rsidR="00F30BB0" w:rsidRPr="00422183">
        <w:rPr>
          <w:rFonts w:ascii="Rockwell" w:hAnsi="Rockwell" w:cs="Tahoma"/>
          <w:sz w:val="24"/>
          <w:szCs w:val="24"/>
        </w:rPr>
        <w:t xml:space="preserve">'adoption de la Politique nationale de développement durable (PNDD) et de sa loi d'orientation, le Plan décennal d'action sur les modes de consommation et de production durables, ainsi que l'internalisation de l'Initiative pauvreté environnement (IPE), ont mis en évidence </w:t>
      </w:r>
      <w:r w:rsidR="00332EB9" w:rsidRPr="00422183">
        <w:rPr>
          <w:rFonts w:ascii="Rockwell" w:hAnsi="Rockwell" w:cs="Tahoma"/>
          <w:sz w:val="24"/>
          <w:szCs w:val="24"/>
        </w:rPr>
        <w:t xml:space="preserve">la ferme </w:t>
      </w:r>
      <w:r w:rsidR="00F30BB0" w:rsidRPr="00422183">
        <w:rPr>
          <w:rFonts w:ascii="Rockwell" w:hAnsi="Rockwell" w:cs="Tahoma"/>
          <w:sz w:val="24"/>
          <w:szCs w:val="24"/>
        </w:rPr>
        <w:t>volonté des autorités nationales, de suivre les recommandations internationales pour la promotion d'un développement durable véritable.</w:t>
      </w:r>
      <w:r w:rsidR="00947E87" w:rsidRPr="00422183">
        <w:rPr>
          <w:rFonts w:ascii="Rockwell" w:hAnsi="Rockwell" w:cs="Tahoma"/>
          <w:sz w:val="24"/>
          <w:szCs w:val="24"/>
        </w:rPr>
        <w:t xml:space="preserve"> </w:t>
      </w:r>
      <w:r w:rsidR="00332EB9" w:rsidRPr="00422183">
        <w:rPr>
          <w:rFonts w:ascii="Rockwell" w:eastAsiaTheme="majorEastAsia" w:hAnsi="Rockwell" w:cstheme="majorBidi"/>
          <w:iCs/>
          <w:sz w:val="24"/>
          <w:szCs w:val="24"/>
        </w:rPr>
        <w:t>L</w:t>
      </w:r>
      <w:r w:rsidR="006C72DE" w:rsidRPr="00422183">
        <w:rPr>
          <w:rFonts w:ascii="Rockwell" w:eastAsiaTheme="majorEastAsia" w:hAnsi="Rockwell" w:cstheme="majorBidi"/>
          <w:iCs/>
          <w:sz w:val="24"/>
          <w:szCs w:val="24"/>
        </w:rPr>
        <w:t>'</w:t>
      </w:r>
      <w:r w:rsidR="00332EB9" w:rsidRPr="00422183">
        <w:rPr>
          <w:rFonts w:ascii="Rockwell" w:eastAsiaTheme="majorEastAsia" w:hAnsi="Rockwell" w:cstheme="majorBidi"/>
          <w:iCs/>
          <w:sz w:val="24"/>
          <w:szCs w:val="24"/>
        </w:rPr>
        <w:t>amélioration de l</w:t>
      </w:r>
      <w:r w:rsidR="006C72DE" w:rsidRPr="00422183">
        <w:rPr>
          <w:rFonts w:ascii="Rockwell" w:eastAsiaTheme="majorEastAsia" w:hAnsi="Rockwell" w:cstheme="majorBidi"/>
          <w:iCs/>
          <w:sz w:val="24"/>
          <w:szCs w:val="24"/>
        </w:rPr>
        <w:t>'</w:t>
      </w:r>
      <w:r w:rsidR="00332EB9" w:rsidRPr="00422183">
        <w:rPr>
          <w:rFonts w:ascii="Rockwell" w:eastAsiaTheme="majorEastAsia" w:hAnsi="Rockwell" w:cstheme="majorBidi"/>
          <w:iCs/>
          <w:sz w:val="24"/>
          <w:szCs w:val="24"/>
        </w:rPr>
        <w:t>accès à l</w:t>
      </w:r>
      <w:r w:rsidR="006C72DE" w:rsidRPr="00422183">
        <w:rPr>
          <w:rFonts w:ascii="Rockwell" w:eastAsiaTheme="majorEastAsia" w:hAnsi="Rockwell" w:cstheme="majorBidi"/>
          <w:iCs/>
          <w:sz w:val="24"/>
          <w:szCs w:val="24"/>
        </w:rPr>
        <w:t>'</w:t>
      </w:r>
      <w:r w:rsidR="00332EB9" w:rsidRPr="00422183">
        <w:rPr>
          <w:rFonts w:ascii="Rockwell" w:eastAsiaTheme="majorEastAsia" w:hAnsi="Rockwell" w:cstheme="majorBidi"/>
          <w:iCs/>
          <w:sz w:val="24"/>
          <w:szCs w:val="24"/>
        </w:rPr>
        <w:t xml:space="preserve">eau potable a été conséquente </w:t>
      </w:r>
      <w:r w:rsidR="00721A24" w:rsidRPr="00422183">
        <w:rPr>
          <w:rFonts w:ascii="Rockwell" w:eastAsiaTheme="majorEastAsia" w:hAnsi="Rockwell" w:cstheme="majorBidi"/>
          <w:iCs/>
          <w:sz w:val="24"/>
          <w:szCs w:val="24"/>
        </w:rPr>
        <w:t xml:space="preserve">à </w:t>
      </w:r>
      <w:r w:rsidR="00332EB9" w:rsidRPr="00422183">
        <w:rPr>
          <w:rFonts w:ascii="Rockwell" w:eastAsiaTheme="majorEastAsia" w:hAnsi="Rockwell" w:cstheme="majorBidi"/>
          <w:iCs/>
          <w:sz w:val="24"/>
          <w:szCs w:val="24"/>
        </w:rPr>
        <w:t>l</w:t>
      </w:r>
      <w:r w:rsidR="006C72DE" w:rsidRPr="00422183">
        <w:rPr>
          <w:rFonts w:ascii="Rockwell" w:eastAsiaTheme="majorEastAsia" w:hAnsi="Rockwell" w:cstheme="majorBidi"/>
          <w:iCs/>
          <w:sz w:val="24"/>
          <w:szCs w:val="24"/>
        </w:rPr>
        <w:t>'</w:t>
      </w:r>
      <w:r w:rsidR="00332EB9" w:rsidRPr="00422183">
        <w:rPr>
          <w:rFonts w:ascii="Rockwell" w:eastAsiaTheme="majorEastAsia" w:hAnsi="Rockwell" w:cstheme="majorBidi"/>
          <w:iCs/>
          <w:sz w:val="24"/>
          <w:szCs w:val="24"/>
        </w:rPr>
        <w:t>échelle nationale</w:t>
      </w:r>
      <w:r w:rsidR="00B17D74" w:rsidRPr="00422183">
        <w:rPr>
          <w:rFonts w:ascii="Rockwell" w:eastAsiaTheme="majorEastAsia" w:hAnsi="Rockwell" w:cstheme="majorBidi"/>
          <w:iCs/>
          <w:sz w:val="24"/>
          <w:szCs w:val="24"/>
        </w:rPr>
        <w:t>, tout comme</w:t>
      </w:r>
      <w:r w:rsidR="00332EB9" w:rsidRPr="00422183">
        <w:rPr>
          <w:rFonts w:ascii="Rockwell" w:eastAsiaTheme="majorEastAsia" w:hAnsi="Rockwell" w:cstheme="majorBidi"/>
          <w:iCs/>
          <w:sz w:val="24"/>
          <w:szCs w:val="24"/>
        </w:rPr>
        <w:t xml:space="preserve"> les progrès en matière d</w:t>
      </w:r>
      <w:r w:rsidR="006C72DE" w:rsidRPr="00422183">
        <w:rPr>
          <w:rFonts w:ascii="Rockwell" w:eastAsiaTheme="majorEastAsia" w:hAnsi="Rockwell" w:cstheme="majorBidi"/>
          <w:iCs/>
          <w:sz w:val="24"/>
          <w:szCs w:val="24"/>
        </w:rPr>
        <w:t>'</w:t>
      </w:r>
      <w:r w:rsidR="00332EB9" w:rsidRPr="00422183">
        <w:rPr>
          <w:rFonts w:ascii="Rockwell" w:eastAsiaTheme="majorEastAsia" w:hAnsi="Rockwell" w:cstheme="majorBidi"/>
          <w:iCs/>
          <w:sz w:val="24"/>
          <w:szCs w:val="24"/>
        </w:rPr>
        <w:t>assainissement en milieu urbain</w:t>
      </w:r>
      <w:r w:rsidR="00F30BB0" w:rsidRPr="00422183">
        <w:rPr>
          <w:rFonts w:ascii="Rockwell" w:eastAsiaTheme="majorEastAsia" w:hAnsi="Rockwell" w:cstheme="majorBidi"/>
          <w:iCs/>
          <w:sz w:val="24"/>
          <w:szCs w:val="24"/>
        </w:rPr>
        <w:t>.</w:t>
      </w:r>
      <w:r w:rsidR="004F609A" w:rsidRPr="00422183">
        <w:rPr>
          <w:rFonts w:ascii="Rockwell" w:eastAsiaTheme="majorEastAsia" w:hAnsi="Rockwell" w:cstheme="majorBidi"/>
          <w:iCs/>
          <w:sz w:val="24"/>
          <w:szCs w:val="24"/>
        </w:rPr>
        <w:t xml:space="preserve"> En effet, d</w:t>
      </w:r>
      <w:r w:rsidR="004F609A" w:rsidRPr="00422183">
        <w:rPr>
          <w:rFonts w:ascii="Rockwell" w:hAnsi="Rockwell" w:cs="Tahoma"/>
          <w:sz w:val="24"/>
          <w:szCs w:val="24"/>
        </w:rPr>
        <w:t>ans le domaine de l'accès à l'eau potable, en milieu rural, le taux est passé de 58,5% en 2011 à 65% en 2015. En milieu urbain, ce taux en 2015 était de 89,9% contre 80% en 2011. S'agissant de l'assainissement, en milieu rural, le taux d'accès est passé de 0,8% en 2011 à 12% en 2015. En milieu urbain, il est passé de 24% en 2011 à 34% en 2015 (PN-AEPA).</w:t>
      </w:r>
    </w:p>
    <w:p w:rsidR="00F30BB0" w:rsidRPr="00422183" w:rsidRDefault="00F30BB0" w:rsidP="003A0820">
      <w:pPr>
        <w:autoSpaceDE w:val="0"/>
        <w:autoSpaceDN w:val="0"/>
        <w:adjustRightInd w:val="0"/>
        <w:spacing w:after="0" w:line="240" w:lineRule="auto"/>
        <w:jc w:val="both"/>
        <w:rPr>
          <w:rFonts w:ascii="Rockwell" w:eastAsiaTheme="majorEastAsia" w:hAnsi="Rockwell" w:cstheme="majorBidi"/>
          <w:iCs/>
          <w:sz w:val="24"/>
          <w:szCs w:val="24"/>
        </w:rPr>
      </w:pPr>
    </w:p>
    <w:p w:rsidR="004F609A" w:rsidRPr="00422183" w:rsidRDefault="004F609A" w:rsidP="003A0820">
      <w:pPr>
        <w:autoSpaceDE w:val="0"/>
        <w:autoSpaceDN w:val="0"/>
        <w:adjustRightInd w:val="0"/>
        <w:spacing w:after="0" w:line="240" w:lineRule="auto"/>
        <w:jc w:val="both"/>
        <w:rPr>
          <w:rFonts w:ascii="Rockwell" w:eastAsiaTheme="majorEastAsia" w:hAnsi="Rockwell" w:cstheme="majorBidi"/>
          <w:iCs/>
          <w:sz w:val="24"/>
          <w:szCs w:val="24"/>
        </w:rPr>
      </w:pPr>
      <w:r w:rsidRPr="00422183">
        <w:rPr>
          <w:rFonts w:ascii="Rockwell" w:eastAsiaTheme="majorEastAsia" w:hAnsi="Rockwell" w:cstheme="majorBidi"/>
          <w:iCs/>
          <w:sz w:val="24"/>
          <w:szCs w:val="24"/>
        </w:rPr>
        <w:t>En matière de mobilisation des ressources en eau, on compte plus de 1 018 barrages et 790 autres retenues d’eau de surface, répartis sur tout l’étendu du pays. Toutefois, plus de 95% des barrages sont constitués de petits ouvrages de moins de 10 mètres de hauteur et 80% ont</w:t>
      </w:r>
      <w:r w:rsidR="00C05D93" w:rsidRPr="00422183">
        <w:rPr>
          <w:rFonts w:ascii="Rockwell" w:eastAsiaTheme="majorEastAsia" w:hAnsi="Rockwell" w:cstheme="majorBidi"/>
          <w:iCs/>
          <w:sz w:val="24"/>
          <w:szCs w:val="24"/>
        </w:rPr>
        <w:t xml:space="preserve"> une capacité de moins d’un</w:t>
      </w:r>
      <w:r w:rsidRPr="00422183">
        <w:rPr>
          <w:rFonts w:ascii="Rockwell" w:eastAsiaTheme="majorEastAsia" w:hAnsi="Rockwell" w:cstheme="majorBidi"/>
          <w:iCs/>
          <w:sz w:val="24"/>
          <w:szCs w:val="24"/>
        </w:rPr>
        <w:t xml:space="preserve"> de million de mètre</w:t>
      </w:r>
      <w:r w:rsidR="00C05D93" w:rsidRPr="00422183">
        <w:rPr>
          <w:rFonts w:ascii="Rockwell" w:eastAsiaTheme="majorEastAsia" w:hAnsi="Rockwell" w:cstheme="majorBidi"/>
          <w:iCs/>
          <w:sz w:val="24"/>
          <w:szCs w:val="24"/>
        </w:rPr>
        <w:t>s</w:t>
      </w:r>
      <w:r w:rsidRPr="00422183">
        <w:rPr>
          <w:rFonts w:ascii="Rockwell" w:eastAsiaTheme="majorEastAsia" w:hAnsi="Rockwell" w:cstheme="majorBidi"/>
          <w:iCs/>
          <w:sz w:val="24"/>
          <w:szCs w:val="24"/>
        </w:rPr>
        <w:t xml:space="preserve"> cube</w:t>
      </w:r>
      <w:r w:rsidR="00C05D93" w:rsidRPr="00422183">
        <w:rPr>
          <w:rFonts w:ascii="Rockwell" w:eastAsiaTheme="majorEastAsia" w:hAnsi="Rockwell" w:cstheme="majorBidi"/>
          <w:iCs/>
          <w:sz w:val="24"/>
          <w:szCs w:val="24"/>
        </w:rPr>
        <w:t>s</w:t>
      </w:r>
      <w:r w:rsidRPr="00422183">
        <w:rPr>
          <w:rFonts w:ascii="Rockwell" w:eastAsiaTheme="majorEastAsia" w:hAnsi="Rockwell" w:cstheme="majorBidi"/>
          <w:iCs/>
          <w:sz w:val="24"/>
          <w:szCs w:val="24"/>
        </w:rPr>
        <w:t>.</w:t>
      </w:r>
    </w:p>
    <w:p w:rsidR="004F609A" w:rsidRPr="00422183" w:rsidRDefault="004F609A" w:rsidP="003A0820">
      <w:pPr>
        <w:autoSpaceDE w:val="0"/>
        <w:autoSpaceDN w:val="0"/>
        <w:adjustRightInd w:val="0"/>
        <w:spacing w:after="0" w:line="240" w:lineRule="auto"/>
        <w:jc w:val="both"/>
        <w:rPr>
          <w:rFonts w:ascii="Rockwell" w:eastAsiaTheme="majorEastAsia" w:hAnsi="Rockwell" w:cstheme="majorBidi"/>
          <w:iCs/>
          <w:sz w:val="24"/>
          <w:szCs w:val="24"/>
        </w:rPr>
      </w:pPr>
    </w:p>
    <w:p w:rsidR="00F30BB0" w:rsidRPr="00422183" w:rsidRDefault="0075032A" w:rsidP="003A0820">
      <w:pPr>
        <w:spacing w:after="0" w:line="240" w:lineRule="auto"/>
        <w:jc w:val="both"/>
        <w:rPr>
          <w:rFonts w:ascii="Rockwell" w:eastAsiaTheme="majorEastAsia" w:hAnsi="Rockwell" w:cstheme="majorBidi"/>
          <w:iCs/>
          <w:sz w:val="24"/>
          <w:szCs w:val="24"/>
        </w:rPr>
      </w:pPr>
      <w:r w:rsidRPr="00422183">
        <w:rPr>
          <w:rFonts w:ascii="Rockwell" w:eastAsiaTheme="majorEastAsia" w:hAnsi="Rockwell" w:cstheme="majorBidi"/>
          <w:iCs/>
          <w:sz w:val="24"/>
          <w:szCs w:val="24"/>
        </w:rPr>
        <w:t>Malgré ces progrès, le secteur de l</w:t>
      </w:r>
      <w:r w:rsidR="006C72DE" w:rsidRPr="00422183">
        <w:rPr>
          <w:rFonts w:ascii="Rockwell" w:eastAsiaTheme="majorEastAsia" w:hAnsi="Rockwell" w:cstheme="majorBidi"/>
          <w:iCs/>
          <w:sz w:val="24"/>
          <w:szCs w:val="24"/>
        </w:rPr>
        <w:t>'</w:t>
      </w:r>
      <w:r w:rsidRPr="00422183">
        <w:rPr>
          <w:rFonts w:ascii="Rockwell" w:eastAsiaTheme="majorEastAsia" w:hAnsi="Rockwell" w:cstheme="majorBidi"/>
          <w:iCs/>
          <w:sz w:val="24"/>
          <w:szCs w:val="24"/>
        </w:rPr>
        <w:t>environnement continue de faire face à des défis dont les principaux sont</w:t>
      </w:r>
      <w:r w:rsidR="00F30BB0" w:rsidRPr="00422183">
        <w:rPr>
          <w:rFonts w:ascii="Rockwell" w:eastAsiaTheme="majorEastAsia" w:hAnsi="Rockwell" w:cstheme="majorBidi"/>
          <w:iCs/>
          <w:sz w:val="24"/>
          <w:szCs w:val="24"/>
        </w:rPr>
        <w:t xml:space="preserve"> : </w:t>
      </w:r>
      <w:r w:rsidR="00F30BB0" w:rsidRPr="00422183">
        <w:rPr>
          <w:rFonts w:ascii="Rockwell" w:hAnsi="Rockwell" w:cs="Tahoma"/>
          <w:sz w:val="24"/>
          <w:szCs w:val="24"/>
        </w:rPr>
        <w:t>(i)</w:t>
      </w:r>
      <w:r w:rsidRPr="00422183">
        <w:rPr>
          <w:rFonts w:ascii="Rockwell" w:hAnsi="Rockwell" w:cs="Tahoma"/>
          <w:sz w:val="24"/>
          <w:szCs w:val="24"/>
        </w:rPr>
        <w:t xml:space="preserve"> la</w:t>
      </w:r>
      <w:r w:rsidR="00F30BB0" w:rsidRPr="00422183">
        <w:rPr>
          <w:rFonts w:ascii="Rockwell" w:hAnsi="Rockwell" w:cs="Tahoma"/>
          <w:sz w:val="24"/>
          <w:szCs w:val="24"/>
        </w:rPr>
        <w:t xml:space="preserve"> g</w:t>
      </w:r>
      <w:r w:rsidRPr="00422183">
        <w:rPr>
          <w:rFonts w:ascii="Rockwell" w:hAnsi="Rockwell" w:cs="Tahoma"/>
          <w:sz w:val="24"/>
          <w:szCs w:val="24"/>
        </w:rPr>
        <w:t>estion durable</w:t>
      </w:r>
      <w:r w:rsidR="00F30BB0" w:rsidRPr="00422183">
        <w:rPr>
          <w:rFonts w:ascii="Rockwell" w:hAnsi="Rockwell" w:cs="Tahoma"/>
          <w:sz w:val="24"/>
          <w:szCs w:val="24"/>
        </w:rPr>
        <w:t xml:space="preserve"> </w:t>
      </w:r>
      <w:r w:rsidR="001960A8" w:rsidRPr="00422183">
        <w:rPr>
          <w:rFonts w:ascii="Rockwell" w:hAnsi="Rockwell" w:cs="Tahoma"/>
          <w:sz w:val="24"/>
          <w:szCs w:val="24"/>
        </w:rPr>
        <w:t>d</w:t>
      </w:r>
      <w:r w:rsidR="00F30BB0" w:rsidRPr="00422183">
        <w:rPr>
          <w:rFonts w:ascii="Rockwell" w:hAnsi="Rockwell" w:cs="Tahoma"/>
          <w:sz w:val="24"/>
          <w:szCs w:val="24"/>
        </w:rPr>
        <w:t>es resso</w:t>
      </w:r>
      <w:r w:rsidRPr="00422183">
        <w:rPr>
          <w:rFonts w:ascii="Rockwell" w:hAnsi="Rockwell" w:cs="Tahoma"/>
          <w:sz w:val="24"/>
          <w:szCs w:val="24"/>
        </w:rPr>
        <w:t xml:space="preserve">urces </w:t>
      </w:r>
      <w:r w:rsidR="001960A8" w:rsidRPr="00422183">
        <w:rPr>
          <w:rFonts w:ascii="Rockwell" w:hAnsi="Rockwell" w:cs="Tahoma"/>
          <w:sz w:val="24"/>
          <w:szCs w:val="24"/>
        </w:rPr>
        <w:t>naturelles</w:t>
      </w:r>
      <w:r w:rsidR="00CF12FE" w:rsidRPr="00422183">
        <w:rPr>
          <w:rFonts w:ascii="Rockwell" w:hAnsi="Rockwell" w:cs="Tahoma"/>
          <w:sz w:val="24"/>
          <w:szCs w:val="24"/>
        </w:rPr>
        <w:t>,</w:t>
      </w:r>
      <w:r w:rsidR="001960A8" w:rsidRPr="00422183">
        <w:rPr>
          <w:rFonts w:ascii="Rockwell" w:hAnsi="Rockwell" w:cs="Tahoma"/>
          <w:sz w:val="24"/>
          <w:szCs w:val="24"/>
        </w:rPr>
        <w:t xml:space="preserve"> </w:t>
      </w:r>
      <w:r w:rsidR="00F30BB0" w:rsidRPr="00422183">
        <w:rPr>
          <w:rFonts w:ascii="Rockwell" w:hAnsi="Rockwell" w:cs="Tahoma"/>
          <w:sz w:val="24"/>
          <w:szCs w:val="24"/>
        </w:rPr>
        <w:t>(ii)</w:t>
      </w:r>
      <w:r w:rsidRPr="00422183">
        <w:rPr>
          <w:rFonts w:ascii="Rockwell" w:hAnsi="Rockwell" w:cs="Tahoma"/>
          <w:sz w:val="24"/>
          <w:szCs w:val="24"/>
        </w:rPr>
        <w:t xml:space="preserve"> la</w:t>
      </w:r>
      <w:r w:rsidR="00F30BB0" w:rsidRPr="00422183">
        <w:rPr>
          <w:rFonts w:ascii="Rockwell" w:hAnsi="Rockwell" w:cs="Tahoma"/>
          <w:sz w:val="24"/>
          <w:szCs w:val="24"/>
        </w:rPr>
        <w:t xml:space="preserve"> rédu</w:t>
      </w:r>
      <w:r w:rsidRPr="00422183">
        <w:rPr>
          <w:rFonts w:ascii="Rockwell" w:hAnsi="Rockwell" w:cs="Tahoma"/>
          <w:sz w:val="24"/>
          <w:szCs w:val="24"/>
        </w:rPr>
        <w:t>ction d</w:t>
      </w:r>
      <w:r w:rsidR="00F30BB0" w:rsidRPr="00422183">
        <w:rPr>
          <w:rFonts w:ascii="Rockwell" w:hAnsi="Rockwell" w:cs="Tahoma"/>
          <w:sz w:val="24"/>
          <w:szCs w:val="24"/>
        </w:rPr>
        <w:t xml:space="preserve">es émissions </w:t>
      </w:r>
      <w:r w:rsidR="00CF12FE" w:rsidRPr="00422183">
        <w:rPr>
          <w:rFonts w:ascii="Rockwell" w:hAnsi="Rockwell" w:cs="Tahoma"/>
          <w:sz w:val="24"/>
          <w:szCs w:val="24"/>
        </w:rPr>
        <w:t xml:space="preserve">de </w:t>
      </w:r>
      <w:r w:rsidR="00F30BB0" w:rsidRPr="00422183">
        <w:rPr>
          <w:rFonts w:ascii="Rockwell" w:hAnsi="Rockwell" w:cs="Tahoma"/>
          <w:sz w:val="24"/>
          <w:szCs w:val="24"/>
        </w:rPr>
        <w:t>carbone, (</w:t>
      </w:r>
      <w:r w:rsidR="00947E87" w:rsidRPr="00422183">
        <w:rPr>
          <w:rFonts w:ascii="Rockwell" w:hAnsi="Rockwell" w:cs="Tahoma"/>
          <w:sz w:val="24"/>
          <w:szCs w:val="24"/>
        </w:rPr>
        <w:t>iii</w:t>
      </w:r>
      <w:r w:rsidR="00F30BB0" w:rsidRPr="00422183">
        <w:rPr>
          <w:rFonts w:ascii="Rockwell" w:hAnsi="Rockwell" w:cs="Tahoma"/>
          <w:sz w:val="24"/>
          <w:szCs w:val="24"/>
        </w:rPr>
        <w:t>) la promotion des modes de consommation et de production durables</w:t>
      </w:r>
      <w:r w:rsidR="00390851" w:rsidRPr="00422183">
        <w:rPr>
          <w:rFonts w:ascii="Rockwell" w:hAnsi="Rockwell" w:cs="Tahoma"/>
          <w:sz w:val="24"/>
          <w:szCs w:val="24"/>
        </w:rPr>
        <w:t xml:space="preserve"> dans le cadre de la transition vers une économie verte</w:t>
      </w:r>
      <w:r w:rsidR="00F30BB0" w:rsidRPr="00422183">
        <w:rPr>
          <w:rFonts w:ascii="Rockwell" w:hAnsi="Rockwell" w:cs="Tahoma"/>
          <w:sz w:val="24"/>
          <w:szCs w:val="24"/>
        </w:rPr>
        <w:t>, (</w:t>
      </w:r>
      <w:r w:rsidR="00947E87" w:rsidRPr="00422183">
        <w:rPr>
          <w:rFonts w:ascii="Rockwell" w:hAnsi="Rockwell" w:cs="Tahoma"/>
          <w:sz w:val="24"/>
          <w:szCs w:val="24"/>
        </w:rPr>
        <w:t>i</w:t>
      </w:r>
      <w:r w:rsidR="00F30BB0" w:rsidRPr="00422183">
        <w:rPr>
          <w:rFonts w:ascii="Rockwell" w:hAnsi="Rockwell" w:cs="Tahoma"/>
          <w:sz w:val="24"/>
          <w:szCs w:val="24"/>
        </w:rPr>
        <w:t>v) la lutte contre l'exploitation anarchique des resso</w:t>
      </w:r>
      <w:r w:rsidR="00857F78" w:rsidRPr="00422183">
        <w:rPr>
          <w:rFonts w:ascii="Rockwell" w:hAnsi="Rockwell" w:cs="Tahoma"/>
          <w:sz w:val="24"/>
          <w:szCs w:val="24"/>
        </w:rPr>
        <w:t>urces minières</w:t>
      </w:r>
      <w:r w:rsidR="00CF12FE" w:rsidRPr="00422183">
        <w:rPr>
          <w:rFonts w:ascii="Rockwell" w:hAnsi="Rockwell" w:cs="Tahoma"/>
          <w:sz w:val="24"/>
          <w:szCs w:val="24"/>
        </w:rPr>
        <w:t xml:space="preserve"> et</w:t>
      </w:r>
      <w:r w:rsidR="00857F78" w:rsidRPr="00422183">
        <w:rPr>
          <w:rFonts w:ascii="Rockwell" w:hAnsi="Rockwell" w:cs="Tahoma"/>
          <w:sz w:val="24"/>
          <w:szCs w:val="24"/>
        </w:rPr>
        <w:t xml:space="preserve"> </w:t>
      </w:r>
      <w:r w:rsidR="00F30BB0" w:rsidRPr="00422183">
        <w:rPr>
          <w:rFonts w:ascii="Rockwell" w:eastAsiaTheme="majorEastAsia" w:hAnsi="Rockwell" w:cstheme="majorBidi"/>
          <w:iCs/>
          <w:sz w:val="24"/>
          <w:szCs w:val="24"/>
        </w:rPr>
        <w:t xml:space="preserve">(v) </w:t>
      </w:r>
      <w:r w:rsidR="00857F78" w:rsidRPr="00422183">
        <w:rPr>
          <w:rFonts w:ascii="Rockwell" w:eastAsiaTheme="majorEastAsia" w:hAnsi="Rockwell" w:cstheme="majorBidi"/>
          <w:iCs/>
          <w:sz w:val="24"/>
          <w:szCs w:val="24"/>
        </w:rPr>
        <w:t>l</w:t>
      </w:r>
      <w:r w:rsidR="006C72DE" w:rsidRPr="00422183">
        <w:rPr>
          <w:rFonts w:ascii="Rockwell" w:eastAsiaTheme="majorEastAsia" w:hAnsi="Rockwell" w:cstheme="majorBidi"/>
          <w:iCs/>
          <w:sz w:val="24"/>
          <w:szCs w:val="24"/>
        </w:rPr>
        <w:t>'</w:t>
      </w:r>
      <w:r w:rsidR="00857F78" w:rsidRPr="00422183">
        <w:rPr>
          <w:rFonts w:ascii="Rockwell" w:eastAsiaTheme="majorEastAsia" w:hAnsi="Rockwell" w:cstheme="majorBidi"/>
          <w:iCs/>
          <w:sz w:val="24"/>
          <w:szCs w:val="24"/>
        </w:rPr>
        <w:t>a</w:t>
      </w:r>
      <w:r w:rsidR="00F30BB0" w:rsidRPr="00422183">
        <w:rPr>
          <w:rFonts w:ascii="Rockwell" w:eastAsiaTheme="majorEastAsia" w:hAnsi="Rockwell" w:cstheme="majorBidi"/>
          <w:iCs/>
          <w:sz w:val="24"/>
          <w:szCs w:val="24"/>
        </w:rPr>
        <w:t>mélior</w:t>
      </w:r>
      <w:r w:rsidR="00857F78" w:rsidRPr="00422183">
        <w:rPr>
          <w:rFonts w:ascii="Rockwell" w:eastAsiaTheme="majorEastAsia" w:hAnsi="Rockwell" w:cstheme="majorBidi"/>
          <w:iCs/>
          <w:sz w:val="24"/>
          <w:szCs w:val="24"/>
        </w:rPr>
        <w:t>ation de</w:t>
      </w:r>
      <w:r w:rsidR="00F30BB0" w:rsidRPr="00422183">
        <w:rPr>
          <w:rFonts w:ascii="Rockwell" w:eastAsiaTheme="majorEastAsia" w:hAnsi="Rockwell" w:cstheme="majorBidi"/>
          <w:iCs/>
          <w:sz w:val="24"/>
          <w:szCs w:val="24"/>
        </w:rPr>
        <w:t xml:space="preserve"> la gouvernance de l'environnement.</w:t>
      </w:r>
    </w:p>
    <w:p w:rsidR="00857F78" w:rsidRPr="00422183" w:rsidRDefault="00857F78" w:rsidP="003A0820">
      <w:pPr>
        <w:spacing w:after="0" w:line="240" w:lineRule="auto"/>
        <w:jc w:val="both"/>
        <w:rPr>
          <w:rFonts w:ascii="Rockwell" w:eastAsiaTheme="majorEastAsia" w:hAnsi="Rockwell" w:cstheme="majorBidi"/>
          <w:iCs/>
          <w:sz w:val="24"/>
          <w:szCs w:val="24"/>
        </w:rPr>
      </w:pPr>
    </w:p>
    <w:p w:rsidR="00857F78" w:rsidRPr="00422183" w:rsidRDefault="00857F78" w:rsidP="003A0820">
      <w:pPr>
        <w:spacing w:after="0" w:line="240" w:lineRule="auto"/>
        <w:jc w:val="both"/>
        <w:rPr>
          <w:rFonts w:ascii="Rockwell" w:hAnsi="Rockwell" w:cs="Tahoma"/>
          <w:sz w:val="24"/>
          <w:szCs w:val="24"/>
        </w:rPr>
      </w:pPr>
      <w:r w:rsidRPr="00422183">
        <w:rPr>
          <w:rFonts w:ascii="Rockwell" w:eastAsiaTheme="majorEastAsia" w:hAnsi="Rockwell" w:cstheme="majorBidi"/>
          <w:iCs/>
          <w:sz w:val="24"/>
          <w:szCs w:val="24"/>
        </w:rPr>
        <w:t xml:space="preserve">Concernant </w:t>
      </w:r>
      <w:r w:rsidR="006D07CD" w:rsidRPr="00422183">
        <w:rPr>
          <w:rFonts w:ascii="Rockwell" w:eastAsiaTheme="majorEastAsia" w:hAnsi="Rockwell" w:cstheme="majorBidi"/>
          <w:iCs/>
          <w:sz w:val="24"/>
          <w:szCs w:val="24"/>
        </w:rPr>
        <w:t>l</w:t>
      </w:r>
      <w:r w:rsidR="006C72DE" w:rsidRPr="00422183">
        <w:rPr>
          <w:rFonts w:ascii="Rockwell" w:eastAsiaTheme="majorEastAsia" w:hAnsi="Rockwell" w:cstheme="majorBidi"/>
          <w:iCs/>
          <w:sz w:val="24"/>
          <w:szCs w:val="24"/>
        </w:rPr>
        <w:t>'</w:t>
      </w:r>
      <w:r w:rsidR="006D07CD" w:rsidRPr="00422183">
        <w:rPr>
          <w:rFonts w:ascii="Rockwell" w:eastAsiaTheme="majorEastAsia" w:hAnsi="Rockwell" w:cstheme="majorBidi"/>
          <w:iCs/>
          <w:sz w:val="24"/>
          <w:szCs w:val="24"/>
        </w:rPr>
        <w:t>eau et</w:t>
      </w:r>
      <w:r w:rsidRPr="00422183">
        <w:rPr>
          <w:rFonts w:ascii="Rockwell" w:hAnsi="Rockwell" w:cs="Tahoma"/>
          <w:sz w:val="24"/>
          <w:szCs w:val="24"/>
        </w:rPr>
        <w:t xml:space="preserve"> l</w:t>
      </w:r>
      <w:r w:rsidR="006C72DE" w:rsidRPr="00422183">
        <w:rPr>
          <w:rFonts w:ascii="Rockwell" w:hAnsi="Rockwell" w:cs="Tahoma"/>
          <w:sz w:val="24"/>
          <w:szCs w:val="24"/>
        </w:rPr>
        <w:t>'</w:t>
      </w:r>
      <w:r w:rsidRPr="00422183">
        <w:rPr>
          <w:rFonts w:ascii="Rockwell" w:hAnsi="Rockwell" w:cs="Tahoma"/>
          <w:sz w:val="24"/>
          <w:szCs w:val="24"/>
        </w:rPr>
        <w:t xml:space="preserve">assainissement, les défis à relever sont : </w:t>
      </w:r>
      <w:r w:rsidR="00C07501" w:rsidRPr="00422183">
        <w:rPr>
          <w:rFonts w:ascii="Rockwell" w:hAnsi="Rockwell" w:cs="Tahoma"/>
          <w:sz w:val="24"/>
          <w:szCs w:val="24"/>
        </w:rPr>
        <w:t>(i</w:t>
      </w:r>
      <w:r w:rsidRPr="00422183">
        <w:rPr>
          <w:rFonts w:ascii="Rockwell" w:hAnsi="Rockwell" w:cs="Tahoma"/>
          <w:sz w:val="24"/>
          <w:szCs w:val="24"/>
        </w:rPr>
        <w:t xml:space="preserve">) </w:t>
      </w:r>
      <w:r w:rsidR="004F609A" w:rsidRPr="00422183">
        <w:rPr>
          <w:rFonts w:ascii="Rockwell" w:hAnsi="Rockwell" w:cs="Tahoma"/>
          <w:sz w:val="24"/>
          <w:szCs w:val="24"/>
        </w:rPr>
        <w:t xml:space="preserve">la mobilisation, la gestion et </w:t>
      </w:r>
      <w:r w:rsidR="00C07501" w:rsidRPr="00422183">
        <w:rPr>
          <w:rFonts w:ascii="Rockwell" w:hAnsi="Rockwell" w:cs="Tahoma"/>
          <w:sz w:val="24"/>
          <w:szCs w:val="24"/>
        </w:rPr>
        <w:t xml:space="preserve">la </w:t>
      </w:r>
      <w:r w:rsidRPr="00422183">
        <w:rPr>
          <w:rFonts w:ascii="Rockwell" w:hAnsi="Rockwell" w:cs="Tahoma"/>
          <w:sz w:val="24"/>
          <w:szCs w:val="24"/>
        </w:rPr>
        <w:t xml:space="preserve">valorisation des ressources en eau, </w:t>
      </w:r>
      <w:r w:rsidR="00F62C38" w:rsidRPr="00422183">
        <w:rPr>
          <w:rFonts w:ascii="Rockwell" w:hAnsi="Rockwell" w:cs="Tahoma"/>
          <w:sz w:val="24"/>
          <w:szCs w:val="24"/>
        </w:rPr>
        <w:t xml:space="preserve">(ii) l’amélioration de l’accès aux services d’eau et d’assainissement, </w:t>
      </w:r>
      <w:r w:rsidRPr="00422183">
        <w:rPr>
          <w:rFonts w:ascii="Rockwell" w:hAnsi="Rockwell" w:cs="Tahoma"/>
          <w:sz w:val="24"/>
          <w:szCs w:val="24"/>
        </w:rPr>
        <w:t>(iii)</w:t>
      </w:r>
      <w:r w:rsidR="00C07501" w:rsidRPr="00422183">
        <w:rPr>
          <w:rFonts w:ascii="Rockwell" w:hAnsi="Rockwell" w:cs="Tahoma"/>
          <w:sz w:val="24"/>
          <w:szCs w:val="24"/>
        </w:rPr>
        <w:t xml:space="preserve"> la</w:t>
      </w:r>
      <w:r w:rsidRPr="00422183">
        <w:rPr>
          <w:rFonts w:ascii="Rockwell" w:hAnsi="Rockwell" w:cs="Tahoma"/>
          <w:sz w:val="24"/>
          <w:szCs w:val="24"/>
        </w:rPr>
        <w:t xml:space="preserve"> protection des écosystèmes existants et </w:t>
      </w:r>
      <w:r w:rsidR="00C07501" w:rsidRPr="00422183">
        <w:rPr>
          <w:rFonts w:ascii="Rockwell" w:hAnsi="Rockwell" w:cs="Tahoma"/>
          <w:sz w:val="24"/>
          <w:szCs w:val="24"/>
        </w:rPr>
        <w:t xml:space="preserve">la </w:t>
      </w:r>
      <w:r w:rsidRPr="00422183">
        <w:rPr>
          <w:rFonts w:ascii="Rockwell" w:hAnsi="Rockwell" w:cs="Tahoma"/>
          <w:sz w:val="24"/>
          <w:szCs w:val="24"/>
        </w:rPr>
        <w:t xml:space="preserve">préservation du cadre de vie, (iv) </w:t>
      </w:r>
      <w:r w:rsidR="00C07501" w:rsidRPr="00422183">
        <w:rPr>
          <w:rFonts w:ascii="Rockwell" w:hAnsi="Rockwell" w:cs="Tahoma"/>
          <w:sz w:val="24"/>
          <w:szCs w:val="24"/>
        </w:rPr>
        <w:t xml:space="preserve">le </w:t>
      </w:r>
      <w:r w:rsidRPr="00422183">
        <w:rPr>
          <w:rFonts w:ascii="Rockwell" w:hAnsi="Rockwell" w:cs="Tahoma"/>
          <w:sz w:val="24"/>
          <w:szCs w:val="24"/>
        </w:rPr>
        <w:t>renforcement de la coopération internationale en matière d'eau</w:t>
      </w:r>
      <w:r w:rsidR="00CF12FE" w:rsidRPr="00422183">
        <w:rPr>
          <w:rFonts w:ascii="Rockwell" w:hAnsi="Rockwell" w:cs="Tahoma"/>
          <w:sz w:val="24"/>
          <w:szCs w:val="24"/>
        </w:rPr>
        <w:t xml:space="preserve"> et</w:t>
      </w:r>
      <w:r w:rsidRPr="00422183">
        <w:rPr>
          <w:rFonts w:ascii="Rockwell" w:hAnsi="Rockwell" w:cs="Tahoma"/>
          <w:sz w:val="24"/>
          <w:szCs w:val="24"/>
        </w:rPr>
        <w:t xml:space="preserve"> (v) </w:t>
      </w:r>
      <w:r w:rsidR="00C07501" w:rsidRPr="00422183">
        <w:rPr>
          <w:rFonts w:ascii="Rockwell" w:hAnsi="Rockwell" w:cs="Tahoma"/>
          <w:sz w:val="24"/>
          <w:szCs w:val="24"/>
        </w:rPr>
        <w:t>l</w:t>
      </w:r>
      <w:r w:rsidR="006C72DE" w:rsidRPr="00422183">
        <w:rPr>
          <w:rFonts w:ascii="Rockwell" w:hAnsi="Rockwell" w:cs="Tahoma"/>
          <w:sz w:val="24"/>
          <w:szCs w:val="24"/>
        </w:rPr>
        <w:t>'</w:t>
      </w:r>
      <w:r w:rsidRPr="00422183">
        <w:rPr>
          <w:rFonts w:ascii="Rockwell" w:hAnsi="Rockwell" w:cs="Tahoma"/>
          <w:sz w:val="24"/>
          <w:szCs w:val="24"/>
        </w:rPr>
        <w:t>amélioration de la connaissance des ressources</w:t>
      </w:r>
      <w:r w:rsidR="00122DE9" w:rsidRPr="00422183">
        <w:rPr>
          <w:rFonts w:ascii="Rockwell" w:hAnsi="Rockwell" w:cs="Tahoma"/>
          <w:sz w:val="24"/>
          <w:szCs w:val="24"/>
        </w:rPr>
        <w:t xml:space="preserve"> en eau</w:t>
      </w:r>
      <w:r w:rsidRPr="00422183">
        <w:rPr>
          <w:rFonts w:ascii="Rockwell" w:hAnsi="Rockwell" w:cs="Tahoma"/>
          <w:sz w:val="24"/>
          <w:szCs w:val="24"/>
        </w:rPr>
        <w:t>.</w:t>
      </w:r>
    </w:p>
    <w:p w:rsidR="009941BF" w:rsidRPr="00422183" w:rsidRDefault="009941BF" w:rsidP="003A0820">
      <w:pPr>
        <w:spacing w:after="0" w:line="240" w:lineRule="auto"/>
        <w:jc w:val="both"/>
        <w:rPr>
          <w:rFonts w:ascii="Rockwell" w:hAnsi="Rockwell" w:cs="Tahoma"/>
          <w:sz w:val="24"/>
          <w:szCs w:val="24"/>
        </w:rPr>
      </w:pPr>
    </w:p>
    <w:p w:rsidR="009941BF" w:rsidRPr="00422183" w:rsidRDefault="00B7085C" w:rsidP="003A0820">
      <w:pPr>
        <w:pStyle w:val="PNDES3"/>
        <w:rPr>
          <w:rFonts w:ascii="Rockwell" w:hAnsi="Rockwell"/>
        </w:rPr>
      </w:pPr>
      <w:bookmarkStart w:id="139" w:name="_Toc453160745"/>
      <w:bookmarkStart w:id="140" w:name="_Toc455132730"/>
      <w:r w:rsidRPr="00422183">
        <w:rPr>
          <w:rFonts w:ascii="Rockwell" w:hAnsi="Rockwell"/>
        </w:rPr>
        <w:t xml:space="preserve">Une </w:t>
      </w:r>
      <w:r w:rsidR="009941BF" w:rsidRPr="00422183">
        <w:rPr>
          <w:rFonts w:ascii="Rockwell" w:hAnsi="Rockwell"/>
        </w:rPr>
        <w:t>forte extension des villes sans une véritable mise en œuvre des politiques d</w:t>
      </w:r>
      <w:r w:rsidR="006C72DE" w:rsidRPr="00422183">
        <w:rPr>
          <w:rFonts w:ascii="Rockwell" w:hAnsi="Rockwell"/>
        </w:rPr>
        <w:t>'</w:t>
      </w:r>
      <w:r w:rsidR="009941BF" w:rsidRPr="00422183">
        <w:rPr>
          <w:rFonts w:ascii="Rockwell" w:hAnsi="Rockwell"/>
        </w:rPr>
        <w:t>urbanisation</w:t>
      </w:r>
      <w:bookmarkEnd w:id="139"/>
      <w:bookmarkEnd w:id="140"/>
    </w:p>
    <w:p w:rsidR="00252B1F" w:rsidRPr="00422183" w:rsidRDefault="00252B1F" w:rsidP="003A0820">
      <w:pPr>
        <w:spacing w:after="0" w:line="240" w:lineRule="auto"/>
        <w:jc w:val="both"/>
        <w:rPr>
          <w:rFonts w:ascii="Rockwell" w:hAnsi="Rockwell"/>
          <w:sz w:val="24"/>
          <w:szCs w:val="24"/>
        </w:rPr>
      </w:pPr>
    </w:p>
    <w:p w:rsidR="009941BF" w:rsidRPr="00422183" w:rsidRDefault="009941BF" w:rsidP="003A0820">
      <w:pPr>
        <w:spacing w:after="0" w:line="240" w:lineRule="auto"/>
        <w:jc w:val="both"/>
        <w:rPr>
          <w:rFonts w:ascii="Rockwell" w:eastAsiaTheme="majorEastAsia" w:hAnsi="Rockwell" w:cstheme="majorBidi"/>
          <w:bCs/>
          <w:kern w:val="28"/>
          <w:sz w:val="24"/>
          <w:szCs w:val="24"/>
        </w:rPr>
      </w:pPr>
      <w:r w:rsidRPr="00422183">
        <w:rPr>
          <w:rFonts w:ascii="Rockwell" w:hAnsi="Rockwell"/>
          <w:sz w:val="24"/>
          <w:szCs w:val="24"/>
        </w:rPr>
        <w:t xml:space="preserve">Le Burkina Faso connaît une urbanisation galopante, caractérisée par une concentration croissante des populations dans les villes. En effet, le </w:t>
      </w:r>
      <w:r w:rsidRPr="00422183">
        <w:rPr>
          <w:rFonts w:ascii="Rockwell" w:eastAsiaTheme="majorEastAsia" w:hAnsi="Rockwell" w:cstheme="majorBidi"/>
          <w:bCs/>
          <w:kern w:val="28"/>
          <w:sz w:val="24"/>
          <w:szCs w:val="24"/>
        </w:rPr>
        <w:t>taux d'urbanisation a été de 6,4% en 1975, 12,7% en 1985, 15,5% en 1996 et 22,7% en 2006. Il est estimé à 31,50% en 2016 et pourrait atteindre 39,6% à l'horizon 2025. Les conséquences de cette augmentation rapide de la population sur le sous-secteur de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habitat et de l</w:t>
      </w:r>
      <w:r w:rsidR="006C72DE" w:rsidRPr="00422183">
        <w:rPr>
          <w:rFonts w:ascii="Rockwell" w:eastAsiaTheme="majorEastAsia" w:hAnsi="Rockwell" w:cstheme="majorBidi"/>
          <w:bCs/>
          <w:kern w:val="28"/>
          <w:sz w:val="24"/>
          <w:szCs w:val="24"/>
        </w:rPr>
        <w:t>'</w:t>
      </w:r>
      <w:r w:rsidR="00ED470E" w:rsidRPr="00422183">
        <w:rPr>
          <w:rFonts w:ascii="Rockwell" w:eastAsiaTheme="majorEastAsia" w:hAnsi="Rockwell" w:cstheme="majorBidi"/>
          <w:bCs/>
          <w:kern w:val="28"/>
          <w:sz w:val="24"/>
          <w:szCs w:val="24"/>
        </w:rPr>
        <w:t>urbanisme sont le déficit croissant de</w:t>
      </w:r>
      <w:r w:rsidRPr="00422183">
        <w:rPr>
          <w:rFonts w:ascii="Rockwell" w:eastAsiaTheme="majorEastAsia" w:hAnsi="Rockwell" w:cstheme="majorBidi"/>
          <w:bCs/>
          <w:kern w:val="28"/>
          <w:sz w:val="24"/>
          <w:szCs w:val="24"/>
        </w:rPr>
        <w:t xml:space="preserve"> logements et l</w:t>
      </w:r>
      <w:r w:rsidR="006C72DE" w:rsidRPr="00422183">
        <w:rPr>
          <w:rFonts w:ascii="Rockwell" w:eastAsiaTheme="majorEastAsia" w:hAnsi="Rockwell" w:cstheme="majorBidi"/>
          <w:bCs/>
          <w:kern w:val="28"/>
          <w:sz w:val="24"/>
          <w:szCs w:val="24"/>
        </w:rPr>
        <w:t>'</w:t>
      </w:r>
      <w:r w:rsidRPr="00422183">
        <w:rPr>
          <w:rFonts w:ascii="Rockwell" w:eastAsiaTheme="majorEastAsia" w:hAnsi="Rockwell" w:cstheme="majorBidi"/>
          <w:bCs/>
          <w:kern w:val="28"/>
          <w:sz w:val="24"/>
          <w:szCs w:val="24"/>
        </w:rPr>
        <w:t>extension démesurée de</w:t>
      </w:r>
      <w:r w:rsidR="001F535A" w:rsidRPr="00422183">
        <w:rPr>
          <w:rFonts w:ascii="Rockwell" w:eastAsiaTheme="majorEastAsia" w:hAnsi="Rockwell" w:cstheme="majorBidi"/>
          <w:bCs/>
          <w:kern w:val="28"/>
          <w:sz w:val="24"/>
          <w:szCs w:val="24"/>
        </w:rPr>
        <w:t>s</w:t>
      </w:r>
      <w:r w:rsidRPr="00422183">
        <w:rPr>
          <w:rFonts w:ascii="Rockwell" w:eastAsiaTheme="majorEastAsia" w:hAnsi="Rockwell" w:cstheme="majorBidi"/>
          <w:bCs/>
          <w:kern w:val="28"/>
          <w:sz w:val="24"/>
          <w:szCs w:val="24"/>
        </w:rPr>
        <w:t xml:space="preserve"> </w:t>
      </w:r>
      <w:r w:rsidR="001F535A" w:rsidRPr="00422183">
        <w:rPr>
          <w:rFonts w:ascii="Rockwell" w:eastAsiaTheme="majorEastAsia" w:hAnsi="Rockwell" w:cstheme="majorBidi"/>
          <w:bCs/>
          <w:kern w:val="28"/>
          <w:sz w:val="24"/>
          <w:szCs w:val="24"/>
        </w:rPr>
        <w:t xml:space="preserve">grandes </w:t>
      </w:r>
      <w:r w:rsidRPr="00422183">
        <w:rPr>
          <w:rFonts w:ascii="Rockwell" w:eastAsiaTheme="majorEastAsia" w:hAnsi="Rockwell" w:cstheme="majorBidi"/>
          <w:bCs/>
          <w:kern w:val="28"/>
          <w:sz w:val="24"/>
          <w:szCs w:val="24"/>
        </w:rPr>
        <w:t>ville</w:t>
      </w:r>
      <w:r w:rsidR="001F535A" w:rsidRPr="00422183">
        <w:rPr>
          <w:rFonts w:ascii="Rockwell" w:eastAsiaTheme="majorEastAsia" w:hAnsi="Rockwell" w:cstheme="majorBidi"/>
          <w:bCs/>
          <w:kern w:val="28"/>
          <w:sz w:val="24"/>
          <w:szCs w:val="24"/>
        </w:rPr>
        <w:t>s,</w:t>
      </w:r>
      <w:r w:rsidRPr="00422183">
        <w:rPr>
          <w:rFonts w:ascii="Rockwell" w:eastAsiaTheme="majorEastAsia" w:hAnsi="Rockwell" w:cstheme="majorBidi"/>
          <w:bCs/>
          <w:kern w:val="28"/>
          <w:sz w:val="24"/>
          <w:szCs w:val="24"/>
        </w:rPr>
        <w:t xml:space="preserve"> du fait de</w:t>
      </w:r>
      <w:r w:rsidR="001F535A" w:rsidRPr="00422183">
        <w:rPr>
          <w:rFonts w:ascii="Rockwell" w:eastAsiaTheme="majorEastAsia" w:hAnsi="Rockwell" w:cstheme="majorBidi"/>
          <w:bCs/>
          <w:kern w:val="28"/>
          <w:sz w:val="24"/>
          <w:szCs w:val="24"/>
        </w:rPr>
        <w:t xml:space="preserve">s </w:t>
      </w:r>
      <w:r w:rsidRPr="00422183">
        <w:rPr>
          <w:rFonts w:ascii="Rockwell" w:eastAsiaTheme="majorEastAsia" w:hAnsi="Rockwell" w:cstheme="majorBidi"/>
          <w:bCs/>
          <w:kern w:val="28"/>
          <w:sz w:val="24"/>
          <w:szCs w:val="24"/>
        </w:rPr>
        <w:t>habitat</w:t>
      </w:r>
      <w:r w:rsidR="001F535A" w:rsidRPr="00422183">
        <w:rPr>
          <w:rFonts w:ascii="Rockwell" w:eastAsiaTheme="majorEastAsia" w:hAnsi="Rockwell" w:cstheme="majorBidi"/>
          <w:bCs/>
          <w:kern w:val="28"/>
          <w:sz w:val="24"/>
          <w:szCs w:val="24"/>
        </w:rPr>
        <w:t>s</w:t>
      </w:r>
      <w:r w:rsidRPr="00422183">
        <w:rPr>
          <w:rFonts w:ascii="Rockwell" w:eastAsiaTheme="majorEastAsia" w:hAnsi="Rockwell" w:cstheme="majorBidi"/>
          <w:bCs/>
          <w:kern w:val="28"/>
          <w:sz w:val="24"/>
          <w:szCs w:val="24"/>
        </w:rPr>
        <w:t xml:space="preserve"> spontané</w:t>
      </w:r>
      <w:r w:rsidR="001F535A" w:rsidRPr="00422183">
        <w:rPr>
          <w:rFonts w:ascii="Rockwell" w:eastAsiaTheme="majorEastAsia" w:hAnsi="Rockwell" w:cstheme="majorBidi"/>
          <w:bCs/>
          <w:kern w:val="28"/>
          <w:sz w:val="24"/>
          <w:szCs w:val="24"/>
        </w:rPr>
        <w:t>s</w:t>
      </w:r>
      <w:r w:rsidRPr="00422183">
        <w:rPr>
          <w:rFonts w:ascii="Rockwell" w:eastAsiaTheme="majorEastAsia" w:hAnsi="Rockwell" w:cstheme="majorBidi"/>
          <w:bCs/>
          <w:kern w:val="28"/>
          <w:sz w:val="24"/>
          <w:szCs w:val="24"/>
        </w:rPr>
        <w:t>.</w:t>
      </w:r>
    </w:p>
    <w:p w:rsidR="009036F0" w:rsidRPr="00422183" w:rsidRDefault="009036F0" w:rsidP="003A0820">
      <w:pPr>
        <w:spacing w:after="0" w:line="240" w:lineRule="auto"/>
        <w:jc w:val="both"/>
        <w:rPr>
          <w:rFonts w:ascii="Rockwell" w:eastAsiaTheme="majorEastAsia" w:hAnsi="Rockwell" w:cstheme="majorBidi"/>
          <w:bCs/>
          <w:kern w:val="28"/>
          <w:sz w:val="24"/>
          <w:szCs w:val="24"/>
        </w:rPr>
      </w:pPr>
    </w:p>
    <w:p w:rsidR="00F62C38" w:rsidRPr="00422183" w:rsidRDefault="009941BF" w:rsidP="003A0820">
      <w:pPr>
        <w:spacing w:after="0" w:line="240" w:lineRule="auto"/>
        <w:jc w:val="both"/>
        <w:rPr>
          <w:rFonts w:ascii="Rockwell" w:hAnsi="Rockwell"/>
          <w:sz w:val="24"/>
          <w:szCs w:val="24"/>
        </w:rPr>
      </w:pPr>
      <w:r w:rsidRPr="00422183">
        <w:rPr>
          <w:rFonts w:ascii="Rockwell" w:hAnsi="Rockwell"/>
          <w:sz w:val="24"/>
          <w:szCs w:val="24"/>
        </w:rPr>
        <w:t xml:space="preserve">Dans le domaine </w:t>
      </w:r>
      <w:r w:rsidR="004E07EC" w:rsidRPr="00422183">
        <w:rPr>
          <w:rFonts w:ascii="Rockwell" w:hAnsi="Rockwell"/>
          <w:sz w:val="24"/>
          <w:szCs w:val="24"/>
        </w:rPr>
        <w:t xml:space="preserve">de </w:t>
      </w:r>
      <w:r w:rsidRPr="00422183">
        <w:rPr>
          <w:rFonts w:ascii="Rockwell" w:hAnsi="Rockwell"/>
          <w:sz w:val="24"/>
          <w:szCs w:val="24"/>
        </w:rPr>
        <w:t>l</w:t>
      </w:r>
      <w:r w:rsidR="006C72DE" w:rsidRPr="00422183">
        <w:rPr>
          <w:rFonts w:ascii="Rockwell" w:hAnsi="Rockwell"/>
          <w:sz w:val="24"/>
          <w:szCs w:val="24"/>
        </w:rPr>
        <w:t>'</w:t>
      </w:r>
      <w:r w:rsidRPr="00422183">
        <w:rPr>
          <w:rFonts w:ascii="Rockwell" w:hAnsi="Rockwell"/>
          <w:sz w:val="24"/>
          <w:szCs w:val="24"/>
        </w:rPr>
        <w:t>habitat et de l</w:t>
      </w:r>
      <w:r w:rsidR="006C72DE" w:rsidRPr="00422183">
        <w:rPr>
          <w:rFonts w:ascii="Rockwell" w:hAnsi="Rockwell"/>
          <w:sz w:val="24"/>
          <w:szCs w:val="24"/>
        </w:rPr>
        <w:t>'</w:t>
      </w:r>
      <w:r w:rsidRPr="00422183">
        <w:rPr>
          <w:rFonts w:ascii="Rockwell" w:hAnsi="Rockwell"/>
          <w:sz w:val="24"/>
          <w:szCs w:val="24"/>
        </w:rPr>
        <w:t>urbanisme</w:t>
      </w:r>
      <w:r w:rsidR="002E52F2" w:rsidRPr="00422183">
        <w:rPr>
          <w:rFonts w:ascii="Rockwell" w:hAnsi="Rockwell"/>
          <w:sz w:val="24"/>
          <w:szCs w:val="24"/>
        </w:rPr>
        <w:t>,</w:t>
      </w:r>
      <w:r w:rsidRPr="00422183">
        <w:rPr>
          <w:rFonts w:ascii="Rockwell" w:hAnsi="Rockwell"/>
          <w:sz w:val="24"/>
          <w:szCs w:val="24"/>
        </w:rPr>
        <w:t xml:space="preserve"> les défis suivants doivent être relevés : (i) le renforcement des capacités humaines du domaine, (ii) la promotion de la planification et l</w:t>
      </w:r>
      <w:r w:rsidR="006C72DE" w:rsidRPr="00422183">
        <w:rPr>
          <w:rFonts w:ascii="Rockwell" w:hAnsi="Rockwell"/>
          <w:sz w:val="24"/>
          <w:szCs w:val="24"/>
        </w:rPr>
        <w:t>'</w:t>
      </w:r>
      <w:r w:rsidRPr="00422183">
        <w:rPr>
          <w:rFonts w:ascii="Rockwell" w:hAnsi="Rockwell"/>
          <w:sz w:val="24"/>
          <w:szCs w:val="24"/>
        </w:rPr>
        <w:t>aménagement urbain, (iii) la promotion de l</w:t>
      </w:r>
      <w:r w:rsidR="006C72DE" w:rsidRPr="00422183">
        <w:rPr>
          <w:rFonts w:ascii="Rockwell" w:hAnsi="Rockwell"/>
          <w:sz w:val="24"/>
          <w:szCs w:val="24"/>
        </w:rPr>
        <w:t>'</w:t>
      </w:r>
      <w:r w:rsidRPr="00422183">
        <w:rPr>
          <w:rFonts w:ascii="Rockwell" w:hAnsi="Rockwell"/>
          <w:sz w:val="24"/>
          <w:szCs w:val="24"/>
        </w:rPr>
        <w:t>accès au logement, (iv) l</w:t>
      </w:r>
      <w:r w:rsidR="006C72DE" w:rsidRPr="00422183">
        <w:rPr>
          <w:rFonts w:ascii="Rockwell" w:hAnsi="Rockwell"/>
          <w:sz w:val="24"/>
          <w:szCs w:val="24"/>
        </w:rPr>
        <w:t>'</w:t>
      </w:r>
      <w:r w:rsidRPr="00422183">
        <w:rPr>
          <w:rFonts w:ascii="Rockwell" w:hAnsi="Rockwell"/>
          <w:sz w:val="24"/>
          <w:szCs w:val="24"/>
        </w:rPr>
        <w:t>amélioration de la gouvernance urbaine</w:t>
      </w:r>
      <w:r w:rsidR="00F62C38" w:rsidRPr="00422183">
        <w:rPr>
          <w:rFonts w:ascii="Rockwell" w:hAnsi="Rockwell"/>
          <w:sz w:val="24"/>
          <w:szCs w:val="24"/>
        </w:rPr>
        <w:t xml:space="preserve"> et (v) le contrôle de l’extension géographique de la ville de Ouagadougou.</w:t>
      </w:r>
    </w:p>
    <w:p w:rsidR="00F30BB0" w:rsidRPr="00422183" w:rsidRDefault="00F30BB0" w:rsidP="003A0820">
      <w:pPr>
        <w:autoSpaceDE w:val="0"/>
        <w:autoSpaceDN w:val="0"/>
        <w:adjustRightInd w:val="0"/>
        <w:spacing w:after="0" w:line="240" w:lineRule="auto"/>
        <w:contextualSpacing/>
        <w:jc w:val="both"/>
        <w:rPr>
          <w:rFonts w:ascii="Rockwell" w:eastAsia="Calibri" w:hAnsi="Rockwell" w:cs="Times New Roman"/>
          <w:sz w:val="24"/>
          <w:szCs w:val="24"/>
        </w:rPr>
      </w:pPr>
    </w:p>
    <w:p w:rsidR="00B059FD" w:rsidRPr="00422183" w:rsidRDefault="00401402" w:rsidP="003A0820">
      <w:pPr>
        <w:pStyle w:val="PNDES2"/>
      </w:pPr>
      <w:bookmarkStart w:id="141" w:name="_Toc449528568"/>
      <w:bookmarkStart w:id="142" w:name="_Toc452994156"/>
      <w:bookmarkStart w:id="143" w:name="_Toc452994604"/>
      <w:bookmarkStart w:id="144" w:name="_Toc452995044"/>
      <w:bookmarkStart w:id="145" w:name="_Toc453158151"/>
      <w:bookmarkStart w:id="146" w:name="_Toc453160746"/>
      <w:bookmarkStart w:id="147" w:name="_Toc453160934"/>
      <w:bookmarkStart w:id="148" w:name="_Toc455079230"/>
      <w:bookmarkStart w:id="149" w:name="_Toc455132731"/>
      <w:r w:rsidRPr="00422183">
        <w:t>Des</w:t>
      </w:r>
      <w:r w:rsidR="00B059FD" w:rsidRPr="00422183">
        <w:t xml:space="preserve"> gouvernance</w:t>
      </w:r>
      <w:r w:rsidRPr="00422183">
        <w:t>s</w:t>
      </w:r>
      <w:r w:rsidR="00B059FD" w:rsidRPr="00422183">
        <w:t xml:space="preserve"> politique, administrative, économique et locale peu performante</w:t>
      </w:r>
      <w:bookmarkEnd w:id="141"/>
      <w:r w:rsidRPr="00422183">
        <w:t>s</w:t>
      </w:r>
      <w:bookmarkEnd w:id="142"/>
      <w:bookmarkEnd w:id="143"/>
      <w:bookmarkEnd w:id="144"/>
      <w:bookmarkEnd w:id="145"/>
      <w:bookmarkEnd w:id="146"/>
      <w:bookmarkEnd w:id="147"/>
      <w:bookmarkEnd w:id="148"/>
      <w:bookmarkEnd w:id="149"/>
    </w:p>
    <w:p w:rsidR="00353B99" w:rsidRPr="00422183" w:rsidRDefault="00353B99" w:rsidP="003A0820">
      <w:pPr>
        <w:autoSpaceDE w:val="0"/>
        <w:autoSpaceDN w:val="0"/>
        <w:adjustRightInd w:val="0"/>
        <w:spacing w:after="0" w:line="240" w:lineRule="auto"/>
        <w:contextualSpacing/>
        <w:jc w:val="both"/>
        <w:rPr>
          <w:rFonts w:ascii="Rockwell" w:eastAsia="Calibri" w:hAnsi="Rockwell" w:cs="Times New Roman"/>
          <w:sz w:val="24"/>
          <w:szCs w:val="24"/>
        </w:rPr>
      </w:pPr>
    </w:p>
    <w:p w:rsidR="00353B99" w:rsidRPr="00422183" w:rsidRDefault="00353B99" w:rsidP="003A0820">
      <w:pPr>
        <w:autoSpaceDE w:val="0"/>
        <w:autoSpaceDN w:val="0"/>
        <w:adjustRightInd w:val="0"/>
        <w:spacing w:after="0" w:line="240" w:lineRule="auto"/>
        <w:contextualSpacing/>
        <w:jc w:val="both"/>
        <w:rPr>
          <w:rFonts w:ascii="Rockwell" w:hAnsi="Rockwell"/>
          <w:sz w:val="24"/>
          <w:szCs w:val="24"/>
        </w:rPr>
      </w:pPr>
      <w:r w:rsidRPr="00422183">
        <w:rPr>
          <w:rFonts w:ascii="Rockwell" w:hAnsi="Rockwell"/>
          <w:sz w:val="24"/>
          <w:szCs w:val="24"/>
        </w:rPr>
        <w:t xml:space="preserve">En matière de gouvernance politique, les progrès concernent la création et le renforcement des institutions républicaines, la professionnalisation </w:t>
      </w:r>
      <w:r w:rsidR="009E32AD" w:rsidRPr="00422183">
        <w:rPr>
          <w:rFonts w:ascii="Rockwell" w:hAnsi="Rockwell"/>
          <w:sz w:val="24"/>
          <w:szCs w:val="24"/>
        </w:rPr>
        <w:t>de la défense et de la sécurité</w:t>
      </w:r>
      <w:r w:rsidRPr="00422183">
        <w:rPr>
          <w:rFonts w:ascii="Rockwell" w:hAnsi="Rockwell"/>
          <w:sz w:val="24"/>
          <w:szCs w:val="24"/>
        </w:rPr>
        <w:t>, la consolidation de l</w:t>
      </w:r>
      <w:r w:rsidR="006C72DE" w:rsidRPr="00422183">
        <w:rPr>
          <w:rFonts w:ascii="Rockwell" w:hAnsi="Rockwell"/>
          <w:sz w:val="24"/>
          <w:szCs w:val="24"/>
        </w:rPr>
        <w:t>'</w:t>
      </w:r>
      <w:r w:rsidRPr="00422183">
        <w:rPr>
          <w:rFonts w:ascii="Rockwell" w:hAnsi="Rockwell"/>
          <w:sz w:val="24"/>
          <w:szCs w:val="24"/>
        </w:rPr>
        <w:t xml:space="preserve">état de droit et le renforcement des droits humains, la contribution aux efforts de paix et de sécurité dans des pays tiers, </w:t>
      </w:r>
      <w:r w:rsidR="009E32AD" w:rsidRPr="00422183">
        <w:rPr>
          <w:rFonts w:ascii="Rockwell" w:hAnsi="Rockwell"/>
          <w:sz w:val="24"/>
          <w:szCs w:val="24"/>
        </w:rPr>
        <w:t>la cohésion sociale et l</w:t>
      </w:r>
      <w:r w:rsidR="006C72DE" w:rsidRPr="00422183">
        <w:rPr>
          <w:rFonts w:ascii="Rockwell" w:hAnsi="Rockwell"/>
          <w:sz w:val="24"/>
          <w:szCs w:val="24"/>
        </w:rPr>
        <w:t>'</w:t>
      </w:r>
      <w:r w:rsidR="009E32AD" w:rsidRPr="00422183">
        <w:rPr>
          <w:rFonts w:ascii="Rockwell" w:hAnsi="Rockwell"/>
          <w:sz w:val="24"/>
          <w:szCs w:val="24"/>
        </w:rPr>
        <w:t xml:space="preserve">amélioration de solidarité nationale. En dépit de ces acquis, des défis demeurent à </w:t>
      </w:r>
      <w:r w:rsidR="00873360" w:rsidRPr="00422183">
        <w:rPr>
          <w:rFonts w:ascii="Rockwell" w:hAnsi="Rockwell"/>
          <w:sz w:val="24"/>
          <w:szCs w:val="24"/>
        </w:rPr>
        <w:t xml:space="preserve">relever </w:t>
      </w:r>
      <w:r w:rsidR="009E32AD" w:rsidRPr="00422183">
        <w:rPr>
          <w:rFonts w:ascii="Rockwell" w:hAnsi="Rockwell"/>
          <w:sz w:val="24"/>
          <w:szCs w:val="24"/>
        </w:rPr>
        <w:t xml:space="preserve">dont : </w:t>
      </w:r>
      <w:r w:rsidR="00416A5B" w:rsidRPr="00422183">
        <w:rPr>
          <w:rFonts w:ascii="Rockwell" w:hAnsi="Rockwell"/>
          <w:sz w:val="24"/>
          <w:szCs w:val="24"/>
        </w:rPr>
        <w:t>(i) la consolidation de la démocratie et la promotion des valeurs républicaines</w:t>
      </w:r>
      <w:r w:rsidR="00941082" w:rsidRPr="00422183">
        <w:rPr>
          <w:rFonts w:ascii="Rockwell" w:hAnsi="Rockwell"/>
          <w:sz w:val="24"/>
          <w:szCs w:val="24"/>
        </w:rPr>
        <w:t xml:space="preserve">, (ii) le </w:t>
      </w:r>
      <w:r w:rsidR="00416A5B" w:rsidRPr="00422183">
        <w:rPr>
          <w:rFonts w:ascii="Rockwell" w:hAnsi="Rockwell"/>
          <w:sz w:val="24"/>
          <w:szCs w:val="24"/>
        </w:rPr>
        <w:t>renforcement du cadre juridique et règlementaire, (ii</w:t>
      </w:r>
      <w:r w:rsidR="00941082" w:rsidRPr="00422183">
        <w:rPr>
          <w:rFonts w:ascii="Rockwell" w:hAnsi="Rockwell"/>
          <w:sz w:val="24"/>
          <w:szCs w:val="24"/>
        </w:rPr>
        <w:t>i</w:t>
      </w:r>
      <w:r w:rsidR="00416A5B" w:rsidRPr="00422183">
        <w:rPr>
          <w:rFonts w:ascii="Rockwell" w:hAnsi="Rockwell"/>
          <w:sz w:val="24"/>
          <w:szCs w:val="24"/>
        </w:rPr>
        <w:t xml:space="preserve">) </w:t>
      </w:r>
      <w:r w:rsidR="003B34CF" w:rsidRPr="00422183">
        <w:rPr>
          <w:rFonts w:ascii="Rockwell" w:hAnsi="Rockwell"/>
          <w:sz w:val="24"/>
          <w:szCs w:val="24"/>
        </w:rPr>
        <w:t>le maintien</w:t>
      </w:r>
      <w:r w:rsidR="002E52F2" w:rsidRPr="00422183">
        <w:rPr>
          <w:rFonts w:ascii="Rockwell" w:hAnsi="Rockwell"/>
          <w:sz w:val="24"/>
          <w:szCs w:val="24"/>
        </w:rPr>
        <w:t xml:space="preserve"> de la paix et de la sécurité, </w:t>
      </w:r>
      <w:r w:rsidR="003B34CF" w:rsidRPr="00422183">
        <w:rPr>
          <w:rFonts w:ascii="Rockwell" w:hAnsi="Rockwell"/>
          <w:sz w:val="24"/>
          <w:szCs w:val="24"/>
        </w:rPr>
        <w:t>(i</w:t>
      </w:r>
      <w:r w:rsidR="00941082" w:rsidRPr="00422183">
        <w:rPr>
          <w:rFonts w:ascii="Rockwell" w:hAnsi="Rockwell"/>
          <w:sz w:val="24"/>
          <w:szCs w:val="24"/>
        </w:rPr>
        <w:t>v</w:t>
      </w:r>
      <w:r w:rsidR="00564141" w:rsidRPr="00422183">
        <w:rPr>
          <w:rFonts w:ascii="Rockwell" w:hAnsi="Rockwell"/>
          <w:sz w:val="24"/>
          <w:szCs w:val="24"/>
        </w:rPr>
        <w:t>)</w:t>
      </w:r>
      <w:r w:rsidR="003B34CF" w:rsidRPr="00422183">
        <w:rPr>
          <w:rFonts w:ascii="Rockwell" w:hAnsi="Rockwell"/>
          <w:sz w:val="24"/>
          <w:szCs w:val="24"/>
        </w:rPr>
        <w:t xml:space="preserve"> la dépolitisation de l</w:t>
      </w:r>
      <w:r w:rsidR="006C72DE" w:rsidRPr="00422183">
        <w:rPr>
          <w:rFonts w:ascii="Rockwell" w:hAnsi="Rockwell"/>
          <w:sz w:val="24"/>
          <w:szCs w:val="24"/>
        </w:rPr>
        <w:t>'</w:t>
      </w:r>
      <w:r w:rsidR="00564141" w:rsidRPr="00422183">
        <w:rPr>
          <w:rFonts w:ascii="Rockwell" w:hAnsi="Rockwell"/>
          <w:sz w:val="24"/>
          <w:szCs w:val="24"/>
        </w:rPr>
        <w:t xml:space="preserve">environnement </w:t>
      </w:r>
      <w:r w:rsidR="003B34CF" w:rsidRPr="00422183">
        <w:rPr>
          <w:rFonts w:ascii="Rockwell" w:hAnsi="Rockwell"/>
          <w:sz w:val="24"/>
          <w:szCs w:val="24"/>
        </w:rPr>
        <w:t xml:space="preserve">militaire et la bonne gouvernance militaire, </w:t>
      </w:r>
      <w:r w:rsidR="00EE18A8" w:rsidRPr="00422183">
        <w:rPr>
          <w:rFonts w:ascii="Rockwell" w:hAnsi="Rockwell"/>
          <w:sz w:val="24"/>
          <w:szCs w:val="24"/>
        </w:rPr>
        <w:t xml:space="preserve">(v) la dépolitisation de la chefferie traditionnelle, </w:t>
      </w:r>
      <w:r w:rsidR="003B34CF" w:rsidRPr="00422183">
        <w:rPr>
          <w:rFonts w:ascii="Rockwell" w:hAnsi="Rockwell"/>
          <w:sz w:val="24"/>
          <w:szCs w:val="24"/>
        </w:rPr>
        <w:t>(v</w:t>
      </w:r>
      <w:r w:rsidR="00EE18A8" w:rsidRPr="00422183">
        <w:rPr>
          <w:rFonts w:ascii="Rockwell" w:hAnsi="Rockwell"/>
          <w:sz w:val="24"/>
          <w:szCs w:val="24"/>
        </w:rPr>
        <w:t>i</w:t>
      </w:r>
      <w:r w:rsidR="003B34CF" w:rsidRPr="00422183">
        <w:rPr>
          <w:rFonts w:ascii="Rockwell" w:hAnsi="Rockwell"/>
          <w:sz w:val="24"/>
          <w:szCs w:val="24"/>
        </w:rPr>
        <w:t>) le renforcement de l</w:t>
      </w:r>
      <w:r w:rsidR="006C72DE" w:rsidRPr="00422183">
        <w:rPr>
          <w:rFonts w:ascii="Rockwell" w:hAnsi="Rockwell"/>
          <w:sz w:val="24"/>
          <w:szCs w:val="24"/>
        </w:rPr>
        <w:t>'</w:t>
      </w:r>
      <w:r w:rsidR="003B34CF" w:rsidRPr="00422183">
        <w:rPr>
          <w:rFonts w:ascii="Rockwell" w:hAnsi="Rockwell"/>
          <w:sz w:val="24"/>
          <w:szCs w:val="24"/>
        </w:rPr>
        <w:t>indépendance de la justice</w:t>
      </w:r>
      <w:r w:rsidR="003E50B0" w:rsidRPr="00422183">
        <w:rPr>
          <w:rFonts w:ascii="Rockwell" w:hAnsi="Rockwell"/>
          <w:sz w:val="24"/>
          <w:szCs w:val="24"/>
        </w:rPr>
        <w:t>, (v</w:t>
      </w:r>
      <w:r w:rsidR="00941082" w:rsidRPr="00422183">
        <w:rPr>
          <w:rFonts w:ascii="Rockwell" w:hAnsi="Rockwell"/>
          <w:sz w:val="24"/>
          <w:szCs w:val="24"/>
        </w:rPr>
        <w:t>i</w:t>
      </w:r>
      <w:r w:rsidR="00EE18A8" w:rsidRPr="00422183">
        <w:rPr>
          <w:rFonts w:ascii="Rockwell" w:hAnsi="Rockwell"/>
          <w:sz w:val="24"/>
          <w:szCs w:val="24"/>
        </w:rPr>
        <w:t>i</w:t>
      </w:r>
      <w:r w:rsidR="003E50B0" w:rsidRPr="00422183">
        <w:rPr>
          <w:rFonts w:ascii="Rockwell" w:hAnsi="Rockwell"/>
          <w:sz w:val="24"/>
          <w:szCs w:val="24"/>
        </w:rPr>
        <w:t>) l</w:t>
      </w:r>
      <w:r w:rsidR="006C72DE" w:rsidRPr="00422183">
        <w:rPr>
          <w:rFonts w:ascii="Rockwell" w:hAnsi="Rockwell"/>
          <w:sz w:val="24"/>
          <w:szCs w:val="24"/>
        </w:rPr>
        <w:t>'</w:t>
      </w:r>
      <w:r w:rsidR="003E50B0" w:rsidRPr="00422183">
        <w:rPr>
          <w:rFonts w:ascii="Rockwell" w:hAnsi="Rockwell"/>
          <w:sz w:val="24"/>
          <w:szCs w:val="24"/>
        </w:rPr>
        <w:t>amélioration de l</w:t>
      </w:r>
      <w:r w:rsidR="006C72DE" w:rsidRPr="00422183">
        <w:rPr>
          <w:rFonts w:ascii="Rockwell" w:hAnsi="Rockwell"/>
          <w:sz w:val="24"/>
          <w:szCs w:val="24"/>
        </w:rPr>
        <w:t>'</w:t>
      </w:r>
      <w:r w:rsidR="00A3557F" w:rsidRPr="00422183">
        <w:rPr>
          <w:rFonts w:ascii="Rockwell" w:hAnsi="Rockwell"/>
          <w:sz w:val="24"/>
          <w:szCs w:val="24"/>
        </w:rPr>
        <w:t>accès et de la qualité de services de</w:t>
      </w:r>
      <w:r w:rsidR="00BF58E2" w:rsidRPr="00422183">
        <w:rPr>
          <w:rFonts w:ascii="Rockwell" w:hAnsi="Rockwell"/>
          <w:sz w:val="24"/>
          <w:szCs w:val="24"/>
        </w:rPr>
        <w:t xml:space="preserve"> justice,</w:t>
      </w:r>
      <w:r w:rsidR="00C27882" w:rsidRPr="00422183">
        <w:rPr>
          <w:rFonts w:ascii="Rockwell" w:hAnsi="Rockwell"/>
          <w:sz w:val="24"/>
          <w:szCs w:val="24"/>
        </w:rPr>
        <w:t xml:space="preserve"> (v</w:t>
      </w:r>
      <w:r w:rsidR="00941082" w:rsidRPr="00422183">
        <w:rPr>
          <w:rFonts w:ascii="Rockwell" w:hAnsi="Rockwell"/>
          <w:sz w:val="24"/>
          <w:szCs w:val="24"/>
        </w:rPr>
        <w:t>ii</w:t>
      </w:r>
      <w:r w:rsidR="00EE18A8" w:rsidRPr="00422183">
        <w:rPr>
          <w:rFonts w:ascii="Rockwell" w:hAnsi="Rockwell"/>
          <w:sz w:val="24"/>
          <w:szCs w:val="24"/>
        </w:rPr>
        <w:t>i</w:t>
      </w:r>
      <w:r w:rsidR="00C27882" w:rsidRPr="00422183">
        <w:rPr>
          <w:rFonts w:ascii="Rockwell" w:hAnsi="Rockwell"/>
          <w:sz w:val="24"/>
          <w:szCs w:val="24"/>
        </w:rPr>
        <w:t xml:space="preserve">) </w:t>
      </w:r>
      <w:r w:rsidR="00B01FFD" w:rsidRPr="00422183">
        <w:rPr>
          <w:rFonts w:ascii="Rockwell" w:hAnsi="Rockwell"/>
          <w:sz w:val="24"/>
          <w:szCs w:val="24"/>
        </w:rPr>
        <w:t xml:space="preserve">le renforcement de la protection des droits humains, </w:t>
      </w:r>
      <w:r w:rsidR="00EE18A8" w:rsidRPr="00422183">
        <w:rPr>
          <w:rFonts w:ascii="Rockwell" w:hAnsi="Rockwell"/>
          <w:sz w:val="24"/>
          <w:szCs w:val="24"/>
        </w:rPr>
        <w:t>(</w:t>
      </w:r>
      <w:r w:rsidR="00B01FFD" w:rsidRPr="00422183">
        <w:rPr>
          <w:rFonts w:ascii="Rockwell" w:hAnsi="Rockwell"/>
          <w:sz w:val="24"/>
          <w:szCs w:val="24"/>
        </w:rPr>
        <w:t>i</w:t>
      </w:r>
      <w:r w:rsidR="00EE18A8" w:rsidRPr="00422183">
        <w:rPr>
          <w:rFonts w:ascii="Rockwell" w:hAnsi="Rockwell"/>
          <w:sz w:val="24"/>
          <w:szCs w:val="24"/>
        </w:rPr>
        <w:t>x</w:t>
      </w:r>
      <w:r w:rsidR="00B01FFD" w:rsidRPr="00422183">
        <w:rPr>
          <w:rFonts w:ascii="Rockwell" w:hAnsi="Rockwell"/>
          <w:sz w:val="24"/>
          <w:szCs w:val="24"/>
        </w:rPr>
        <w:t xml:space="preserve">) </w:t>
      </w:r>
      <w:r w:rsidR="00C27882" w:rsidRPr="00422183">
        <w:rPr>
          <w:rFonts w:ascii="Rockwell" w:hAnsi="Rockwell"/>
          <w:sz w:val="24"/>
          <w:szCs w:val="24"/>
        </w:rPr>
        <w:t>la restauration de l</w:t>
      </w:r>
      <w:r w:rsidR="006C72DE" w:rsidRPr="00422183">
        <w:rPr>
          <w:rFonts w:ascii="Rockwell" w:hAnsi="Rockwell"/>
          <w:sz w:val="24"/>
          <w:szCs w:val="24"/>
        </w:rPr>
        <w:t>'</w:t>
      </w:r>
      <w:r w:rsidR="00C27882" w:rsidRPr="00422183">
        <w:rPr>
          <w:rFonts w:ascii="Rockwell" w:hAnsi="Rockwell"/>
          <w:sz w:val="24"/>
          <w:szCs w:val="24"/>
        </w:rPr>
        <w:t>autorité de l</w:t>
      </w:r>
      <w:r w:rsidR="006C72DE" w:rsidRPr="00422183">
        <w:rPr>
          <w:rFonts w:ascii="Rockwell" w:hAnsi="Rockwell"/>
          <w:sz w:val="24"/>
          <w:szCs w:val="24"/>
        </w:rPr>
        <w:t>'</w:t>
      </w:r>
      <w:r w:rsidR="004165A4" w:rsidRPr="00422183">
        <w:rPr>
          <w:rFonts w:ascii="Rockwell" w:hAnsi="Rockwell"/>
          <w:sz w:val="24"/>
          <w:szCs w:val="24"/>
        </w:rPr>
        <w:t>État</w:t>
      </w:r>
      <w:r w:rsidR="00C27882" w:rsidRPr="00422183">
        <w:rPr>
          <w:rFonts w:ascii="Rockwell" w:hAnsi="Rockwell"/>
          <w:sz w:val="24"/>
          <w:szCs w:val="24"/>
        </w:rPr>
        <w:t>,</w:t>
      </w:r>
      <w:r w:rsidR="00BF58E2" w:rsidRPr="00422183">
        <w:rPr>
          <w:rFonts w:ascii="Rockwell" w:hAnsi="Rockwell"/>
          <w:sz w:val="24"/>
          <w:szCs w:val="24"/>
        </w:rPr>
        <w:t xml:space="preserve"> (</w:t>
      </w:r>
      <w:r w:rsidR="00B01FFD" w:rsidRPr="00422183">
        <w:rPr>
          <w:rFonts w:ascii="Rockwell" w:hAnsi="Rockwell"/>
          <w:sz w:val="24"/>
          <w:szCs w:val="24"/>
        </w:rPr>
        <w:t>x</w:t>
      </w:r>
      <w:r w:rsidR="00BF58E2" w:rsidRPr="00422183">
        <w:rPr>
          <w:rFonts w:ascii="Rockwell" w:hAnsi="Rockwell"/>
          <w:sz w:val="24"/>
          <w:szCs w:val="24"/>
        </w:rPr>
        <w:t>) le renforcement de la coopération internationale, (</w:t>
      </w:r>
      <w:r w:rsidR="00941082" w:rsidRPr="00422183">
        <w:rPr>
          <w:rFonts w:ascii="Rockwell" w:hAnsi="Rockwell"/>
          <w:sz w:val="24"/>
          <w:szCs w:val="24"/>
        </w:rPr>
        <w:t>x</w:t>
      </w:r>
      <w:r w:rsidR="00EE18A8" w:rsidRPr="00422183">
        <w:rPr>
          <w:rFonts w:ascii="Rockwell" w:hAnsi="Rockwell"/>
          <w:sz w:val="24"/>
          <w:szCs w:val="24"/>
        </w:rPr>
        <w:t>i</w:t>
      </w:r>
      <w:r w:rsidR="00BF58E2" w:rsidRPr="00422183">
        <w:rPr>
          <w:rFonts w:ascii="Rockwell" w:hAnsi="Rockwell"/>
          <w:sz w:val="24"/>
          <w:szCs w:val="24"/>
        </w:rPr>
        <w:t>) la consolidation de la cohésion sociale et de</w:t>
      </w:r>
      <w:r w:rsidR="004165A4" w:rsidRPr="00422183">
        <w:rPr>
          <w:rFonts w:ascii="Rockwell" w:hAnsi="Rockwell"/>
          <w:sz w:val="24"/>
          <w:szCs w:val="24"/>
        </w:rPr>
        <w:t xml:space="preserve"> </w:t>
      </w:r>
      <w:r w:rsidR="00BF58E2" w:rsidRPr="00422183">
        <w:rPr>
          <w:rFonts w:ascii="Rockwell" w:hAnsi="Rockwell"/>
          <w:sz w:val="24"/>
          <w:szCs w:val="24"/>
        </w:rPr>
        <w:t>la solidarité nationale</w:t>
      </w:r>
      <w:r w:rsidR="00C27882" w:rsidRPr="00422183">
        <w:rPr>
          <w:rFonts w:ascii="Rockwell" w:hAnsi="Rockwell"/>
          <w:sz w:val="24"/>
          <w:szCs w:val="24"/>
        </w:rPr>
        <w:t xml:space="preserve"> et (x</w:t>
      </w:r>
      <w:r w:rsidR="00B01FFD" w:rsidRPr="00422183">
        <w:rPr>
          <w:rFonts w:ascii="Rockwell" w:hAnsi="Rockwell"/>
          <w:sz w:val="24"/>
          <w:szCs w:val="24"/>
        </w:rPr>
        <w:t>i</w:t>
      </w:r>
      <w:r w:rsidR="00EE18A8" w:rsidRPr="00422183">
        <w:rPr>
          <w:rFonts w:ascii="Rockwell" w:hAnsi="Rockwell"/>
          <w:sz w:val="24"/>
          <w:szCs w:val="24"/>
        </w:rPr>
        <w:t>i</w:t>
      </w:r>
      <w:r w:rsidR="00EE0738" w:rsidRPr="00422183">
        <w:rPr>
          <w:rFonts w:ascii="Rockwell" w:hAnsi="Rockwell"/>
          <w:sz w:val="24"/>
          <w:szCs w:val="24"/>
        </w:rPr>
        <w:t>) l</w:t>
      </w:r>
      <w:r w:rsidR="006C72DE" w:rsidRPr="00422183">
        <w:rPr>
          <w:rFonts w:ascii="Rockwell" w:hAnsi="Rockwell"/>
          <w:sz w:val="24"/>
          <w:szCs w:val="24"/>
        </w:rPr>
        <w:t>'</w:t>
      </w:r>
      <w:r w:rsidR="00EE0738" w:rsidRPr="00422183">
        <w:rPr>
          <w:rFonts w:ascii="Rockwell" w:hAnsi="Rockwell"/>
          <w:sz w:val="24"/>
          <w:szCs w:val="24"/>
        </w:rPr>
        <w:t xml:space="preserve">engagement des forces politiques et des </w:t>
      </w:r>
      <w:r w:rsidR="000C4B59" w:rsidRPr="00422183">
        <w:rPr>
          <w:rFonts w:ascii="Rockwell" w:hAnsi="Rockwell"/>
          <w:sz w:val="24"/>
          <w:szCs w:val="24"/>
        </w:rPr>
        <w:t>OSC</w:t>
      </w:r>
      <w:r w:rsidR="00EE0738" w:rsidRPr="00422183">
        <w:rPr>
          <w:rFonts w:ascii="Rockwell" w:hAnsi="Rockwell"/>
          <w:sz w:val="24"/>
          <w:szCs w:val="24"/>
        </w:rPr>
        <w:t xml:space="preserve"> dans un processus participatif, pour une gouvernance vertueuse et apaisée</w:t>
      </w:r>
      <w:r w:rsidR="00BF58E2" w:rsidRPr="00422183">
        <w:rPr>
          <w:rFonts w:ascii="Rockwell" w:hAnsi="Rockwell"/>
          <w:sz w:val="24"/>
          <w:szCs w:val="24"/>
        </w:rPr>
        <w:t>.</w:t>
      </w:r>
    </w:p>
    <w:p w:rsidR="00BF58E2" w:rsidRPr="00422183" w:rsidRDefault="00BF58E2" w:rsidP="003A0820">
      <w:pPr>
        <w:autoSpaceDE w:val="0"/>
        <w:autoSpaceDN w:val="0"/>
        <w:adjustRightInd w:val="0"/>
        <w:spacing w:after="0" w:line="240" w:lineRule="auto"/>
        <w:contextualSpacing/>
        <w:jc w:val="both"/>
        <w:rPr>
          <w:rFonts w:ascii="Rockwell" w:hAnsi="Rockwell"/>
          <w:sz w:val="24"/>
          <w:szCs w:val="24"/>
        </w:rPr>
      </w:pPr>
    </w:p>
    <w:p w:rsidR="00B01FFD" w:rsidRPr="00422183" w:rsidRDefault="00B01FFD" w:rsidP="003A0820">
      <w:pPr>
        <w:autoSpaceDE w:val="0"/>
        <w:autoSpaceDN w:val="0"/>
        <w:adjustRightInd w:val="0"/>
        <w:spacing w:after="0" w:line="240" w:lineRule="auto"/>
        <w:contextualSpacing/>
        <w:jc w:val="both"/>
        <w:rPr>
          <w:rFonts w:ascii="Rockwell" w:hAnsi="Rockwell"/>
          <w:sz w:val="24"/>
          <w:szCs w:val="24"/>
        </w:rPr>
      </w:pPr>
      <w:r w:rsidRPr="00422183">
        <w:rPr>
          <w:rFonts w:ascii="Rockwell" w:hAnsi="Rockwell"/>
          <w:sz w:val="24"/>
          <w:szCs w:val="24"/>
        </w:rPr>
        <w:t xml:space="preserve">L’information et la communication sont des facteurs de développement et de promotion de bonne gouvernance, de consolidation de l’Etat de droit, de renforcement des droits </w:t>
      </w:r>
      <w:r w:rsidR="00C05D93" w:rsidRPr="00422183">
        <w:rPr>
          <w:rFonts w:ascii="Rockwell" w:hAnsi="Rockwell"/>
          <w:sz w:val="24"/>
          <w:szCs w:val="24"/>
        </w:rPr>
        <w:t>humains, de la cohésion sociale et</w:t>
      </w:r>
      <w:r w:rsidRPr="00422183">
        <w:rPr>
          <w:rFonts w:ascii="Rockwell" w:hAnsi="Rockwell"/>
          <w:sz w:val="24"/>
          <w:szCs w:val="24"/>
        </w:rPr>
        <w:t xml:space="preserve"> </w:t>
      </w:r>
      <w:r w:rsidR="00C05D93" w:rsidRPr="00422183">
        <w:rPr>
          <w:rFonts w:ascii="Rockwell" w:hAnsi="Rockwell"/>
          <w:sz w:val="24"/>
          <w:szCs w:val="24"/>
        </w:rPr>
        <w:t xml:space="preserve">de </w:t>
      </w:r>
      <w:r w:rsidRPr="00422183">
        <w:rPr>
          <w:rFonts w:ascii="Rockwell" w:hAnsi="Rockwell"/>
          <w:sz w:val="24"/>
          <w:szCs w:val="24"/>
        </w:rPr>
        <w:t>la restauration de l’autorité de l’Etat. En dépit des acquis majeurs, l’environnement médiatique reste confronté à : (i) un dispositif peu adapté aux besoins des populations à la base, (ii) une situation économique fragile et (iii) une faible couverture du territoire national. Le défi majeur à relever est d’assurer l’accès à l’information juste pour tous et sur tout le territoire national.</w:t>
      </w:r>
    </w:p>
    <w:p w:rsidR="00B01FFD" w:rsidRPr="00422183" w:rsidRDefault="00B01FFD" w:rsidP="003A0820">
      <w:pPr>
        <w:autoSpaceDE w:val="0"/>
        <w:autoSpaceDN w:val="0"/>
        <w:adjustRightInd w:val="0"/>
        <w:spacing w:after="0" w:line="240" w:lineRule="auto"/>
        <w:contextualSpacing/>
        <w:jc w:val="both"/>
        <w:rPr>
          <w:rFonts w:ascii="Rockwell" w:hAnsi="Rockwell"/>
          <w:sz w:val="24"/>
          <w:szCs w:val="24"/>
        </w:rPr>
      </w:pPr>
    </w:p>
    <w:p w:rsidR="00BF58E2" w:rsidRPr="00422183" w:rsidRDefault="00BF58E2" w:rsidP="003A0820">
      <w:pPr>
        <w:autoSpaceDE w:val="0"/>
        <w:autoSpaceDN w:val="0"/>
        <w:adjustRightInd w:val="0"/>
        <w:spacing w:after="0" w:line="240" w:lineRule="auto"/>
        <w:contextualSpacing/>
        <w:jc w:val="both"/>
        <w:rPr>
          <w:rFonts w:ascii="Rockwell" w:eastAsia="Calibri" w:hAnsi="Rockwell" w:cs="Times New Roman"/>
          <w:sz w:val="24"/>
          <w:szCs w:val="24"/>
        </w:rPr>
      </w:pPr>
      <w:r w:rsidRPr="00422183">
        <w:rPr>
          <w:rFonts w:ascii="Rockwell" w:hAnsi="Rockwell"/>
          <w:sz w:val="24"/>
          <w:szCs w:val="24"/>
        </w:rPr>
        <w:t xml:space="preserve">En matière de gouvernance administrative, en dépit des acquis </w:t>
      </w:r>
      <w:r w:rsidR="00E73CC0" w:rsidRPr="00422183">
        <w:rPr>
          <w:rFonts w:ascii="Rockwell" w:hAnsi="Rockwell"/>
          <w:sz w:val="24"/>
          <w:szCs w:val="24"/>
        </w:rPr>
        <w:t xml:space="preserve">obtenus par la réalisation de </w:t>
      </w:r>
      <w:r w:rsidRPr="00422183">
        <w:rPr>
          <w:rFonts w:ascii="Rockwell" w:hAnsi="Rockwell"/>
          <w:sz w:val="24"/>
          <w:szCs w:val="24"/>
        </w:rPr>
        <w:t>différent</w:t>
      </w:r>
      <w:r w:rsidR="000D4364" w:rsidRPr="00422183">
        <w:rPr>
          <w:rFonts w:ascii="Rockwell" w:hAnsi="Rockwell"/>
          <w:sz w:val="24"/>
          <w:szCs w:val="24"/>
        </w:rPr>
        <w:t>e</w:t>
      </w:r>
      <w:r w:rsidRPr="00422183">
        <w:rPr>
          <w:rFonts w:ascii="Rockwell" w:hAnsi="Rockwell"/>
          <w:sz w:val="24"/>
          <w:szCs w:val="24"/>
        </w:rPr>
        <w:t>s r</w:t>
      </w:r>
      <w:r w:rsidR="000D4364" w:rsidRPr="00422183">
        <w:rPr>
          <w:rFonts w:ascii="Rockwell" w:hAnsi="Rockwell"/>
          <w:sz w:val="24"/>
          <w:szCs w:val="24"/>
        </w:rPr>
        <w:t>é</w:t>
      </w:r>
      <w:r w:rsidRPr="00422183">
        <w:rPr>
          <w:rFonts w:ascii="Rockwell" w:hAnsi="Rockwell"/>
          <w:sz w:val="24"/>
          <w:szCs w:val="24"/>
        </w:rPr>
        <w:t>formes, l</w:t>
      </w:r>
      <w:r w:rsidR="006C72DE" w:rsidRPr="00422183">
        <w:rPr>
          <w:rFonts w:ascii="Rockwell" w:hAnsi="Rockwell"/>
          <w:sz w:val="24"/>
          <w:szCs w:val="24"/>
        </w:rPr>
        <w:t>'</w:t>
      </w:r>
      <w:r w:rsidRPr="00422183">
        <w:rPr>
          <w:rFonts w:ascii="Rockwell" w:hAnsi="Rockwell"/>
          <w:sz w:val="24"/>
          <w:szCs w:val="24"/>
        </w:rPr>
        <w:t xml:space="preserve">administration burkinabè reste </w:t>
      </w:r>
      <w:r w:rsidR="007A1A40" w:rsidRPr="00422183">
        <w:rPr>
          <w:rFonts w:ascii="Rockwell" w:hAnsi="Rockwell"/>
          <w:sz w:val="24"/>
          <w:szCs w:val="24"/>
        </w:rPr>
        <w:t>confrontée</w:t>
      </w:r>
      <w:r w:rsidRPr="00422183">
        <w:rPr>
          <w:rFonts w:ascii="Rockwell" w:hAnsi="Rockwell"/>
          <w:sz w:val="24"/>
          <w:szCs w:val="24"/>
        </w:rPr>
        <w:t xml:space="preserve"> à </w:t>
      </w:r>
      <w:r w:rsidR="00E73281" w:rsidRPr="00422183">
        <w:rPr>
          <w:rFonts w:ascii="Rockwell" w:hAnsi="Rockwell"/>
          <w:sz w:val="24"/>
          <w:szCs w:val="24"/>
        </w:rPr>
        <w:t>des</w:t>
      </w:r>
      <w:r w:rsidRPr="00422183">
        <w:rPr>
          <w:rFonts w:ascii="Rockwell" w:hAnsi="Rockwell"/>
          <w:sz w:val="24"/>
          <w:szCs w:val="24"/>
        </w:rPr>
        <w:t xml:space="preserve"> défis tels </w:t>
      </w:r>
      <w:r w:rsidR="009172FE" w:rsidRPr="00422183">
        <w:rPr>
          <w:rFonts w:ascii="Rockwell" w:hAnsi="Rockwell"/>
          <w:sz w:val="24"/>
          <w:szCs w:val="24"/>
        </w:rPr>
        <w:t>que le maintien de la stabilité institutionnelle, la modernisation de l</w:t>
      </w:r>
      <w:r w:rsidR="006C72DE" w:rsidRPr="00422183">
        <w:rPr>
          <w:rFonts w:ascii="Rockwell" w:hAnsi="Rockwell"/>
          <w:sz w:val="24"/>
          <w:szCs w:val="24"/>
        </w:rPr>
        <w:t>'</w:t>
      </w:r>
      <w:r w:rsidR="009172FE" w:rsidRPr="00422183">
        <w:rPr>
          <w:rFonts w:ascii="Rockwell" w:hAnsi="Rockwell"/>
          <w:sz w:val="24"/>
          <w:szCs w:val="24"/>
        </w:rPr>
        <w:t>administration</w:t>
      </w:r>
      <w:r w:rsidR="00E73281" w:rsidRPr="00422183">
        <w:rPr>
          <w:rFonts w:ascii="Rockwell" w:hAnsi="Rockwell"/>
          <w:sz w:val="24"/>
          <w:szCs w:val="24"/>
        </w:rPr>
        <w:t>,</w:t>
      </w:r>
      <w:r w:rsidR="009172FE" w:rsidRPr="00422183">
        <w:rPr>
          <w:rFonts w:ascii="Rockwell" w:hAnsi="Rockwell"/>
          <w:sz w:val="24"/>
          <w:szCs w:val="24"/>
        </w:rPr>
        <w:t xml:space="preserve"> l</w:t>
      </w:r>
      <w:r w:rsidR="006C72DE" w:rsidRPr="00422183">
        <w:rPr>
          <w:rFonts w:ascii="Rockwell" w:hAnsi="Rockwell"/>
          <w:sz w:val="24"/>
          <w:szCs w:val="24"/>
        </w:rPr>
        <w:t>'</w:t>
      </w:r>
      <w:r w:rsidR="009172FE" w:rsidRPr="00422183">
        <w:rPr>
          <w:rFonts w:ascii="Rockwell" w:hAnsi="Rockwell"/>
          <w:sz w:val="24"/>
          <w:szCs w:val="24"/>
        </w:rPr>
        <w:t>amélioration de l</w:t>
      </w:r>
      <w:r w:rsidR="006C72DE" w:rsidRPr="00422183">
        <w:rPr>
          <w:rFonts w:ascii="Rockwell" w:hAnsi="Rockwell"/>
          <w:sz w:val="24"/>
          <w:szCs w:val="24"/>
        </w:rPr>
        <w:t>'</w:t>
      </w:r>
      <w:r w:rsidR="009172FE" w:rsidRPr="00422183">
        <w:rPr>
          <w:rFonts w:ascii="Rockwell" w:hAnsi="Rockwell"/>
          <w:sz w:val="24"/>
          <w:szCs w:val="24"/>
        </w:rPr>
        <w:t>offre de service</w:t>
      </w:r>
      <w:r w:rsidR="000B6DB1" w:rsidRPr="00422183">
        <w:rPr>
          <w:rFonts w:ascii="Rockwell" w:hAnsi="Rockwell"/>
          <w:sz w:val="24"/>
          <w:szCs w:val="24"/>
        </w:rPr>
        <w:t>s</w:t>
      </w:r>
      <w:r w:rsidR="009172FE" w:rsidRPr="00422183">
        <w:rPr>
          <w:rFonts w:ascii="Rockwell" w:hAnsi="Rockwell"/>
          <w:sz w:val="24"/>
          <w:szCs w:val="24"/>
        </w:rPr>
        <w:t xml:space="preserve"> </w:t>
      </w:r>
      <w:r w:rsidR="006D07CD" w:rsidRPr="00422183">
        <w:rPr>
          <w:rFonts w:ascii="Rockwell" w:hAnsi="Rockwell"/>
          <w:sz w:val="24"/>
          <w:szCs w:val="24"/>
        </w:rPr>
        <w:t>administratif</w:t>
      </w:r>
      <w:r w:rsidR="000B6DB1" w:rsidRPr="00422183">
        <w:rPr>
          <w:rFonts w:ascii="Rockwell" w:hAnsi="Rockwell"/>
          <w:sz w:val="24"/>
          <w:szCs w:val="24"/>
        </w:rPr>
        <w:t>s</w:t>
      </w:r>
      <w:r w:rsidR="00E73281" w:rsidRPr="00422183">
        <w:rPr>
          <w:rFonts w:ascii="Rockwell" w:hAnsi="Rockwell"/>
          <w:sz w:val="24"/>
          <w:szCs w:val="24"/>
        </w:rPr>
        <w:t xml:space="preserve"> et</w:t>
      </w:r>
      <w:r w:rsidR="006D07CD" w:rsidRPr="00422183">
        <w:rPr>
          <w:rFonts w:ascii="Rockwell" w:hAnsi="Rockwell"/>
          <w:sz w:val="24"/>
          <w:szCs w:val="24"/>
        </w:rPr>
        <w:t xml:space="preserve"> la</w:t>
      </w:r>
      <w:r w:rsidR="009172FE" w:rsidRPr="00422183">
        <w:rPr>
          <w:rFonts w:ascii="Rockwell" w:hAnsi="Rockwell"/>
          <w:sz w:val="24"/>
          <w:szCs w:val="24"/>
        </w:rPr>
        <w:t xml:space="preserve"> dépolitisation de l</w:t>
      </w:r>
      <w:r w:rsidR="006C72DE" w:rsidRPr="00422183">
        <w:rPr>
          <w:rFonts w:ascii="Rockwell" w:hAnsi="Rockwell"/>
          <w:sz w:val="24"/>
          <w:szCs w:val="24"/>
        </w:rPr>
        <w:t>'</w:t>
      </w:r>
      <w:r w:rsidR="00E73281" w:rsidRPr="00422183">
        <w:rPr>
          <w:rFonts w:ascii="Rockwell" w:hAnsi="Rockwell"/>
          <w:sz w:val="24"/>
          <w:szCs w:val="24"/>
        </w:rPr>
        <w:t>administration publique.</w:t>
      </w:r>
    </w:p>
    <w:p w:rsidR="00353B99" w:rsidRPr="00422183" w:rsidRDefault="00353B99" w:rsidP="003A0820">
      <w:pPr>
        <w:autoSpaceDE w:val="0"/>
        <w:autoSpaceDN w:val="0"/>
        <w:adjustRightInd w:val="0"/>
        <w:spacing w:after="0" w:line="240" w:lineRule="auto"/>
        <w:contextualSpacing/>
        <w:jc w:val="both"/>
        <w:rPr>
          <w:rFonts w:ascii="Rockwell" w:eastAsia="Calibri" w:hAnsi="Rockwell" w:cs="Times New Roman"/>
          <w:sz w:val="24"/>
          <w:szCs w:val="24"/>
        </w:rPr>
      </w:pPr>
    </w:p>
    <w:p w:rsidR="00C27882" w:rsidRPr="00422183" w:rsidRDefault="00C27882" w:rsidP="003A0820">
      <w:pPr>
        <w:autoSpaceDE w:val="0"/>
        <w:autoSpaceDN w:val="0"/>
        <w:adjustRightInd w:val="0"/>
        <w:spacing w:after="0" w:line="240" w:lineRule="auto"/>
        <w:contextualSpacing/>
        <w:jc w:val="both"/>
        <w:rPr>
          <w:rFonts w:ascii="Rockwell" w:eastAsia="Calibri" w:hAnsi="Rockwell" w:cs="Times New Roman"/>
          <w:sz w:val="24"/>
          <w:szCs w:val="24"/>
        </w:rPr>
      </w:pPr>
      <w:r w:rsidRPr="00422183">
        <w:rPr>
          <w:rFonts w:ascii="Rockwell" w:eastAsia="Calibri" w:hAnsi="Rockwell" w:cs="Times New Roman"/>
          <w:sz w:val="24"/>
          <w:szCs w:val="24"/>
        </w:rPr>
        <w:t xml:space="preserve">En matière de gouvernance économique </w:t>
      </w:r>
      <w:r w:rsidR="00A94314" w:rsidRPr="00422183">
        <w:rPr>
          <w:rFonts w:ascii="Rockwell" w:eastAsia="Calibri" w:hAnsi="Rockwell" w:cs="Times New Roman"/>
          <w:sz w:val="24"/>
          <w:szCs w:val="24"/>
        </w:rPr>
        <w:t>les progrès s</w:t>
      </w:r>
      <w:r w:rsidR="006C72DE" w:rsidRPr="00422183">
        <w:rPr>
          <w:rFonts w:ascii="Rockwell" w:eastAsia="Calibri" w:hAnsi="Rockwell" w:cs="Times New Roman"/>
          <w:sz w:val="24"/>
          <w:szCs w:val="24"/>
        </w:rPr>
        <w:t>'</w:t>
      </w:r>
      <w:r w:rsidR="00A94314" w:rsidRPr="00422183">
        <w:rPr>
          <w:rFonts w:ascii="Rockwell" w:eastAsia="Calibri" w:hAnsi="Rockwell" w:cs="Times New Roman"/>
          <w:sz w:val="24"/>
          <w:szCs w:val="24"/>
        </w:rPr>
        <w:t xml:space="preserve">évaluent entre autres en termes de pilotage et </w:t>
      </w:r>
      <w:r w:rsidR="006D07CD" w:rsidRPr="00422183">
        <w:rPr>
          <w:rFonts w:ascii="Rockwell" w:eastAsia="Calibri" w:hAnsi="Rockwell" w:cs="Times New Roman"/>
          <w:sz w:val="24"/>
          <w:szCs w:val="24"/>
        </w:rPr>
        <w:t>de gestion</w:t>
      </w:r>
      <w:r w:rsidR="00A94314" w:rsidRPr="00422183">
        <w:rPr>
          <w:rFonts w:ascii="Rockwell" w:eastAsia="Calibri" w:hAnsi="Rockwell" w:cs="Times New Roman"/>
          <w:sz w:val="24"/>
          <w:szCs w:val="24"/>
        </w:rPr>
        <w:t xml:space="preserve"> de l</w:t>
      </w:r>
      <w:r w:rsidR="006C72DE" w:rsidRPr="00422183">
        <w:rPr>
          <w:rFonts w:ascii="Rockwell" w:eastAsia="Calibri" w:hAnsi="Rockwell" w:cs="Times New Roman"/>
          <w:sz w:val="24"/>
          <w:szCs w:val="24"/>
        </w:rPr>
        <w:t>'</w:t>
      </w:r>
      <w:r w:rsidR="00A94314" w:rsidRPr="00422183">
        <w:rPr>
          <w:rFonts w:ascii="Rockwell" w:eastAsia="Calibri" w:hAnsi="Rockwell" w:cs="Times New Roman"/>
          <w:sz w:val="24"/>
          <w:szCs w:val="24"/>
        </w:rPr>
        <w:t xml:space="preserve">économie, </w:t>
      </w:r>
      <w:r w:rsidR="005A0E7B" w:rsidRPr="00422183">
        <w:rPr>
          <w:rFonts w:ascii="Rockwell" w:eastAsia="Calibri" w:hAnsi="Rockwell" w:cs="Times New Roman"/>
          <w:sz w:val="24"/>
          <w:szCs w:val="24"/>
        </w:rPr>
        <w:t>ainsi qu'</w:t>
      </w:r>
      <w:r w:rsidR="005242D4" w:rsidRPr="00422183">
        <w:rPr>
          <w:rFonts w:ascii="Rockwell" w:eastAsia="Calibri" w:hAnsi="Rockwell" w:cs="Times New Roman"/>
          <w:sz w:val="24"/>
          <w:szCs w:val="24"/>
        </w:rPr>
        <w:t xml:space="preserve">en matière de gestion des finances publiques. </w:t>
      </w:r>
      <w:r w:rsidR="00DB7FD8" w:rsidRPr="00422183">
        <w:rPr>
          <w:rFonts w:ascii="Rockwell" w:eastAsia="Calibri" w:hAnsi="Rockwell" w:cs="Times New Roman"/>
          <w:sz w:val="24"/>
          <w:szCs w:val="24"/>
        </w:rPr>
        <w:t>Toutefois, des</w:t>
      </w:r>
      <w:r w:rsidR="005242D4" w:rsidRPr="00422183">
        <w:rPr>
          <w:rFonts w:ascii="Rockwell" w:eastAsia="Calibri" w:hAnsi="Rockwell" w:cs="Times New Roman"/>
          <w:sz w:val="24"/>
          <w:szCs w:val="24"/>
        </w:rPr>
        <w:t xml:space="preserve"> défis</w:t>
      </w:r>
      <w:r w:rsidR="00DB7FD8" w:rsidRPr="00422183">
        <w:rPr>
          <w:rFonts w:ascii="Rockwell" w:eastAsia="Calibri" w:hAnsi="Rockwell" w:cs="Times New Roman"/>
          <w:sz w:val="24"/>
          <w:szCs w:val="24"/>
        </w:rPr>
        <w:t xml:space="preserve"> important</w:t>
      </w:r>
      <w:r w:rsidR="001C04D8" w:rsidRPr="00422183">
        <w:rPr>
          <w:rFonts w:ascii="Rockwell" w:eastAsia="Calibri" w:hAnsi="Rockwell" w:cs="Times New Roman"/>
          <w:sz w:val="24"/>
          <w:szCs w:val="24"/>
        </w:rPr>
        <w:t>s</w:t>
      </w:r>
      <w:r w:rsidR="00DB7FD8" w:rsidRPr="00422183">
        <w:rPr>
          <w:rFonts w:ascii="Rockwell" w:eastAsia="Calibri" w:hAnsi="Rockwell" w:cs="Times New Roman"/>
          <w:sz w:val="24"/>
          <w:szCs w:val="24"/>
        </w:rPr>
        <w:t xml:space="preserve"> restent à relever notamment en matière </w:t>
      </w:r>
      <w:r w:rsidR="001C04D8" w:rsidRPr="00422183">
        <w:rPr>
          <w:rFonts w:ascii="Rockwell" w:eastAsia="Calibri" w:hAnsi="Rockwell" w:cs="Times New Roman"/>
          <w:sz w:val="24"/>
          <w:szCs w:val="24"/>
        </w:rPr>
        <w:t xml:space="preserve">: (i) </w:t>
      </w:r>
      <w:r w:rsidR="005242D4" w:rsidRPr="00422183">
        <w:rPr>
          <w:rFonts w:ascii="Rockwell" w:eastAsia="Calibri" w:hAnsi="Rockwell" w:cs="Times New Roman"/>
          <w:sz w:val="24"/>
          <w:szCs w:val="24"/>
        </w:rPr>
        <w:t>d</w:t>
      </w:r>
      <w:r w:rsidR="00DB7FD8" w:rsidRPr="00422183">
        <w:rPr>
          <w:rFonts w:ascii="Rockwell" w:eastAsia="Calibri" w:hAnsi="Rockwell" w:cs="Times New Roman"/>
          <w:sz w:val="24"/>
          <w:szCs w:val="24"/>
        </w:rPr>
        <w:t>e</w:t>
      </w:r>
      <w:r w:rsidR="005242D4" w:rsidRPr="00422183">
        <w:rPr>
          <w:rFonts w:ascii="Rockwell" w:eastAsia="Calibri" w:hAnsi="Rockwell" w:cs="Times New Roman"/>
          <w:sz w:val="24"/>
          <w:szCs w:val="24"/>
        </w:rPr>
        <w:t xml:space="preserve"> </w:t>
      </w:r>
      <w:r w:rsidR="00007D0D" w:rsidRPr="00422183">
        <w:rPr>
          <w:rFonts w:ascii="Rockwell" w:eastAsia="Calibri" w:hAnsi="Rockwell" w:cs="Times New Roman"/>
          <w:sz w:val="24"/>
          <w:szCs w:val="24"/>
        </w:rPr>
        <w:t>renforcement de la cohérenc</w:t>
      </w:r>
      <w:r w:rsidR="005242D4" w:rsidRPr="00422183">
        <w:rPr>
          <w:rFonts w:ascii="Rockwell" w:eastAsia="Calibri" w:hAnsi="Rockwell" w:cs="Times New Roman"/>
          <w:sz w:val="24"/>
          <w:szCs w:val="24"/>
        </w:rPr>
        <w:t xml:space="preserve">e et </w:t>
      </w:r>
      <w:r w:rsidR="00DB7FD8" w:rsidRPr="00422183">
        <w:rPr>
          <w:rFonts w:ascii="Rockwell" w:eastAsia="Calibri" w:hAnsi="Rockwell" w:cs="Times New Roman"/>
          <w:sz w:val="24"/>
          <w:szCs w:val="24"/>
        </w:rPr>
        <w:t xml:space="preserve">de </w:t>
      </w:r>
      <w:r w:rsidR="00007D0D" w:rsidRPr="00422183">
        <w:rPr>
          <w:rFonts w:ascii="Rockwell" w:eastAsia="Calibri" w:hAnsi="Rockwell" w:cs="Times New Roman"/>
          <w:sz w:val="24"/>
          <w:szCs w:val="24"/>
        </w:rPr>
        <w:t xml:space="preserve">la </w:t>
      </w:r>
      <w:r w:rsidR="005242D4" w:rsidRPr="00422183">
        <w:rPr>
          <w:rFonts w:ascii="Rockwell" w:eastAsia="Calibri" w:hAnsi="Rockwell" w:cs="Times New Roman"/>
          <w:sz w:val="24"/>
          <w:szCs w:val="24"/>
        </w:rPr>
        <w:t xml:space="preserve">rationalisation des politiques publiques, </w:t>
      </w:r>
      <w:r w:rsidR="00007D0D" w:rsidRPr="00422183">
        <w:rPr>
          <w:rFonts w:ascii="Rockwell" w:eastAsia="Calibri" w:hAnsi="Rockwell" w:cs="Times New Roman"/>
          <w:sz w:val="24"/>
          <w:szCs w:val="24"/>
        </w:rPr>
        <w:t xml:space="preserve">(ii) </w:t>
      </w:r>
      <w:r w:rsidR="00DB7FD8" w:rsidRPr="00422183">
        <w:rPr>
          <w:rFonts w:ascii="Rockwell" w:eastAsia="Calibri" w:hAnsi="Rockwell" w:cs="Times New Roman"/>
          <w:sz w:val="24"/>
          <w:szCs w:val="24"/>
        </w:rPr>
        <w:t>d</w:t>
      </w:r>
      <w:r w:rsidR="005242D4" w:rsidRPr="00422183">
        <w:rPr>
          <w:rFonts w:ascii="Rockwell" w:eastAsia="Calibri" w:hAnsi="Rockwell" w:cs="Times New Roman"/>
          <w:sz w:val="24"/>
          <w:szCs w:val="24"/>
        </w:rPr>
        <w:t>e renforcement des capacités de planification et de gestion de</w:t>
      </w:r>
      <w:r w:rsidR="00007D0D" w:rsidRPr="00422183">
        <w:rPr>
          <w:rFonts w:ascii="Rockwell" w:eastAsia="Calibri" w:hAnsi="Rockwell" w:cs="Times New Roman"/>
          <w:sz w:val="24"/>
          <w:szCs w:val="24"/>
        </w:rPr>
        <w:t xml:space="preserve"> ce</w:t>
      </w:r>
      <w:r w:rsidR="005242D4" w:rsidRPr="00422183">
        <w:rPr>
          <w:rFonts w:ascii="Rockwell" w:eastAsia="Calibri" w:hAnsi="Rockwell" w:cs="Times New Roman"/>
          <w:sz w:val="24"/>
          <w:szCs w:val="24"/>
        </w:rPr>
        <w:t xml:space="preserve">s politiques, </w:t>
      </w:r>
      <w:r w:rsidR="00007D0D" w:rsidRPr="00422183">
        <w:rPr>
          <w:rFonts w:ascii="Rockwell" w:eastAsia="Calibri" w:hAnsi="Rockwell" w:cs="Times New Roman"/>
          <w:sz w:val="24"/>
          <w:szCs w:val="24"/>
        </w:rPr>
        <w:t xml:space="preserve">(iii) </w:t>
      </w:r>
      <w:r w:rsidR="00DB7FD8" w:rsidRPr="00422183">
        <w:rPr>
          <w:rFonts w:ascii="Rockwell" w:eastAsia="Calibri" w:hAnsi="Rockwell" w:cs="Times New Roman"/>
          <w:sz w:val="24"/>
          <w:szCs w:val="24"/>
        </w:rPr>
        <w:t>d</w:t>
      </w:r>
      <w:r w:rsidR="006C72DE" w:rsidRPr="00422183">
        <w:rPr>
          <w:rFonts w:ascii="Rockwell" w:eastAsia="Calibri" w:hAnsi="Rockwell" w:cs="Times New Roman"/>
          <w:sz w:val="24"/>
          <w:szCs w:val="24"/>
        </w:rPr>
        <w:t>'</w:t>
      </w:r>
      <w:r w:rsidR="005242D4" w:rsidRPr="00422183">
        <w:rPr>
          <w:rFonts w:ascii="Rockwell" w:eastAsia="Calibri" w:hAnsi="Rockwell" w:cs="Times New Roman"/>
          <w:sz w:val="24"/>
          <w:szCs w:val="24"/>
        </w:rPr>
        <w:t xml:space="preserve">amélioration de la </w:t>
      </w:r>
      <w:r w:rsidR="00007D0D" w:rsidRPr="00422183">
        <w:rPr>
          <w:rFonts w:ascii="Rockwell" w:eastAsia="Calibri" w:hAnsi="Rockwell" w:cs="Times New Roman"/>
          <w:sz w:val="24"/>
          <w:szCs w:val="24"/>
        </w:rPr>
        <w:t>mobilisation des ressources, (iv)</w:t>
      </w:r>
      <w:r w:rsidR="00F27B66" w:rsidRPr="00422183">
        <w:rPr>
          <w:rFonts w:ascii="Rockwell" w:eastAsia="Calibri" w:hAnsi="Rockwell" w:cs="Times New Roman"/>
          <w:sz w:val="24"/>
          <w:szCs w:val="24"/>
        </w:rPr>
        <w:t xml:space="preserve"> d</w:t>
      </w:r>
      <w:r w:rsidR="006C72DE" w:rsidRPr="00422183">
        <w:rPr>
          <w:rFonts w:ascii="Rockwell" w:eastAsia="Calibri" w:hAnsi="Rockwell" w:cs="Times New Roman"/>
          <w:sz w:val="24"/>
          <w:szCs w:val="24"/>
        </w:rPr>
        <w:t>'</w:t>
      </w:r>
      <w:r w:rsidR="005242D4" w:rsidRPr="00422183">
        <w:rPr>
          <w:rFonts w:ascii="Rockwell" w:eastAsia="Calibri" w:hAnsi="Rockwell" w:cs="Times New Roman"/>
          <w:sz w:val="24"/>
          <w:szCs w:val="24"/>
        </w:rPr>
        <w:t>efficacité des dépenses publiques</w:t>
      </w:r>
      <w:r w:rsidR="00F27B66" w:rsidRPr="00422183">
        <w:rPr>
          <w:rFonts w:ascii="Rockwell" w:eastAsia="Calibri" w:hAnsi="Rockwell" w:cs="Times New Roman"/>
          <w:sz w:val="24"/>
          <w:szCs w:val="24"/>
        </w:rPr>
        <w:t>, (v)</w:t>
      </w:r>
      <w:r w:rsidR="005242D4" w:rsidRPr="00422183">
        <w:rPr>
          <w:rFonts w:ascii="Rockwell" w:eastAsia="Calibri" w:hAnsi="Rockwell" w:cs="Times New Roman"/>
          <w:sz w:val="24"/>
          <w:szCs w:val="24"/>
        </w:rPr>
        <w:t xml:space="preserve"> </w:t>
      </w:r>
      <w:r w:rsidR="00B01FFD" w:rsidRPr="00422183">
        <w:rPr>
          <w:rFonts w:ascii="Rockwell" w:eastAsia="Calibri" w:hAnsi="Rockwell" w:cs="Times New Roman"/>
          <w:sz w:val="24"/>
          <w:szCs w:val="24"/>
        </w:rPr>
        <w:t xml:space="preserve">de réduction </w:t>
      </w:r>
      <w:r w:rsidR="005242D4" w:rsidRPr="00422183">
        <w:rPr>
          <w:rFonts w:ascii="Rockwell" w:eastAsia="Calibri" w:hAnsi="Rockwell" w:cs="Times New Roman"/>
          <w:sz w:val="24"/>
          <w:szCs w:val="24"/>
        </w:rPr>
        <w:t xml:space="preserve">de la </w:t>
      </w:r>
      <w:r w:rsidR="008A6B54" w:rsidRPr="00422183">
        <w:rPr>
          <w:rFonts w:ascii="Rockwell" w:eastAsia="Calibri" w:hAnsi="Rockwell" w:cs="Times New Roman"/>
          <w:sz w:val="24"/>
          <w:szCs w:val="24"/>
        </w:rPr>
        <w:t>corruption</w:t>
      </w:r>
      <w:r w:rsidR="00F27B66" w:rsidRPr="00422183">
        <w:rPr>
          <w:rFonts w:ascii="Rockwell" w:eastAsia="Calibri" w:hAnsi="Rockwell" w:cs="Times New Roman"/>
          <w:sz w:val="24"/>
          <w:szCs w:val="24"/>
        </w:rPr>
        <w:t xml:space="preserve"> et (vi) d</w:t>
      </w:r>
      <w:r w:rsidR="006C72DE" w:rsidRPr="00422183">
        <w:rPr>
          <w:rFonts w:ascii="Rockwell" w:eastAsia="Calibri" w:hAnsi="Rockwell" w:cs="Times New Roman"/>
          <w:sz w:val="24"/>
          <w:szCs w:val="24"/>
        </w:rPr>
        <w:t>'</w:t>
      </w:r>
      <w:r w:rsidR="008A6B54" w:rsidRPr="00422183">
        <w:rPr>
          <w:rFonts w:ascii="Rockwell" w:eastAsia="Calibri" w:hAnsi="Rockwell" w:cs="Times New Roman"/>
          <w:sz w:val="24"/>
          <w:szCs w:val="24"/>
        </w:rPr>
        <w:t xml:space="preserve">amélioration des capacités </w:t>
      </w:r>
      <w:r w:rsidR="006D07CD" w:rsidRPr="00422183">
        <w:rPr>
          <w:rFonts w:ascii="Rockwell" w:eastAsia="Calibri" w:hAnsi="Rockwell" w:cs="Times New Roman"/>
          <w:sz w:val="24"/>
          <w:szCs w:val="24"/>
        </w:rPr>
        <w:t>nationales en</w:t>
      </w:r>
      <w:r w:rsidR="008A6B54" w:rsidRPr="00422183">
        <w:rPr>
          <w:rFonts w:ascii="Rockwell" w:eastAsia="Calibri" w:hAnsi="Rockwell" w:cs="Times New Roman"/>
          <w:sz w:val="24"/>
          <w:szCs w:val="24"/>
        </w:rPr>
        <w:t xml:space="preserve"> </w:t>
      </w:r>
      <w:r w:rsidR="00F27B66" w:rsidRPr="00422183">
        <w:rPr>
          <w:rFonts w:ascii="Rockwell" w:eastAsia="Calibri" w:hAnsi="Rockwell" w:cs="Times New Roman"/>
          <w:sz w:val="24"/>
          <w:szCs w:val="24"/>
        </w:rPr>
        <w:t>ce qui concerne l'</w:t>
      </w:r>
      <w:r w:rsidR="008A6B54" w:rsidRPr="00422183">
        <w:rPr>
          <w:rFonts w:ascii="Rockwell" w:eastAsia="Calibri" w:hAnsi="Rockwell" w:cs="Times New Roman"/>
          <w:sz w:val="24"/>
          <w:szCs w:val="24"/>
        </w:rPr>
        <w:t>aménagement du territoire.</w:t>
      </w:r>
    </w:p>
    <w:p w:rsidR="00EC7A99" w:rsidRPr="00422183" w:rsidRDefault="00EC7A99" w:rsidP="003A0820">
      <w:pPr>
        <w:autoSpaceDE w:val="0"/>
        <w:autoSpaceDN w:val="0"/>
        <w:adjustRightInd w:val="0"/>
        <w:spacing w:after="0" w:line="240" w:lineRule="auto"/>
        <w:contextualSpacing/>
        <w:jc w:val="both"/>
        <w:rPr>
          <w:rFonts w:ascii="Rockwell" w:eastAsia="Calibri" w:hAnsi="Rockwell" w:cs="Times New Roman"/>
          <w:sz w:val="24"/>
          <w:szCs w:val="24"/>
        </w:rPr>
      </w:pPr>
    </w:p>
    <w:p w:rsidR="00EC7A99" w:rsidRPr="00422183" w:rsidRDefault="007A1440" w:rsidP="003A0820">
      <w:pPr>
        <w:autoSpaceDE w:val="0"/>
        <w:autoSpaceDN w:val="0"/>
        <w:adjustRightInd w:val="0"/>
        <w:spacing w:after="0" w:line="240" w:lineRule="auto"/>
        <w:contextualSpacing/>
        <w:jc w:val="both"/>
        <w:rPr>
          <w:rFonts w:ascii="Rockwell" w:eastAsia="Calibri" w:hAnsi="Rockwell" w:cs="Times New Roman"/>
          <w:sz w:val="24"/>
          <w:szCs w:val="24"/>
        </w:rPr>
      </w:pPr>
      <w:r w:rsidRPr="00422183">
        <w:rPr>
          <w:rFonts w:ascii="Rockwell" w:eastAsia="Calibri" w:hAnsi="Rockwell" w:cs="Times New Roman"/>
          <w:sz w:val="24"/>
          <w:szCs w:val="24"/>
        </w:rPr>
        <w:t>Être à la hauteur du</w:t>
      </w:r>
      <w:r w:rsidR="00EC7A99" w:rsidRPr="00422183">
        <w:rPr>
          <w:rFonts w:ascii="Rockwell" w:eastAsia="Calibri" w:hAnsi="Rockwell" w:cs="Times New Roman"/>
          <w:sz w:val="24"/>
          <w:szCs w:val="24"/>
        </w:rPr>
        <w:t xml:space="preserve"> défi de la cohérence et de la rationalisation des politiques publique</w:t>
      </w:r>
      <w:r w:rsidRPr="00422183">
        <w:rPr>
          <w:rFonts w:ascii="Rockwell" w:eastAsia="Calibri" w:hAnsi="Rockwell" w:cs="Times New Roman"/>
          <w:sz w:val="24"/>
          <w:szCs w:val="24"/>
        </w:rPr>
        <w:t>s est particulièrement déterminant pour l'efficacité du PNDES et celles des référentiels sectoriels et locaux.</w:t>
      </w:r>
      <w:r w:rsidR="00772CAD" w:rsidRPr="00422183">
        <w:rPr>
          <w:rFonts w:ascii="Rockwell" w:eastAsia="Calibri" w:hAnsi="Rockwell" w:cs="Times New Roman"/>
          <w:sz w:val="24"/>
          <w:szCs w:val="24"/>
        </w:rPr>
        <w:t xml:space="preserve"> Car</w:t>
      </w:r>
      <w:r w:rsidR="00772CAD" w:rsidRPr="00422183">
        <w:rPr>
          <w:rFonts w:ascii="Rockwell" w:hAnsi="Rockwell"/>
          <w:sz w:val="24"/>
          <w:szCs w:val="24"/>
        </w:rPr>
        <w:t>, il apparaît avec le recul, une faible efficacité de la mise en œuvre des politiques publiques, induite de surcroît par le fait que chaque suppression de ministère ou d'institution entraîne la plupart du temps, la disparition, l'arrêt de la mise en œuvre ou la faible mise en œuvre de politiques publiques.</w:t>
      </w:r>
    </w:p>
    <w:p w:rsidR="00C27882" w:rsidRPr="00422183" w:rsidRDefault="00C27882" w:rsidP="003A0820">
      <w:pPr>
        <w:autoSpaceDE w:val="0"/>
        <w:autoSpaceDN w:val="0"/>
        <w:adjustRightInd w:val="0"/>
        <w:spacing w:after="0" w:line="240" w:lineRule="auto"/>
        <w:contextualSpacing/>
        <w:jc w:val="both"/>
        <w:rPr>
          <w:rFonts w:ascii="Rockwell" w:eastAsia="Calibri" w:hAnsi="Rockwell" w:cs="Times New Roman"/>
          <w:sz w:val="24"/>
          <w:szCs w:val="24"/>
        </w:rPr>
      </w:pPr>
    </w:p>
    <w:p w:rsidR="00B059FD" w:rsidRPr="00422183" w:rsidRDefault="00EC17A9" w:rsidP="003A0820">
      <w:pPr>
        <w:spacing w:after="0" w:line="240" w:lineRule="auto"/>
        <w:jc w:val="both"/>
        <w:rPr>
          <w:rFonts w:ascii="Rockwell" w:hAnsi="Rockwell"/>
          <w:bCs/>
          <w:sz w:val="24"/>
          <w:szCs w:val="24"/>
        </w:rPr>
      </w:pPr>
      <w:r w:rsidRPr="00422183">
        <w:rPr>
          <w:rFonts w:ascii="Rockwell" w:hAnsi="Rockwell"/>
          <w:bCs/>
          <w:sz w:val="24"/>
          <w:szCs w:val="24"/>
        </w:rPr>
        <w:t>En matière de g</w:t>
      </w:r>
      <w:r w:rsidR="00D10E18" w:rsidRPr="00422183">
        <w:rPr>
          <w:rFonts w:ascii="Rockwell" w:hAnsi="Rockwell"/>
          <w:bCs/>
          <w:sz w:val="24"/>
          <w:szCs w:val="24"/>
        </w:rPr>
        <w:t>ouvernance locale</w:t>
      </w:r>
      <w:r w:rsidRPr="00422183">
        <w:rPr>
          <w:rFonts w:ascii="Rockwell" w:hAnsi="Rockwell"/>
          <w:bCs/>
          <w:sz w:val="24"/>
          <w:szCs w:val="24"/>
        </w:rPr>
        <w:t xml:space="preserve"> et de décentralisation, les principaux progrès sont relatifs à l</w:t>
      </w:r>
      <w:r w:rsidR="006C72DE" w:rsidRPr="00422183">
        <w:rPr>
          <w:rFonts w:ascii="Rockwell" w:hAnsi="Rockwell"/>
          <w:bCs/>
          <w:sz w:val="24"/>
          <w:szCs w:val="24"/>
        </w:rPr>
        <w:t>'</w:t>
      </w:r>
      <w:r w:rsidRPr="00422183">
        <w:rPr>
          <w:rFonts w:ascii="Rockwell" w:hAnsi="Rockwell"/>
          <w:bCs/>
          <w:sz w:val="24"/>
          <w:szCs w:val="24"/>
        </w:rPr>
        <w:t xml:space="preserve">effectivité de </w:t>
      </w:r>
      <w:r w:rsidR="006D07CD" w:rsidRPr="00422183">
        <w:rPr>
          <w:rFonts w:ascii="Rockwell" w:hAnsi="Rockwell"/>
          <w:bCs/>
          <w:sz w:val="24"/>
          <w:szCs w:val="24"/>
        </w:rPr>
        <w:t>la communalisation</w:t>
      </w:r>
      <w:r w:rsidRPr="00422183">
        <w:rPr>
          <w:rFonts w:ascii="Rockwell" w:hAnsi="Rockwell"/>
          <w:bCs/>
          <w:sz w:val="24"/>
          <w:szCs w:val="24"/>
        </w:rPr>
        <w:t xml:space="preserve"> intégrale, au transfert de compétences aux collectivités</w:t>
      </w:r>
      <w:r w:rsidR="003E0D40" w:rsidRPr="00422183">
        <w:rPr>
          <w:rFonts w:ascii="Rockwell" w:hAnsi="Rockwell"/>
          <w:bCs/>
          <w:sz w:val="24"/>
          <w:szCs w:val="24"/>
        </w:rPr>
        <w:t xml:space="preserve"> territoriales</w:t>
      </w:r>
      <w:r w:rsidRPr="00422183">
        <w:rPr>
          <w:rFonts w:ascii="Rockwell" w:hAnsi="Rockwell"/>
          <w:bCs/>
          <w:sz w:val="24"/>
          <w:szCs w:val="24"/>
        </w:rPr>
        <w:t xml:space="preserve"> et à l</w:t>
      </w:r>
      <w:r w:rsidR="006C72DE" w:rsidRPr="00422183">
        <w:rPr>
          <w:rFonts w:ascii="Rockwell" w:hAnsi="Rockwell"/>
          <w:bCs/>
          <w:sz w:val="24"/>
          <w:szCs w:val="24"/>
        </w:rPr>
        <w:t>'</w:t>
      </w:r>
      <w:r w:rsidRPr="00422183">
        <w:rPr>
          <w:rFonts w:ascii="Rockwell" w:hAnsi="Rockwell"/>
          <w:bCs/>
          <w:sz w:val="24"/>
          <w:szCs w:val="24"/>
        </w:rPr>
        <w:t>accompagnement des entités décentralisées par une déconcentration des services de l</w:t>
      </w:r>
      <w:r w:rsidR="006C72DE" w:rsidRPr="00422183">
        <w:rPr>
          <w:rFonts w:ascii="Rockwell" w:hAnsi="Rockwell"/>
          <w:bCs/>
          <w:sz w:val="24"/>
          <w:szCs w:val="24"/>
        </w:rPr>
        <w:t>'</w:t>
      </w:r>
      <w:r w:rsidRPr="00422183">
        <w:rPr>
          <w:rFonts w:ascii="Rockwell" w:hAnsi="Rockwell"/>
          <w:bCs/>
          <w:sz w:val="24"/>
          <w:szCs w:val="24"/>
        </w:rPr>
        <w:t xml:space="preserve">administration centrale. Afin de consolider ces progrès, </w:t>
      </w:r>
      <w:r w:rsidR="003E0D40" w:rsidRPr="00422183">
        <w:rPr>
          <w:rFonts w:ascii="Rockwell" w:hAnsi="Rockwell"/>
          <w:bCs/>
          <w:sz w:val="24"/>
          <w:szCs w:val="24"/>
        </w:rPr>
        <w:t>il importe de parvenir</w:t>
      </w:r>
      <w:r w:rsidRPr="00422183">
        <w:rPr>
          <w:rFonts w:ascii="Rockwell" w:hAnsi="Rockwell"/>
          <w:bCs/>
          <w:sz w:val="24"/>
          <w:szCs w:val="24"/>
        </w:rPr>
        <w:t xml:space="preserve"> : (i) </w:t>
      </w:r>
      <w:r w:rsidR="00993C6F" w:rsidRPr="00422183">
        <w:rPr>
          <w:rFonts w:ascii="Rockwell" w:hAnsi="Rockwell"/>
          <w:bCs/>
          <w:sz w:val="24"/>
          <w:szCs w:val="24"/>
        </w:rPr>
        <w:t xml:space="preserve">à </w:t>
      </w:r>
      <w:r w:rsidRPr="00422183">
        <w:rPr>
          <w:rFonts w:ascii="Rockwell" w:hAnsi="Rockwell"/>
          <w:bCs/>
          <w:sz w:val="24"/>
          <w:szCs w:val="24"/>
        </w:rPr>
        <w:t>l</w:t>
      </w:r>
      <w:r w:rsidR="006C72DE" w:rsidRPr="00422183">
        <w:rPr>
          <w:rFonts w:ascii="Rockwell" w:hAnsi="Rockwell"/>
          <w:bCs/>
          <w:sz w:val="24"/>
          <w:szCs w:val="24"/>
        </w:rPr>
        <w:t>'</w:t>
      </w:r>
      <w:r w:rsidRPr="00422183">
        <w:rPr>
          <w:rFonts w:ascii="Rockwell" w:hAnsi="Rockwell"/>
          <w:bCs/>
          <w:sz w:val="24"/>
          <w:szCs w:val="24"/>
        </w:rPr>
        <w:t>accélération du transfert de compétence</w:t>
      </w:r>
      <w:r w:rsidR="00EE18A8" w:rsidRPr="00422183">
        <w:rPr>
          <w:rFonts w:ascii="Rockwell" w:hAnsi="Rockwell"/>
          <w:bCs/>
          <w:sz w:val="24"/>
          <w:szCs w:val="24"/>
        </w:rPr>
        <w:t>s,</w:t>
      </w:r>
      <w:r w:rsidRPr="00422183">
        <w:rPr>
          <w:rFonts w:ascii="Rockwell" w:hAnsi="Rockwell"/>
          <w:bCs/>
          <w:sz w:val="24"/>
          <w:szCs w:val="24"/>
        </w:rPr>
        <w:t xml:space="preserve"> de ressources</w:t>
      </w:r>
      <w:r w:rsidR="00EE18A8" w:rsidRPr="00422183">
        <w:rPr>
          <w:rFonts w:ascii="Rockwell" w:hAnsi="Rockwell"/>
          <w:bCs/>
          <w:sz w:val="24"/>
          <w:szCs w:val="24"/>
        </w:rPr>
        <w:t xml:space="preserve"> et des patrimoines</w:t>
      </w:r>
      <w:r w:rsidR="00C05D93" w:rsidRPr="00422183">
        <w:rPr>
          <w:rFonts w:ascii="Rockwell" w:hAnsi="Rockwell"/>
          <w:bCs/>
          <w:sz w:val="24"/>
          <w:szCs w:val="24"/>
        </w:rPr>
        <w:t xml:space="preserve">, </w:t>
      </w:r>
      <w:r w:rsidRPr="00422183">
        <w:rPr>
          <w:rFonts w:ascii="Rockwell" w:hAnsi="Rockwell"/>
          <w:bCs/>
          <w:sz w:val="24"/>
          <w:szCs w:val="24"/>
        </w:rPr>
        <w:t xml:space="preserve">(ii) </w:t>
      </w:r>
      <w:r w:rsidR="00EE18A8" w:rsidRPr="00422183">
        <w:rPr>
          <w:rFonts w:ascii="Rockwell" w:hAnsi="Rockwell"/>
          <w:bCs/>
          <w:sz w:val="24"/>
          <w:szCs w:val="24"/>
        </w:rPr>
        <w:t xml:space="preserve">l’amélioration de la coordination de l’action publique au niveau déconcentré et à un meilleur accompagnement des collectivités territoriales par les services techniques déconcentrés, (iii) </w:t>
      </w:r>
      <w:r w:rsidR="002D43AD" w:rsidRPr="00422183">
        <w:rPr>
          <w:rFonts w:ascii="Rockwell" w:hAnsi="Rockwell"/>
          <w:bCs/>
          <w:sz w:val="24"/>
          <w:szCs w:val="24"/>
        </w:rPr>
        <w:t xml:space="preserve">à </w:t>
      </w:r>
      <w:r w:rsidRPr="00422183">
        <w:rPr>
          <w:rFonts w:ascii="Rockwell" w:hAnsi="Rockwell"/>
          <w:bCs/>
          <w:sz w:val="24"/>
          <w:szCs w:val="24"/>
        </w:rPr>
        <w:t xml:space="preserve">la mobilisation des acteurs locaux </w:t>
      </w:r>
      <w:r w:rsidR="005E2CB3" w:rsidRPr="00422183">
        <w:rPr>
          <w:rFonts w:ascii="Rockwell" w:hAnsi="Rockwell"/>
          <w:bCs/>
          <w:sz w:val="24"/>
          <w:szCs w:val="24"/>
        </w:rPr>
        <w:t>(administrations déconcentrées, OSC, secteur privé, populations), (i</w:t>
      </w:r>
      <w:r w:rsidR="00EE18A8" w:rsidRPr="00422183">
        <w:rPr>
          <w:rFonts w:ascii="Rockwell" w:hAnsi="Rockwell"/>
          <w:bCs/>
          <w:sz w:val="24"/>
          <w:szCs w:val="24"/>
        </w:rPr>
        <w:t>v</w:t>
      </w:r>
      <w:r w:rsidR="005E2CB3" w:rsidRPr="00422183">
        <w:rPr>
          <w:rFonts w:ascii="Rockwell" w:hAnsi="Rockwell"/>
          <w:bCs/>
          <w:sz w:val="24"/>
          <w:szCs w:val="24"/>
        </w:rPr>
        <w:t xml:space="preserve">) </w:t>
      </w:r>
      <w:r w:rsidR="002D43AD" w:rsidRPr="00422183">
        <w:rPr>
          <w:rFonts w:ascii="Rockwell" w:hAnsi="Rockwell"/>
          <w:bCs/>
          <w:sz w:val="24"/>
          <w:szCs w:val="24"/>
        </w:rPr>
        <w:t xml:space="preserve">à </w:t>
      </w:r>
      <w:r w:rsidR="005E2CB3" w:rsidRPr="00422183">
        <w:rPr>
          <w:rFonts w:ascii="Rockwell" w:hAnsi="Rockwell"/>
          <w:bCs/>
          <w:sz w:val="24"/>
          <w:szCs w:val="24"/>
        </w:rPr>
        <w:t>l</w:t>
      </w:r>
      <w:r w:rsidR="006C72DE" w:rsidRPr="00422183">
        <w:rPr>
          <w:rFonts w:ascii="Rockwell" w:hAnsi="Rockwell"/>
          <w:bCs/>
          <w:sz w:val="24"/>
          <w:szCs w:val="24"/>
        </w:rPr>
        <w:t>'</w:t>
      </w:r>
      <w:r w:rsidR="005E2CB3" w:rsidRPr="00422183">
        <w:rPr>
          <w:rFonts w:ascii="Rockwell" w:hAnsi="Rockwell"/>
          <w:bCs/>
          <w:sz w:val="24"/>
          <w:szCs w:val="24"/>
        </w:rPr>
        <w:t>amélioration de la gestion financière des collectivités</w:t>
      </w:r>
      <w:r w:rsidR="002D43AD" w:rsidRPr="00422183">
        <w:rPr>
          <w:rFonts w:ascii="Rockwell" w:hAnsi="Rockwell"/>
          <w:bCs/>
          <w:sz w:val="24"/>
          <w:szCs w:val="24"/>
        </w:rPr>
        <w:t xml:space="preserve"> territoriales, (v) au</w:t>
      </w:r>
      <w:r w:rsidR="005E2CB3" w:rsidRPr="00422183">
        <w:rPr>
          <w:rFonts w:ascii="Rockwell" w:hAnsi="Rockwell"/>
          <w:bCs/>
          <w:sz w:val="24"/>
          <w:szCs w:val="24"/>
        </w:rPr>
        <w:t xml:space="preserve"> renforcement de la gouvernance foncière et la maitrise d</w:t>
      </w:r>
      <w:r w:rsidR="006C72DE" w:rsidRPr="00422183">
        <w:rPr>
          <w:rFonts w:ascii="Rockwell" w:hAnsi="Rockwell"/>
          <w:bCs/>
          <w:sz w:val="24"/>
          <w:szCs w:val="24"/>
        </w:rPr>
        <w:t>'</w:t>
      </w:r>
      <w:r w:rsidR="005E2CB3" w:rsidRPr="00422183">
        <w:rPr>
          <w:rFonts w:ascii="Rockwell" w:hAnsi="Rockwell"/>
          <w:bCs/>
          <w:sz w:val="24"/>
          <w:szCs w:val="24"/>
        </w:rPr>
        <w:t>ouvrage</w:t>
      </w:r>
      <w:r w:rsidR="002D43AD" w:rsidRPr="00422183">
        <w:rPr>
          <w:rFonts w:ascii="Rockwell" w:hAnsi="Rockwell"/>
          <w:bCs/>
          <w:sz w:val="24"/>
          <w:szCs w:val="24"/>
        </w:rPr>
        <w:t>, (v</w:t>
      </w:r>
      <w:r w:rsidR="00EE18A8" w:rsidRPr="00422183">
        <w:rPr>
          <w:rFonts w:ascii="Rockwell" w:hAnsi="Rockwell"/>
          <w:bCs/>
          <w:sz w:val="24"/>
          <w:szCs w:val="24"/>
        </w:rPr>
        <w:t>i</w:t>
      </w:r>
      <w:r w:rsidR="002D43AD" w:rsidRPr="00422183">
        <w:rPr>
          <w:rFonts w:ascii="Rockwell" w:hAnsi="Rockwell"/>
          <w:bCs/>
          <w:sz w:val="24"/>
          <w:szCs w:val="24"/>
        </w:rPr>
        <w:t>) au</w:t>
      </w:r>
      <w:r w:rsidR="00DC40CD" w:rsidRPr="00422183">
        <w:rPr>
          <w:rFonts w:ascii="Rockwell" w:hAnsi="Rockwell"/>
          <w:bCs/>
          <w:sz w:val="24"/>
          <w:szCs w:val="24"/>
        </w:rPr>
        <w:t xml:space="preserve"> renforcement de la cohésion sociale au niveau </w:t>
      </w:r>
      <w:r w:rsidR="00017C67" w:rsidRPr="00422183">
        <w:rPr>
          <w:rFonts w:ascii="Rockwell" w:hAnsi="Rockwell"/>
          <w:bCs/>
          <w:sz w:val="24"/>
          <w:szCs w:val="24"/>
        </w:rPr>
        <w:t>local</w:t>
      </w:r>
      <w:r w:rsidR="00C05D93" w:rsidRPr="00422183">
        <w:rPr>
          <w:rFonts w:ascii="Rockwell" w:hAnsi="Rockwell"/>
          <w:bCs/>
          <w:sz w:val="24"/>
          <w:szCs w:val="24"/>
        </w:rPr>
        <w:t xml:space="preserve"> et</w:t>
      </w:r>
      <w:r w:rsidR="00EE18A8" w:rsidRPr="00422183">
        <w:rPr>
          <w:rFonts w:ascii="Rockwell" w:hAnsi="Rockwell"/>
          <w:bCs/>
          <w:sz w:val="24"/>
          <w:szCs w:val="24"/>
        </w:rPr>
        <w:t xml:space="preserve"> (vii) au renforcement de la gouvernance environnementale locale.</w:t>
      </w:r>
    </w:p>
    <w:p w:rsidR="00B059FD" w:rsidRPr="00422183" w:rsidRDefault="00B059FD" w:rsidP="003A0820">
      <w:pPr>
        <w:spacing w:after="0" w:line="240" w:lineRule="auto"/>
        <w:jc w:val="both"/>
        <w:rPr>
          <w:rFonts w:ascii="Rockwell" w:hAnsi="Rockwell"/>
          <w:bCs/>
          <w:sz w:val="24"/>
          <w:szCs w:val="24"/>
        </w:rPr>
      </w:pPr>
    </w:p>
    <w:p w:rsidR="00B354F3" w:rsidRPr="00422183" w:rsidRDefault="00B354F3" w:rsidP="003A0820">
      <w:pPr>
        <w:pStyle w:val="PNDES2"/>
      </w:pPr>
      <w:bookmarkStart w:id="150" w:name="_Toc452994157"/>
      <w:bookmarkStart w:id="151" w:name="_Toc452994605"/>
      <w:bookmarkStart w:id="152" w:name="_Toc452995045"/>
      <w:bookmarkStart w:id="153" w:name="_Toc453158152"/>
      <w:bookmarkStart w:id="154" w:name="_Toc453160747"/>
      <w:bookmarkStart w:id="155" w:name="_Toc453160935"/>
      <w:bookmarkStart w:id="156" w:name="_Toc455079231"/>
      <w:bookmarkStart w:id="157" w:name="_Toc455132732"/>
      <w:r w:rsidRPr="00422183">
        <w:t>Les défis de la transformation structurelle de l'économie burkinabè</w:t>
      </w:r>
      <w:bookmarkEnd w:id="150"/>
      <w:bookmarkEnd w:id="151"/>
      <w:bookmarkEnd w:id="152"/>
      <w:bookmarkEnd w:id="153"/>
      <w:bookmarkEnd w:id="154"/>
      <w:bookmarkEnd w:id="155"/>
      <w:bookmarkEnd w:id="156"/>
      <w:bookmarkEnd w:id="157"/>
    </w:p>
    <w:p w:rsidR="00B354F3" w:rsidRPr="00422183" w:rsidRDefault="00B354F3" w:rsidP="003A0820">
      <w:pPr>
        <w:tabs>
          <w:tab w:val="left" w:pos="1725"/>
        </w:tabs>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En vue de réussir la mise en œuvre du PNDES, le Burkina Faso doit relever quatre défis majeurs pour une transformation structurelle effective de son économie. Il s</w:t>
      </w:r>
      <w:r w:rsidR="006C72DE" w:rsidRPr="00422183">
        <w:rPr>
          <w:rFonts w:ascii="Rockwell" w:eastAsiaTheme="majorEastAsia" w:hAnsi="Rockwell" w:cstheme="majorBidi"/>
          <w:bCs/>
          <w:sz w:val="24"/>
          <w:szCs w:val="24"/>
        </w:rPr>
        <w:t>'</w:t>
      </w:r>
      <w:r w:rsidRPr="00422183">
        <w:rPr>
          <w:rFonts w:ascii="Rockwell" w:eastAsiaTheme="majorEastAsia" w:hAnsi="Rockwell" w:cstheme="majorBidi"/>
          <w:bCs/>
          <w:sz w:val="24"/>
          <w:szCs w:val="24"/>
        </w:rPr>
        <w:t xml:space="preserve">agit </w:t>
      </w:r>
      <w:r w:rsidR="00511C0F" w:rsidRPr="00422183">
        <w:rPr>
          <w:rFonts w:ascii="Rockwell" w:eastAsiaTheme="majorEastAsia" w:hAnsi="Rockwell" w:cstheme="majorBidi"/>
          <w:bCs/>
          <w:sz w:val="24"/>
          <w:szCs w:val="24"/>
        </w:rPr>
        <w:t xml:space="preserve">des défis </w:t>
      </w:r>
      <w:r w:rsidRPr="00422183">
        <w:rPr>
          <w:rFonts w:ascii="Rockwell" w:eastAsiaTheme="majorEastAsia" w:hAnsi="Rockwell" w:cstheme="majorBidi"/>
          <w:bCs/>
          <w:sz w:val="24"/>
          <w:szCs w:val="24"/>
        </w:rPr>
        <w:t xml:space="preserve">: (i) de la bonne gouvernance ou </w:t>
      </w:r>
      <w:r w:rsidR="00DB7FD8" w:rsidRPr="00422183">
        <w:rPr>
          <w:rFonts w:ascii="Rockwell" w:eastAsiaTheme="majorEastAsia" w:hAnsi="Rockwell" w:cstheme="majorBidi"/>
          <w:bCs/>
          <w:sz w:val="24"/>
          <w:szCs w:val="24"/>
        </w:rPr>
        <w:t xml:space="preserve">du renforcement </w:t>
      </w:r>
      <w:r w:rsidRPr="00422183">
        <w:rPr>
          <w:rFonts w:ascii="Rockwell" w:eastAsiaTheme="majorEastAsia" w:hAnsi="Rockwell" w:cstheme="majorBidi"/>
          <w:bCs/>
          <w:sz w:val="24"/>
          <w:szCs w:val="24"/>
        </w:rPr>
        <w:t>de la qualité</w:t>
      </w:r>
      <w:r w:rsidR="000179D6" w:rsidRPr="00422183">
        <w:rPr>
          <w:rFonts w:ascii="Rockwell" w:eastAsiaTheme="majorEastAsia" w:hAnsi="Rockwell" w:cstheme="majorBidi"/>
          <w:bCs/>
          <w:sz w:val="24"/>
          <w:szCs w:val="24"/>
        </w:rPr>
        <w:t xml:space="preserve"> des institutions, (ii) </w:t>
      </w:r>
      <w:r w:rsidRPr="00422183">
        <w:rPr>
          <w:rFonts w:ascii="Rockwell" w:eastAsiaTheme="majorEastAsia" w:hAnsi="Rockwell" w:cstheme="majorBidi"/>
          <w:bCs/>
          <w:sz w:val="24"/>
          <w:szCs w:val="24"/>
        </w:rPr>
        <w:t xml:space="preserve">de la disponibilité et de l'employabilité de ressources humaines adaptées aux besoins </w:t>
      </w:r>
      <w:r w:rsidR="00DB7FD8" w:rsidRPr="00422183">
        <w:rPr>
          <w:rFonts w:ascii="Rockwell" w:eastAsiaTheme="majorEastAsia" w:hAnsi="Rockwell" w:cstheme="majorBidi"/>
          <w:bCs/>
          <w:sz w:val="24"/>
          <w:szCs w:val="24"/>
        </w:rPr>
        <w:t xml:space="preserve">de la transformation structurelle </w:t>
      </w:r>
      <w:r w:rsidRPr="00422183">
        <w:rPr>
          <w:rFonts w:ascii="Rockwell" w:eastAsiaTheme="majorEastAsia" w:hAnsi="Rockwell" w:cstheme="majorBidi"/>
          <w:bCs/>
          <w:sz w:val="24"/>
          <w:szCs w:val="24"/>
        </w:rPr>
        <w:t>de l'écono</w:t>
      </w:r>
      <w:r w:rsidR="000179D6" w:rsidRPr="00422183">
        <w:rPr>
          <w:rFonts w:ascii="Rockwell" w:eastAsiaTheme="majorEastAsia" w:hAnsi="Rockwell" w:cstheme="majorBidi"/>
          <w:bCs/>
          <w:sz w:val="24"/>
          <w:szCs w:val="24"/>
        </w:rPr>
        <w:t xml:space="preserve">mie nationale, (iii) </w:t>
      </w:r>
      <w:r w:rsidRPr="00422183">
        <w:rPr>
          <w:rFonts w:ascii="Rockwell" w:eastAsiaTheme="majorEastAsia" w:hAnsi="Rockwell" w:cstheme="majorBidi"/>
          <w:bCs/>
          <w:sz w:val="24"/>
          <w:szCs w:val="24"/>
        </w:rPr>
        <w:t>du développement des bases productives pour un développement industriel durable génér</w:t>
      </w:r>
      <w:r w:rsidR="000B7F9E" w:rsidRPr="00422183">
        <w:rPr>
          <w:rFonts w:ascii="Rockwell" w:eastAsiaTheme="majorEastAsia" w:hAnsi="Rockwell" w:cstheme="majorBidi"/>
          <w:bCs/>
          <w:sz w:val="24"/>
          <w:szCs w:val="24"/>
        </w:rPr>
        <w:t xml:space="preserve">ateur d'emplois et (iv) </w:t>
      </w:r>
      <w:r w:rsidRPr="00422183">
        <w:rPr>
          <w:rFonts w:ascii="Rockwell" w:eastAsiaTheme="majorEastAsia" w:hAnsi="Rockwell" w:cstheme="majorBidi"/>
          <w:bCs/>
          <w:sz w:val="24"/>
          <w:szCs w:val="24"/>
        </w:rPr>
        <w:t>de la compétitivité des secteurs de la production et de la transformation des produits locaux, générateurs d'emplois.</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pStyle w:val="PNDES3"/>
        <w:rPr>
          <w:rFonts w:ascii="Rockwell" w:hAnsi="Rockwell"/>
        </w:rPr>
      </w:pPr>
      <w:bookmarkStart w:id="158" w:name="_Toc452994158"/>
      <w:bookmarkStart w:id="159" w:name="_Toc452994606"/>
      <w:bookmarkStart w:id="160" w:name="_Toc452995046"/>
      <w:bookmarkStart w:id="161" w:name="_Toc453160748"/>
      <w:bookmarkStart w:id="162" w:name="_Toc455132733"/>
      <w:r w:rsidRPr="00422183">
        <w:rPr>
          <w:rFonts w:ascii="Rockwell" w:hAnsi="Rockwell"/>
        </w:rPr>
        <w:t>Bonne gouvernance et qualité des institutions</w:t>
      </w:r>
      <w:bookmarkEnd w:id="158"/>
      <w:bookmarkEnd w:id="159"/>
      <w:bookmarkEnd w:id="160"/>
      <w:bookmarkEnd w:id="161"/>
      <w:bookmarkEnd w:id="162"/>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 xml:space="preserve">Le défi de la bonne gouvernance et de l'amélioration de la qualité des institutions pose tout d'abord le problème de la stabilité politique ou gouvernementale qui implique l'adoption d'un système démocratique qui garantisse compétence, transparence, alternance et lutte contre la corruption.  </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 xml:space="preserve">Ensuite, la mise en place d'un système juridique et judiciaire efficace est impérative pour garantir les droits de propriété et stimuler l'investissement national comme international. Il importe que soient créées les conditions propres à donner confiance aux investisseurs et que soit mis en place un système fiscal fiable. </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Par ailleurs, il convient de véritablement développer une culture nationale pour la préservation et la promotion de la fierté et de l'identité nationales, en mettant en avant les valeurs d'intégrité, au profit d'une gouvernance vertueuse.</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Enfin, la cohérence dans la mise en œuvre des politiques publiques est fondamentale, pour favoriser une réforme efficace de la réglementation des marchés publics, et à la formulation d</w:t>
      </w:r>
      <w:r w:rsidR="006C72DE" w:rsidRPr="00422183">
        <w:rPr>
          <w:rFonts w:ascii="Rockwell" w:eastAsiaTheme="majorEastAsia" w:hAnsi="Rockwell" w:cstheme="majorBidi"/>
          <w:bCs/>
          <w:sz w:val="24"/>
          <w:szCs w:val="24"/>
        </w:rPr>
        <w:t>'</w:t>
      </w:r>
      <w:r w:rsidRPr="00422183">
        <w:rPr>
          <w:rFonts w:ascii="Rockwell" w:eastAsiaTheme="majorEastAsia" w:hAnsi="Rockwell" w:cstheme="majorBidi"/>
          <w:bCs/>
          <w:sz w:val="24"/>
          <w:szCs w:val="24"/>
        </w:rPr>
        <w:t>une typologie des politiques publiques, en vue de régler, entre autres, le problème de l'absence de leur hiérarchisation et de renforcer leur lien avec le budget de l'État.</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pStyle w:val="PNDES3"/>
        <w:rPr>
          <w:rFonts w:ascii="Rockwell" w:hAnsi="Rockwell"/>
        </w:rPr>
      </w:pPr>
      <w:bookmarkStart w:id="163" w:name="_Toc452994159"/>
      <w:bookmarkStart w:id="164" w:name="_Toc452994607"/>
      <w:bookmarkStart w:id="165" w:name="_Toc452995047"/>
      <w:bookmarkStart w:id="166" w:name="_Toc453160749"/>
      <w:bookmarkStart w:id="167" w:name="_Toc455132734"/>
      <w:r w:rsidRPr="00422183">
        <w:rPr>
          <w:rFonts w:ascii="Rockwell" w:hAnsi="Rockwell"/>
        </w:rPr>
        <w:t>Disponibilité et employabilité de ressources humaines adaptées aux besoins de l'économie nationale</w:t>
      </w:r>
      <w:bookmarkEnd w:id="163"/>
      <w:bookmarkEnd w:id="164"/>
      <w:bookmarkEnd w:id="165"/>
      <w:bookmarkEnd w:id="166"/>
      <w:bookmarkEnd w:id="167"/>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Le défi de l'investissement dans le capital humain ne peut être relevé sans l'amélioration de la couverture sanitaire et ni sans la maîtrise de la démographie. D'où la nécessité d'apporter une aide aux mères et d'assurer des soins de santé adéquats aux enfants. De même, les services de soins de santé familiale et de planification de la famille devront être assurés aux adultes et aux personnes âgées.</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Pour ce faire, il est nécessaire d</w:t>
      </w:r>
      <w:r w:rsidR="006C72DE" w:rsidRPr="00422183">
        <w:rPr>
          <w:rFonts w:ascii="Rockwell" w:eastAsiaTheme="majorEastAsia" w:hAnsi="Rockwell" w:cstheme="majorBidi"/>
          <w:bCs/>
          <w:sz w:val="24"/>
          <w:szCs w:val="24"/>
        </w:rPr>
        <w:t>'</w:t>
      </w:r>
      <w:r w:rsidRPr="00422183">
        <w:rPr>
          <w:rFonts w:ascii="Rockwell" w:eastAsiaTheme="majorEastAsia" w:hAnsi="Rockwell" w:cstheme="majorBidi"/>
          <w:bCs/>
          <w:sz w:val="24"/>
          <w:szCs w:val="24"/>
        </w:rPr>
        <w:t>aplanir les problèmes de gouvernance dans le domaine de la santé, la qualité des prestations de service de santé, la faible disponibilité des ressources humaines, des infrastructures, des équipements et des produits de santé, la faiblesse du dispositif de recherche en science de la santé.</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 xml:space="preserve">L'éducation constitue également un investissement important dans le capital humain. Il paraît primordial ici, de parvenir dans un délai raisonnable à la scolarisation universelle et d'instaurer le recrutement de jeunes diplômés au chômage pour l'enseignement. </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 xml:space="preserve">Ainsi, une transformation structurelle du système éducatif national passe par : (i) l'augmentation de l'offre éducative, en assurant sa qualité, (ii) la réussite de la réforme du continuum et du système LMD, (iii) l'inversion de la tendance de prédominance de l'enseignement général au </w:t>
      </w:r>
      <w:r w:rsidR="00C05D93" w:rsidRPr="00422183">
        <w:rPr>
          <w:rFonts w:ascii="Rockwell" w:eastAsiaTheme="majorEastAsia" w:hAnsi="Rockwell" w:cstheme="majorBidi"/>
          <w:bCs/>
          <w:sz w:val="24"/>
          <w:szCs w:val="24"/>
        </w:rPr>
        <w:t>profit</w:t>
      </w:r>
      <w:r w:rsidRPr="00422183">
        <w:rPr>
          <w:rFonts w:ascii="Rockwell" w:eastAsiaTheme="majorEastAsia" w:hAnsi="Rockwell" w:cstheme="majorBidi"/>
          <w:bCs/>
          <w:sz w:val="24"/>
          <w:szCs w:val="24"/>
        </w:rPr>
        <w:t xml:space="preserve"> de l'EFTP, (iv) le renforcement de la fourniture de services sociaux aux élèves et étudiants, (v) le renforcement du financement des universités, des centres de formation technique et professionnel</w:t>
      </w:r>
      <w:r w:rsidR="00C05D93" w:rsidRPr="00422183">
        <w:rPr>
          <w:rFonts w:ascii="Rockwell" w:eastAsiaTheme="majorEastAsia" w:hAnsi="Rockwell" w:cstheme="majorBidi"/>
          <w:bCs/>
          <w:sz w:val="24"/>
          <w:szCs w:val="24"/>
        </w:rPr>
        <w:t>le</w:t>
      </w:r>
      <w:r w:rsidRPr="00422183">
        <w:rPr>
          <w:rFonts w:ascii="Rockwell" w:eastAsiaTheme="majorEastAsia" w:hAnsi="Rockwell" w:cstheme="majorBidi"/>
          <w:bCs/>
          <w:sz w:val="24"/>
          <w:szCs w:val="24"/>
        </w:rPr>
        <w:t xml:space="preserve"> et de la recherche universitaire et (vi) le renforcement des infrastructures d'accueil.</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90049C" w:rsidRPr="00422183" w:rsidRDefault="00EE6289" w:rsidP="003A0820">
      <w:pPr>
        <w:pStyle w:val="PNDES3"/>
        <w:rPr>
          <w:rFonts w:ascii="Rockwell" w:hAnsi="Rockwell"/>
        </w:rPr>
      </w:pPr>
      <w:bookmarkStart w:id="168" w:name="_Toc455132735"/>
      <w:bookmarkStart w:id="169" w:name="_Toc452994160"/>
      <w:bookmarkStart w:id="170" w:name="_Toc452994608"/>
      <w:bookmarkStart w:id="171" w:name="_Toc452995048"/>
      <w:bookmarkStart w:id="172" w:name="_Toc453160750"/>
      <w:r w:rsidRPr="00422183">
        <w:rPr>
          <w:rFonts w:ascii="Rockwell" w:hAnsi="Rockwell"/>
        </w:rPr>
        <w:t>Développement des bases productives et dynamisation des secteur</w:t>
      </w:r>
      <w:r w:rsidR="0090049C" w:rsidRPr="00422183">
        <w:rPr>
          <w:rFonts w:ascii="Rockwell" w:hAnsi="Rockwell"/>
        </w:rPr>
        <w:t>s</w:t>
      </w:r>
      <w:r w:rsidRPr="00422183">
        <w:rPr>
          <w:rFonts w:ascii="Rockwell" w:hAnsi="Rockwell"/>
        </w:rPr>
        <w:t xml:space="preserve"> porteurs pour l’économie et </w:t>
      </w:r>
      <w:r w:rsidR="00FE6DD6" w:rsidRPr="00422183">
        <w:rPr>
          <w:rFonts w:ascii="Rockwell" w:hAnsi="Rockwell"/>
        </w:rPr>
        <w:t>l’</w:t>
      </w:r>
      <w:r w:rsidRPr="00422183">
        <w:rPr>
          <w:rFonts w:ascii="Rockwell" w:hAnsi="Rockwell"/>
        </w:rPr>
        <w:t>emploi</w:t>
      </w:r>
      <w:bookmarkEnd w:id="168"/>
      <w:r w:rsidRPr="00422183">
        <w:rPr>
          <w:rFonts w:ascii="Rockwell" w:hAnsi="Rockwell"/>
        </w:rPr>
        <w:t xml:space="preserve"> </w:t>
      </w:r>
    </w:p>
    <w:p w:rsidR="0090049C" w:rsidRPr="00422183" w:rsidRDefault="0090049C" w:rsidP="00516FB0">
      <w:pPr>
        <w:spacing w:after="0" w:line="240" w:lineRule="auto"/>
        <w:jc w:val="both"/>
      </w:pPr>
    </w:p>
    <w:bookmarkEnd w:id="169"/>
    <w:bookmarkEnd w:id="170"/>
    <w:bookmarkEnd w:id="171"/>
    <w:bookmarkEnd w:id="172"/>
    <w:p w:rsidR="00B354F3" w:rsidRPr="00422183" w:rsidRDefault="00C05D9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L</w:t>
      </w:r>
      <w:r w:rsidR="00EE6289" w:rsidRPr="00422183">
        <w:rPr>
          <w:rFonts w:ascii="Rockwell" w:eastAsiaTheme="majorEastAsia" w:hAnsi="Rockwell" w:cstheme="majorBidi"/>
          <w:bCs/>
          <w:sz w:val="24"/>
          <w:szCs w:val="24"/>
        </w:rPr>
        <w:t>es défis</w:t>
      </w:r>
      <w:r w:rsidRPr="00422183">
        <w:rPr>
          <w:rFonts w:ascii="Rockwell" w:eastAsiaTheme="majorEastAsia" w:hAnsi="Rockwell" w:cstheme="majorBidi"/>
          <w:bCs/>
          <w:sz w:val="24"/>
          <w:szCs w:val="24"/>
        </w:rPr>
        <w:t xml:space="preserve"> liés au développement des bases productives et à la dynamisation des secteurs porteurs pour l’économie et l’emploi</w:t>
      </w:r>
      <w:r w:rsidR="00EE6289" w:rsidRPr="00422183">
        <w:rPr>
          <w:rFonts w:ascii="Rockwell" w:eastAsiaTheme="majorEastAsia" w:hAnsi="Rockwell" w:cstheme="majorBidi"/>
          <w:bCs/>
          <w:sz w:val="24"/>
          <w:szCs w:val="24"/>
        </w:rPr>
        <w:t xml:space="preserve"> comporte</w:t>
      </w:r>
      <w:r w:rsidR="00FE6DD6" w:rsidRPr="00422183">
        <w:rPr>
          <w:rFonts w:ascii="Rockwell" w:eastAsiaTheme="majorEastAsia" w:hAnsi="Rockwell" w:cstheme="majorBidi"/>
          <w:bCs/>
          <w:sz w:val="24"/>
          <w:szCs w:val="24"/>
        </w:rPr>
        <w:t>nt</w:t>
      </w:r>
      <w:r w:rsidR="00EE6289" w:rsidRPr="00422183">
        <w:rPr>
          <w:rFonts w:ascii="Rockwell" w:eastAsiaTheme="majorEastAsia" w:hAnsi="Rockwell" w:cstheme="majorBidi"/>
          <w:bCs/>
          <w:sz w:val="24"/>
          <w:szCs w:val="24"/>
        </w:rPr>
        <w:t xml:space="preserve"> deux aspects notamment le développement des bases productives pour un développement industriel durable et la compétitivité des secteurs de production et de transformation des produit</w:t>
      </w:r>
      <w:r w:rsidR="00FE6DD6" w:rsidRPr="00422183">
        <w:rPr>
          <w:rFonts w:ascii="Rockwell" w:eastAsiaTheme="majorEastAsia" w:hAnsi="Rockwell" w:cstheme="majorBidi"/>
          <w:bCs/>
          <w:sz w:val="24"/>
          <w:szCs w:val="24"/>
        </w:rPr>
        <w:t>s locaux générateurs d’emplois.</w:t>
      </w:r>
    </w:p>
    <w:p w:rsidR="00EE6289" w:rsidRPr="00422183" w:rsidRDefault="00EE6289"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 xml:space="preserve">Le défi de la transformation structurelle des bases productives s'impose comme une étape primordiale pour </w:t>
      </w:r>
      <w:r w:rsidR="00C05D93" w:rsidRPr="00422183">
        <w:rPr>
          <w:rFonts w:ascii="Rockwell" w:eastAsiaTheme="majorEastAsia" w:hAnsi="Rockwell" w:cstheme="majorBidi"/>
          <w:bCs/>
          <w:sz w:val="24"/>
          <w:szCs w:val="24"/>
        </w:rPr>
        <w:t>poser les jalons</w:t>
      </w:r>
      <w:r w:rsidRPr="00422183">
        <w:rPr>
          <w:rFonts w:ascii="Rockwell" w:eastAsiaTheme="majorEastAsia" w:hAnsi="Rockwell" w:cstheme="majorBidi"/>
          <w:bCs/>
          <w:sz w:val="24"/>
          <w:szCs w:val="24"/>
        </w:rPr>
        <w:t xml:space="preserve"> d'un développement industriel véritable et générateur d'emplois pour tous. Ce défi implique de s'attaquer à : (i) la disponibilité en quantité de l'énergie pour les besoins du secteur industriel, (ii) la réduction des coûts des principaux facteurs de production, (iii) la réduction des coûts des services de transports et de télécommunication, à travers des infrastructures résilientes et qui permettent de désenclaver les zones de production, (iv) la réorientation et la dynamisation de la recherche-développement sur les besoins réels d'innovations techniques et technologiques du pays. La résolution de ces défis </w:t>
      </w:r>
      <w:r w:rsidR="00C47577" w:rsidRPr="00422183">
        <w:rPr>
          <w:rFonts w:ascii="Rockwell" w:eastAsiaTheme="majorEastAsia" w:hAnsi="Rockwell" w:cstheme="majorBidi"/>
          <w:bCs/>
          <w:sz w:val="24"/>
          <w:szCs w:val="24"/>
        </w:rPr>
        <w:t>favoriserait</w:t>
      </w:r>
      <w:r w:rsidRPr="00422183">
        <w:rPr>
          <w:rFonts w:ascii="Rockwell" w:eastAsiaTheme="majorEastAsia" w:hAnsi="Rockwell" w:cstheme="majorBidi"/>
          <w:bCs/>
          <w:sz w:val="24"/>
          <w:szCs w:val="24"/>
        </w:rPr>
        <w:t xml:space="preserve"> l'émergence d'un secteur industriel compétitif et durable.</w:t>
      </w:r>
    </w:p>
    <w:p w:rsidR="00B354F3" w:rsidRPr="00422183" w:rsidRDefault="00B354F3" w:rsidP="003A0820">
      <w:pPr>
        <w:spacing w:after="0" w:line="240" w:lineRule="auto"/>
        <w:jc w:val="both"/>
        <w:rPr>
          <w:rFonts w:ascii="Rockwell" w:eastAsiaTheme="majorEastAsia" w:hAnsi="Rockwell" w:cstheme="majorBidi"/>
          <w:bCs/>
          <w:sz w:val="24"/>
          <w:szCs w:val="24"/>
        </w:rPr>
      </w:pPr>
      <w:r w:rsidRPr="00422183">
        <w:rPr>
          <w:rFonts w:ascii="Rockwell" w:eastAsiaTheme="majorEastAsia" w:hAnsi="Rockwell" w:cstheme="majorBidi"/>
          <w:bCs/>
          <w:sz w:val="24"/>
          <w:szCs w:val="24"/>
        </w:rPr>
        <w:t>La transformation structurelle suppose une réallocation des ressources et des activités à faible productivité vers des activités à plus forte productivité généralement, de l'agriculture vers l'industrie et les services modernes, ce qui entraîne une productivité plus élevée dans l'ensemble de l'économie et un accroissement progressif des revenus. Au Burkina Faso, on observe plutôt l'inverse de cette dynamique.</w:t>
      </w:r>
    </w:p>
    <w:p w:rsidR="00B354F3" w:rsidRPr="00422183" w:rsidRDefault="00B354F3" w:rsidP="003A0820">
      <w:pPr>
        <w:spacing w:after="0" w:line="240" w:lineRule="auto"/>
        <w:jc w:val="both"/>
        <w:rPr>
          <w:rFonts w:ascii="Rockwell" w:eastAsiaTheme="majorEastAsia" w:hAnsi="Rockwell" w:cstheme="majorBidi"/>
          <w:bCs/>
          <w:sz w:val="24"/>
          <w:szCs w:val="24"/>
        </w:rPr>
      </w:pPr>
    </w:p>
    <w:p w:rsidR="00B354F3" w:rsidRPr="00422183" w:rsidRDefault="00B354F3" w:rsidP="003A0820">
      <w:pPr>
        <w:spacing w:after="0" w:line="240" w:lineRule="auto"/>
        <w:jc w:val="both"/>
        <w:rPr>
          <w:rFonts w:ascii="Rockwell" w:eastAsiaTheme="majorEastAsia" w:hAnsi="Rockwell" w:cstheme="majorBidi"/>
          <w:b/>
          <w:bCs/>
          <w:sz w:val="24"/>
          <w:szCs w:val="24"/>
        </w:rPr>
      </w:pPr>
      <w:r w:rsidRPr="00422183">
        <w:rPr>
          <w:rFonts w:ascii="Rockwell" w:eastAsiaTheme="majorEastAsia" w:hAnsi="Rockwell" w:cstheme="majorBidi"/>
          <w:bCs/>
          <w:sz w:val="24"/>
          <w:szCs w:val="24"/>
        </w:rPr>
        <w:t xml:space="preserve">Le défi de la transformation des produits locaux est au cœur de la transformation structurelle qui verrait les transformations industrielles devenir progressivement </w:t>
      </w:r>
      <w:r w:rsidR="00FF4E0E" w:rsidRPr="00422183">
        <w:rPr>
          <w:rFonts w:ascii="Rockwell" w:eastAsiaTheme="majorEastAsia" w:hAnsi="Rockwell" w:cstheme="majorBidi"/>
          <w:bCs/>
          <w:sz w:val="24"/>
          <w:szCs w:val="24"/>
        </w:rPr>
        <w:t>prépondérant</w:t>
      </w:r>
      <w:r w:rsidR="00C05D93" w:rsidRPr="00422183">
        <w:rPr>
          <w:rFonts w:ascii="Rockwell" w:eastAsiaTheme="majorEastAsia" w:hAnsi="Rockwell" w:cstheme="majorBidi"/>
          <w:bCs/>
          <w:sz w:val="24"/>
          <w:szCs w:val="24"/>
        </w:rPr>
        <w:t>es</w:t>
      </w:r>
      <w:r w:rsidRPr="00422183">
        <w:rPr>
          <w:rFonts w:ascii="Rockwell" w:eastAsiaTheme="majorEastAsia" w:hAnsi="Rockwell" w:cstheme="majorBidi"/>
          <w:bCs/>
          <w:sz w:val="24"/>
          <w:szCs w:val="24"/>
        </w:rPr>
        <w:t xml:space="preserve"> dans l'économie burkinabè. Ceci ne sera possible qu'avec : (i) la réalisation de l'interconnexion des secteurs d'activités, à travers la transformation et l'accroissement de la valeur ajoutée des produits agro-sylvo-pastoraux grâce à l'innovation et (ii) l'engagement de l'État dans la mise en œuvre d'unités de pro</w:t>
      </w:r>
      <w:r w:rsidR="00C05D93" w:rsidRPr="00422183">
        <w:rPr>
          <w:rFonts w:ascii="Rockwell" w:eastAsiaTheme="majorEastAsia" w:hAnsi="Rockwell" w:cstheme="majorBidi"/>
          <w:bCs/>
          <w:sz w:val="24"/>
          <w:szCs w:val="24"/>
        </w:rPr>
        <w:t>duction à effets d'entraînement</w:t>
      </w:r>
      <w:r w:rsidRPr="00422183">
        <w:rPr>
          <w:rFonts w:ascii="Rockwell" w:eastAsiaTheme="majorEastAsia" w:hAnsi="Rockwell" w:cstheme="majorBidi"/>
          <w:bCs/>
          <w:sz w:val="24"/>
          <w:szCs w:val="24"/>
        </w:rPr>
        <w:t xml:space="preserve"> importants.</w:t>
      </w:r>
    </w:p>
    <w:p w:rsidR="004247BE" w:rsidRPr="00422183" w:rsidRDefault="004247BE" w:rsidP="003A0820">
      <w:pPr>
        <w:spacing w:after="0" w:line="240" w:lineRule="auto"/>
        <w:jc w:val="both"/>
        <w:rPr>
          <w:rFonts w:ascii="Rockwell" w:hAnsi="Rockwell" w:cs="Times New Roman"/>
          <w:bCs/>
          <w:sz w:val="24"/>
          <w:szCs w:val="24"/>
        </w:rPr>
      </w:pPr>
    </w:p>
    <w:p w:rsidR="00671C98" w:rsidRPr="00422183" w:rsidRDefault="00671C98"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br w:type="page"/>
      </w:r>
    </w:p>
    <w:p w:rsidR="00E05663" w:rsidRPr="00422183" w:rsidRDefault="00F02DB9" w:rsidP="00516FB0">
      <w:pPr>
        <w:pStyle w:val="PNDES1"/>
      </w:pPr>
      <w:bookmarkStart w:id="173" w:name="_Toc452991065"/>
      <w:bookmarkStart w:id="174" w:name="_Toc452991509"/>
      <w:bookmarkStart w:id="175" w:name="_Toc452991952"/>
      <w:bookmarkStart w:id="176" w:name="_Toc452992394"/>
      <w:bookmarkStart w:id="177" w:name="_Toc452992836"/>
      <w:bookmarkStart w:id="178" w:name="_Toc452993278"/>
      <w:bookmarkStart w:id="179" w:name="_Toc452993720"/>
      <w:bookmarkStart w:id="180" w:name="_Toc452994162"/>
      <w:bookmarkStart w:id="181" w:name="_Toc452994610"/>
      <w:bookmarkStart w:id="182" w:name="_Toc452995050"/>
      <w:bookmarkStart w:id="183" w:name="_Toc452995913"/>
      <w:bookmarkStart w:id="184" w:name="_Toc452996292"/>
      <w:bookmarkStart w:id="185" w:name="_Toc452996710"/>
      <w:bookmarkStart w:id="186" w:name="_Toc452997076"/>
      <w:bookmarkStart w:id="187" w:name="_Toc452994163"/>
      <w:bookmarkStart w:id="188" w:name="_Toc452994611"/>
      <w:bookmarkStart w:id="189" w:name="_Toc452995051"/>
      <w:bookmarkStart w:id="190" w:name="_Toc453158153"/>
      <w:bookmarkStart w:id="191" w:name="_Toc453160752"/>
      <w:bookmarkStart w:id="192" w:name="_Toc453160936"/>
      <w:bookmarkStart w:id="193" w:name="_Toc455079232"/>
      <w:bookmarkStart w:id="194" w:name="_Toc45513273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22183">
        <w:t>STRATÉGIE DE</w:t>
      </w:r>
      <w:r w:rsidR="00FF4E0E" w:rsidRPr="00422183">
        <w:t xml:space="preserve"> </w:t>
      </w:r>
      <w:r w:rsidRPr="00422183">
        <w:t>DÉVELOPPEMENT</w:t>
      </w:r>
      <w:r w:rsidR="00FF4E0E" w:rsidRPr="00422183">
        <w:t xml:space="preserve"> </w:t>
      </w:r>
      <w:r w:rsidRPr="00422183">
        <w:t>ÉCONOMIQUE</w:t>
      </w:r>
      <w:r w:rsidR="00FF4E0E" w:rsidRPr="00422183">
        <w:t xml:space="preserve"> ET SOCIAL </w:t>
      </w:r>
      <w:r w:rsidR="002808CF" w:rsidRPr="00422183">
        <w:t>2016-2020</w:t>
      </w:r>
      <w:bookmarkEnd w:id="187"/>
      <w:bookmarkEnd w:id="188"/>
      <w:bookmarkEnd w:id="189"/>
      <w:bookmarkEnd w:id="190"/>
      <w:bookmarkEnd w:id="191"/>
      <w:bookmarkEnd w:id="192"/>
      <w:bookmarkEnd w:id="193"/>
      <w:bookmarkEnd w:id="194"/>
    </w:p>
    <w:p w:rsidR="00254C78" w:rsidRPr="00422183" w:rsidRDefault="00254C78" w:rsidP="003A0820">
      <w:pPr>
        <w:spacing w:after="0" w:line="240" w:lineRule="auto"/>
        <w:jc w:val="both"/>
        <w:rPr>
          <w:rFonts w:ascii="Rockwell" w:hAnsi="Rockwell" w:cs="Times New Roman"/>
          <w:bCs/>
          <w:sz w:val="24"/>
          <w:szCs w:val="24"/>
        </w:rPr>
      </w:pPr>
    </w:p>
    <w:p w:rsidR="00EE18A8" w:rsidRPr="00422183" w:rsidRDefault="00EE18A8" w:rsidP="003A0820">
      <w:pPr>
        <w:pStyle w:val="PNDES2"/>
      </w:pPr>
      <w:bookmarkStart w:id="195" w:name="_Toc455079233"/>
      <w:bookmarkStart w:id="196" w:name="_Toc455132737"/>
      <w:r w:rsidRPr="00422183">
        <w:t>Fondements</w:t>
      </w:r>
      <w:r w:rsidR="00335E92" w:rsidRPr="00422183">
        <w:t xml:space="preserve"> et vision</w:t>
      </w:r>
      <w:bookmarkEnd w:id="195"/>
      <w:bookmarkEnd w:id="196"/>
      <w:r w:rsidRPr="00422183">
        <w:t xml:space="preserve"> </w:t>
      </w:r>
    </w:p>
    <w:p w:rsidR="00335E92" w:rsidRPr="00422183" w:rsidRDefault="00335E92" w:rsidP="003A0820">
      <w:pPr>
        <w:jc w:val="both"/>
        <w:rPr>
          <w:rFonts w:ascii="Rockwell" w:hAnsi="Rockwell"/>
          <w:sz w:val="24"/>
          <w:szCs w:val="24"/>
        </w:rPr>
      </w:pPr>
      <w:bookmarkStart w:id="197" w:name="_Toc449618801"/>
    </w:p>
    <w:p w:rsidR="006C29D1" w:rsidRPr="00422183" w:rsidRDefault="006C29D1" w:rsidP="006C29D1">
      <w:pPr>
        <w:pStyle w:val="PNDES3"/>
      </w:pPr>
      <w:bookmarkStart w:id="198" w:name="_Toc455132738"/>
      <w:r w:rsidRPr="00422183">
        <w:t>Fondements</w:t>
      </w:r>
      <w:bookmarkEnd w:id="198"/>
      <w:r w:rsidRPr="00422183">
        <w:t xml:space="preserve"> </w:t>
      </w:r>
    </w:p>
    <w:p w:rsidR="00335E92" w:rsidRPr="00422183" w:rsidRDefault="00335E92" w:rsidP="003A0820">
      <w:pPr>
        <w:jc w:val="both"/>
      </w:pPr>
      <w:r w:rsidRPr="00422183">
        <w:rPr>
          <w:rFonts w:ascii="Rockwell" w:hAnsi="Rockwell"/>
          <w:sz w:val="24"/>
          <w:szCs w:val="24"/>
        </w:rPr>
        <w:t>La vision prospective Burkina 2025, le pro</w:t>
      </w:r>
      <w:r w:rsidR="0010043A" w:rsidRPr="00422183">
        <w:rPr>
          <w:rFonts w:ascii="Rockwell" w:hAnsi="Rockwell"/>
          <w:sz w:val="24"/>
          <w:szCs w:val="24"/>
        </w:rPr>
        <w:t>gramme du Président du Faso, l’A</w:t>
      </w:r>
      <w:r w:rsidRPr="00422183">
        <w:rPr>
          <w:rFonts w:ascii="Rockwell" w:hAnsi="Rockwell"/>
          <w:sz w:val="24"/>
          <w:szCs w:val="24"/>
        </w:rPr>
        <w:t>genda 2063 et les O</w:t>
      </w:r>
      <w:r w:rsidR="00034BAA" w:rsidRPr="00422183">
        <w:rPr>
          <w:rFonts w:ascii="Rockwell" w:hAnsi="Rockwell"/>
          <w:sz w:val="24"/>
          <w:szCs w:val="24"/>
        </w:rPr>
        <w:t>bjectifs de développement durable (O</w:t>
      </w:r>
      <w:r w:rsidRPr="00422183">
        <w:rPr>
          <w:rFonts w:ascii="Rockwell" w:hAnsi="Rockwell"/>
          <w:sz w:val="24"/>
          <w:szCs w:val="24"/>
        </w:rPr>
        <w:t>DD</w:t>
      </w:r>
      <w:r w:rsidR="00034BAA" w:rsidRPr="00422183">
        <w:rPr>
          <w:rFonts w:ascii="Rockwell" w:hAnsi="Rockwell"/>
          <w:sz w:val="24"/>
          <w:szCs w:val="24"/>
        </w:rPr>
        <w:t>)</w:t>
      </w:r>
      <w:r w:rsidRPr="00422183">
        <w:rPr>
          <w:rFonts w:ascii="Rockwell" w:hAnsi="Rockwell"/>
          <w:sz w:val="24"/>
          <w:szCs w:val="24"/>
        </w:rPr>
        <w:t xml:space="preserve"> prioritaires pour le Burkina Faso constituent les fondements du Plan national de développement économique et social 2016-2020.</w:t>
      </w:r>
    </w:p>
    <w:p w:rsidR="00335E92" w:rsidRPr="00422183" w:rsidRDefault="00335E92" w:rsidP="00516FB0">
      <w:pPr>
        <w:jc w:val="both"/>
        <w:rPr>
          <w:rFonts w:ascii="Rockwell" w:hAnsi="Rockwell"/>
          <w:sz w:val="24"/>
          <w:szCs w:val="24"/>
        </w:rPr>
      </w:pPr>
      <w:r w:rsidRPr="00422183">
        <w:rPr>
          <w:rFonts w:ascii="Rockwell" w:hAnsi="Rockwell"/>
          <w:sz w:val="24"/>
          <w:szCs w:val="24"/>
        </w:rPr>
        <w:t xml:space="preserve">Le Plan national de développement économique et social tire ses fondements dans la vision de développement de long terme </w:t>
      </w:r>
      <w:r w:rsidR="009E6069" w:rsidRPr="00422183">
        <w:rPr>
          <w:rFonts w:ascii="Rockwell" w:hAnsi="Rockwell"/>
          <w:sz w:val="24"/>
          <w:szCs w:val="24"/>
        </w:rPr>
        <w:t xml:space="preserve">du </w:t>
      </w:r>
      <w:r w:rsidRPr="00422183">
        <w:rPr>
          <w:rFonts w:ascii="Rockwell" w:hAnsi="Rockwell"/>
          <w:sz w:val="24"/>
          <w:szCs w:val="24"/>
        </w:rPr>
        <w:t>Burkina 2025 qui s’intitule :</w:t>
      </w:r>
      <w:r w:rsidRPr="00422183">
        <w:t xml:space="preserve"> </w:t>
      </w:r>
      <w:r w:rsidRPr="00422183">
        <w:rPr>
          <w:rFonts w:ascii="Rockwell" w:hAnsi="Rockwell"/>
          <w:sz w:val="24"/>
          <w:szCs w:val="24"/>
        </w:rPr>
        <w:t>"</w:t>
      </w:r>
      <w:r w:rsidRPr="00422183">
        <w:rPr>
          <w:rFonts w:ascii="Rockwell" w:hAnsi="Rockwell"/>
          <w:i/>
          <w:sz w:val="24"/>
          <w:szCs w:val="24"/>
        </w:rPr>
        <w:t>Le Burkina Faso, une nation solidaire, de progrès et de justice, qui consolide son respect sur la scène internationale</w:t>
      </w:r>
      <w:r w:rsidRPr="00422183">
        <w:rPr>
          <w:rFonts w:ascii="Rockwell" w:hAnsi="Rockwell"/>
          <w:sz w:val="24"/>
          <w:szCs w:val="24"/>
        </w:rPr>
        <w:t>". La réalisation de cette vision implique des ruptures pour sortir de l’inertie et des pesanteurs pour amorcer un décollage vers un progrès en trouvant de nouvelles voies de création de valeurs. Elle appelle également à une organisation harmonieuse des efforts de développement pour exploiter toutes les potentialités existantes au profit de l’ensemble</w:t>
      </w:r>
      <w:r w:rsidR="00034BAA" w:rsidRPr="00422183">
        <w:rPr>
          <w:rFonts w:ascii="Rockwell" w:hAnsi="Rockwell"/>
          <w:sz w:val="24"/>
          <w:szCs w:val="24"/>
        </w:rPr>
        <w:t xml:space="preserve"> des</w:t>
      </w:r>
      <w:r w:rsidRPr="00422183">
        <w:rPr>
          <w:rFonts w:ascii="Rockwell" w:hAnsi="Rockwell"/>
          <w:sz w:val="24"/>
          <w:szCs w:val="24"/>
        </w:rPr>
        <w:t xml:space="preserve"> </w:t>
      </w:r>
      <w:r w:rsidR="00034BAA" w:rsidRPr="00422183">
        <w:rPr>
          <w:rFonts w:ascii="Rockwell" w:hAnsi="Rockwell"/>
          <w:sz w:val="24"/>
          <w:szCs w:val="24"/>
        </w:rPr>
        <w:t>b</w:t>
      </w:r>
      <w:r w:rsidRPr="00422183">
        <w:rPr>
          <w:rFonts w:ascii="Rockwell" w:hAnsi="Rockwell"/>
          <w:sz w:val="24"/>
          <w:szCs w:val="24"/>
        </w:rPr>
        <w:t xml:space="preserve">urkinabè. </w:t>
      </w:r>
    </w:p>
    <w:p w:rsidR="00335E92" w:rsidRPr="00422183" w:rsidRDefault="00335E92" w:rsidP="009E6069">
      <w:pPr>
        <w:jc w:val="both"/>
        <w:rPr>
          <w:rFonts w:ascii="Rockwell" w:hAnsi="Rockwell"/>
          <w:i/>
          <w:sz w:val="24"/>
          <w:szCs w:val="24"/>
        </w:rPr>
      </w:pPr>
      <w:r w:rsidRPr="00422183">
        <w:rPr>
          <w:rFonts w:ascii="Rockwell" w:hAnsi="Rockwell"/>
          <w:sz w:val="24"/>
          <w:szCs w:val="24"/>
        </w:rPr>
        <w:t xml:space="preserve">Le PNDES </w:t>
      </w:r>
      <w:r w:rsidR="009E6069" w:rsidRPr="00422183">
        <w:rPr>
          <w:rFonts w:ascii="Rockwell" w:hAnsi="Rockwell"/>
          <w:sz w:val="24"/>
          <w:szCs w:val="24"/>
        </w:rPr>
        <w:t>se fonde</w:t>
      </w:r>
      <w:r w:rsidRPr="00422183">
        <w:rPr>
          <w:rFonts w:ascii="Rockwell" w:hAnsi="Rockwell"/>
          <w:sz w:val="24"/>
          <w:szCs w:val="24"/>
        </w:rPr>
        <w:t xml:space="preserve"> également </w:t>
      </w:r>
      <w:r w:rsidR="009E6069" w:rsidRPr="00422183">
        <w:rPr>
          <w:rFonts w:ascii="Rockwell" w:hAnsi="Rockwell"/>
          <w:sz w:val="24"/>
          <w:szCs w:val="24"/>
        </w:rPr>
        <w:t>sur le</w:t>
      </w:r>
      <w:r w:rsidRPr="00422183">
        <w:rPr>
          <w:rFonts w:ascii="Rockwell" w:hAnsi="Rockwell"/>
          <w:sz w:val="24"/>
          <w:szCs w:val="24"/>
        </w:rPr>
        <w:t xml:space="preserve"> Programme </w:t>
      </w:r>
      <w:r w:rsidR="009E6069" w:rsidRPr="00422183">
        <w:rPr>
          <w:rFonts w:ascii="Rockwell" w:hAnsi="Rockwell"/>
          <w:sz w:val="24"/>
          <w:szCs w:val="24"/>
        </w:rPr>
        <w:t>présidentiel</w:t>
      </w:r>
      <w:r w:rsidRPr="00422183">
        <w:rPr>
          <w:rFonts w:ascii="Rockwell" w:hAnsi="Rockwell"/>
          <w:sz w:val="24"/>
          <w:szCs w:val="24"/>
        </w:rPr>
        <w:t xml:space="preserve"> qui invite à "</w:t>
      </w:r>
      <w:r w:rsidRPr="00422183">
        <w:rPr>
          <w:rFonts w:ascii="Rockwell" w:hAnsi="Rockwell"/>
          <w:i/>
          <w:sz w:val="24"/>
          <w:szCs w:val="24"/>
        </w:rPr>
        <w:t>bâtir avec le peuple, un Burkina Faso de démocratie, de progrès économique et social, de liberté et de justice </w:t>
      </w:r>
      <w:r w:rsidRPr="00422183">
        <w:rPr>
          <w:rFonts w:ascii="Rockwell" w:hAnsi="Rockwell"/>
          <w:sz w:val="24"/>
          <w:szCs w:val="24"/>
        </w:rPr>
        <w:t>». La réalisation de cette ambition de nation démocratique et prospère passe</w:t>
      </w:r>
      <w:r w:rsidR="00034BAA" w:rsidRPr="00422183">
        <w:rPr>
          <w:rFonts w:ascii="Rockwell" w:hAnsi="Rockwell"/>
          <w:sz w:val="24"/>
          <w:szCs w:val="24"/>
        </w:rPr>
        <w:t xml:space="preserve"> par « </w:t>
      </w:r>
      <w:r w:rsidRPr="00422183">
        <w:rPr>
          <w:rFonts w:ascii="Rockwell" w:hAnsi="Rockwell"/>
          <w:i/>
          <w:sz w:val="24"/>
          <w:szCs w:val="24"/>
        </w:rPr>
        <w:t>une transformation structurelle de l’économie nationale pour la mettre sur une nouvelle trajectoire de forte croissance, en réduisant profondément les inégalités sociales et la pauvreté rurale et urbaine</w:t>
      </w:r>
      <w:r w:rsidR="00034BAA" w:rsidRPr="00422183">
        <w:rPr>
          <w:rFonts w:ascii="Rockwell" w:hAnsi="Rockwell"/>
          <w:i/>
          <w:sz w:val="24"/>
          <w:szCs w:val="24"/>
        </w:rPr>
        <w:t> »</w:t>
      </w:r>
      <w:r w:rsidRPr="00422183">
        <w:rPr>
          <w:rFonts w:ascii="Rockwell" w:hAnsi="Rockwell"/>
          <w:i/>
          <w:sz w:val="24"/>
          <w:szCs w:val="24"/>
        </w:rPr>
        <w:t>.</w:t>
      </w:r>
    </w:p>
    <w:p w:rsidR="00335E92" w:rsidRPr="00422183" w:rsidRDefault="00335E92" w:rsidP="003A0820">
      <w:pPr>
        <w:spacing w:after="0" w:line="240" w:lineRule="auto"/>
        <w:jc w:val="both"/>
        <w:rPr>
          <w:rFonts w:ascii="Rockwell" w:hAnsi="Rockwell"/>
          <w:sz w:val="24"/>
          <w:szCs w:val="24"/>
        </w:rPr>
      </w:pPr>
      <w:r w:rsidRPr="00422183">
        <w:rPr>
          <w:rFonts w:ascii="Rockwell" w:hAnsi="Rockwell"/>
          <w:sz w:val="24"/>
          <w:szCs w:val="24"/>
        </w:rPr>
        <w:t xml:space="preserve">En outre, le référentiel s’inspire du programme de développement </w:t>
      </w:r>
      <w:r w:rsidR="0010043A" w:rsidRPr="00422183">
        <w:rPr>
          <w:rFonts w:ascii="Rockwell" w:hAnsi="Rockwell"/>
          <w:sz w:val="24"/>
          <w:szCs w:val="24"/>
        </w:rPr>
        <w:t xml:space="preserve">durable à l’horizon </w:t>
      </w:r>
      <w:r w:rsidRPr="00422183">
        <w:rPr>
          <w:rFonts w:ascii="Rockwell" w:hAnsi="Rockwell"/>
          <w:sz w:val="24"/>
          <w:szCs w:val="24"/>
        </w:rPr>
        <w:t>2030 qui contient les Objectifs de développement durable. Les travaux d’internalisation de ces ODD au Burkina Faso, ont placé en première priorité l'ODD 9 :"</w:t>
      </w:r>
      <w:r w:rsidRPr="00422183">
        <w:rPr>
          <w:rFonts w:ascii="Rockwell" w:hAnsi="Rockwell"/>
          <w:i/>
          <w:sz w:val="24"/>
          <w:szCs w:val="24"/>
        </w:rPr>
        <w:t>Bâtir une infrastructure résiliente, promouvoir une industrialisation durable qui profite à tous et encourager l'innovation</w:t>
      </w:r>
      <w:r w:rsidRPr="00422183">
        <w:rPr>
          <w:rFonts w:ascii="Rockwell" w:hAnsi="Rockwell"/>
          <w:sz w:val="24"/>
          <w:szCs w:val="24"/>
        </w:rPr>
        <w:t xml:space="preserve">". </w:t>
      </w:r>
      <w:r w:rsidR="005A1051" w:rsidRPr="00422183">
        <w:rPr>
          <w:rFonts w:ascii="Rockwell" w:hAnsi="Rockwell"/>
          <w:sz w:val="24"/>
          <w:szCs w:val="24"/>
        </w:rPr>
        <w:t>Par ailleurs</w:t>
      </w:r>
      <w:r w:rsidRPr="00422183">
        <w:rPr>
          <w:rFonts w:ascii="Rockwell" w:hAnsi="Rockwell"/>
          <w:sz w:val="24"/>
          <w:szCs w:val="24"/>
        </w:rPr>
        <w:t>, cet objectif d'industrialisation occupe la troisième position dans l'Agenda 2063 de l’Union Africaine.</w:t>
      </w:r>
    </w:p>
    <w:p w:rsidR="00335E92" w:rsidRPr="00422183" w:rsidRDefault="00335E92" w:rsidP="003A0820">
      <w:pPr>
        <w:spacing w:after="0" w:line="240" w:lineRule="auto"/>
        <w:jc w:val="both"/>
        <w:rPr>
          <w:rFonts w:ascii="Rockwell" w:hAnsi="Rockwell"/>
          <w:sz w:val="24"/>
          <w:szCs w:val="24"/>
        </w:rPr>
      </w:pPr>
    </w:p>
    <w:p w:rsidR="00335E92" w:rsidRPr="00422183" w:rsidRDefault="00335E92" w:rsidP="006C29D1">
      <w:pPr>
        <w:pStyle w:val="PNDES3"/>
      </w:pPr>
      <w:bookmarkStart w:id="199" w:name="_Toc455132739"/>
      <w:r w:rsidRPr="00422183">
        <w:t>Vision</w:t>
      </w:r>
      <w:bookmarkEnd w:id="199"/>
    </w:p>
    <w:p w:rsidR="00034BAA" w:rsidRPr="00422183" w:rsidRDefault="00034BAA" w:rsidP="003A0820">
      <w:pPr>
        <w:spacing w:after="0" w:line="240" w:lineRule="auto"/>
        <w:jc w:val="both"/>
        <w:rPr>
          <w:rFonts w:ascii="Rockwell" w:hAnsi="Rockwell"/>
          <w:i/>
          <w:sz w:val="24"/>
          <w:szCs w:val="24"/>
        </w:rPr>
      </w:pPr>
    </w:p>
    <w:p w:rsidR="00335E92" w:rsidRPr="00422183" w:rsidRDefault="00335E92" w:rsidP="0010043A">
      <w:pPr>
        <w:spacing w:after="0" w:line="240" w:lineRule="auto"/>
        <w:jc w:val="both"/>
        <w:rPr>
          <w:rFonts w:ascii="Rockwell" w:hAnsi="Rockwell"/>
          <w:sz w:val="24"/>
          <w:szCs w:val="24"/>
        </w:rPr>
      </w:pPr>
      <w:r w:rsidRPr="00422183">
        <w:rPr>
          <w:rFonts w:ascii="Rockwell" w:hAnsi="Rockwell"/>
          <w:sz w:val="24"/>
          <w:szCs w:val="24"/>
        </w:rPr>
        <w:t>Partant de ces fondements, la vision du PNDES à l’horizon 2020,</w:t>
      </w:r>
      <w:bookmarkEnd w:id="197"/>
      <w:r w:rsidRPr="00422183">
        <w:rPr>
          <w:rFonts w:ascii="Rockwell" w:hAnsi="Rockwell"/>
          <w:sz w:val="24"/>
          <w:szCs w:val="24"/>
        </w:rPr>
        <w:t xml:space="preserve"> s’énonce comme suit</w:t>
      </w:r>
      <w:r w:rsidR="00002229" w:rsidRPr="00422183">
        <w:rPr>
          <w:rFonts w:ascii="Rockwell" w:hAnsi="Rockwell"/>
          <w:sz w:val="24"/>
          <w:szCs w:val="24"/>
        </w:rPr>
        <w:t xml:space="preserve"> </w:t>
      </w:r>
      <w:r w:rsidRPr="00422183">
        <w:rPr>
          <w:rFonts w:ascii="Rockwell" w:hAnsi="Rockwell"/>
          <w:sz w:val="24"/>
          <w:szCs w:val="24"/>
        </w:rPr>
        <w:t>: « </w:t>
      </w:r>
      <w:r w:rsidRPr="00422183">
        <w:rPr>
          <w:rFonts w:ascii="Rockwell" w:hAnsi="Rockwell"/>
          <w:b/>
          <w:i/>
          <w:sz w:val="24"/>
          <w:szCs w:val="24"/>
        </w:rPr>
        <w:t>le Burkina Faso, une nation démocratique, unie et solidaire, transformant la structure de son économie pour réaliser une croissance forte et inclusive, au moyen de modes de consommation et de production durables</w:t>
      </w:r>
      <w:r w:rsidRPr="00422183">
        <w:rPr>
          <w:rFonts w:ascii="Rockwell" w:hAnsi="Rockwell"/>
          <w:b/>
          <w:sz w:val="24"/>
          <w:szCs w:val="24"/>
        </w:rPr>
        <w:t> »</w:t>
      </w:r>
      <w:r w:rsidRPr="00422183">
        <w:rPr>
          <w:rFonts w:ascii="Rockwell" w:hAnsi="Rockwell"/>
          <w:sz w:val="24"/>
          <w:szCs w:val="24"/>
        </w:rPr>
        <w:t>.</w:t>
      </w:r>
    </w:p>
    <w:p w:rsidR="00335E92" w:rsidRPr="00422183" w:rsidRDefault="00335E92" w:rsidP="003A0820">
      <w:pPr>
        <w:spacing w:after="0" w:line="240" w:lineRule="auto"/>
        <w:jc w:val="both"/>
        <w:rPr>
          <w:rFonts w:ascii="Rockwell" w:hAnsi="Rockwell" w:cs="Times New Roman"/>
          <w:bCs/>
          <w:sz w:val="24"/>
          <w:szCs w:val="24"/>
        </w:rPr>
      </w:pPr>
    </w:p>
    <w:p w:rsidR="00034BAA" w:rsidRPr="00422183" w:rsidRDefault="00034BAA"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L’image projetée à l’horizon 2020 à travers cette vision est « Un Burkina Faso qui transforme la structure de son économie pour réaliser une croissance forte et inclusive ». Cette image sous-tend un processus de transformation structurelle économique et sociale axé sur les domaines porteurs de croissance et ayant un effet de levier sur les autres domaines de développement. Ce processus devra permettre l’avènement d’un développement inclusif et une croissance partagée et pro-pauvre. </w:t>
      </w:r>
    </w:p>
    <w:p w:rsidR="00034BAA" w:rsidRPr="00422183" w:rsidRDefault="00034BAA" w:rsidP="003A0820">
      <w:pPr>
        <w:spacing w:after="0" w:line="240" w:lineRule="auto"/>
        <w:jc w:val="both"/>
        <w:rPr>
          <w:rFonts w:ascii="Rockwell" w:hAnsi="Rockwell" w:cs="Times New Roman"/>
          <w:bCs/>
          <w:sz w:val="24"/>
          <w:szCs w:val="24"/>
        </w:rPr>
      </w:pPr>
    </w:p>
    <w:p w:rsidR="00A15ED7" w:rsidRPr="00422183" w:rsidRDefault="00034BAA" w:rsidP="003A0820">
      <w:pPr>
        <w:spacing w:after="0"/>
        <w:jc w:val="both"/>
        <w:rPr>
          <w:rFonts w:ascii="Rockwell" w:hAnsi="Rockwell"/>
          <w:sz w:val="24"/>
          <w:szCs w:val="24"/>
        </w:rPr>
      </w:pPr>
      <w:r w:rsidRPr="00422183">
        <w:rPr>
          <w:rFonts w:ascii="Rockwell" w:hAnsi="Rockwell"/>
          <w:sz w:val="24"/>
          <w:szCs w:val="24"/>
        </w:rPr>
        <w:t xml:space="preserve">Pour réaliser cette </w:t>
      </w:r>
      <w:r w:rsidR="00A15ED7" w:rsidRPr="00422183">
        <w:rPr>
          <w:rFonts w:ascii="Rockwell" w:hAnsi="Rockwell"/>
          <w:sz w:val="24"/>
          <w:szCs w:val="24"/>
        </w:rPr>
        <w:t xml:space="preserve">vision, le Plan national de développement économique et social se fonde sur deux piliers essentiels qui sont : </w:t>
      </w:r>
    </w:p>
    <w:p w:rsidR="00335E92" w:rsidRPr="00422183" w:rsidRDefault="0010043A" w:rsidP="004102F5">
      <w:pPr>
        <w:pStyle w:val="Paragraphedeliste"/>
        <w:numPr>
          <w:ilvl w:val="0"/>
          <w:numId w:val="15"/>
        </w:numPr>
        <w:spacing w:after="0"/>
        <w:jc w:val="both"/>
        <w:rPr>
          <w:rFonts w:ascii="Rockwell" w:hAnsi="Rockwell"/>
          <w:sz w:val="24"/>
          <w:szCs w:val="24"/>
        </w:rPr>
      </w:pPr>
      <w:r w:rsidRPr="00422183">
        <w:rPr>
          <w:rFonts w:ascii="Rockwell" w:hAnsi="Rockwell"/>
          <w:b/>
          <w:i/>
          <w:sz w:val="24"/>
          <w:szCs w:val="24"/>
        </w:rPr>
        <w:t>u</w:t>
      </w:r>
      <w:r w:rsidR="00335E92" w:rsidRPr="00422183">
        <w:rPr>
          <w:rFonts w:ascii="Rockwell" w:hAnsi="Rockwell"/>
          <w:b/>
          <w:i/>
          <w:sz w:val="24"/>
          <w:szCs w:val="24"/>
        </w:rPr>
        <w:t>ne nation démocratique, unie et solidaire</w:t>
      </w:r>
      <w:r w:rsidR="00A15ED7" w:rsidRPr="00422183">
        <w:rPr>
          <w:rFonts w:ascii="Rockwell" w:hAnsi="Rockwell"/>
          <w:sz w:val="24"/>
          <w:szCs w:val="24"/>
        </w:rPr>
        <w:t>. Selon l’ENP 2025, l'unité et la paix se construisent dans un « </w:t>
      </w:r>
      <w:r w:rsidR="00A15ED7" w:rsidRPr="00422183">
        <w:rPr>
          <w:rFonts w:ascii="Rockwell" w:hAnsi="Rockwell"/>
          <w:i/>
          <w:sz w:val="24"/>
          <w:szCs w:val="24"/>
        </w:rPr>
        <w:t xml:space="preserve">processus d'unification entre les différentes composantes de la société : unité entre les régions, entre les provinces, entre les différentes ethnies et leurs cultures respectives, entre les générations, entre les hommes et les femmes, entre l'élite et la masse, entre les riches et les pauvres, entre les forces de défense et de sécurité et les populations civiles, entre les variétés d'opinions et de confessions ». </w:t>
      </w:r>
      <w:r w:rsidR="00A15ED7" w:rsidRPr="00422183">
        <w:rPr>
          <w:rFonts w:ascii="Rockwell" w:hAnsi="Rockwell"/>
          <w:sz w:val="24"/>
          <w:szCs w:val="24"/>
        </w:rPr>
        <w:t>L'unité et la solidarité s'imposent comme fondement d'un développement durable</w:t>
      </w:r>
      <w:r w:rsidR="007A6303" w:rsidRPr="00422183">
        <w:rPr>
          <w:rFonts w:ascii="Rockwell" w:hAnsi="Rockwell"/>
          <w:sz w:val="24"/>
          <w:szCs w:val="24"/>
        </w:rPr>
        <w:t>.</w:t>
      </w:r>
      <w:r w:rsidR="00A15ED7" w:rsidRPr="00422183">
        <w:rPr>
          <w:rFonts w:ascii="Rockwell" w:hAnsi="Rockwell"/>
          <w:sz w:val="24"/>
          <w:szCs w:val="24"/>
        </w:rPr>
        <w:t xml:space="preserve"> Ainsi,</w:t>
      </w:r>
      <w:r w:rsidR="00A15ED7" w:rsidRPr="00422183">
        <w:rPr>
          <w:rFonts w:ascii="Rockwell" w:hAnsi="Rockwell"/>
          <w:i/>
          <w:sz w:val="24"/>
          <w:szCs w:val="24"/>
        </w:rPr>
        <w:t xml:space="preserve"> </w:t>
      </w:r>
      <w:r w:rsidR="00335E92" w:rsidRPr="00422183">
        <w:rPr>
          <w:rFonts w:ascii="Rockwell" w:hAnsi="Rockwell"/>
          <w:sz w:val="24"/>
          <w:szCs w:val="24"/>
        </w:rPr>
        <w:t xml:space="preserve">l’ambition </w:t>
      </w:r>
      <w:r w:rsidR="00A15ED7" w:rsidRPr="00422183">
        <w:rPr>
          <w:rFonts w:ascii="Rockwell" w:hAnsi="Rockwell"/>
          <w:sz w:val="24"/>
          <w:szCs w:val="24"/>
        </w:rPr>
        <w:t xml:space="preserve">de ce pilier </w:t>
      </w:r>
      <w:r w:rsidR="00335E92" w:rsidRPr="00422183">
        <w:rPr>
          <w:rFonts w:ascii="Rockwell" w:hAnsi="Rockwell"/>
          <w:sz w:val="24"/>
          <w:szCs w:val="24"/>
        </w:rPr>
        <w:t>est de faire régner</w:t>
      </w:r>
      <w:r w:rsidR="00A15ED7" w:rsidRPr="00422183">
        <w:rPr>
          <w:rFonts w:ascii="Rockwell" w:hAnsi="Rockwell"/>
          <w:sz w:val="24"/>
          <w:szCs w:val="24"/>
        </w:rPr>
        <w:t xml:space="preserve"> </w:t>
      </w:r>
      <w:r w:rsidR="00335E92" w:rsidRPr="00422183">
        <w:rPr>
          <w:rFonts w:ascii="Rockwell" w:hAnsi="Rockwell"/>
          <w:sz w:val="24"/>
          <w:szCs w:val="24"/>
        </w:rPr>
        <w:t xml:space="preserve">la démocratie, la justice sociale, </w:t>
      </w:r>
      <w:r w:rsidR="00A15ED7" w:rsidRPr="00422183">
        <w:rPr>
          <w:rFonts w:ascii="Rockwell" w:hAnsi="Rockwell"/>
          <w:sz w:val="24"/>
          <w:szCs w:val="24"/>
        </w:rPr>
        <w:t xml:space="preserve">la cohésion, </w:t>
      </w:r>
      <w:r w:rsidR="00335E92" w:rsidRPr="00422183">
        <w:rPr>
          <w:rFonts w:ascii="Rockwell" w:hAnsi="Rockwell"/>
          <w:sz w:val="24"/>
          <w:szCs w:val="24"/>
        </w:rPr>
        <w:t>la solidarité et la participation responsable de tous au développement de la nation et à la g</w:t>
      </w:r>
      <w:r w:rsidR="00A15ED7" w:rsidRPr="00422183">
        <w:rPr>
          <w:rFonts w:ascii="Rockwell" w:hAnsi="Rockwell"/>
          <w:sz w:val="24"/>
          <w:szCs w:val="24"/>
        </w:rPr>
        <w:t>estion des affaires publiques ;</w:t>
      </w:r>
    </w:p>
    <w:p w:rsidR="002B5C00" w:rsidRPr="00422183" w:rsidRDefault="00A15ED7" w:rsidP="00E73D2E">
      <w:pPr>
        <w:pStyle w:val="Paragraphedeliste"/>
        <w:numPr>
          <w:ilvl w:val="0"/>
          <w:numId w:val="14"/>
        </w:numPr>
        <w:spacing w:after="0"/>
        <w:jc w:val="both"/>
        <w:rPr>
          <w:rFonts w:ascii="Rockwell" w:hAnsi="Rockwell"/>
          <w:sz w:val="24"/>
          <w:szCs w:val="24"/>
        </w:rPr>
      </w:pPr>
      <w:r w:rsidRPr="00422183">
        <w:rPr>
          <w:rFonts w:ascii="Rockwell" w:hAnsi="Rockwell"/>
          <w:b/>
          <w:sz w:val="24"/>
          <w:szCs w:val="24"/>
        </w:rPr>
        <w:t>l</w:t>
      </w:r>
      <w:r w:rsidR="00335E92" w:rsidRPr="00422183">
        <w:rPr>
          <w:rFonts w:ascii="Rockwell" w:hAnsi="Rockwell"/>
          <w:b/>
          <w:sz w:val="24"/>
          <w:szCs w:val="24"/>
        </w:rPr>
        <w:t>’utilisation de modes de consommation et de production durables</w:t>
      </w:r>
      <w:r w:rsidR="00335E92" w:rsidRPr="00422183">
        <w:rPr>
          <w:rFonts w:ascii="Rockwell" w:hAnsi="Rockwell"/>
          <w:sz w:val="24"/>
          <w:szCs w:val="24"/>
        </w:rPr>
        <w:t xml:space="preserve"> fait allusion à la nécessité </w:t>
      </w:r>
      <w:r w:rsidR="00E73D2E" w:rsidRPr="00422183">
        <w:rPr>
          <w:rFonts w:ascii="Rockwell" w:hAnsi="Rockwell"/>
          <w:sz w:val="24"/>
          <w:szCs w:val="24"/>
        </w:rPr>
        <w:t xml:space="preserve">de trouver les moyens de remédier simultanément aux problèmes de développement économique sans épuiser ou dégrader davantage les ressources naturelles et l’environnement. Elles visent ainsi à « </w:t>
      </w:r>
      <w:r w:rsidR="00E73D2E" w:rsidRPr="00422183">
        <w:rPr>
          <w:rFonts w:ascii="Rockwell" w:hAnsi="Rockwell"/>
          <w:i/>
          <w:sz w:val="24"/>
          <w:szCs w:val="24"/>
        </w:rPr>
        <w:t>faire plus et mieux avec moins</w:t>
      </w:r>
      <w:r w:rsidR="00E73D2E" w:rsidRPr="00422183">
        <w:rPr>
          <w:rFonts w:ascii="Rockwell" w:hAnsi="Rockwell"/>
          <w:sz w:val="24"/>
          <w:szCs w:val="24"/>
        </w:rPr>
        <w:t xml:space="preserve"> », accroissant les gains socioéconomiques nets tirés des activités économiques en réduisant l’utilisation des ressources, la dégradation et la pollution tout au long du cycle de vie, tout en améliorant la qualité de la vie. Elles mettent en jeu différentes parties prenantes, entre autres les entreprises, les consommateurs, les décideurs, les chercheurs, les scientifiques, les détaillants, les médias et les organismes de coopération pour le développement. </w:t>
      </w:r>
    </w:p>
    <w:p w:rsidR="00E73D2E" w:rsidRPr="00422183" w:rsidRDefault="00E73D2E" w:rsidP="003A0820">
      <w:pPr>
        <w:spacing w:after="0" w:line="240" w:lineRule="auto"/>
        <w:jc w:val="both"/>
        <w:rPr>
          <w:rFonts w:ascii="Rockwell" w:hAnsi="Rockwell"/>
          <w:sz w:val="24"/>
          <w:szCs w:val="24"/>
        </w:rPr>
      </w:pPr>
    </w:p>
    <w:p w:rsidR="00E73D2E" w:rsidRPr="00422183" w:rsidRDefault="00E73D2E" w:rsidP="003A0820">
      <w:pPr>
        <w:spacing w:after="0" w:line="240" w:lineRule="auto"/>
        <w:jc w:val="both"/>
        <w:rPr>
          <w:rFonts w:ascii="Rockwell" w:hAnsi="Rockwell"/>
          <w:sz w:val="24"/>
          <w:szCs w:val="24"/>
        </w:rPr>
      </w:pPr>
    </w:p>
    <w:p w:rsidR="00D73B80" w:rsidRPr="00422183" w:rsidRDefault="00254C78" w:rsidP="003A0820">
      <w:pPr>
        <w:pStyle w:val="PNDES2"/>
      </w:pPr>
      <w:bookmarkStart w:id="200" w:name="_Toc452994165"/>
      <w:bookmarkStart w:id="201" w:name="_Toc452994613"/>
      <w:bookmarkStart w:id="202" w:name="_Toc452995053"/>
      <w:bookmarkStart w:id="203" w:name="_Toc453158155"/>
      <w:bookmarkStart w:id="204" w:name="_Toc453160754"/>
      <w:bookmarkStart w:id="205" w:name="_Toc453160938"/>
      <w:bookmarkStart w:id="206" w:name="_Toc455079234"/>
      <w:bookmarkStart w:id="207" w:name="_Toc455132740"/>
      <w:r w:rsidRPr="00422183">
        <w:t>Principes-directeurs</w:t>
      </w:r>
      <w:bookmarkEnd w:id="200"/>
      <w:bookmarkEnd w:id="201"/>
      <w:bookmarkEnd w:id="202"/>
      <w:bookmarkEnd w:id="203"/>
      <w:bookmarkEnd w:id="204"/>
      <w:bookmarkEnd w:id="205"/>
      <w:bookmarkEnd w:id="206"/>
      <w:bookmarkEnd w:id="207"/>
    </w:p>
    <w:p w:rsidR="00F74AB3" w:rsidRPr="00422183" w:rsidRDefault="00F74AB3" w:rsidP="003A0820">
      <w:pPr>
        <w:spacing w:after="0" w:line="240" w:lineRule="auto"/>
        <w:jc w:val="both"/>
        <w:rPr>
          <w:rFonts w:ascii="Rockwell" w:hAnsi="Rockwell" w:cs="Times New Roman"/>
          <w:bCs/>
          <w:sz w:val="24"/>
          <w:szCs w:val="24"/>
        </w:rPr>
      </w:pPr>
    </w:p>
    <w:p w:rsidR="00FD4501" w:rsidRPr="00422183" w:rsidRDefault="00FD4501"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Le PNDES s'inscrit dans une dynamique de transformation structurelle de l'économie burkinabè. Une telle option impliquera de la part de l'État</w:t>
      </w:r>
      <w:r w:rsidR="00D407C3" w:rsidRPr="00422183">
        <w:rPr>
          <w:rFonts w:ascii="Rockwell" w:hAnsi="Rockwell" w:cs="Times New Roman"/>
          <w:bCs/>
          <w:sz w:val="24"/>
          <w:szCs w:val="24"/>
        </w:rPr>
        <w:t>,</w:t>
      </w:r>
      <w:r w:rsidRPr="00422183">
        <w:rPr>
          <w:rFonts w:ascii="Rockwell" w:hAnsi="Rockwell" w:cs="Times New Roman"/>
          <w:bCs/>
          <w:sz w:val="24"/>
          <w:szCs w:val="24"/>
        </w:rPr>
        <w:t xml:space="preserve"> des politiques volontaristes et un rôle très actif du secteur privé dans l'accroissement des investissements productifs dans les secteurs porteurs et innovants, ainsi que dans </w:t>
      </w:r>
      <w:r w:rsidR="00F97CB0" w:rsidRPr="00422183">
        <w:rPr>
          <w:rFonts w:ascii="Rockwell" w:hAnsi="Rockwell" w:cs="Times New Roman"/>
          <w:bCs/>
          <w:sz w:val="24"/>
          <w:szCs w:val="24"/>
        </w:rPr>
        <w:t xml:space="preserve">l’accroissement qualitatif </w:t>
      </w:r>
      <w:r w:rsidRPr="00422183">
        <w:rPr>
          <w:rFonts w:ascii="Rockwell" w:hAnsi="Rockwell" w:cs="Times New Roman"/>
          <w:bCs/>
          <w:sz w:val="24"/>
          <w:szCs w:val="24"/>
        </w:rPr>
        <w:t>du capital humain.</w:t>
      </w:r>
      <w:r w:rsidR="00F52FA4" w:rsidRPr="00422183">
        <w:rPr>
          <w:rFonts w:ascii="Rockwell" w:hAnsi="Rockwell" w:cs="Times New Roman"/>
          <w:bCs/>
          <w:sz w:val="24"/>
          <w:szCs w:val="24"/>
        </w:rPr>
        <w:t xml:space="preserve"> D</w:t>
      </w:r>
      <w:r w:rsidRPr="00422183">
        <w:rPr>
          <w:rFonts w:ascii="Rockwell" w:hAnsi="Rockwell" w:cs="Times New Roman"/>
          <w:bCs/>
          <w:sz w:val="24"/>
          <w:szCs w:val="24"/>
        </w:rPr>
        <w:t>ans leurs rôles respectifs, l'État</w:t>
      </w:r>
      <w:r w:rsidR="005421EA" w:rsidRPr="00422183">
        <w:rPr>
          <w:rFonts w:ascii="Rockwell" w:hAnsi="Rockwell" w:cs="Times New Roman"/>
          <w:bCs/>
          <w:sz w:val="24"/>
          <w:szCs w:val="24"/>
        </w:rPr>
        <w:t xml:space="preserve">, </w:t>
      </w:r>
      <w:r w:rsidRPr="00422183">
        <w:rPr>
          <w:rFonts w:ascii="Rockwell" w:hAnsi="Rockwell" w:cs="Times New Roman"/>
          <w:bCs/>
          <w:sz w:val="24"/>
          <w:szCs w:val="24"/>
        </w:rPr>
        <w:t>le secteur privé</w:t>
      </w:r>
      <w:r w:rsidR="005421EA" w:rsidRPr="00422183">
        <w:rPr>
          <w:rFonts w:ascii="Rockwell" w:hAnsi="Rockwell" w:cs="Times New Roman"/>
          <w:bCs/>
          <w:sz w:val="24"/>
          <w:szCs w:val="24"/>
        </w:rPr>
        <w:t xml:space="preserve"> et la société civile</w:t>
      </w:r>
      <w:r w:rsidRPr="00422183">
        <w:rPr>
          <w:rFonts w:ascii="Rockwell" w:hAnsi="Rockwell" w:cs="Times New Roman"/>
          <w:bCs/>
          <w:sz w:val="24"/>
          <w:szCs w:val="24"/>
        </w:rPr>
        <w:t xml:space="preserve"> doivent fonctionner comme des compléments plutôt que comme des substituts. L'État doit aider le marché à bien fonctionner, en créant les institutions pour cela, ce qui a l'avantage de mettre les investisseurs en confiance et de baisser les coûts de transaction. Cela se traduira par la mise en œuvre de politiques sectorielles cohérentes, efficaces et par un mode de gouvernance efficace veillant</w:t>
      </w:r>
      <w:r w:rsidR="00D407C3" w:rsidRPr="00422183">
        <w:rPr>
          <w:rFonts w:ascii="Rockwell" w:hAnsi="Rockwell" w:cs="Times New Roman"/>
          <w:bCs/>
          <w:sz w:val="24"/>
          <w:szCs w:val="24"/>
        </w:rPr>
        <w:t>,</w:t>
      </w:r>
      <w:r w:rsidRPr="00422183">
        <w:rPr>
          <w:rFonts w:ascii="Rockwell" w:hAnsi="Rockwell" w:cs="Times New Roman"/>
          <w:bCs/>
          <w:sz w:val="24"/>
          <w:szCs w:val="24"/>
        </w:rPr>
        <w:t xml:space="preserve"> au respect de l'équité et de la redevabilité de tous les acteurs du développement.</w:t>
      </w:r>
    </w:p>
    <w:p w:rsidR="00FD4501" w:rsidRPr="00422183" w:rsidRDefault="00FD4501" w:rsidP="003A0820">
      <w:pPr>
        <w:spacing w:after="0" w:line="240" w:lineRule="auto"/>
        <w:jc w:val="both"/>
        <w:rPr>
          <w:rFonts w:ascii="Rockwell" w:hAnsi="Rockwell" w:cs="Times New Roman"/>
          <w:bCs/>
          <w:sz w:val="24"/>
          <w:szCs w:val="24"/>
        </w:rPr>
      </w:pPr>
    </w:p>
    <w:p w:rsidR="00FD4501" w:rsidRPr="00422183" w:rsidRDefault="00FD4501"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Ainsi, les politiques sectorielles de l'État et les ini</w:t>
      </w:r>
      <w:r w:rsidR="00DC2943" w:rsidRPr="00422183">
        <w:rPr>
          <w:rFonts w:ascii="Rockwell" w:hAnsi="Rockwell" w:cs="Times New Roman"/>
          <w:bCs/>
          <w:sz w:val="24"/>
          <w:szCs w:val="24"/>
        </w:rPr>
        <w:t>tiatives du secteur privé, de même</w:t>
      </w:r>
      <w:r w:rsidRPr="00422183">
        <w:rPr>
          <w:rFonts w:ascii="Rockwell" w:hAnsi="Rockwell" w:cs="Times New Roman"/>
          <w:bCs/>
          <w:sz w:val="24"/>
          <w:szCs w:val="24"/>
        </w:rPr>
        <w:t xml:space="preserve"> que les actions de la société civile seront fondées sur les problématiques développementales les plus pertinentes</w:t>
      </w:r>
      <w:r w:rsidR="00D407C3" w:rsidRPr="00422183">
        <w:rPr>
          <w:rFonts w:ascii="Rockwell" w:hAnsi="Rockwell" w:cs="Times New Roman"/>
          <w:bCs/>
          <w:sz w:val="24"/>
          <w:szCs w:val="24"/>
        </w:rPr>
        <w:t>,</w:t>
      </w:r>
      <w:r w:rsidRPr="00422183">
        <w:rPr>
          <w:rFonts w:ascii="Rockwell" w:hAnsi="Rockwell" w:cs="Times New Roman"/>
          <w:bCs/>
          <w:sz w:val="24"/>
          <w:szCs w:val="24"/>
        </w:rPr>
        <w:t xml:space="preserve"> intégrant la dimension régionale, avec un réel potentiel d'effets catalyseurs</w:t>
      </w:r>
      <w:r w:rsidR="007B1952" w:rsidRPr="00422183">
        <w:rPr>
          <w:rFonts w:ascii="Rockwell" w:hAnsi="Rockwell" w:cs="Times New Roman"/>
          <w:bCs/>
          <w:sz w:val="24"/>
          <w:szCs w:val="24"/>
        </w:rPr>
        <w:t xml:space="preserve"> </w:t>
      </w:r>
      <w:r w:rsidRPr="00422183">
        <w:rPr>
          <w:rFonts w:ascii="Rockwell" w:hAnsi="Rockwell" w:cs="Times New Roman"/>
          <w:bCs/>
          <w:sz w:val="24"/>
          <w:szCs w:val="24"/>
        </w:rPr>
        <w:t xml:space="preserve">impliquant : </w:t>
      </w:r>
      <w:r w:rsidR="00DC2943" w:rsidRPr="00422183">
        <w:rPr>
          <w:rFonts w:ascii="Rockwell" w:hAnsi="Rockwell" w:cs="Times New Roman"/>
          <w:bCs/>
          <w:sz w:val="24"/>
          <w:szCs w:val="24"/>
        </w:rPr>
        <w:t xml:space="preserve">(i) </w:t>
      </w:r>
      <w:r w:rsidRPr="00422183">
        <w:rPr>
          <w:rFonts w:ascii="Rockwell" w:hAnsi="Rockwell" w:cs="Times New Roman"/>
          <w:bCs/>
          <w:sz w:val="24"/>
          <w:szCs w:val="24"/>
        </w:rPr>
        <w:t>l'amélioration de la gouvernance du développement en vue de consolider les bases d'un "État capable" pouvant faire face aux facteurs de fragilité et prendre le leadership de son développement, avec les instruments appropriés de pilotage</w:t>
      </w:r>
      <w:r w:rsidR="00DC2943" w:rsidRPr="00422183">
        <w:rPr>
          <w:rFonts w:ascii="Rockwell" w:hAnsi="Rockwell" w:cs="Times New Roman"/>
          <w:bCs/>
          <w:sz w:val="24"/>
          <w:szCs w:val="24"/>
        </w:rPr>
        <w:t xml:space="preserve">, (ii) </w:t>
      </w:r>
      <w:r w:rsidRPr="00422183">
        <w:rPr>
          <w:rFonts w:ascii="Rockwell" w:hAnsi="Rockwell" w:cs="Times New Roman"/>
          <w:bCs/>
          <w:sz w:val="24"/>
          <w:szCs w:val="24"/>
        </w:rPr>
        <w:t>la cohérence dans les référentiels de planification et de gestion de l'espace</w:t>
      </w:r>
      <w:r w:rsidR="00DC2943" w:rsidRPr="00422183">
        <w:rPr>
          <w:rFonts w:ascii="Rockwell" w:hAnsi="Rockwell" w:cs="Times New Roman"/>
          <w:bCs/>
          <w:sz w:val="24"/>
          <w:szCs w:val="24"/>
        </w:rPr>
        <w:t>,</w:t>
      </w:r>
      <w:r w:rsidRPr="00422183">
        <w:rPr>
          <w:rFonts w:ascii="Rockwell" w:hAnsi="Rockwell" w:cs="Times New Roman"/>
          <w:bCs/>
          <w:sz w:val="24"/>
          <w:szCs w:val="24"/>
        </w:rPr>
        <w:t xml:space="preserve"> en ciblant les structures nationales et régionales les mieux habilitées à mettre en œuvre les orientations stratégiques du PNDES</w:t>
      </w:r>
      <w:r w:rsidR="00DC2943" w:rsidRPr="00422183">
        <w:rPr>
          <w:rFonts w:ascii="Rockwell" w:hAnsi="Rockwell" w:cs="Times New Roman"/>
          <w:bCs/>
          <w:sz w:val="24"/>
          <w:szCs w:val="24"/>
        </w:rPr>
        <w:t xml:space="preserve">, (iii) </w:t>
      </w:r>
      <w:r w:rsidRPr="00422183">
        <w:rPr>
          <w:rFonts w:ascii="Rockwell" w:hAnsi="Rockwell" w:cs="Times New Roman"/>
          <w:bCs/>
          <w:sz w:val="24"/>
          <w:szCs w:val="24"/>
        </w:rPr>
        <w:t>l'opérationnalisation des instruments de planification et de programmation, en mettant l'accent sur le lien entre les perspectives de long terme et celles de moyen terme, et entre ces dernières et les exercices budgétaires annuels</w:t>
      </w:r>
      <w:r w:rsidR="00DC2943" w:rsidRPr="00422183">
        <w:rPr>
          <w:rFonts w:ascii="Rockwell" w:hAnsi="Rockwell" w:cs="Times New Roman"/>
          <w:bCs/>
          <w:sz w:val="24"/>
          <w:szCs w:val="24"/>
        </w:rPr>
        <w:t xml:space="preserve">, (iv) </w:t>
      </w:r>
      <w:r w:rsidRPr="00422183">
        <w:rPr>
          <w:rFonts w:ascii="Rockwell" w:hAnsi="Rockwell" w:cs="Times New Roman"/>
          <w:bCs/>
          <w:sz w:val="24"/>
          <w:szCs w:val="24"/>
        </w:rPr>
        <w:t>la maîtrise des outils de suivi des résultats des politiques publiques, notamment des progrès en matière d'atteinte des principales cibles d</w:t>
      </w:r>
      <w:r w:rsidR="00DC2943" w:rsidRPr="00422183">
        <w:rPr>
          <w:rFonts w:ascii="Rockwell" w:hAnsi="Rockwell" w:cs="Times New Roman"/>
          <w:bCs/>
          <w:sz w:val="24"/>
          <w:szCs w:val="24"/>
        </w:rPr>
        <w:t xml:space="preserve">u PNDES, (v) </w:t>
      </w:r>
      <w:r w:rsidRPr="00422183">
        <w:rPr>
          <w:rFonts w:ascii="Rockwell" w:hAnsi="Rockwell" w:cs="Times New Roman"/>
          <w:bCs/>
          <w:sz w:val="24"/>
          <w:szCs w:val="24"/>
        </w:rPr>
        <w:t>la redynamisation du cadre de dialogue des politique</w:t>
      </w:r>
      <w:r w:rsidR="006C0A40" w:rsidRPr="00422183">
        <w:rPr>
          <w:rFonts w:ascii="Rockwell" w:hAnsi="Rockwell" w:cs="Times New Roman"/>
          <w:bCs/>
          <w:sz w:val="24"/>
          <w:szCs w:val="24"/>
        </w:rPr>
        <w:t>s</w:t>
      </w:r>
      <w:r w:rsidRPr="00422183">
        <w:rPr>
          <w:rFonts w:ascii="Rockwell" w:hAnsi="Rockwell" w:cs="Times New Roman"/>
          <w:bCs/>
          <w:sz w:val="24"/>
          <w:szCs w:val="24"/>
        </w:rPr>
        <w:t xml:space="preserve"> ainsi que des mécanismes et outils de gestion et de suivi de l'aide publique au développement</w:t>
      </w:r>
      <w:r w:rsidR="00DC2943" w:rsidRPr="00422183">
        <w:rPr>
          <w:rFonts w:ascii="Rockwell" w:hAnsi="Rockwell" w:cs="Times New Roman"/>
          <w:bCs/>
          <w:sz w:val="24"/>
          <w:szCs w:val="24"/>
        </w:rPr>
        <w:t xml:space="preserve">, (vi) </w:t>
      </w:r>
      <w:r w:rsidRPr="00422183">
        <w:rPr>
          <w:rFonts w:ascii="Rockwell" w:hAnsi="Rockwell" w:cs="Times New Roman"/>
          <w:bCs/>
          <w:sz w:val="24"/>
          <w:szCs w:val="24"/>
        </w:rPr>
        <w:t>la lutte contre la pauvreté par l'élargissement de la base sociale de l'économie, en engageant les populations elles-mêmes dans les activités de croissance inclusive</w:t>
      </w:r>
      <w:r w:rsidR="00DC2943" w:rsidRPr="00422183">
        <w:rPr>
          <w:rFonts w:ascii="Rockwell" w:hAnsi="Rockwell" w:cs="Times New Roman"/>
          <w:bCs/>
          <w:sz w:val="24"/>
          <w:szCs w:val="24"/>
        </w:rPr>
        <w:t xml:space="preserve">, (vii) </w:t>
      </w:r>
      <w:r w:rsidRPr="00422183">
        <w:rPr>
          <w:rFonts w:ascii="Rockwell" w:hAnsi="Rockwell" w:cs="Times New Roman"/>
          <w:bCs/>
          <w:sz w:val="24"/>
          <w:szCs w:val="24"/>
        </w:rPr>
        <w:t>l'approfondissement de l'approche du développement durable par le renforcement de la gouvernance environnementale et l'intégration de la perspective de l'économie verte dans les politiques de développement.</w:t>
      </w:r>
    </w:p>
    <w:p w:rsidR="00FD4501" w:rsidRPr="00422183" w:rsidRDefault="00FD4501" w:rsidP="003A0820">
      <w:pPr>
        <w:spacing w:after="0" w:line="240" w:lineRule="auto"/>
        <w:jc w:val="both"/>
        <w:rPr>
          <w:rFonts w:ascii="Rockwell" w:hAnsi="Rockwell" w:cs="Times New Roman"/>
          <w:bCs/>
          <w:sz w:val="24"/>
          <w:szCs w:val="24"/>
        </w:rPr>
      </w:pPr>
    </w:p>
    <w:p w:rsidR="00FD4501" w:rsidRPr="00422183" w:rsidRDefault="00FD4501" w:rsidP="003A0820">
      <w:pPr>
        <w:pStyle w:val="Corpsdetexte2"/>
        <w:spacing w:after="0" w:line="240" w:lineRule="auto"/>
        <w:jc w:val="both"/>
        <w:rPr>
          <w:rFonts w:ascii="Rockwell" w:hAnsi="Rockwell"/>
        </w:rPr>
      </w:pPr>
      <w:r w:rsidRPr="00422183">
        <w:rPr>
          <w:rFonts w:ascii="Rockwell" w:hAnsi="Rockwell"/>
        </w:rPr>
        <w:t>S'imprégnant de cette approche, les principes-directeurs formulés pour guider la mise en œuvre du PNDES sont : (i) le leadership national, (ii) l'équité, (iii) la subsidiarité et le partenar</w:t>
      </w:r>
      <w:r w:rsidR="00332E07" w:rsidRPr="00422183">
        <w:rPr>
          <w:rFonts w:ascii="Rockwell" w:hAnsi="Rockwell"/>
        </w:rPr>
        <w:t xml:space="preserve">iat, (iv) la </w:t>
      </w:r>
      <w:r w:rsidRPr="00422183">
        <w:rPr>
          <w:rFonts w:ascii="Rockwell" w:hAnsi="Rockwell"/>
        </w:rPr>
        <w:t>G</w:t>
      </w:r>
      <w:r w:rsidR="00E73D2E" w:rsidRPr="00422183">
        <w:rPr>
          <w:rFonts w:ascii="Rockwell" w:hAnsi="Rockwell"/>
        </w:rPr>
        <w:t>estion axée sur les résultats (GAR)</w:t>
      </w:r>
      <w:r w:rsidRPr="00422183">
        <w:rPr>
          <w:rFonts w:ascii="Rockwell" w:hAnsi="Rockwell"/>
        </w:rPr>
        <w:t xml:space="preserve"> et (v) la proactivité.</w:t>
      </w:r>
    </w:p>
    <w:p w:rsidR="00FD4501" w:rsidRPr="00422183" w:rsidRDefault="00FD4501" w:rsidP="003A0820">
      <w:pPr>
        <w:spacing w:after="0" w:line="240" w:lineRule="auto"/>
        <w:jc w:val="both"/>
        <w:rPr>
          <w:rFonts w:ascii="Rockwell" w:hAnsi="Rockwell" w:cs="Times New Roman"/>
          <w:sz w:val="24"/>
          <w:szCs w:val="24"/>
        </w:rPr>
      </w:pPr>
    </w:p>
    <w:p w:rsidR="00FD4501" w:rsidRPr="00422183" w:rsidRDefault="00FD4501" w:rsidP="003A0820">
      <w:pPr>
        <w:pStyle w:val="PNDES3"/>
        <w:rPr>
          <w:rFonts w:ascii="Rockwell" w:hAnsi="Rockwell"/>
        </w:rPr>
      </w:pPr>
      <w:bookmarkStart w:id="208" w:name="_Toc452994166"/>
      <w:bookmarkStart w:id="209" w:name="_Toc452994614"/>
      <w:bookmarkStart w:id="210" w:name="_Toc452995054"/>
      <w:bookmarkStart w:id="211" w:name="_Toc453160755"/>
      <w:bookmarkStart w:id="212" w:name="_Toc455132741"/>
      <w:r w:rsidRPr="00422183">
        <w:rPr>
          <w:rFonts w:ascii="Rockwell" w:hAnsi="Rockwell"/>
        </w:rPr>
        <w:t>Leadership national</w:t>
      </w:r>
      <w:bookmarkEnd w:id="208"/>
      <w:bookmarkEnd w:id="209"/>
      <w:bookmarkEnd w:id="210"/>
      <w:bookmarkEnd w:id="211"/>
      <w:bookmarkEnd w:id="212"/>
    </w:p>
    <w:p w:rsidR="00FD4501" w:rsidRPr="00422183" w:rsidRDefault="00FD4501" w:rsidP="003A0820">
      <w:pPr>
        <w:spacing w:after="0" w:line="240" w:lineRule="auto"/>
        <w:jc w:val="both"/>
        <w:rPr>
          <w:rFonts w:ascii="Rockwell" w:hAnsi="Rockwell" w:cs="Times New Roman"/>
          <w:sz w:val="24"/>
          <w:szCs w:val="24"/>
        </w:rPr>
      </w:pPr>
    </w:p>
    <w:p w:rsidR="00FD4501" w:rsidRPr="00422183" w:rsidRDefault="00FD4501"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La mise en œuvre du PNDES se fera sous le leadership du gouvernement à travers </w:t>
      </w:r>
      <w:r w:rsidR="0064622D" w:rsidRPr="00422183">
        <w:rPr>
          <w:rFonts w:ascii="Rockwell" w:hAnsi="Rockwell" w:cs="Times New Roman"/>
          <w:sz w:val="24"/>
          <w:szCs w:val="24"/>
        </w:rPr>
        <w:t>l</w:t>
      </w:r>
      <w:r w:rsidR="00825457" w:rsidRPr="00422183">
        <w:rPr>
          <w:rFonts w:ascii="Rockwell" w:hAnsi="Rockwell" w:cs="Times New Roman"/>
          <w:sz w:val="24"/>
          <w:szCs w:val="24"/>
        </w:rPr>
        <w:t xml:space="preserve">a définition et la mise en œuvre des orientations claires de développement, le </w:t>
      </w:r>
      <w:r w:rsidR="0064622D" w:rsidRPr="00422183">
        <w:rPr>
          <w:rFonts w:ascii="Rockwell" w:hAnsi="Rockwell" w:cs="Times New Roman"/>
          <w:sz w:val="24"/>
          <w:szCs w:val="24"/>
        </w:rPr>
        <w:t>financement</w:t>
      </w:r>
      <w:r w:rsidR="00825457" w:rsidRPr="00422183">
        <w:rPr>
          <w:rFonts w:ascii="Rockwell" w:hAnsi="Rockwell" w:cs="Times New Roman"/>
          <w:sz w:val="24"/>
          <w:szCs w:val="24"/>
        </w:rPr>
        <w:t xml:space="preserve"> d</w:t>
      </w:r>
      <w:r w:rsidR="006C72DE" w:rsidRPr="00422183">
        <w:rPr>
          <w:rFonts w:ascii="Rockwell" w:hAnsi="Rockwell" w:cs="Times New Roman"/>
          <w:sz w:val="24"/>
          <w:szCs w:val="24"/>
        </w:rPr>
        <w:t>'</w:t>
      </w:r>
      <w:r w:rsidR="00825457" w:rsidRPr="00422183">
        <w:rPr>
          <w:rFonts w:ascii="Rockwell" w:hAnsi="Rockwell" w:cs="Times New Roman"/>
          <w:sz w:val="24"/>
          <w:szCs w:val="24"/>
        </w:rPr>
        <w:t>une grande partie des actions</w:t>
      </w:r>
      <w:r w:rsidR="0064622D" w:rsidRPr="00422183">
        <w:rPr>
          <w:rFonts w:ascii="Rockwell" w:hAnsi="Rockwell" w:cs="Times New Roman"/>
          <w:sz w:val="24"/>
          <w:szCs w:val="24"/>
        </w:rPr>
        <w:t xml:space="preserve"> par ressources propres</w:t>
      </w:r>
      <w:r w:rsidR="00825457" w:rsidRPr="00422183">
        <w:rPr>
          <w:rFonts w:ascii="Rockwell" w:hAnsi="Rockwell" w:cs="Times New Roman"/>
          <w:sz w:val="24"/>
          <w:szCs w:val="24"/>
        </w:rPr>
        <w:t xml:space="preserve">, le cadrage des appuis des </w:t>
      </w:r>
      <w:r w:rsidR="001544E6" w:rsidRPr="00422183">
        <w:rPr>
          <w:rFonts w:ascii="Rockwell" w:hAnsi="Rockwell" w:cs="Times New Roman"/>
          <w:sz w:val="24"/>
          <w:szCs w:val="24"/>
        </w:rPr>
        <w:t>PTF</w:t>
      </w:r>
      <w:r w:rsidR="00825457" w:rsidRPr="00422183">
        <w:rPr>
          <w:rFonts w:ascii="Rockwell" w:hAnsi="Rockwell" w:cs="Times New Roman"/>
          <w:sz w:val="24"/>
          <w:szCs w:val="24"/>
        </w:rPr>
        <w:t xml:space="preserve"> sur les priorités de développement retenues dans le PNDES</w:t>
      </w:r>
      <w:r w:rsidR="006C0A40" w:rsidRPr="00422183">
        <w:rPr>
          <w:rFonts w:ascii="Rockwell" w:hAnsi="Rockwell" w:cs="Times New Roman"/>
          <w:sz w:val="24"/>
          <w:szCs w:val="24"/>
        </w:rPr>
        <w:t xml:space="preserve"> </w:t>
      </w:r>
      <w:r w:rsidR="0064622D" w:rsidRPr="00422183">
        <w:rPr>
          <w:rFonts w:ascii="Rockwell" w:hAnsi="Rockwell" w:cs="Times New Roman"/>
          <w:sz w:val="24"/>
          <w:szCs w:val="24"/>
        </w:rPr>
        <w:t xml:space="preserve">et la participation des communautés </w:t>
      </w:r>
      <w:r w:rsidR="00D40BE0" w:rsidRPr="00422183">
        <w:rPr>
          <w:rFonts w:ascii="Rockwell" w:hAnsi="Rockwell" w:cs="Times New Roman"/>
          <w:sz w:val="24"/>
          <w:szCs w:val="24"/>
        </w:rPr>
        <w:t xml:space="preserve">dans la conception, </w:t>
      </w:r>
      <w:r w:rsidR="0064622D" w:rsidRPr="00422183">
        <w:rPr>
          <w:rFonts w:ascii="Rockwell" w:hAnsi="Rockwell" w:cs="Times New Roman"/>
          <w:sz w:val="24"/>
          <w:szCs w:val="24"/>
        </w:rPr>
        <w:t>la mise en œuvr</w:t>
      </w:r>
      <w:r w:rsidR="00D40BE0" w:rsidRPr="00422183">
        <w:rPr>
          <w:rFonts w:ascii="Rockwell" w:hAnsi="Rockwell" w:cs="Times New Roman"/>
          <w:sz w:val="24"/>
          <w:szCs w:val="24"/>
        </w:rPr>
        <w:t>e, le suivi et l’évaluation</w:t>
      </w:r>
      <w:r w:rsidR="0064622D" w:rsidRPr="00422183">
        <w:rPr>
          <w:rFonts w:ascii="Rockwell" w:hAnsi="Rockwell" w:cs="Times New Roman"/>
          <w:sz w:val="24"/>
          <w:szCs w:val="24"/>
        </w:rPr>
        <w:t xml:space="preserve"> </w:t>
      </w:r>
      <w:r w:rsidR="00355108" w:rsidRPr="00422183">
        <w:rPr>
          <w:rFonts w:ascii="Rockwell" w:hAnsi="Rockwell" w:cs="Times New Roman"/>
          <w:sz w:val="24"/>
          <w:szCs w:val="24"/>
        </w:rPr>
        <w:t xml:space="preserve">des programmes et </w:t>
      </w:r>
      <w:r w:rsidR="0064622D" w:rsidRPr="00422183">
        <w:rPr>
          <w:rFonts w:ascii="Rockwell" w:hAnsi="Rockwell" w:cs="Times New Roman"/>
          <w:sz w:val="24"/>
          <w:szCs w:val="24"/>
        </w:rPr>
        <w:t>des actions</w:t>
      </w:r>
      <w:r w:rsidR="00F557FE" w:rsidRPr="00422183">
        <w:rPr>
          <w:rFonts w:ascii="Rockwell" w:hAnsi="Rockwell" w:cs="Times New Roman"/>
          <w:sz w:val="24"/>
          <w:szCs w:val="24"/>
        </w:rPr>
        <w:t xml:space="preserve"> </w:t>
      </w:r>
      <w:r w:rsidRPr="00422183">
        <w:rPr>
          <w:rFonts w:ascii="Rockwell" w:hAnsi="Rockwell" w:cs="Times New Roman"/>
          <w:sz w:val="24"/>
          <w:szCs w:val="24"/>
        </w:rPr>
        <w:t>conduites par les institutions nationales, les départements ministériels, les collectivités territoriales et les autres structures étatiques.</w:t>
      </w:r>
    </w:p>
    <w:p w:rsidR="00B453FA" w:rsidRPr="00422183" w:rsidRDefault="00B453FA" w:rsidP="003A0820">
      <w:pPr>
        <w:spacing w:after="0" w:line="240" w:lineRule="auto"/>
        <w:jc w:val="both"/>
        <w:rPr>
          <w:rFonts w:ascii="Rockwell" w:hAnsi="Rockwell" w:cs="Times New Roman"/>
          <w:sz w:val="24"/>
          <w:szCs w:val="24"/>
        </w:rPr>
      </w:pPr>
    </w:p>
    <w:p w:rsidR="00AC5371" w:rsidRPr="00422183" w:rsidRDefault="00FD4501"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Ce leadership sera assuré</w:t>
      </w:r>
      <w:r w:rsidR="00825457" w:rsidRPr="00422183">
        <w:rPr>
          <w:rFonts w:ascii="Rockwell" w:hAnsi="Rockwell" w:cs="Times New Roman"/>
          <w:sz w:val="24"/>
          <w:szCs w:val="24"/>
        </w:rPr>
        <w:t xml:space="preserve"> à travers la tenue permanente des cadres de dialogue nationaux et régionaux</w:t>
      </w:r>
      <w:r w:rsidRPr="00422183">
        <w:rPr>
          <w:rFonts w:ascii="Rockwell" w:hAnsi="Rockwell" w:cs="Times New Roman"/>
          <w:sz w:val="24"/>
          <w:szCs w:val="24"/>
        </w:rPr>
        <w:t xml:space="preserve"> pour qu'un véritable engouement soit maintenu en vue de la prise en compte constante des aspirations des populations.</w:t>
      </w: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pStyle w:val="PNDES3"/>
        <w:rPr>
          <w:rFonts w:ascii="Rockwell" w:hAnsi="Rockwell"/>
        </w:rPr>
      </w:pPr>
      <w:bookmarkStart w:id="213" w:name="_Toc452994167"/>
      <w:bookmarkStart w:id="214" w:name="_Toc452994615"/>
      <w:bookmarkStart w:id="215" w:name="_Toc452995055"/>
      <w:bookmarkStart w:id="216" w:name="_Toc453160756"/>
      <w:bookmarkStart w:id="217" w:name="_Toc455132742"/>
      <w:r w:rsidRPr="00422183">
        <w:rPr>
          <w:rFonts w:ascii="Rockwell" w:hAnsi="Rockwell"/>
        </w:rPr>
        <w:t>Équité</w:t>
      </w:r>
      <w:bookmarkEnd w:id="213"/>
      <w:bookmarkEnd w:id="214"/>
      <w:bookmarkEnd w:id="215"/>
      <w:bookmarkEnd w:id="216"/>
      <w:r w:rsidR="005421EA" w:rsidRPr="00422183">
        <w:rPr>
          <w:rFonts w:ascii="Rockwell" w:hAnsi="Rockwell"/>
        </w:rPr>
        <w:t xml:space="preserve"> et genre</w:t>
      </w:r>
      <w:bookmarkEnd w:id="217"/>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r w:rsidRPr="00422183">
        <w:rPr>
          <w:rFonts w:ascii="Rockwell" w:hAnsi="Rockwell" w:cs="Times New Roman"/>
          <w:sz w:val="24"/>
          <w:szCs w:val="24"/>
        </w:rPr>
        <w:t>L'élaboration du PNDES a été participative et inclusive, par l'implication effective de toutes les parties prenantes au développement économique et social au pl</w:t>
      </w:r>
      <w:r w:rsidR="00DA5AD6" w:rsidRPr="00422183">
        <w:rPr>
          <w:rFonts w:ascii="Rockwell" w:hAnsi="Rockwell" w:cs="Times New Roman"/>
          <w:sz w:val="24"/>
          <w:szCs w:val="24"/>
        </w:rPr>
        <w:t>a</w:t>
      </w:r>
      <w:r w:rsidRPr="00422183">
        <w:rPr>
          <w:rFonts w:ascii="Rockwell" w:hAnsi="Rockwell" w:cs="Times New Roman"/>
          <w:sz w:val="24"/>
          <w:szCs w:val="24"/>
        </w:rPr>
        <w:t xml:space="preserve">n national et régional. Cette démarche sera poursuivie dans </w:t>
      </w:r>
      <w:r w:rsidR="001F2939" w:rsidRPr="00422183">
        <w:rPr>
          <w:rFonts w:ascii="Rockwell" w:hAnsi="Rockwell" w:cs="Times New Roman"/>
          <w:sz w:val="24"/>
          <w:szCs w:val="24"/>
        </w:rPr>
        <w:t>s</w:t>
      </w:r>
      <w:r w:rsidRPr="00422183">
        <w:rPr>
          <w:rFonts w:ascii="Rockwell" w:hAnsi="Rockwell" w:cs="Times New Roman"/>
          <w:sz w:val="24"/>
          <w:szCs w:val="24"/>
        </w:rPr>
        <w:t xml:space="preserve">a mise en œuvre, </w:t>
      </w:r>
      <w:r w:rsidR="001F2939" w:rsidRPr="00422183">
        <w:rPr>
          <w:rFonts w:ascii="Rockwell" w:hAnsi="Rockwell" w:cs="Times New Roman"/>
          <w:sz w:val="24"/>
          <w:szCs w:val="24"/>
        </w:rPr>
        <w:t xml:space="preserve">à travers </w:t>
      </w:r>
      <w:r w:rsidRPr="00422183">
        <w:rPr>
          <w:rFonts w:ascii="Rockwell" w:hAnsi="Rockwell" w:cs="Times New Roman"/>
          <w:sz w:val="24"/>
          <w:szCs w:val="24"/>
        </w:rPr>
        <w:t xml:space="preserve">une approche </w:t>
      </w:r>
      <w:r w:rsidR="001F2939" w:rsidRPr="00422183">
        <w:rPr>
          <w:rFonts w:ascii="Rockwell" w:hAnsi="Rockwell" w:cs="Times New Roman"/>
          <w:sz w:val="24"/>
          <w:szCs w:val="24"/>
        </w:rPr>
        <w:t>de partenariat</w:t>
      </w:r>
      <w:r w:rsidRPr="00422183">
        <w:rPr>
          <w:rFonts w:ascii="Rockwell" w:hAnsi="Rockwell" w:cs="Times New Roman"/>
          <w:sz w:val="24"/>
          <w:szCs w:val="24"/>
        </w:rPr>
        <w:t xml:space="preserve">, de promotion du dialogue social, </w:t>
      </w:r>
      <w:r w:rsidR="001F2939" w:rsidRPr="00422183">
        <w:rPr>
          <w:rFonts w:ascii="Rockwell" w:hAnsi="Rockwell" w:cs="Times New Roman"/>
          <w:sz w:val="24"/>
          <w:szCs w:val="24"/>
        </w:rPr>
        <w:t xml:space="preserve">de réduction des inégalités régionales, </w:t>
      </w:r>
      <w:r w:rsidRPr="00422183">
        <w:rPr>
          <w:rFonts w:ascii="Rockwell" w:hAnsi="Rockwell" w:cs="Times New Roman"/>
          <w:sz w:val="24"/>
          <w:szCs w:val="24"/>
        </w:rPr>
        <w:t xml:space="preserve">de développement des capacités de </w:t>
      </w:r>
      <w:r w:rsidR="00510A3E" w:rsidRPr="00422183">
        <w:rPr>
          <w:rFonts w:ascii="Rockwell" w:hAnsi="Rockwell" w:cs="Times New Roman"/>
          <w:sz w:val="24"/>
          <w:szCs w:val="24"/>
        </w:rPr>
        <w:t>résilience</w:t>
      </w:r>
      <w:r w:rsidR="00485711" w:rsidRPr="00422183">
        <w:rPr>
          <w:rFonts w:ascii="Rockwell" w:hAnsi="Rockwell" w:cs="Times New Roman"/>
          <w:sz w:val="24"/>
          <w:szCs w:val="24"/>
        </w:rPr>
        <w:t xml:space="preserve"> </w:t>
      </w:r>
      <w:r w:rsidRPr="00422183">
        <w:rPr>
          <w:rFonts w:ascii="Rockwell" w:hAnsi="Rockwell" w:cs="Times New Roman"/>
          <w:sz w:val="24"/>
          <w:szCs w:val="24"/>
        </w:rPr>
        <w:t>de toutes les couches sociales, surtout les plus vulnérables et d'encouragement de la bonne gouvernance.</w:t>
      </w: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r w:rsidRPr="00422183">
        <w:rPr>
          <w:rFonts w:ascii="Rockwell" w:hAnsi="Rockwell" w:cs="Times New Roman"/>
          <w:sz w:val="24"/>
          <w:szCs w:val="24"/>
        </w:rPr>
        <w:t>La réduction des inégalités sociales, régionales et la solidarité nationale seront le fil conducteur déterminant, pour assurer l'équité intra et intergénérationnelle, la prise en compte du genre, ainsi que la prise en compte des spécificités régionales par la valorisation de leurs potentialités, pour plus d'équité spatiale et de paix sociale.</w:t>
      </w: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r w:rsidRPr="00422183">
        <w:rPr>
          <w:rFonts w:ascii="Rockwell" w:hAnsi="Rockwell" w:cs="Times New Roman"/>
          <w:sz w:val="24"/>
          <w:szCs w:val="24"/>
        </w:rPr>
        <w:t>L'équité sera également un principe-directeur de la mise en œuvre du PNDES, en faveur du développement durable, par la promotion des modes de consommation et de production durables, susceptibles d'améliorer la qualité de vie des populations en milieu urbain comme en milieu rural.</w:t>
      </w:r>
      <w:r w:rsidR="00BE70AB" w:rsidRPr="00422183">
        <w:rPr>
          <w:rFonts w:ascii="Rockwell" w:hAnsi="Rockwell" w:cs="Times New Roman"/>
          <w:sz w:val="24"/>
          <w:szCs w:val="24"/>
        </w:rPr>
        <w:t xml:space="preserve"> L’équité favorisera également une utilisation rationnelle des ressources naturelles et leur contribution à l’économie en tant que capital naturel.</w:t>
      </w: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L'application de ce principe devra se traduire aussi par la prise en compte constante des besoins de sécurité des citoyens et </w:t>
      </w:r>
      <w:r w:rsidR="001F2939" w:rsidRPr="00422183">
        <w:rPr>
          <w:rFonts w:ascii="Rockwell" w:hAnsi="Rockwell" w:cs="Times New Roman"/>
          <w:sz w:val="24"/>
          <w:szCs w:val="24"/>
        </w:rPr>
        <w:t xml:space="preserve">de </w:t>
      </w:r>
      <w:r w:rsidRPr="00422183">
        <w:rPr>
          <w:rFonts w:ascii="Rockwell" w:hAnsi="Rockwell" w:cs="Times New Roman"/>
          <w:sz w:val="24"/>
          <w:szCs w:val="24"/>
        </w:rPr>
        <w:t>primauté du droit.</w:t>
      </w:r>
    </w:p>
    <w:p w:rsidR="0088250C" w:rsidRPr="00422183" w:rsidRDefault="0088250C" w:rsidP="003A0820">
      <w:pPr>
        <w:spacing w:after="0" w:line="240" w:lineRule="auto"/>
        <w:jc w:val="both"/>
        <w:rPr>
          <w:rFonts w:ascii="Rockwell" w:eastAsia="Times New Roman" w:hAnsi="Rockwell" w:cs="ArialNarrow"/>
          <w:bCs/>
          <w:i/>
          <w:iCs/>
          <w:sz w:val="24"/>
          <w:szCs w:val="24"/>
          <w:lang w:bidi="en-US"/>
        </w:rPr>
      </w:pPr>
    </w:p>
    <w:p w:rsidR="00FD4501" w:rsidRPr="00422183" w:rsidRDefault="00FD4501" w:rsidP="00516FB0">
      <w:pPr>
        <w:pStyle w:val="PNDES3"/>
        <w:rPr>
          <w:rFonts w:ascii="Rockwell" w:hAnsi="Rockwell"/>
        </w:rPr>
      </w:pPr>
      <w:bookmarkStart w:id="218" w:name="_Toc452994168"/>
      <w:bookmarkStart w:id="219" w:name="_Toc452994616"/>
      <w:bookmarkStart w:id="220" w:name="_Toc452995056"/>
      <w:bookmarkStart w:id="221" w:name="_Toc453160757"/>
      <w:bookmarkStart w:id="222" w:name="_Toc455132743"/>
      <w:r w:rsidRPr="00422183">
        <w:rPr>
          <w:rFonts w:ascii="Rockwell" w:hAnsi="Rockwell"/>
        </w:rPr>
        <w:t>Subsidiarité et partenariat</w:t>
      </w:r>
      <w:bookmarkEnd w:id="218"/>
      <w:bookmarkEnd w:id="219"/>
      <w:bookmarkEnd w:id="220"/>
      <w:bookmarkEnd w:id="221"/>
      <w:bookmarkEnd w:id="222"/>
    </w:p>
    <w:p w:rsidR="00FD4501" w:rsidRPr="00422183" w:rsidRDefault="00FD4501" w:rsidP="003A0820">
      <w:pPr>
        <w:shd w:val="clear" w:color="auto" w:fill="FFFFFF" w:themeFill="background1"/>
        <w:spacing w:after="0" w:line="240" w:lineRule="auto"/>
        <w:jc w:val="both"/>
        <w:rPr>
          <w:rFonts w:ascii="Rockwell" w:hAnsi="Rockwell" w:cs="Times New Roman"/>
          <w:sz w:val="24"/>
          <w:szCs w:val="24"/>
        </w:rPr>
      </w:pPr>
    </w:p>
    <w:p w:rsidR="00FD4501" w:rsidRPr="00422183" w:rsidRDefault="00FD4501"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Par la prise en compte du principe-directeur de la subsidiarité et du partenariat, la</w:t>
      </w:r>
      <w:r w:rsidR="00BB30EC" w:rsidRPr="00422183">
        <w:rPr>
          <w:rFonts w:ascii="Rockwell" w:eastAsia="Times New Roman" w:hAnsi="Rockwell" w:cs="Times New Roman"/>
          <w:sz w:val="24"/>
          <w:szCs w:val="24"/>
        </w:rPr>
        <w:t xml:space="preserve"> </w:t>
      </w:r>
      <w:r w:rsidRPr="00422183">
        <w:rPr>
          <w:rFonts w:ascii="Rockwell" w:eastAsia="Times New Roman" w:hAnsi="Rockwell" w:cs="Times New Roman"/>
          <w:sz w:val="24"/>
          <w:szCs w:val="24"/>
        </w:rPr>
        <w:t>mise en œuvre du PNDES conduira à ce que l'État ne se substitue pas à un partenaire</w:t>
      </w:r>
      <w:r w:rsidR="00BB30EC" w:rsidRPr="00422183">
        <w:rPr>
          <w:rFonts w:ascii="Rockwell" w:eastAsia="Times New Roman" w:hAnsi="Rockwell" w:cs="Times New Roman"/>
          <w:sz w:val="24"/>
          <w:szCs w:val="24"/>
        </w:rPr>
        <w:t xml:space="preserve"> </w:t>
      </w:r>
      <w:r w:rsidRPr="00422183">
        <w:rPr>
          <w:rFonts w:ascii="Rockwell" w:eastAsia="Times New Roman" w:hAnsi="Rockwell" w:cs="Times New Roman"/>
          <w:sz w:val="24"/>
          <w:szCs w:val="24"/>
        </w:rPr>
        <w:t>à même de mieux exécuter une tâche que lui. Le PNDES conçoit ainsi un État incitateur mais, susceptible d'intervenir directement dans la sphère de production économique, pour des raisons stratégiques et dans une recherche</w:t>
      </w:r>
      <w:r w:rsidR="001F2939" w:rsidRPr="00422183">
        <w:rPr>
          <w:rFonts w:ascii="Rockwell" w:eastAsia="Times New Roman" w:hAnsi="Rockwell" w:cs="Times New Roman"/>
          <w:sz w:val="24"/>
          <w:szCs w:val="24"/>
        </w:rPr>
        <w:t xml:space="preserve"> de</w:t>
      </w:r>
      <w:r w:rsidRPr="00422183">
        <w:rPr>
          <w:rFonts w:ascii="Rockwell" w:eastAsia="Times New Roman" w:hAnsi="Rockwell" w:cs="Times New Roman"/>
          <w:sz w:val="24"/>
          <w:szCs w:val="24"/>
        </w:rPr>
        <w:t xml:space="preserve"> combinaison optimale entre faire et faire-faire.</w:t>
      </w:r>
    </w:p>
    <w:p w:rsidR="00FD4501" w:rsidRPr="00422183" w:rsidRDefault="00FD4501" w:rsidP="003A0820">
      <w:pPr>
        <w:spacing w:after="0" w:line="240" w:lineRule="auto"/>
        <w:jc w:val="both"/>
        <w:rPr>
          <w:rFonts w:ascii="Rockwell" w:eastAsia="Times New Roman" w:hAnsi="Rockwell" w:cs="Times New Roman"/>
          <w:sz w:val="24"/>
          <w:szCs w:val="24"/>
        </w:rPr>
      </w:pPr>
    </w:p>
    <w:p w:rsidR="00FD4501" w:rsidRPr="00422183" w:rsidRDefault="00FD4501"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 xml:space="preserve">En conséquence, ce principe devra se matérialiser par l'implication judicieuse des acteurs des collectivités </w:t>
      </w:r>
      <w:r w:rsidR="00BB30EC" w:rsidRPr="00422183">
        <w:rPr>
          <w:rFonts w:ascii="Rockwell" w:eastAsia="Times New Roman" w:hAnsi="Rockwell" w:cs="Times New Roman"/>
          <w:sz w:val="24"/>
          <w:szCs w:val="24"/>
        </w:rPr>
        <w:t>territoriales, du secteur privé à travers le renforcement du partenariat public privé</w:t>
      </w:r>
      <w:r w:rsidR="00335DA7" w:rsidRPr="00422183">
        <w:rPr>
          <w:rFonts w:ascii="Rockwell" w:eastAsia="Times New Roman" w:hAnsi="Rockwell" w:cs="Times New Roman"/>
          <w:sz w:val="24"/>
          <w:szCs w:val="24"/>
        </w:rPr>
        <w:t xml:space="preserve"> (PPP), </w:t>
      </w:r>
      <w:r w:rsidRPr="00422183">
        <w:rPr>
          <w:rFonts w:ascii="Rockwell" w:eastAsia="Times New Roman" w:hAnsi="Rockwell" w:cs="Times New Roman"/>
          <w:sz w:val="24"/>
          <w:szCs w:val="24"/>
        </w:rPr>
        <w:t xml:space="preserve">de la société civile et des </w:t>
      </w:r>
      <w:r w:rsidR="00F52FA4" w:rsidRPr="00422183">
        <w:rPr>
          <w:rFonts w:ascii="Rockwell" w:eastAsia="Times New Roman" w:hAnsi="Rockwell" w:cs="Times New Roman"/>
          <w:sz w:val="24"/>
          <w:szCs w:val="24"/>
        </w:rPr>
        <w:t>p</w:t>
      </w:r>
      <w:r w:rsidR="001F2939" w:rsidRPr="00422183">
        <w:rPr>
          <w:rFonts w:ascii="Rockwell" w:eastAsia="Times New Roman" w:hAnsi="Rockwell" w:cs="Times New Roman"/>
          <w:sz w:val="24"/>
          <w:szCs w:val="24"/>
        </w:rPr>
        <w:t xml:space="preserve">artenaires </w:t>
      </w:r>
      <w:r w:rsidR="00F52FA4" w:rsidRPr="00422183">
        <w:rPr>
          <w:rFonts w:ascii="Rockwell" w:eastAsia="Times New Roman" w:hAnsi="Rockwell" w:cs="Times New Roman"/>
          <w:sz w:val="24"/>
          <w:szCs w:val="24"/>
        </w:rPr>
        <w:t>t</w:t>
      </w:r>
      <w:r w:rsidR="001F2939" w:rsidRPr="00422183">
        <w:rPr>
          <w:rFonts w:ascii="Rockwell" w:eastAsia="Times New Roman" w:hAnsi="Rockwell" w:cs="Times New Roman"/>
          <w:sz w:val="24"/>
          <w:szCs w:val="24"/>
        </w:rPr>
        <w:t>echnique</w:t>
      </w:r>
      <w:r w:rsidR="00F52FA4" w:rsidRPr="00422183">
        <w:rPr>
          <w:rFonts w:ascii="Rockwell" w:eastAsia="Times New Roman" w:hAnsi="Rockwell" w:cs="Times New Roman"/>
          <w:sz w:val="24"/>
          <w:szCs w:val="24"/>
        </w:rPr>
        <w:t>s</w:t>
      </w:r>
      <w:r w:rsidR="001F2939" w:rsidRPr="00422183">
        <w:rPr>
          <w:rFonts w:ascii="Rockwell" w:eastAsia="Times New Roman" w:hAnsi="Rockwell" w:cs="Times New Roman"/>
          <w:sz w:val="24"/>
          <w:szCs w:val="24"/>
        </w:rPr>
        <w:t xml:space="preserve"> et </w:t>
      </w:r>
      <w:r w:rsidR="00F52FA4" w:rsidRPr="00422183">
        <w:rPr>
          <w:rFonts w:ascii="Rockwell" w:eastAsia="Times New Roman" w:hAnsi="Rockwell" w:cs="Times New Roman"/>
          <w:sz w:val="24"/>
          <w:szCs w:val="24"/>
        </w:rPr>
        <w:t>f</w:t>
      </w:r>
      <w:r w:rsidR="001F2939" w:rsidRPr="00422183">
        <w:rPr>
          <w:rFonts w:ascii="Rockwell" w:eastAsia="Times New Roman" w:hAnsi="Rockwell" w:cs="Times New Roman"/>
          <w:sz w:val="24"/>
          <w:szCs w:val="24"/>
        </w:rPr>
        <w:t>inanciers</w:t>
      </w:r>
      <w:r w:rsidRPr="00422183">
        <w:rPr>
          <w:rFonts w:ascii="Rockwell" w:eastAsia="Times New Roman" w:hAnsi="Rockwell" w:cs="Times New Roman"/>
          <w:sz w:val="24"/>
          <w:szCs w:val="24"/>
        </w:rPr>
        <w:t>, dans l'exécution des actions retenues.</w:t>
      </w:r>
    </w:p>
    <w:p w:rsidR="00FD4501" w:rsidRPr="00422183" w:rsidRDefault="00FD4501" w:rsidP="003A0820">
      <w:pPr>
        <w:spacing w:after="0" w:line="240" w:lineRule="auto"/>
        <w:jc w:val="both"/>
        <w:rPr>
          <w:rFonts w:ascii="Rockwell" w:eastAsia="Times New Roman" w:hAnsi="Rockwell" w:cs="Times New Roman"/>
          <w:sz w:val="24"/>
          <w:szCs w:val="24"/>
        </w:rPr>
      </w:pPr>
    </w:p>
    <w:p w:rsidR="00FD4501" w:rsidRPr="00422183" w:rsidRDefault="00332E07" w:rsidP="003A0820">
      <w:pPr>
        <w:pStyle w:val="PNDES3"/>
        <w:rPr>
          <w:rFonts w:ascii="Rockwell" w:hAnsi="Rockwell"/>
        </w:rPr>
      </w:pPr>
      <w:bookmarkStart w:id="223" w:name="_Toc452994169"/>
      <w:bookmarkStart w:id="224" w:name="_Toc452994617"/>
      <w:bookmarkStart w:id="225" w:name="_Toc452995057"/>
      <w:bookmarkStart w:id="226" w:name="_Toc453160758"/>
      <w:bookmarkStart w:id="227" w:name="_Toc455132744"/>
      <w:r w:rsidRPr="00422183">
        <w:rPr>
          <w:rFonts w:ascii="Rockwell" w:hAnsi="Rockwell"/>
        </w:rPr>
        <w:t>G</w:t>
      </w:r>
      <w:r w:rsidR="00002229" w:rsidRPr="00422183">
        <w:rPr>
          <w:rFonts w:ascii="Rockwell" w:hAnsi="Rockwell"/>
        </w:rPr>
        <w:t xml:space="preserve">estion </w:t>
      </w:r>
      <w:r w:rsidR="00FD4501" w:rsidRPr="00422183">
        <w:rPr>
          <w:rFonts w:ascii="Rockwell" w:hAnsi="Rockwell"/>
        </w:rPr>
        <w:t>A</w:t>
      </w:r>
      <w:r w:rsidR="00002229" w:rsidRPr="00422183">
        <w:rPr>
          <w:rFonts w:ascii="Rockwell" w:hAnsi="Rockwell"/>
        </w:rPr>
        <w:t xml:space="preserve">xée sur les </w:t>
      </w:r>
      <w:r w:rsidR="00FD4501" w:rsidRPr="00422183">
        <w:rPr>
          <w:rFonts w:ascii="Rockwell" w:hAnsi="Rockwell"/>
        </w:rPr>
        <w:t>R</w:t>
      </w:r>
      <w:bookmarkEnd w:id="223"/>
      <w:bookmarkEnd w:id="224"/>
      <w:bookmarkEnd w:id="225"/>
      <w:bookmarkEnd w:id="226"/>
      <w:r w:rsidR="00002229" w:rsidRPr="00422183">
        <w:rPr>
          <w:rFonts w:ascii="Rockwell" w:hAnsi="Rockwell"/>
        </w:rPr>
        <w:t>ésultats</w:t>
      </w:r>
      <w:bookmarkEnd w:id="227"/>
      <w:r w:rsidR="00002229" w:rsidRPr="00422183">
        <w:rPr>
          <w:rFonts w:ascii="Rockwell" w:hAnsi="Rockwell"/>
        </w:rPr>
        <w:t xml:space="preserve"> </w:t>
      </w:r>
    </w:p>
    <w:p w:rsidR="00FD4501" w:rsidRPr="00422183" w:rsidRDefault="00FD4501" w:rsidP="003A0820">
      <w:pPr>
        <w:spacing w:after="0" w:line="240" w:lineRule="auto"/>
        <w:jc w:val="both"/>
        <w:rPr>
          <w:rFonts w:ascii="Rockwell" w:eastAsia="Times New Roman" w:hAnsi="Rockwell" w:cs="Times New Roman"/>
          <w:sz w:val="24"/>
          <w:szCs w:val="24"/>
        </w:rPr>
      </w:pPr>
    </w:p>
    <w:p w:rsidR="00FD4501" w:rsidRPr="00422183" w:rsidRDefault="00E73D2E"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 xml:space="preserve">La GAR </w:t>
      </w:r>
      <w:r w:rsidR="00FD4501" w:rsidRPr="00422183">
        <w:rPr>
          <w:rFonts w:ascii="Rockwell" w:eastAsia="Times New Roman" w:hAnsi="Rockwell" w:cs="Times New Roman"/>
          <w:sz w:val="24"/>
          <w:szCs w:val="24"/>
        </w:rPr>
        <w:t>est une approche utilisé</w:t>
      </w:r>
      <w:r w:rsidR="00826F08" w:rsidRPr="00422183">
        <w:rPr>
          <w:rFonts w:ascii="Rockwell" w:eastAsia="Times New Roman" w:hAnsi="Rockwell" w:cs="Times New Roman"/>
          <w:sz w:val="24"/>
          <w:szCs w:val="24"/>
        </w:rPr>
        <w:t>e</w:t>
      </w:r>
      <w:r w:rsidR="00FD4501" w:rsidRPr="00422183">
        <w:rPr>
          <w:rFonts w:ascii="Rockwell" w:eastAsia="Times New Roman" w:hAnsi="Rockwell" w:cs="Times New Roman"/>
          <w:sz w:val="24"/>
          <w:szCs w:val="24"/>
        </w:rPr>
        <w:t xml:space="preserve"> pour améliorer l'efficacité et les pratiques relatives à l'obligation de rendre compte en matière de planification, de mise en œuvre, de suivi et d'évaluation des politiques publiques, en mettant l'accent sur l'atteinte de résultats concrets et réalistes.</w:t>
      </w:r>
    </w:p>
    <w:p w:rsidR="00FD4501" w:rsidRPr="00422183" w:rsidRDefault="00FD4501" w:rsidP="003A0820">
      <w:pPr>
        <w:spacing w:after="0" w:line="240" w:lineRule="auto"/>
        <w:jc w:val="both"/>
        <w:rPr>
          <w:rFonts w:ascii="Rockwell" w:eastAsia="Times New Roman" w:hAnsi="Rockwell" w:cs="Times New Roman"/>
          <w:sz w:val="24"/>
          <w:szCs w:val="24"/>
        </w:rPr>
      </w:pPr>
    </w:p>
    <w:p w:rsidR="00FD4501" w:rsidRPr="00422183" w:rsidRDefault="00FD4501"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En outre, la transparence et la reddition des comptes, éléments fondamentaux de la GAR, sont essentielles dans l'obtention des résultats de développement en ce sens qu'elles permettent d'instaurer un climat de confiance et de garantir la pleine participation des acteurs à la réalisation des objectifs définis.</w:t>
      </w:r>
    </w:p>
    <w:p w:rsidR="00FD4501" w:rsidRPr="00422183" w:rsidRDefault="00FD4501" w:rsidP="003A0820">
      <w:pPr>
        <w:spacing w:after="0" w:line="240" w:lineRule="auto"/>
        <w:jc w:val="both"/>
        <w:rPr>
          <w:rFonts w:ascii="Rockwell" w:eastAsia="Times New Roman" w:hAnsi="Rockwell" w:cs="Times New Roman"/>
          <w:sz w:val="24"/>
          <w:szCs w:val="24"/>
        </w:rPr>
      </w:pPr>
    </w:p>
    <w:p w:rsidR="00C31422" w:rsidRPr="00422183" w:rsidRDefault="00E73D2E"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 xml:space="preserve">Aussi, </w:t>
      </w:r>
      <w:r w:rsidR="00C31422" w:rsidRPr="00422183">
        <w:rPr>
          <w:rFonts w:ascii="Rockwell" w:eastAsia="Times New Roman" w:hAnsi="Rockwell" w:cs="Times New Roman"/>
          <w:sz w:val="24"/>
          <w:szCs w:val="24"/>
        </w:rPr>
        <w:t>la démarche du PNDES devra-t-elle viser à atteindre les résultats définis, par une identification claire des objectifs, des résultats à atteindre, des moyens à mobiliser et des indicateurs de performance, avec la précision des différentes responsabilités selon les séquences et suivant les acteurs engagés. Dans ce cadre, chaque acteur sera donc solidairement tenu par l'atteinte des résultats découlant des activités ou du processus dont il aura la responsabilité.</w:t>
      </w:r>
    </w:p>
    <w:p w:rsidR="00FD4501" w:rsidRPr="00422183" w:rsidRDefault="00FD4501" w:rsidP="003A0820">
      <w:pPr>
        <w:spacing w:after="0" w:line="240" w:lineRule="auto"/>
        <w:jc w:val="both"/>
        <w:rPr>
          <w:rFonts w:ascii="Rockwell" w:eastAsia="Times New Roman" w:hAnsi="Rockwell" w:cs="Times New Roman"/>
          <w:sz w:val="24"/>
          <w:szCs w:val="24"/>
        </w:rPr>
      </w:pPr>
    </w:p>
    <w:p w:rsidR="00FD4501" w:rsidRPr="00422183" w:rsidRDefault="00FD4501" w:rsidP="003A0820">
      <w:pPr>
        <w:pStyle w:val="PNDES3"/>
        <w:rPr>
          <w:rFonts w:ascii="Rockwell" w:hAnsi="Rockwell"/>
        </w:rPr>
      </w:pPr>
      <w:bookmarkStart w:id="228" w:name="_Toc452994170"/>
      <w:bookmarkStart w:id="229" w:name="_Toc452994618"/>
      <w:bookmarkStart w:id="230" w:name="_Toc452995058"/>
      <w:bookmarkStart w:id="231" w:name="_Toc453160759"/>
      <w:bookmarkStart w:id="232" w:name="_Toc455132745"/>
      <w:r w:rsidRPr="00422183">
        <w:rPr>
          <w:rFonts w:ascii="Rockwell" w:hAnsi="Rockwell"/>
        </w:rPr>
        <w:t>Proactivité</w:t>
      </w:r>
      <w:bookmarkEnd w:id="228"/>
      <w:bookmarkEnd w:id="229"/>
      <w:bookmarkEnd w:id="230"/>
      <w:bookmarkEnd w:id="231"/>
      <w:bookmarkEnd w:id="232"/>
    </w:p>
    <w:p w:rsidR="00FD4501" w:rsidRPr="00422183" w:rsidRDefault="00FD4501" w:rsidP="003A0820">
      <w:pPr>
        <w:spacing w:after="0" w:line="240" w:lineRule="auto"/>
        <w:jc w:val="both"/>
        <w:rPr>
          <w:rFonts w:ascii="Rockwell" w:hAnsi="Rockwell" w:cs="Times New Roman"/>
          <w:bCs/>
          <w:sz w:val="24"/>
          <w:szCs w:val="24"/>
        </w:rPr>
      </w:pPr>
    </w:p>
    <w:p w:rsidR="00FD4501" w:rsidRPr="00422183" w:rsidRDefault="00FD4501"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L'application du principe-directeur de la proactivité devra faire en sorte que l'exécution du PNDES s'inscrive dans une démarche prospective, au niveau de tous les acteurs, afin de faire face aux menaces et d'exploiter les meilleures opportunités offertes à court, moyen et long termes.</w:t>
      </w:r>
    </w:p>
    <w:p w:rsidR="00FD4501" w:rsidRPr="00422183" w:rsidRDefault="00FD4501" w:rsidP="003A0820">
      <w:pPr>
        <w:spacing w:after="0" w:line="240" w:lineRule="auto"/>
        <w:jc w:val="both"/>
        <w:rPr>
          <w:rFonts w:ascii="Rockwell" w:hAnsi="Rockwell" w:cs="Times New Roman"/>
          <w:bCs/>
          <w:sz w:val="24"/>
          <w:szCs w:val="24"/>
        </w:rPr>
      </w:pPr>
    </w:p>
    <w:p w:rsidR="00FD4501" w:rsidRPr="00422183" w:rsidRDefault="00FD4501"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Les acteurs impliqués dans l'exécution du PNDES devront donc être préparés à anticiper l'avenir avec promptitude, afin de réagir avec efficacité aux éventuel</w:t>
      </w:r>
      <w:r w:rsidR="00F52FA4" w:rsidRPr="00422183">
        <w:rPr>
          <w:rFonts w:ascii="Rockwell" w:hAnsi="Rockwell" w:cs="Times New Roman"/>
          <w:bCs/>
          <w:sz w:val="24"/>
          <w:szCs w:val="24"/>
        </w:rPr>
        <w:t>s</w:t>
      </w:r>
      <w:r w:rsidRPr="00422183">
        <w:rPr>
          <w:rFonts w:ascii="Rockwell" w:hAnsi="Rockwell" w:cs="Times New Roman"/>
          <w:bCs/>
          <w:sz w:val="24"/>
          <w:szCs w:val="24"/>
        </w:rPr>
        <w:t xml:space="preserve"> menaces </w:t>
      </w:r>
      <w:r w:rsidR="005421EA" w:rsidRPr="00422183">
        <w:rPr>
          <w:rFonts w:ascii="Rockwell" w:hAnsi="Rockwell" w:cs="Times New Roman"/>
          <w:bCs/>
          <w:sz w:val="24"/>
          <w:szCs w:val="24"/>
        </w:rPr>
        <w:t xml:space="preserve">et </w:t>
      </w:r>
      <w:r w:rsidRPr="00422183">
        <w:rPr>
          <w:rFonts w:ascii="Rockwell" w:hAnsi="Rockwell" w:cs="Times New Roman"/>
          <w:bCs/>
          <w:sz w:val="24"/>
          <w:szCs w:val="24"/>
        </w:rPr>
        <w:t>risques susceptibles de bloquer ou d'annihiler les progrès réalisés, ou de tirer profit des potentiels changements à même d'apporter des valeurs ajoutées au processus de développement national.</w:t>
      </w:r>
    </w:p>
    <w:p w:rsidR="00F97CB0" w:rsidRPr="00422183" w:rsidRDefault="00F97CB0" w:rsidP="003A0820">
      <w:pPr>
        <w:spacing w:after="0" w:line="240" w:lineRule="auto"/>
        <w:jc w:val="both"/>
        <w:rPr>
          <w:rFonts w:ascii="Rockwell" w:hAnsi="Rockwell" w:cs="Times New Roman"/>
          <w:bCs/>
          <w:sz w:val="24"/>
          <w:szCs w:val="24"/>
        </w:rPr>
      </w:pPr>
    </w:p>
    <w:p w:rsidR="00B90382" w:rsidRPr="00422183" w:rsidRDefault="00B90382" w:rsidP="003A0820">
      <w:pPr>
        <w:spacing w:after="0" w:line="240" w:lineRule="auto"/>
        <w:jc w:val="both"/>
        <w:rPr>
          <w:rFonts w:ascii="Rockwell" w:hAnsi="Rockwell" w:cs="Times New Roman"/>
          <w:bCs/>
          <w:sz w:val="24"/>
          <w:szCs w:val="24"/>
        </w:rPr>
      </w:pPr>
    </w:p>
    <w:p w:rsidR="00D73B80" w:rsidRPr="00422183" w:rsidRDefault="00254C78" w:rsidP="003A0820">
      <w:pPr>
        <w:pStyle w:val="PNDES2"/>
      </w:pPr>
      <w:bookmarkStart w:id="233" w:name="_Toc452994171"/>
      <w:bookmarkStart w:id="234" w:name="_Toc452994619"/>
      <w:bookmarkStart w:id="235" w:name="_Toc452995059"/>
      <w:bookmarkStart w:id="236" w:name="_Toc453158156"/>
      <w:bookmarkStart w:id="237" w:name="_Toc453160760"/>
      <w:bookmarkStart w:id="238" w:name="_Toc453160939"/>
      <w:bookmarkStart w:id="239" w:name="_Toc455079235"/>
      <w:bookmarkStart w:id="240" w:name="_Toc455132746"/>
      <w:r w:rsidRPr="00422183">
        <w:t>Objectifs</w:t>
      </w:r>
      <w:r w:rsidR="00184E34" w:rsidRPr="00422183">
        <w:t xml:space="preserve"> et </w:t>
      </w:r>
      <w:r w:rsidR="006F2843" w:rsidRPr="00422183">
        <w:t>impacts attendus</w:t>
      </w:r>
      <w:bookmarkEnd w:id="233"/>
      <w:bookmarkEnd w:id="234"/>
      <w:bookmarkEnd w:id="235"/>
      <w:bookmarkEnd w:id="236"/>
      <w:bookmarkEnd w:id="237"/>
      <w:bookmarkEnd w:id="238"/>
      <w:bookmarkEnd w:id="239"/>
      <w:bookmarkEnd w:id="240"/>
      <w:r w:rsidR="00184E34" w:rsidRPr="00422183">
        <w:t xml:space="preserve"> </w:t>
      </w:r>
    </w:p>
    <w:p w:rsidR="006E1D0F" w:rsidRPr="00422183" w:rsidRDefault="006E1D0F" w:rsidP="003A0820">
      <w:pPr>
        <w:spacing w:after="0" w:line="240" w:lineRule="auto"/>
        <w:jc w:val="both"/>
        <w:rPr>
          <w:rFonts w:ascii="Rockwell" w:hAnsi="Rockwell" w:cs="Times New Roman"/>
          <w:bCs/>
          <w:sz w:val="24"/>
          <w:szCs w:val="24"/>
        </w:rPr>
      </w:pPr>
    </w:p>
    <w:p w:rsidR="002A0110" w:rsidRPr="00422183" w:rsidRDefault="002A0110" w:rsidP="003A0820">
      <w:pPr>
        <w:pStyle w:val="PNDES3"/>
        <w:rPr>
          <w:rFonts w:ascii="Rockwell" w:hAnsi="Rockwell"/>
        </w:rPr>
      </w:pPr>
      <w:bookmarkStart w:id="241" w:name="_Toc452994172"/>
      <w:bookmarkStart w:id="242" w:name="_Toc452994620"/>
      <w:bookmarkStart w:id="243" w:name="_Toc452995060"/>
      <w:bookmarkStart w:id="244" w:name="_Toc453160761"/>
      <w:bookmarkStart w:id="245" w:name="_Toc455132747"/>
      <w:r w:rsidRPr="00422183">
        <w:rPr>
          <w:rFonts w:ascii="Rockwell" w:hAnsi="Rockwell"/>
        </w:rPr>
        <w:t>Objectif global</w:t>
      </w:r>
      <w:bookmarkEnd w:id="241"/>
      <w:bookmarkEnd w:id="242"/>
      <w:bookmarkEnd w:id="243"/>
      <w:bookmarkEnd w:id="244"/>
      <w:bookmarkEnd w:id="245"/>
    </w:p>
    <w:p w:rsidR="002A0110" w:rsidRPr="00422183" w:rsidRDefault="002A0110" w:rsidP="003A0820">
      <w:pPr>
        <w:spacing w:after="0" w:line="240" w:lineRule="auto"/>
        <w:jc w:val="both"/>
        <w:rPr>
          <w:rFonts w:ascii="Rockwell" w:hAnsi="Rockwell" w:cs="Times New Roman"/>
          <w:bCs/>
          <w:sz w:val="24"/>
          <w:szCs w:val="24"/>
        </w:rPr>
      </w:pPr>
    </w:p>
    <w:p w:rsidR="006F2843" w:rsidRPr="00422183" w:rsidRDefault="006F2843" w:rsidP="003A0820">
      <w:pPr>
        <w:spacing w:after="0" w:line="240" w:lineRule="auto"/>
        <w:jc w:val="both"/>
        <w:rPr>
          <w:rFonts w:ascii="Rockwell" w:hAnsi="Rockwell"/>
          <w:sz w:val="24"/>
        </w:rPr>
      </w:pPr>
      <w:r w:rsidRPr="00422183">
        <w:rPr>
          <w:rFonts w:ascii="Rockwell" w:hAnsi="Rockwell"/>
          <w:sz w:val="24"/>
        </w:rPr>
        <w:t xml:space="preserve">Pour concrétiser sa vision, le PNDES se fixe </w:t>
      </w:r>
      <w:r w:rsidR="00254C8A" w:rsidRPr="00422183">
        <w:rPr>
          <w:rFonts w:ascii="Rockwell" w:hAnsi="Rockwell"/>
          <w:sz w:val="24"/>
        </w:rPr>
        <w:t xml:space="preserve">comme </w:t>
      </w:r>
      <w:r w:rsidR="0025142C" w:rsidRPr="00422183">
        <w:rPr>
          <w:rFonts w:ascii="Rockwell" w:hAnsi="Rockwell"/>
          <w:sz w:val="24"/>
        </w:rPr>
        <w:t>objectif global</w:t>
      </w:r>
      <w:r w:rsidRPr="00422183">
        <w:rPr>
          <w:rFonts w:ascii="Rockwell" w:hAnsi="Rockwell"/>
          <w:sz w:val="24"/>
        </w:rPr>
        <w:t xml:space="preserve"> de transformer structurellement l'économie burkinabè, pour une croissance forte, résiliente, inclusive créatrice d'emplois décents pour tous</w:t>
      </w:r>
      <w:r w:rsidR="004860DD" w:rsidRPr="00422183">
        <w:rPr>
          <w:rFonts w:ascii="Rockwell" w:hAnsi="Rockwell"/>
          <w:sz w:val="24"/>
        </w:rPr>
        <w:t xml:space="preserve"> et d’accroissement du </w:t>
      </w:r>
      <w:r w:rsidR="00586DB6" w:rsidRPr="00422183">
        <w:rPr>
          <w:rFonts w:ascii="Rockwell" w:hAnsi="Rockwell"/>
          <w:sz w:val="24"/>
        </w:rPr>
        <w:t>bien-être</w:t>
      </w:r>
      <w:r w:rsidR="004860DD" w:rsidRPr="00422183">
        <w:rPr>
          <w:rFonts w:ascii="Rockwell" w:hAnsi="Rockwell"/>
          <w:sz w:val="24"/>
        </w:rPr>
        <w:t xml:space="preserve"> social.</w:t>
      </w:r>
    </w:p>
    <w:p w:rsidR="00BC1AF3" w:rsidRPr="00422183" w:rsidRDefault="00BC1AF3" w:rsidP="003A0820">
      <w:pPr>
        <w:spacing w:after="0" w:line="240" w:lineRule="auto"/>
        <w:jc w:val="both"/>
        <w:rPr>
          <w:rFonts w:ascii="Rockwell" w:hAnsi="Rockwell"/>
        </w:rPr>
      </w:pPr>
    </w:p>
    <w:p w:rsidR="005E646A" w:rsidRPr="00422183" w:rsidRDefault="00354B0A" w:rsidP="00516FB0">
      <w:pPr>
        <w:pStyle w:val="PNDES3"/>
        <w:rPr>
          <w:rFonts w:ascii="Rockwell" w:hAnsi="Rockwell"/>
        </w:rPr>
      </w:pPr>
      <w:bookmarkStart w:id="246" w:name="_Toc452991076"/>
      <w:bookmarkStart w:id="247" w:name="_Toc452991520"/>
      <w:bookmarkStart w:id="248" w:name="_Toc452991963"/>
      <w:bookmarkStart w:id="249" w:name="_Toc452992405"/>
      <w:bookmarkStart w:id="250" w:name="_Toc452992847"/>
      <w:bookmarkStart w:id="251" w:name="_Toc452993289"/>
      <w:bookmarkStart w:id="252" w:name="_Toc452993731"/>
      <w:bookmarkStart w:id="253" w:name="_Toc452994173"/>
      <w:bookmarkStart w:id="254" w:name="_Toc452994621"/>
      <w:bookmarkStart w:id="255" w:name="_Toc452995061"/>
      <w:bookmarkStart w:id="256" w:name="_Toc452996303"/>
      <w:bookmarkStart w:id="257" w:name="_Toc452994175"/>
      <w:bookmarkStart w:id="258" w:name="_Toc452994623"/>
      <w:bookmarkStart w:id="259" w:name="_Toc452995063"/>
      <w:bookmarkStart w:id="260" w:name="_Toc453160762"/>
      <w:bookmarkStart w:id="261" w:name="_Toc455132748"/>
      <w:bookmarkEnd w:id="246"/>
      <w:bookmarkEnd w:id="247"/>
      <w:bookmarkEnd w:id="248"/>
      <w:bookmarkEnd w:id="249"/>
      <w:bookmarkEnd w:id="250"/>
      <w:bookmarkEnd w:id="251"/>
      <w:bookmarkEnd w:id="252"/>
      <w:bookmarkEnd w:id="253"/>
      <w:bookmarkEnd w:id="254"/>
      <w:bookmarkEnd w:id="255"/>
      <w:bookmarkEnd w:id="256"/>
      <w:r w:rsidRPr="00422183">
        <w:rPr>
          <w:rFonts w:ascii="Rockwell" w:hAnsi="Rockwell"/>
        </w:rPr>
        <w:t>Schéma</w:t>
      </w:r>
      <w:r w:rsidR="005E646A" w:rsidRPr="00422183">
        <w:rPr>
          <w:rFonts w:ascii="Rockwell" w:hAnsi="Rockwell"/>
        </w:rPr>
        <w:t xml:space="preserve"> </w:t>
      </w:r>
      <w:r w:rsidR="00FD2181" w:rsidRPr="00422183">
        <w:rPr>
          <w:rFonts w:ascii="Rockwell" w:hAnsi="Rockwell"/>
        </w:rPr>
        <w:t xml:space="preserve">de transformation structurelle </w:t>
      </w:r>
      <w:r w:rsidR="005E646A" w:rsidRPr="00422183">
        <w:rPr>
          <w:rFonts w:ascii="Rockwell" w:hAnsi="Rockwell"/>
        </w:rPr>
        <w:t xml:space="preserve">et </w:t>
      </w:r>
      <w:r w:rsidR="00FD2181" w:rsidRPr="00422183">
        <w:rPr>
          <w:rFonts w:ascii="Rockwell" w:hAnsi="Rockwell"/>
        </w:rPr>
        <w:t xml:space="preserve">de croissance </w:t>
      </w:r>
      <w:r w:rsidR="005E646A" w:rsidRPr="00422183">
        <w:rPr>
          <w:rFonts w:ascii="Rockwell" w:hAnsi="Rockwell"/>
        </w:rPr>
        <w:t>de l</w:t>
      </w:r>
      <w:r w:rsidR="006C72DE" w:rsidRPr="00422183">
        <w:rPr>
          <w:rFonts w:ascii="Rockwell" w:hAnsi="Rockwell"/>
        </w:rPr>
        <w:t>'</w:t>
      </w:r>
      <w:r w:rsidR="005E646A" w:rsidRPr="00422183">
        <w:rPr>
          <w:rFonts w:ascii="Rockwell" w:hAnsi="Rockwell"/>
        </w:rPr>
        <w:t>économie</w:t>
      </w:r>
      <w:bookmarkEnd w:id="257"/>
      <w:bookmarkEnd w:id="258"/>
      <w:bookmarkEnd w:id="259"/>
      <w:bookmarkEnd w:id="260"/>
      <w:bookmarkEnd w:id="261"/>
      <w:r w:rsidR="005E646A" w:rsidRPr="00422183">
        <w:rPr>
          <w:rFonts w:ascii="Rockwell" w:hAnsi="Rockwell"/>
        </w:rPr>
        <w:t xml:space="preserve"> </w:t>
      </w:r>
    </w:p>
    <w:p w:rsidR="00FD2181" w:rsidRPr="00422183" w:rsidRDefault="00FD2181" w:rsidP="00516FB0">
      <w:pPr>
        <w:spacing w:after="0" w:line="240" w:lineRule="auto"/>
        <w:jc w:val="both"/>
        <w:rPr>
          <w:rFonts w:ascii="Rockwell" w:hAnsi="Rockwell"/>
          <w:sz w:val="24"/>
        </w:rPr>
      </w:pPr>
    </w:p>
    <w:p w:rsidR="00FD2181" w:rsidRPr="00422183" w:rsidRDefault="00FD2181" w:rsidP="00516FB0">
      <w:pPr>
        <w:pStyle w:val="PNDES4"/>
        <w:rPr>
          <w:rFonts w:ascii="Rockwell" w:hAnsi="Rockwell"/>
        </w:rPr>
      </w:pPr>
      <w:bookmarkStart w:id="262" w:name="_Toc453160763"/>
      <w:bookmarkStart w:id="263" w:name="_Toc455132749"/>
      <w:r w:rsidRPr="00422183">
        <w:rPr>
          <w:rFonts w:ascii="Rockwell" w:hAnsi="Rockwell"/>
        </w:rPr>
        <w:t>Schéma de transformation structurelle</w:t>
      </w:r>
      <w:bookmarkEnd w:id="262"/>
      <w:bookmarkEnd w:id="263"/>
    </w:p>
    <w:p w:rsidR="0025142C" w:rsidRPr="00422183" w:rsidRDefault="0025142C" w:rsidP="003A0820">
      <w:pPr>
        <w:spacing w:after="0" w:line="240" w:lineRule="auto"/>
        <w:jc w:val="both"/>
        <w:rPr>
          <w:rFonts w:ascii="Rockwell" w:hAnsi="Rockwell"/>
          <w:sz w:val="24"/>
          <w:szCs w:val="24"/>
        </w:rPr>
      </w:pPr>
    </w:p>
    <w:p w:rsidR="005E646A" w:rsidRPr="00422183" w:rsidRDefault="005E646A" w:rsidP="003A0820">
      <w:pPr>
        <w:spacing w:after="0" w:line="240" w:lineRule="auto"/>
        <w:jc w:val="both"/>
        <w:rPr>
          <w:rFonts w:ascii="Rockwell" w:hAnsi="Rockwell"/>
          <w:sz w:val="24"/>
          <w:szCs w:val="24"/>
        </w:rPr>
      </w:pPr>
      <w:r w:rsidRPr="00422183">
        <w:rPr>
          <w:rFonts w:ascii="Rockwell" w:hAnsi="Rockwell"/>
          <w:sz w:val="24"/>
          <w:szCs w:val="24"/>
        </w:rPr>
        <w:t xml:space="preserve">La transformation structurelle est une caractéristique distinctive du processus de développement qui </w:t>
      </w:r>
      <w:r w:rsidR="000D68EB" w:rsidRPr="00422183">
        <w:rPr>
          <w:rFonts w:ascii="Rockwell" w:hAnsi="Rockwell"/>
          <w:sz w:val="24"/>
          <w:szCs w:val="24"/>
        </w:rPr>
        <w:t xml:space="preserve">se fonde sur une bonne gouvernance et des ressources humaines de qualité et </w:t>
      </w:r>
      <w:r w:rsidRPr="00422183">
        <w:rPr>
          <w:rFonts w:ascii="Rockwell" w:hAnsi="Rockwell"/>
          <w:sz w:val="24"/>
          <w:szCs w:val="24"/>
        </w:rPr>
        <w:t>se compose</w:t>
      </w:r>
      <w:r w:rsidR="001A7B1E" w:rsidRPr="00422183">
        <w:rPr>
          <w:rFonts w:ascii="Rockwell" w:hAnsi="Rockwell"/>
          <w:sz w:val="24"/>
          <w:szCs w:val="24"/>
        </w:rPr>
        <w:t>,</w:t>
      </w:r>
      <w:r w:rsidRPr="00422183">
        <w:rPr>
          <w:rFonts w:ascii="Rockwell" w:hAnsi="Rockwell"/>
          <w:sz w:val="24"/>
          <w:szCs w:val="24"/>
        </w:rPr>
        <w:t xml:space="preserve"> en général</w:t>
      </w:r>
      <w:r w:rsidR="001A7B1E" w:rsidRPr="00422183">
        <w:rPr>
          <w:rFonts w:ascii="Rockwell" w:hAnsi="Rockwell"/>
          <w:sz w:val="24"/>
          <w:szCs w:val="24"/>
        </w:rPr>
        <w:t>,</w:t>
      </w:r>
      <w:r w:rsidRPr="00422183">
        <w:rPr>
          <w:rFonts w:ascii="Rockwell" w:hAnsi="Rockwell"/>
          <w:sz w:val="24"/>
          <w:szCs w:val="24"/>
        </w:rPr>
        <w:t xml:space="preserve"> de quatre processus interdépendants</w:t>
      </w:r>
      <w:r w:rsidR="001A7B1E" w:rsidRPr="00422183">
        <w:rPr>
          <w:rFonts w:ascii="Rockwell" w:hAnsi="Rockwell"/>
          <w:sz w:val="24"/>
          <w:szCs w:val="24"/>
        </w:rPr>
        <w:t xml:space="preserve"> </w:t>
      </w:r>
      <w:r w:rsidRPr="00422183">
        <w:rPr>
          <w:rFonts w:ascii="Rockwell" w:hAnsi="Rockwell"/>
          <w:sz w:val="24"/>
          <w:szCs w:val="24"/>
        </w:rPr>
        <w:t>:</w:t>
      </w:r>
      <w:r w:rsidR="001A7B1E" w:rsidRPr="00422183">
        <w:rPr>
          <w:rFonts w:ascii="Rockwell" w:hAnsi="Rockwell"/>
          <w:sz w:val="24"/>
          <w:szCs w:val="24"/>
        </w:rPr>
        <w:t xml:space="preserve"> (i</w:t>
      </w:r>
      <w:r w:rsidRPr="00422183">
        <w:rPr>
          <w:rFonts w:ascii="Rockwell" w:hAnsi="Rockwell"/>
          <w:sz w:val="24"/>
          <w:szCs w:val="24"/>
        </w:rPr>
        <w:t>) l</w:t>
      </w:r>
      <w:r w:rsidR="006C72DE" w:rsidRPr="00422183">
        <w:rPr>
          <w:rFonts w:ascii="Rockwell" w:hAnsi="Rockwell"/>
          <w:sz w:val="24"/>
          <w:szCs w:val="24"/>
        </w:rPr>
        <w:t>'</w:t>
      </w:r>
      <w:r w:rsidRPr="00422183">
        <w:rPr>
          <w:rFonts w:ascii="Rockwell" w:hAnsi="Rockwell"/>
          <w:sz w:val="24"/>
          <w:szCs w:val="24"/>
        </w:rPr>
        <w:t xml:space="preserve">accroissement de la valeur </w:t>
      </w:r>
      <w:r w:rsidR="006D07CD" w:rsidRPr="00422183">
        <w:rPr>
          <w:rFonts w:ascii="Rockwell" w:hAnsi="Rockwell"/>
          <w:sz w:val="24"/>
          <w:szCs w:val="24"/>
        </w:rPr>
        <w:t>ajoutée du</w:t>
      </w:r>
      <w:r w:rsidR="001A7B1E" w:rsidRPr="00422183">
        <w:rPr>
          <w:rFonts w:ascii="Rockwell" w:hAnsi="Rockwell"/>
          <w:sz w:val="24"/>
          <w:szCs w:val="24"/>
        </w:rPr>
        <w:t xml:space="preserve"> secteur primaire consécutif</w:t>
      </w:r>
      <w:r w:rsidRPr="00422183">
        <w:rPr>
          <w:rFonts w:ascii="Rockwell" w:hAnsi="Rockwell"/>
          <w:sz w:val="24"/>
          <w:szCs w:val="24"/>
        </w:rPr>
        <w:t xml:space="preserve"> à l</w:t>
      </w:r>
      <w:r w:rsidR="006C72DE" w:rsidRPr="00422183">
        <w:rPr>
          <w:rFonts w:ascii="Rockwell" w:hAnsi="Rockwell"/>
          <w:sz w:val="24"/>
          <w:szCs w:val="24"/>
        </w:rPr>
        <w:t>'</w:t>
      </w:r>
      <w:r w:rsidRPr="00422183">
        <w:rPr>
          <w:rFonts w:ascii="Rockwell" w:hAnsi="Rockwell"/>
          <w:sz w:val="24"/>
          <w:szCs w:val="24"/>
        </w:rPr>
        <w:t>amé</w:t>
      </w:r>
      <w:r w:rsidR="001A7B1E" w:rsidRPr="00422183">
        <w:rPr>
          <w:rFonts w:ascii="Rockwell" w:hAnsi="Rockwell"/>
          <w:sz w:val="24"/>
          <w:szCs w:val="24"/>
        </w:rPr>
        <w:t xml:space="preserve">lioration de sa productivité, (ii) </w:t>
      </w:r>
      <w:r w:rsidRPr="00422183">
        <w:rPr>
          <w:rFonts w:ascii="Rockwell" w:hAnsi="Rockwell"/>
          <w:sz w:val="24"/>
          <w:szCs w:val="24"/>
        </w:rPr>
        <w:t>l</w:t>
      </w:r>
      <w:r w:rsidR="006C72DE" w:rsidRPr="00422183">
        <w:rPr>
          <w:rFonts w:ascii="Rockwell" w:hAnsi="Rockwell"/>
          <w:sz w:val="24"/>
          <w:szCs w:val="24"/>
        </w:rPr>
        <w:t>'</w:t>
      </w:r>
      <w:r w:rsidR="001A7B1E" w:rsidRPr="00422183">
        <w:rPr>
          <w:rFonts w:ascii="Rockwell" w:hAnsi="Rockwell"/>
          <w:sz w:val="24"/>
          <w:szCs w:val="24"/>
        </w:rPr>
        <w:t xml:space="preserve">émergence </w:t>
      </w:r>
      <w:r w:rsidRPr="00422183">
        <w:rPr>
          <w:rFonts w:ascii="Rockwell" w:hAnsi="Rockwell"/>
          <w:sz w:val="24"/>
          <w:szCs w:val="24"/>
        </w:rPr>
        <w:t>d</w:t>
      </w:r>
      <w:r w:rsidR="006C72DE" w:rsidRPr="00422183">
        <w:rPr>
          <w:rFonts w:ascii="Rockwell" w:hAnsi="Rockwell"/>
          <w:sz w:val="24"/>
          <w:szCs w:val="24"/>
        </w:rPr>
        <w:t>'</w:t>
      </w:r>
      <w:r w:rsidR="001A7B1E" w:rsidRPr="00422183">
        <w:rPr>
          <w:rFonts w:ascii="Rockwell" w:hAnsi="Rockwell"/>
          <w:sz w:val="24"/>
          <w:szCs w:val="24"/>
        </w:rPr>
        <w:t>une économie</w:t>
      </w:r>
      <w:r w:rsidRPr="00422183">
        <w:rPr>
          <w:rFonts w:ascii="Rockwell" w:hAnsi="Rockwell"/>
          <w:sz w:val="24"/>
          <w:szCs w:val="24"/>
        </w:rPr>
        <w:t xml:space="preserve"> moderne basée sur l</w:t>
      </w:r>
      <w:r w:rsidR="006C72DE" w:rsidRPr="00422183">
        <w:rPr>
          <w:rFonts w:ascii="Rockwell" w:hAnsi="Rockwell"/>
          <w:sz w:val="24"/>
          <w:szCs w:val="24"/>
        </w:rPr>
        <w:t>'</w:t>
      </w:r>
      <w:r w:rsidR="001A7B1E" w:rsidRPr="00422183">
        <w:rPr>
          <w:rFonts w:ascii="Rockwell" w:hAnsi="Rockwell"/>
          <w:sz w:val="24"/>
          <w:szCs w:val="24"/>
        </w:rPr>
        <w:t>industrie et les services, (iii</w:t>
      </w:r>
      <w:r w:rsidRPr="00422183">
        <w:rPr>
          <w:rFonts w:ascii="Rockwell" w:hAnsi="Rockwell"/>
          <w:sz w:val="24"/>
          <w:szCs w:val="24"/>
        </w:rPr>
        <w:t>) l</w:t>
      </w:r>
      <w:r w:rsidR="006C72DE" w:rsidRPr="00422183">
        <w:rPr>
          <w:rFonts w:ascii="Rockwell" w:hAnsi="Rockwell"/>
          <w:sz w:val="24"/>
          <w:szCs w:val="24"/>
        </w:rPr>
        <w:t>'</w:t>
      </w:r>
      <w:r w:rsidRPr="00422183">
        <w:rPr>
          <w:rFonts w:ascii="Rockwell" w:hAnsi="Rockwell"/>
          <w:sz w:val="24"/>
          <w:szCs w:val="24"/>
        </w:rPr>
        <w:t>amélioration de l</w:t>
      </w:r>
      <w:r w:rsidR="006C72DE" w:rsidRPr="00422183">
        <w:rPr>
          <w:rFonts w:ascii="Rockwell" w:hAnsi="Rockwell"/>
          <w:sz w:val="24"/>
          <w:szCs w:val="24"/>
        </w:rPr>
        <w:t>'</w:t>
      </w:r>
      <w:r w:rsidRPr="00422183">
        <w:rPr>
          <w:rFonts w:ascii="Rockwell" w:hAnsi="Rockwell"/>
          <w:sz w:val="24"/>
          <w:szCs w:val="24"/>
        </w:rPr>
        <w:t>urbanisation et</w:t>
      </w:r>
      <w:r w:rsidR="001A7B1E" w:rsidRPr="00422183">
        <w:rPr>
          <w:rFonts w:ascii="Rockwell" w:hAnsi="Rockwell"/>
          <w:sz w:val="24"/>
          <w:szCs w:val="24"/>
        </w:rPr>
        <w:t xml:space="preserve"> (iv</w:t>
      </w:r>
      <w:r w:rsidRPr="00422183">
        <w:rPr>
          <w:rFonts w:ascii="Rockwell" w:hAnsi="Rockwell"/>
          <w:sz w:val="24"/>
          <w:szCs w:val="24"/>
        </w:rPr>
        <w:t>) l</w:t>
      </w:r>
      <w:r w:rsidR="006C72DE" w:rsidRPr="00422183">
        <w:rPr>
          <w:rFonts w:ascii="Rockwell" w:hAnsi="Rockwell"/>
          <w:sz w:val="24"/>
          <w:szCs w:val="24"/>
        </w:rPr>
        <w:t>'</w:t>
      </w:r>
      <w:r w:rsidRPr="00422183">
        <w:rPr>
          <w:rFonts w:ascii="Rockwell" w:hAnsi="Rockwell"/>
          <w:sz w:val="24"/>
          <w:szCs w:val="24"/>
        </w:rPr>
        <w:t xml:space="preserve">accélération de </w:t>
      </w:r>
      <w:r w:rsidR="00DB7FD8" w:rsidRPr="00422183">
        <w:rPr>
          <w:rFonts w:ascii="Rockwell" w:hAnsi="Rockwell"/>
          <w:sz w:val="24"/>
          <w:szCs w:val="24"/>
        </w:rPr>
        <w:t>la</w:t>
      </w:r>
      <w:r w:rsidR="000D68EB" w:rsidRPr="00422183">
        <w:rPr>
          <w:rFonts w:ascii="Rockwell" w:hAnsi="Rockwell"/>
          <w:sz w:val="24"/>
          <w:szCs w:val="24"/>
        </w:rPr>
        <w:t xml:space="preserve"> transition démographique.</w:t>
      </w:r>
    </w:p>
    <w:p w:rsidR="00122FA6" w:rsidRPr="00422183" w:rsidRDefault="00122FA6" w:rsidP="003A0820">
      <w:pPr>
        <w:spacing w:after="0" w:line="240" w:lineRule="auto"/>
        <w:jc w:val="both"/>
        <w:rPr>
          <w:rFonts w:ascii="Rockwell" w:hAnsi="Rockwell"/>
          <w:sz w:val="24"/>
          <w:szCs w:val="24"/>
        </w:rPr>
      </w:pPr>
    </w:p>
    <w:p w:rsidR="00CB4808" w:rsidRPr="00422183" w:rsidRDefault="005078B7" w:rsidP="003A0820">
      <w:pPr>
        <w:pStyle w:val="Lgende"/>
        <w:rPr>
          <w:color w:val="auto"/>
          <w:sz w:val="24"/>
        </w:rPr>
      </w:pPr>
      <w:bookmarkStart w:id="264" w:name="_Ref453142462"/>
      <w:bookmarkStart w:id="265" w:name="_Toc455079252"/>
      <w:r w:rsidRPr="00422183">
        <w:rPr>
          <w:color w:val="auto"/>
          <w:sz w:val="24"/>
        </w:rPr>
        <w:t xml:space="preserve">Tableau </w:t>
      </w:r>
      <w:r w:rsidR="00491B03" w:rsidRPr="00422183">
        <w:rPr>
          <w:color w:val="auto"/>
          <w:sz w:val="24"/>
        </w:rPr>
        <w:fldChar w:fldCharType="begin"/>
      </w:r>
      <w:r w:rsidR="00D30508"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1</w:t>
      </w:r>
      <w:r w:rsidR="00491B03" w:rsidRPr="00422183">
        <w:rPr>
          <w:color w:val="auto"/>
          <w:sz w:val="24"/>
        </w:rPr>
        <w:fldChar w:fldCharType="end"/>
      </w:r>
      <w:bookmarkEnd w:id="264"/>
      <w:r w:rsidRPr="00422183">
        <w:rPr>
          <w:color w:val="auto"/>
          <w:sz w:val="24"/>
        </w:rPr>
        <w:t> </w:t>
      </w:r>
      <w:bookmarkStart w:id="266" w:name="_Ref453142442"/>
      <w:r w:rsidRPr="00422183">
        <w:rPr>
          <w:color w:val="auto"/>
          <w:sz w:val="24"/>
        </w:rPr>
        <w:t xml:space="preserve">: </w:t>
      </w:r>
      <w:r w:rsidR="000D68EB" w:rsidRPr="00422183">
        <w:rPr>
          <w:color w:val="auto"/>
          <w:sz w:val="24"/>
        </w:rPr>
        <w:t>i</w:t>
      </w:r>
      <w:r w:rsidR="00EC2E6D" w:rsidRPr="00422183">
        <w:rPr>
          <w:color w:val="auto"/>
          <w:sz w:val="24"/>
        </w:rPr>
        <w:t>ndicateur</w:t>
      </w:r>
      <w:r w:rsidR="00AE1280" w:rsidRPr="00422183">
        <w:rPr>
          <w:color w:val="auto"/>
          <w:sz w:val="24"/>
        </w:rPr>
        <w:t>s</w:t>
      </w:r>
      <w:r w:rsidR="00EC2E6D" w:rsidRPr="00422183">
        <w:rPr>
          <w:color w:val="auto"/>
          <w:sz w:val="24"/>
        </w:rPr>
        <w:t xml:space="preserve"> du modèle de transformation structurelle</w:t>
      </w:r>
      <w:bookmarkEnd w:id="265"/>
      <w:bookmarkEnd w:id="266"/>
    </w:p>
    <w:p w:rsidR="000D68EB" w:rsidRPr="00422183" w:rsidRDefault="000D68EB" w:rsidP="003A0820">
      <w:pPr>
        <w:spacing w:after="0" w:line="240" w:lineRule="auto"/>
        <w:jc w:val="both"/>
        <w:rPr>
          <w:rFonts w:ascii="Rockwell" w:hAnsi="Rockwell"/>
          <w:sz w:val="24"/>
          <w:szCs w:val="24"/>
        </w:rPr>
      </w:pPr>
    </w:p>
    <w:tbl>
      <w:tblPr>
        <w:tblStyle w:val="Grilledutableau"/>
        <w:tblW w:w="10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6"/>
        <w:gridCol w:w="3092"/>
        <w:gridCol w:w="1280"/>
        <w:gridCol w:w="886"/>
        <w:gridCol w:w="1178"/>
        <w:gridCol w:w="2503"/>
      </w:tblGrid>
      <w:tr w:rsidR="00CB4808" w:rsidRPr="00422183" w:rsidTr="003A0820">
        <w:trPr>
          <w:trHeight w:val="315"/>
          <w:tblHeader/>
        </w:trPr>
        <w:tc>
          <w:tcPr>
            <w:tcW w:w="1346" w:type="dxa"/>
            <w:shd w:val="clear" w:color="auto" w:fill="BFBFBF" w:themeFill="background1" w:themeFillShade="BF"/>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w:t>
            </w:r>
          </w:p>
        </w:tc>
        <w:tc>
          <w:tcPr>
            <w:tcW w:w="3092" w:type="dxa"/>
            <w:shd w:val="clear" w:color="auto" w:fill="BFBFBF" w:themeFill="background1" w:themeFillShade="BF"/>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Indicateurs d</w:t>
            </w:r>
            <w:r w:rsidR="006C72DE" w:rsidRPr="00422183">
              <w:rPr>
                <w:rFonts w:ascii="Rockwell" w:hAnsi="Rockwell"/>
                <w:b/>
                <w:bCs/>
                <w:sz w:val="18"/>
                <w:szCs w:val="18"/>
              </w:rPr>
              <w:t>'</w:t>
            </w:r>
            <w:r w:rsidRPr="00422183">
              <w:rPr>
                <w:rFonts w:ascii="Rockwell" w:hAnsi="Rockwell"/>
                <w:b/>
                <w:bCs/>
                <w:sz w:val="18"/>
                <w:szCs w:val="18"/>
              </w:rPr>
              <w:t>impact</w:t>
            </w:r>
          </w:p>
        </w:tc>
        <w:tc>
          <w:tcPr>
            <w:tcW w:w="1280" w:type="dxa"/>
            <w:shd w:val="clear" w:color="auto" w:fill="BFBFBF" w:themeFill="background1" w:themeFillShade="BF"/>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 xml:space="preserve">Réf. (année) </w:t>
            </w:r>
          </w:p>
        </w:tc>
        <w:tc>
          <w:tcPr>
            <w:tcW w:w="886" w:type="dxa"/>
            <w:shd w:val="clear" w:color="auto" w:fill="BFBFBF" w:themeFill="background1" w:themeFillShade="BF"/>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Cibles 2018</w:t>
            </w:r>
          </w:p>
        </w:tc>
        <w:tc>
          <w:tcPr>
            <w:tcW w:w="1178" w:type="dxa"/>
            <w:shd w:val="clear" w:color="auto" w:fill="BFBFBF" w:themeFill="background1" w:themeFillShade="BF"/>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Cibles 2020</w:t>
            </w:r>
          </w:p>
        </w:tc>
        <w:tc>
          <w:tcPr>
            <w:tcW w:w="2503" w:type="dxa"/>
            <w:shd w:val="clear" w:color="auto" w:fill="BFBFBF" w:themeFill="background1" w:themeFillShade="BF"/>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Hypothèses</w:t>
            </w:r>
          </w:p>
        </w:tc>
      </w:tr>
      <w:tr w:rsidR="00CB4808" w:rsidRPr="00422183" w:rsidTr="003A0820">
        <w:trPr>
          <w:trHeight w:val="300"/>
        </w:trPr>
        <w:tc>
          <w:tcPr>
            <w:tcW w:w="1346" w:type="dxa"/>
            <w:vMerge w:val="restart"/>
            <w:noWrap/>
            <w:vAlign w:val="center"/>
            <w:hideMark/>
          </w:tcPr>
          <w:p w:rsidR="00CB4808" w:rsidRPr="00422183" w:rsidRDefault="006A017C" w:rsidP="003A0820">
            <w:pPr>
              <w:jc w:val="both"/>
              <w:rPr>
                <w:rFonts w:ascii="Rockwell" w:hAnsi="Rockwell"/>
                <w:sz w:val="18"/>
                <w:szCs w:val="18"/>
              </w:rPr>
            </w:pPr>
            <w:r w:rsidRPr="00422183">
              <w:rPr>
                <w:rFonts w:ascii="Rockwell" w:hAnsi="Rockwell"/>
                <w:sz w:val="18"/>
                <w:szCs w:val="18"/>
              </w:rPr>
              <w:t>Secteur primaire</w:t>
            </w: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Productivité du secteur primaire (en milliers de F CFA) par actif</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357 (2015)</w:t>
            </w:r>
          </w:p>
        </w:tc>
        <w:tc>
          <w:tcPr>
            <w:tcW w:w="886"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 </w:t>
            </w:r>
            <w:r w:rsidR="006D15F2" w:rsidRPr="00422183">
              <w:rPr>
                <w:rFonts w:ascii="Rockwell" w:hAnsi="Rockwell"/>
                <w:b/>
                <w:bCs/>
                <w:sz w:val="18"/>
                <w:szCs w:val="18"/>
              </w:rPr>
              <w:t>415</w:t>
            </w:r>
          </w:p>
        </w:tc>
        <w:tc>
          <w:tcPr>
            <w:tcW w:w="1178"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535,5</w:t>
            </w:r>
          </w:p>
        </w:tc>
        <w:tc>
          <w:tcPr>
            <w:tcW w:w="2503" w:type="dxa"/>
            <w:vMerge w:val="restart"/>
            <w:vAlign w:val="center"/>
            <w:hideMark/>
          </w:tcPr>
          <w:p w:rsidR="00CB4808" w:rsidRPr="00422183" w:rsidRDefault="006A017C" w:rsidP="003A0820">
            <w:pPr>
              <w:jc w:val="both"/>
              <w:rPr>
                <w:rFonts w:ascii="Rockwell" w:hAnsi="Rockwell"/>
                <w:bCs/>
                <w:sz w:val="18"/>
                <w:szCs w:val="18"/>
              </w:rPr>
            </w:pPr>
            <w:r w:rsidRPr="00422183">
              <w:rPr>
                <w:rFonts w:ascii="Rockwell" w:hAnsi="Rockwell"/>
                <w:bCs/>
                <w:sz w:val="18"/>
                <w:szCs w:val="18"/>
              </w:rPr>
              <w:t xml:space="preserve">Maîtrise de l'eau </w:t>
            </w:r>
            <w:r w:rsidR="006D15F2" w:rsidRPr="00422183">
              <w:rPr>
                <w:rFonts w:ascii="Rockwell" w:hAnsi="Rockwell"/>
                <w:bCs/>
                <w:sz w:val="18"/>
                <w:szCs w:val="18"/>
              </w:rPr>
              <w:t>pour l’</w:t>
            </w:r>
            <w:r w:rsidRPr="00422183">
              <w:rPr>
                <w:rFonts w:ascii="Rockwell" w:hAnsi="Rockwell"/>
                <w:bCs/>
                <w:sz w:val="18"/>
                <w:szCs w:val="18"/>
              </w:rPr>
              <w:t>agric</w:t>
            </w:r>
            <w:r w:rsidR="006D15F2" w:rsidRPr="00422183">
              <w:rPr>
                <w:rFonts w:ascii="Rockwell" w:hAnsi="Rockwell"/>
                <w:bCs/>
                <w:sz w:val="18"/>
                <w:szCs w:val="18"/>
              </w:rPr>
              <w:t>ulture</w:t>
            </w:r>
            <w:r w:rsidRPr="00422183">
              <w:rPr>
                <w:rFonts w:ascii="Rockwell" w:hAnsi="Rockwell"/>
                <w:bCs/>
                <w:sz w:val="18"/>
                <w:szCs w:val="18"/>
              </w:rPr>
              <w:t>,</w:t>
            </w:r>
            <w:r w:rsidR="00CB4808" w:rsidRPr="00422183">
              <w:rPr>
                <w:rFonts w:ascii="Rockwell" w:hAnsi="Rockwell"/>
                <w:bCs/>
                <w:sz w:val="18"/>
                <w:szCs w:val="18"/>
              </w:rPr>
              <w:t xml:space="preserve"> développement </w:t>
            </w:r>
            <w:r w:rsidRPr="00422183">
              <w:rPr>
                <w:rFonts w:ascii="Rockwell" w:hAnsi="Rockwell"/>
                <w:bCs/>
                <w:sz w:val="18"/>
                <w:szCs w:val="18"/>
              </w:rPr>
              <w:t xml:space="preserve">des infrastructures rurales, </w:t>
            </w:r>
            <w:r w:rsidR="00CB4808" w:rsidRPr="00422183">
              <w:rPr>
                <w:rFonts w:ascii="Rockwell" w:hAnsi="Rockwell"/>
                <w:bCs/>
                <w:sz w:val="18"/>
                <w:szCs w:val="18"/>
              </w:rPr>
              <w:t>accès au marché, intensification, sécurisat</w:t>
            </w:r>
            <w:r w:rsidR="00CC26CF" w:rsidRPr="00422183">
              <w:rPr>
                <w:rFonts w:ascii="Rockwell" w:hAnsi="Rockwell"/>
                <w:bCs/>
                <w:sz w:val="18"/>
                <w:szCs w:val="18"/>
              </w:rPr>
              <w:t xml:space="preserve">ion foncière en milieu rural, </w:t>
            </w:r>
            <w:r w:rsidR="00CB4808" w:rsidRPr="00422183">
              <w:rPr>
                <w:rFonts w:ascii="Rockwell" w:hAnsi="Rockwell"/>
                <w:bCs/>
                <w:sz w:val="18"/>
                <w:szCs w:val="18"/>
              </w:rPr>
              <w:t>accès au financement</w:t>
            </w: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B65FA4" w:rsidP="003A0820">
            <w:pPr>
              <w:jc w:val="both"/>
              <w:rPr>
                <w:rFonts w:ascii="Rockwell" w:hAnsi="Rockwell"/>
                <w:sz w:val="18"/>
                <w:szCs w:val="18"/>
              </w:rPr>
            </w:pPr>
            <w:r w:rsidRPr="00422183">
              <w:rPr>
                <w:rFonts w:ascii="Rockwell" w:hAnsi="Rockwell"/>
                <w:sz w:val="18"/>
                <w:szCs w:val="18"/>
              </w:rPr>
              <w:t xml:space="preserve">Part </w:t>
            </w:r>
            <w:r w:rsidR="00CB4808" w:rsidRPr="00422183">
              <w:rPr>
                <w:rFonts w:ascii="Rockwell" w:hAnsi="Rockwell"/>
                <w:sz w:val="18"/>
                <w:szCs w:val="18"/>
              </w:rPr>
              <w:t>du secteur primaire dans le PIB</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30,3% (2015)</w:t>
            </w:r>
          </w:p>
        </w:tc>
        <w:tc>
          <w:tcPr>
            <w:tcW w:w="886" w:type="dxa"/>
            <w:noWrap/>
            <w:vAlign w:val="center"/>
            <w:hideMark/>
          </w:tcPr>
          <w:p w:rsidR="00CB4808" w:rsidRPr="00422183" w:rsidRDefault="00B65FA4" w:rsidP="003A0820">
            <w:pPr>
              <w:jc w:val="both"/>
              <w:rPr>
                <w:rFonts w:ascii="Rockwell" w:hAnsi="Rockwell"/>
                <w:b/>
                <w:bCs/>
                <w:sz w:val="18"/>
                <w:szCs w:val="18"/>
              </w:rPr>
            </w:pPr>
            <w:r w:rsidRPr="00422183">
              <w:rPr>
                <w:rFonts w:ascii="Rockwell" w:hAnsi="Rockwell"/>
                <w:b/>
                <w:bCs/>
                <w:sz w:val="18"/>
                <w:szCs w:val="18"/>
              </w:rPr>
              <w:t>28%</w:t>
            </w:r>
          </w:p>
        </w:tc>
        <w:tc>
          <w:tcPr>
            <w:tcW w:w="1178" w:type="dxa"/>
            <w:noWrap/>
            <w:vAlign w:val="center"/>
            <w:hideMark/>
          </w:tcPr>
          <w:p w:rsidR="00CB4808" w:rsidRPr="00422183" w:rsidRDefault="00B65FA4" w:rsidP="003A0820">
            <w:pPr>
              <w:jc w:val="both"/>
              <w:rPr>
                <w:rFonts w:ascii="Rockwell" w:hAnsi="Rockwell"/>
                <w:sz w:val="18"/>
                <w:szCs w:val="18"/>
              </w:rPr>
            </w:pPr>
            <w:r w:rsidRPr="00422183">
              <w:rPr>
                <w:rFonts w:ascii="Rockwell" w:hAnsi="Rockwell"/>
                <w:sz w:val="18"/>
                <w:szCs w:val="18"/>
              </w:rPr>
              <w:t>28</w:t>
            </w:r>
            <w:r w:rsidR="00CB4808" w:rsidRPr="00422183">
              <w:rPr>
                <w:rFonts w:ascii="Rockwell" w:hAnsi="Rockwell"/>
                <w:sz w:val="18"/>
                <w:szCs w:val="18"/>
              </w:rPr>
              <w:t>%</w:t>
            </w:r>
          </w:p>
        </w:tc>
        <w:tc>
          <w:tcPr>
            <w:tcW w:w="2503" w:type="dxa"/>
            <w:vMerge/>
            <w:vAlign w:val="center"/>
            <w:hideMark/>
          </w:tcPr>
          <w:p w:rsidR="00CB4808" w:rsidRPr="00422183" w:rsidRDefault="00CB4808" w:rsidP="003A0820">
            <w:pPr>
              <w:jc w:val="both"/>
              <w:rPr>
                <w:rFonts w:ascii="Rockwell" w:hAnsi="Rockwell"/>
                <w:bCs/>
                <w:sz w:val="18"/>
                <w:szCs w:val="18"/>
              </w:rPr>
            </w:pPr>
          </w:p>
        </w:tc>
      </w:tr>
      <w:tr w:rsidR="00CB4808" w:rsidRPr="00422183" w:rsidTr="003A0820">
        <w:trPr>
          <w:trHeight w:val="315"/>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Taux de commercialisation des produits agricoles</w:t>
            </w:r>
            <w:r w:rsidR="00650DBA" w:rsidRPr="00422183">
              <w:rPr>
                <w:rFonts w:ascii="Rockwell" w:hAnsi="Rockwell"/>
                <w:sz w:val="18"/>
                <w:szCs w:val="18"/>
              </w:rPr>
              <w:t xml:space="preserve"> (y </w:t>
            </w:r>
            <w:r w:rsidR="005F2CEF" w:rsidRPr="00422183">
              <w:rPr>
                <w:rFonts w:ascii="Rockwell" w:hAnsi="Rockwell"/>
                <w:sz w:val="18"/>
                <w:szCs w:val="18"/>
              </w:rPr>
              <w:t>compris culture de rente)</w:t>
            </w:r>
          </w:p>
        </w:tc>
        <w:tc>
          <w:tcPr>
            <w:tcW w:w="1280" w:type="dxa"/>
            <w:noWrap/>
            <w:vAlign w:val="center"/>
            <w:hideMark/>
          </w:tcPr>
          <w:p w:rsidR="00CB4808" w:rsidRPr="00422183" w:rsidRDefault="005F2CEF" w:rsidP="003A0820">
            <w:pPr>
              <w:jc w:val="both"/>
              <w:rPr>
                <w:rFonts w:ascii="Rockwell" w:hAnsi="Rockwell"/>
                <w:b/>
                <w:bCs/>
                <w:sz w:val="18"/>
                <w:szCs w:val="18"/>
              </w:rPr>
            </w:pPr>
            <w:r w:rsidRPr="00422183">
              <w:rPr>
                <w:rFonts w:ascii="Rockwell" w:hAnsi="Rockwell"/>
                <w:b/>
                <w:bCs/>
                <w:sz w:val="18"/>
                <w:szCs w:val="18"/>
              </w:rPr>
              <w:t>25</w:t>
            </w:r>
            <w:r w:rsidR="00CB4808" w:rsidRPr="00422183">
              <w:rPr>
                <w:rFonts w:ascii="Rockwell" w:hAnsi="Rockwell"/>
                <w:b/>
                <w:bCs/>
                <w:sz w:val="18"/>
                <w:szCs w:val="18"/>
              </w:rPr>
              <w:t>% (moy</w:t>
            </w:r>
            <w:r w:rsidR="00B453FA" w:rsidRPr="00422183">
              <w:rPr>
                <w:rFonts w:ascii="Rockwell" w:hAnsi="Rockwell"/>
                <w:b/>
                <w:bCs/>
                <w:sz w:val="18"/>
                <w:szCs w:val="18"/>
              </w:rPr>
              <w:t>.</w:t>
            </w:r>
            <w:r w:rsidR="00CB4808" w:rsidRPr="00422183">
              <w:rPr>
                <w:rFonts w:ascii="Rockwell" w:hAnsi="Rockwell"/>
                <w:b/>
                <w:bCs/>
                <w:sz w:val="18"/>
                <w:szCs w:val="18"/>
              </w:rPr>
              <w:t xml:space="preserve"> 2005-2010)</w:t>
            </w:r>
          </w:p>
        </w:tc>
        <w:tc>
          <w:tcPr>
            <w:tcW w:w="886"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w:t>
            </w:r>
            <w:r w:rsidR="00AB6088" w:rsidRPr="00422183">
              <w:rPr>
                <w:rFonts w:ascii="Rockwell" w:hAnsi="Rockwell"/>
                <w:sz w:val="18"/>
                <w:szCs w:val="18"/>
              </w:rPr>
              <w:t>30%</w:t>
            </w:r>
          </w:p>
        </w:tc>
        <w:tc>
          <w:tcPr>
            <w:tcW w:w="1178" w:type="dxa"/>
            <w:noWrap/>
            <w:vAlign w:val="center"/>
            <w:hideMark/>
          </w:tcPr>
          <w:p w:rsidR="00CB4808" w:rsidRPr="00422183" w:rsidRDefault="005F2CEF" w:rsidP="003A0820">
            <w:pPr>
              <w:jc w:val="both"/>
              <w:rPr>
                <w:rFonts w:ascii="Rockwell" w:hAnsi="Rockwell"/>
                <w:sz w:val="18"/>
                <w:szCs w:val="18"/>
              </w:rPr>
            </w:pPr>
            <w:r w:rsidRPr="00422183">
              <w:rPr>
                <w:rFonts w:ascii="Rockwell" w:hAnsi="Rockwell"/>
                <w:sz w:val="18"/>
                <w:szCs w:val="18"/>
              </w:rPr>
              <w:t>37</w:t>
            </w:r>
            <w:r w:rsidR="002D6D40" w:rsidRPr="00422183">
              <w:rPr>
                <w:rFonts w:ascii="Rockwell" w:hAnsi="Rockwell"/>
                <w:sz w:val="18"/>
                <w:szCs w:val="18"/>
              </w:rPr>
              <w:t>,5</w:t>
            </w:r>
            <w:r w:rsidR="00CB4808" w:rsidRPr="00422183">
              <w:rPr>
                <w:rFonts w:ascii="Rockwell" w:hAnsi="Rockwell"/>
                <w:sz w:val="18"/>
                <w:szCs w:val="18"/>
              </w:rPr>
              <w:t>%</w:t>
            </w:r>
          </w:p>
        </w:tc>
        <w:tc>
          <w:tcPr>
            <w:tcW w:w="2503" w:type="dxa"/>
            <w:vMerge/>
            <w:vAlign w:val="center"/>
            <w:hideMark/>
          </w:tcPr>
          <w:p w:rsidR="00CB4808" w:rsidRPr="00422183" w:rsidRDefault="00CB4808" w:rsidP="003A0820">
            <w:pPr>
              <w:jc w:val="both"/>
              <w:rPr>
                <w:rFonts w:ascii="Rockwell" w:hAnsi="Rockwell"/>
                <w:bCs/>
                <w:sz w:val="18"/>
                <w:szCs w:val="18"/>
              </w:rPr>
            </w:pPr>
          </w:p>
        </w:tc>
      </w:tr>
      <w:tr w:rsidR="00274292" w:rsidRPr="00422183" w:rsidTr="003A0820">
        <w:trPr>
          <w:trHeight w:val="315"/>
        </w:trPr>
        <w:tc>
          <w:tcPr>
            <w:tcW w:w="1346" w:type="dxa"/>
            <w:noWrap/>
            <w:vAlign w:val="center"/>
          </w:tcPr>
          <w:p w:rsidR="00274292" w:rsidRPr="00422183" w:rsidRDefault="00274292" w:rsidP="003A0820">
            <w:pPr>
              <w:jc w:val="both"/>
              <w:rPr>
                <w:rFonts w:ascii="Rockwell" w:hAnsi="Rockwell"/>
                <w:sz w:val="18"/>
                <w:szCs w:val="18"/>
              </w:rPr>
            </w:pPr>
          </w:p>
        </w:tc>
        <w:tc>
          <w:tcPr>
            <w:tcW w:w="3092" w:type="dxa"/>
            <w:noWrap/>
            <w:vAlign w:val="center"/>
          </w:tcPr>
          <w:p w:rsidR="00274292" w:rsidRPr="00422183" w:rsidRDefault="00274292" w:rsidP="00274292">
            <w:pPr>
              <w:jc w:val="both"/>
              <w:rPr>
                <w:rFonts w:ascii="Rockwell" w:hAnsi="Rockwell"/>
                <w:sz w:val="18"/>
                <w:szCs w:val="18"/>
              </w:rPr>
            </w:pPr>
            <w:r w:rsidRPr="00422183">
              <w:rPr>
                <w:rFonts w:ascii="Rockwell" w:hAnsi="Rockwell"/>
                <w:sz w:val="18"/>
                <w:szCs w:val="18"/>
              </w:rPr>
              <w:t>Taux d’accroissement de l'approvisionnement des agro-industries</w:t>
            </w:r>
          </w:p>
        </w:tc>
        <w:tc>
          <w:tcPr>
            <w:tcW w:w="1280" w:type="dxa"/>
            <w:noWrap/>
            <w:vAlign w:val="center"/>
          </w:tcPr>
          <w:p w:rsidR="00274292" w:rsidRPr="00422183" w:rsidRDefault="00274292" w:rsidP="003A0820">
            <w:pPr>
              <w:jc w:val="both"/>
              <w:rPr>
                <w:rFonts w:ascii="Rockwell" w:hAnsi="Rockwell"/>
                <w:b/>
                <w:bCs/>
                <w:sz w:val="18"/>
                <w:szCs w:val="18"/>
              </w:rPr>
            </w:pPr>
            <w:r w:rsidRPr="00422183">
              <w:rPr>
                <w:rFonts w:ascii="Rockwell" w:hAnsi="Rockwell"/>
                <w:b/>
                <w:bCs/>
                <w:sz w:val="18"/>
                <w:szCs w:val="18"/>
              </w:rPr>
              <w:t>ND</w:t>
            </w:r>
          </w:p>
        </w:tc>
        <w:tc>
          <w:tcPr>
            <w:tcW w:w="886" w:type="dxa"/>
            <w:noWrap/>
            <w:vAlign w:val="center"/>
          </w:tcPr>
          <w:p w:rsidR="00274292" w:rsidRPr="00422183" w:rsidRDefault="00274292" w:rsidP="003A0820">
            <w:pPr>
              <w:jc w:val="both"/>
              <w:rPr>
                <w:rFonts w:ascii="Rockwell" w:hAnsi="Rockwell"/>
                <w:sz w:val="18"/>
                <w:szCs w:val="18"/>
              </w:rPr>
            </w:pPr>
            <w:r w:rsidRPr="00422183">
              <w:rPr>
                <w:rFonts w:ascii="Rockwell" w:hAnsi="Rockwell"/>
                <w:sz w:val="18"/>
                <w:szCs w:val="18"/>
              </w:rPr>
              <w:t>25%</w:t>
            </w:r>
          </w:p>
        </w:tc>
        <w:tc>
          <w:tcPr>
            <w:tcW w:w="1178" w:type="dxa"/>
            <w:noWrap/>
            <w:vAlign w:val="center"/>
          </w:tcPr>
          <w:p w:rsidR="00274292" w:rsidRPr="00422183" w:rsidRDefault="00274292" w:rsidP="003A0820">
            <w:pPr>
              <w:jc w:val="both"/>
              <w:rPr>
                <w:rFonts w:ascii="Rockwell" w:hAnsi="Rockwell"/>
                <w:sz w:val="18"/>
                <w:szCs w:val="18"/>
              </w:rPr>
            </w:pPr>
            <w:r w:rsidRPr="00422183">
              <w:rPr>
                <w:rFonts w:ascii="Rockwell" w:hAnsi="Rockwell"/>
                <w:sz w:val="18"/>
                <w:szCs w:val="18"/>
              </w:rPr>
              <w:t>50%</w:t>
            </w:r>
          </w:p>
        </w:tc>
        <w:tc>
          <w:tcPr>
            <w:tcW w:w="2503" w:type="dxa"/>
            <w:vMerge/>
            <w:vAlign w:val="center"/>
          </w:tcPr>
          <w:p w:rsidR="00274292" w:rsidRPr="00422183" w:rsidRDefault="00274292" w:rsidP="003A0820">
            <w:pPr>
              <w:jc w:val="both"/>
              <w:rPr>
                <w:rFonts w:ascii="Rockwell" w:hAnsi="Rockwell"/>
                <w:bCs/>
                <w:sz w:val="18"/>
                <w:szCs w:val="18"/>
              </w:rPr>
            </w:pPr>
          </w:p>
        </w:tc>
      </w:tr>
      <w:tr w:rsidR="00CB4808" w:rsidRPr="00422183" w:rsidTr="003A0820">
        <w:trPr>
          <w:trHeight w:val="300"/>
        </w:trPr>
        <w:tc>
          <w:tcPr>
            <w:tcW w:w="1346" w:type="dxa"/>
            <w:vMerge w:val="restart"/>
            <w:noWrap/>
            <w:vAlign w:val="center"/>
            <w:hideMark/>
          </w:tcPr>
          <w:p w:rsidR="00CB4808" w:rsidRPr="00422183" w:rsidRDefault="006D3493" w:rsidP="003A0820">
            <w:pPr>
              <w:jc w:val="both"/>
              <w:rPr>
                <w:rFonts w:ascii="Rockwell" w:hAnsi="Rockwell"/>
                <w:sz w:val="18"/>
                <w:szCs w:val="18"/>
              </w:rPr>
            </w:pPr>
            <w:r w:rsidRPr="00422183">
              <w:rPr>
                <w:rFonts w:ascii="Rockwell" w:hAnsi="Rockwell"/>
                <w:sz w:val="18"/>
                <w:szCs w:val="18"/>
              </w:rPr>
              <w:t>Secteur secondaire</w:t>
            </w:r>
          </w:p>
        </w:tc>
        <w:tc>
          <w:tcPr>
            <w:tcW w:w="3092" w:type="dxa"/>
            <w:noWrap/>
            <w:vAlign w:val="center"/>
            <w:hideMark/>
          </w:tcPr>
          <w:p w:rsidR="00CB4808" w:rsidRPr="00422183" w:rsidRDefault="00B65FA4" w:rsidP="003A0820">
            <w:pPr>
              <w:jc w:val="both"/>
              <w:rPr>
                <w:rFonts w:ascii="Rockwell" w:hAnsi="Rockwell"/>
                <w:sz w:val="18"/>
                <w:szCs w:val="18"/>
              </w:rPr>
            </w:pPr>
            <w:r w:rsidRPr="00422183">
              <w:rPr>
                <w:rFonts w:ascii="Rockwell" w:hAnsi="Rockwell"/>
                <w:sz w:val="18"/>
                <w:szCs w:val="18"/>
              </w:rPr>
              <w:t xml:space="preserve">Part </w:t>
            </w:r>
            <w:r w:rsidR="00CB4808" w:rsidRPr="00422183">
              <w:rPr>
                <w:rFonts w:ascii="Rockwell" w:hAnsi="Rockwell"/>
                <w:sz w:val="18"/>
                <w:szCs w:val="18"/>
              </w:rPr>
              <w:t>du secteur secondaire dans le PIB</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20,10%</w:t>
            </w:r>
          </w:p>
        </w:tc>
        <w:tc>
          <w:tcPr>
            <w:tcW w:w="886" w:type="dxa"/>
            <w:noWrap/>
            <w:vAlign w:val="center"/>
            <w:hideMark/>
          </w:tcPr>
          <w:p w:rsidR="00CB4808" w:rsidRPr="00422183" w:rsidRDefault="006D15F2" w:rsidP="003A0820">
            <w:pPr>
              <w:jc w:val="both"/>
              <w:rPr>
                <w:rFonts w:ascii="Rockwell" w:hAnsi="Rockwell"/>
                <w:b/>
                <w:bCs/>
                <w:sz w:val="18"/>
                <w:szCs w:val="18"/>
              </w:rPr>
            </w:pPr>
            <w:r w:rsidRPr="00422183">
              <w:rPr>
                <w:rFonts w:ascii="Rockwell" w:hAnsi="Rockwell"/>
                <w:b/>
                <w:bCs/>
                <w:sz w:val="18"/>
                <w:szCs w:val="18"/>
              </w:rPr>
              <w:t>21,2</w:t>
            </w:r>
            <w:r w:rsidR="00AB6088" w:rsidRPr="00422183">
              <w:rPr>
                <w:rFonts w:ascii="Rockwell" w:hAnsi="Rockwell"/>
                <w:b/>
                <w:bCs/>
                <w:sz w:val="18"/>
                <w:szCs w:val="18"/>
              </w:rPr>
              <w:t>%</w:t>
            </w:r>
          </w:p>
        </w:tc>
        <w:tc>
          <w:tcPr>
            <w:tcW w:w="1178" w:type="dxa"/>
            <w:noWrap/>
            <w:vAlign w:val="center"/>
            <w:hideMark/>
          </w:tcPr>
          <w:p w:rsidR="00CB4808" w:rsidRPr="00422183" w:rsidRDefault="006D15F2" w:rsidP="003A0820">
            <w:pPr>
              <w:jc w:val="both"/>
              <w:rPr>
                <w:rFonts w:ascii="Rockwell" w:hAnsi="Rockwell"/>
                <w:sz w:val="18"/>
                <w:szCs w:val="18"/>
              </w:rPr>
            </w:pPr>
            <w:r w:rsidRPr="00422183">
              <w:rPr>
                <w:rFonts w:ascii="Rockwell" w:hAnsi="Rockwell"/>
                <w:sz w:val="18"/>
                <w:szCs w:val="18"/>
              </w:rPr>
              <w:t>21,9</w:t>
            </w:r>
            <w:r w:rsidR="00CB4808" w:rsidRPr="00422183">
              <w:rPr>
                <w:rFonts w:ascii="Rockwell" w:hAnsi="Rockwell"/>
                <w:sz w:val="18"/>
                <w:szCs w:val="18"/>
              </w:rPr>
              <w:t>%</w:t>
            </w:r>
          </w:p>
        </w:tc>
        <w:tc>
          <w:tcPr>
            <w:tcW w:w="2503" w:type="dxa"/>
            <w:vMerge/>
            <w:vAlign w:val="center"/>
            <w:hideMark/>
          </w:tcPr>
          <w:p w:rsidR="00CB4808" w:rsidRPr="00422183" w:rsidRDefault="00CB4808" w:rsidP="003A0820">
            <w:pPr>
              <w:jc w:val="both"/>
              <w:rPr>
                <w:rFonts w:ascii="Rockwell" w:hAnsi="Rockwell"/>
                <w:b/>
                <w:bCs/>
                <w:sz w:val="18"/>
                <w:szCs w:val="18"/>
              </w:rPr>
            </w:pP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Part de l</w:t>
            </w:r>
            <w:r w:rsidR="006C72DE" w:rsidRPr="00422183">
              <w:rPr>
                <w:rFonts w:ascii="Rockwell" w:hAnsi="Rockwell"/>
                <w:sz w:val="18"/>
                <w:szCs w:val="18"/>
              </w:rPr>
              <w:t>'</w:t>
            </w:r>
            <w:r w:rsidRPr="00422183">
              <w:rPr>
                <w:rFonts w:ascii="Rockwell" w:hAnsi="Rockwell"/>
                <w:sz w:val="18"/>
                <w:szCs w:val="18"/>
              </w:rPr>
              <w:t xml:space="preserve">industrie manufacturière dans le PIB </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6,60%</w:t>
            </w:r>
          </w:p>
        </w:tc>
        <w:tc>
          <w:tcPr>
            <w:tcW w:w="886" w:type="dxa"/>
            <w:noWrap/>
            <w:vAlign w:val="center"/>
            <w:hideMark/>
          </w:tcPr>
          <w:p w:rsidR="00CB4808" w:rsidRPr="00422183" w:rsidRDefault="00AB6088" w:rsidP="003A0820">
            <w:pPr>
              <w:jc w:val="both"/>
              <w:rPr>
                <w:rFonts w:ascii="Rockwell" w:hAnsi="Rockwell"/>
                <w:b/>
                <w:bCs/>
                <w:sz w:val="18"/>
                <w:szCs w:val="18"/>
              </w:rPr>
            </w:pPr>
            <w:r w:rsidRPr="00422183">
              <w:rPr>
                <w:rFonts w:ascii="Rockwell" w:hAnsi="Rockwell"/>
                <w:b/>
                <w:bCs/>
                <w:sz w:val="18"/>
                <w:szCs w:val="18"/>
              </w:rPr>
              <w:t>8%</w:t>
            </w:r>
          </w:p>
        </w:tc>
        <w:tc>
          <w:tcPr>
            <w:tcW w:w="1178"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12%</w:t>
            </w:r>
          </w:p>
        </w:tc>
        <w:tc>
          <w:tcPr>
            <w:tcW w:w="2503" w:type="dxa"/>
            <w:vMerge/>
            <w:vAlign w:val="center"/>
            <w:hideMark/>
          </w:tcPr>
          <w:p w:rsidR="00CB4808" w:rsidRPr="00422183" w:rsidRDefault="00CB4808" w:rsidP="003A0820">
            <w:pPr>
              <w:jc w:val="both"/>
              <w:rPr>
                <w:rFonts w:ascii="Rockwell" w:hAnsi="Rockwell"/>
                <w:b/>
                <w:bCs/>
                <w:sz w:val="18"/>
                <w:szCs w:val="18"/>
              </w:rPr>
            </w:pPr>
          </w:p>
        </w:tc>
      </w:tr>
      <w:tr w:rsidR="00CB4808" w:rsidRPr="00422183" w:rsidTr="003A0820">
        <w:trPr>
          <w:trHeight w:val="315"/>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Taux de transformation des produits agricoles</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12%</w:t>
            </w:r>
          </w:p>
        </w:tc>
        <w:tc>
          <w:tcPr>
            <w:tcW w:w="886"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17%</w:t>
            </w:r>
          </w:p>
        </w:tc>
        <w:tc>
          <w:tcPr>
            <w:tcW w:w="1178" w:type="dxa"/>
            <w:noWrap/>
            <w:vAlign w:val="center"/>
            <w:hideMark/>
          </w:tcPr>
          <w:p w:rsidR="00CB4808" w:rsidRPr="00422183" w:rsidRDefault="000828E4" w:rsidP="003A0820">
            <w:pPr>
              <w:jc w:val="both"/>
              <w:rPr>
                <w:rFonts w:ascii="Rockwell" w:hAnsi="Rockwell"/>
                <w:sz w:val="18"/>
                <w:szCs w:val="18"/>
              </w:rPr>
            </w:pPr>
            <w:r w:rsidRPr="00422183">
              <w:rPr>
                <w:rFonts w:ascii="Rockwell" w:hAnsi="Rockwell"/>
                <w:sz w:val="18"/>
                <w:szCs w:val="18"/>
              </w:rPr>
              <w:t>25</w:t>
            </w:r>
            <w:r w:rsidR="00CB4808" w:rsidRPr="00422183">
              <w:rPr>
                <w:rFonts w:ascii="Rockwell" w:hAnsi="Rockwell"/>
                <w:sz w:val="18"/>
                <w:szCs w:val="18"/>
              </w:rPr>
              <w:t>%</w:t>
            </w:r>
          </w:p>
        </w:tc>
        <w:tc>
          <w:tcPr>
            <w:tcW w:w="2503" w:type="dxa"/>
            <w:vMerge/>
            <w:vAlign w:val="center"/>
            <w:hideMark/>
          </w:tcPr>
          <w:p w:rsidR="00CB4808" w:rsidRPr="00422183" w:rsidRDefault="00CB4808" w:rsidP="003A0820">
            <w:pPr>
              <w:jc w:val="both"/>
              <w:rPr>
                <w:rFonts w:ascii="Rockwell" w:hAnsi="Rockwell"/>
                <w:b/>
                <w:bCs/>
                <w:sz w:val="18"/>
                <w:szCs w:val="18"/>
              </w:rPr>
            </w:pPr>
          </w:p>
        </w:tc>
      </w:tr>
      <w:tr w:rsidR="00CB4808" w:rsidRPr="00422183" w:rsidTr="003A0820">
        <w:trPr>
          <w:trHeight w:val="300"/>
        </w:trPr>
        <w:tc>
          <w:tcPr>
            <w:tcW w:w="1346" w:type="dxa"/>
            <w:vMerge w:val="restart"/>
            <w:noWrap/>
            <w:vAlign w:val="center"/>
            <w:hideMark/>
          </w:tcPr>
          <w:p w:rsidR="00CB4808" w:rsidRPr="00422183" w:rsidRDefault="006D3493" w:rsidP="003A0820">
            <w:pPr>
              <w:jc w:val="both"/>
              <w:rPr>
                <w:rFonts w:ascii="Rockwell" w:hAnsi="Rockwell"/>
                <w:sz w:val="18"/>
                <w:szCs w:val="18"/>
              </w:rPr>
            </w:pPr>
            <w:r w:rsidRPr="00422183">
              <w:rPr>
                <w:rFonts w:ascii="Rockwell" w:hAnsi="Rockwell"/>
                <w:sz w:val="18"/>
                <w:szCs w:val="18"/>
              </w:rPr>
              <w:t>Secteur tertiaire</w:t>
            </w: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xml:space="preserve">Part du secteur informel dans la </w:t>
            </w:r>
            <w:r w:rsidR="00B435E7" w:rsidRPr="00422183">
              <w:rPr>
                <w:rFonts w:ascii="Rockwell" w:hAnsi="Rockwell"/>
                <w:sz w:val="18"/>
                <w:szCs w:val="18"/>
              </w:rPr>
              <w:t>valeur ajoutée</w:t>
            </w:r>
            <w:r w:rsidRPr="00422183">
              <w:rPr>
                <w:rFonts w:ascii="Rockwell" w:hAnsi="Rockwell"/>
                <w:sz w:val="18"/>
                <w:szCs w:val="18"/>
              </w:rPr>
              <w:t xml:space="preserve"> du secteur tertiaire </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20,7 %</w:t>
            </w:r>
            <w:r w:rsidR="00AB6088" w:rsidRPr="00422183">
              <w:rPr>
                <w:rFonts w:ascii="Rockwell" w:hAnsi="Rockwell"/>
                <w:b/>
                <w:bCs/>
                <w:sz w:val="18"/>
                <w:szCs w:val="18"/>
              </w:rPr>
              <w:t xml:space="preserve"> </w:t>
            </w:r>
            <w:r w:rsidRPr="00422183">
              <w:rPr>
                <w:rFonts w:ascii="Rockwell" w:hAnsi="Rockwell"/>
                <w:b/>
                <w:bCs/>
                <w:sz w:val="18"/>
                <w:szCs w:val="18"/>
              </w:rPr>
              <w:t>(2015)</w:t>
            </w:r>
          </w:p>
        </w:tc>
        <w:tc>
          <w:tcPr>
            <w:tcW w:w="886" w:type="dxa"/>
            <w:noWrap/>
            <w:vAlign w:val="center"/>
            <w:hideMark/>
          </w:tcPr>
          <w:p w:rsidR="00CB4808" w:rsidRPr="00422183" w:rsidRDefault="00AB6088" w:rsidP="003A0820">
            <w:pPr>
              <w:jc w:val="both"/>
              <w:rPr>
                <w:rFonts w:ascii="Rockwell" w:hAnsi="Rockwell"/>
                <w:b/>
                <w:bCs/>
                <w:sz w:val="18"/>
                <w:szCs w:val="18"/>
              </w:rPr>
            </w:pPr>
            <w:r w:rsidRPr="00422183">
              <w:rPr>
                <w:rFonts w:ascii="Rockwell" w:hAnsi="Rockwell"/>
                <w:b/>
                <w:bCs/>
                <w:sz w:val="18"/>
                <w:szCs w:val="18"/>
              </w:rPr>
              <w:t>18,5%</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15%</w:t>
            </w:r>
          </w:p>
        </w:tc>
        <w:tc>
          <w:tcPr>
            <w:tcW w:w="2503" w:type="dxa"/>
            <w:vMerge w:val="restart"/>
            <w:vAlign w:val="center"/>
            <w:hideMark/>
          </w:tcPr>
          <w:p w:rsidR="00CB4808" w:rsidRPr="00422183" w:rsidRDefault="006D3493" w:rsidP="003A0820">
            <w:pPr>
              <w:jc w:val="both"/>
              <w:rPr>
                <w:rFonts w:ascii="Rockwell" w:hAnsi="Rockwell"/>
                <w:sz w:val="18"/>
                <w:szCs w:val="18"/>
              </w:rPr>
            </w:pPr>
            <w:r w:rsidRPr="00422183">
              <w:rPr>
                <w:rFonts w:ascii="Rockwell" w:hAnsi="Rockwell"/>
                <w:sz w:val="18"/>
                <w:szCs w:val="18"/>
              </w:rPr>
              <w:t>S</w:t>
            </w:r>
            <w:r w:rsidR="00CB4808" w:rsidRPr="00422183">
              <w:rPr>
                <w:rFonts w:ascii="Rockwell" w:hAnsi="Rockwell"/>
                <w:sz w:val="18"/>
                <w:szCs w:val="18"/>
              </w:rPr>
              <w:t xml:space="preserve">tabilité, </w:t>
            </w:r>
            <w:r w:rsidRPr="00422183">
              <w:rPr>
                <w:rFonts w:ascii="Rockwell" w:hAnsi="Rockwell"/>
                <w:sz w:val="18"/>
                <w:szCs w:val="18"/>
              </w:rPr>
              <w:t xml:space="preserve">infrastructures, TIC, </w:t>
            </w:r>
            <w:r w:rsidR="00CB4808" w:rsidRPr="00422183">
              <w:rPr>
                <w:rFonts w:ascii="Rockwell" w:hAnsi="Rockwell"/>
                <w:sz w:val="18"/>
                <w:szCs w:val="18"/>
              </w:rPr>
              <w:t>accès</w:t>
            </w:r>
            <w:r w:rsidRPr="00422183">
              <w:rPr>
                <w:rFonts w:ascii="Rockwell" w:hAnsi="Rockwell"/>
                <w:sz w:val="18"/>
                <w:szCs w:val="18"/>
              </w:rPr>
              <w:t xml:space="preserve"> au financement, </w:t>
            </w:r>
            <w:r w:rsidR="00CB4808" w:rsidRPr="00422183">
              <w:rPr>
                <w:rFonts w:ascii="Rockwell" w:hAnsi="Rockwell"/>
                <w:sz w:val="18"/>
                <w:szCs w:val="18"/>
              </w:rPr>
              <w:t>orga</w:t>
            </w:r>
            <w:r w:rsidRPr="00422183">
              <w:rPr>
                <w:rFonts w:ascii="Rockwell" w:hAnsi="Rockwell"/>
                <w:sz w:val="18"/>
                <w:szCs w:val="18"/>
              </w:rPr>
              <w:t xml:space="preserve">nisation du secteur informel, </w:t>
            </w:r>
            <w:r w:rsidR="00CB4808" w:rsidRPr="00422183">
              <w:rPr>
                <w:rFonts w:ascii="Rockwell" w:hAnsi="Rockwell"/>
                <w:sz w:val="18"/>
                <w:szCs w:val="18"/>
              </w:rPr>
              <w:t>accès au marché</w:t>
            </w: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Part des produits manufacturés dans les exportations de biens (WDI)</w:t>
            </w:r>
          </w:p>
        </w:tc>
        <w:tc>
          <w:tcPr>
            <w:tcW w:w="1280" w:type="dxa"/>
            <w:noWrap/>
            <w:vAlign w:val="center"/>
            <w:hideMark/>
          </w:tcPr>
          <w:p w:rsidR="00CB4808" w:rsidRPr="00422183" w:rsidRDefault="00CB4808" w:rsidP="003A0820">
            <w:pPr>
              <w:jc w:val="both"/>
              <w:rPr>
                <w:rFonts w:ascii="Rockwell" w:hAnsi="Rockwell"/>
                <w:b/>
                <w:bCs/>
                <w:sz w:val="18"/>
                <w:szCs w:val="18"/>
              </w:rPr>
            </w:pPr>
            <w:r w:rsidRPr="00422183">
              <w:rPr>
                <w:rFonts w:ascii="Rockwell" w:hAnsi="Rockwell"/>
                <w:b/>
                <w:bCs/>
                <w:sz w:val="18"/>
                <w:szCs w:val="18"/>
              </w:rPr>
              <w:t>10,6% (2014)</w:t>
            </w:r>
          </w:p>
        </w:tc>
        <w:tc>
          <w:tcPr>
            <w:tcW w:w="886"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15%</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20%</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val="restart"/>
            <w:noWrap/>
            <w:vAlign w:val="center"/>
            <w:hideMark/>
          </w:tcPr>
          <w:p w:rsidR="00CB4808" w:rsidRPr="00422183" w:rsidRDefault="00B70D93" w:rsidP="003A0820">
            <w:pPr>
              <w:jc w:val="both"/>
              <w:rPr>
                <w:rFonts w:ascii="Rockwell" w:hAnsi="Rockwell"/>
                <w:sz w:val="18"/>
                <w:szCs w:val="18"/>
              </w:rPr>
            </w:pPr>
            <w:r w:rsidRPr="00422183">
              <w:rPr>
                <w:rFonts w:ascii="Rockwell" w:hAnsi="Rockwell"/>
                <w:sz w:val="18"/>
                <w:szCs w:val="18"/>
              </w:rPr>
              <w:t>Urban</w:t>
            </w:r>
            <w:r w:rsidR="00302588" w:rsidRPr="00422183">
              <w:rPr>
                <w:rFonts w:ascii="Rockwell" w:hAnsi="Rockwell"/>
                <w:sz w:val="18"/>
                <w:szCs w:val="18"/>
              </w:rPr>
              <w:t xml:space="preserve">isation et </w:t>
            </w:r>
            <w:r w:rsidR="006D3493" w:rsidRPr="00422183">
              <w:rPr>
                <w:rFonts w:ascii="Rockwell" w:hAnsi="Rockwell"/>
                <w:sz w:val="18"/>
                <w:szCs w:val="18"/>
              </w:rPr>
              <w:t>démographie</w:t>
            </w: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xml:space="preserve">Proportion des populations </w:t>
            </w:r>
            <w:r w:rsidR="00F9665A" w:rsidRPr="00422183">
              <w:rPr>
                <w:rFonts w:ascii="Rockwell" w:hAnsi="Rockwell"/>
                <w:sz w:val="18"/>
                <w:szCs w:val="18"/>
              </w:rPr>
              <w:t xml:space="preserve">urbaines  </w:t>
            </w:r>
            <w:r w:rsidRPr="00422183">
              <w:rPr>
                <w:rFonts w:ascii="Rockwell" w:hAnsi="Rockwell"/>
                <w:sz w:val="18"/>
                <w:szCs w:val="18"/>
              </w:rPr>
              <w:t xml:space="preserve">vivant </w:t>
            </w:r>
            <w:r w:rsidR="00F9665A" w:rsidRPr="00422183">
              <w:rPr>
                <w:rFonts w:ascii="Rockwell" w:hAnsi="Rockwell"/>
                <w:sz w:val="18"/>
                <w:szCs w:val="18"/>
              </w:rPr>
              <w:t>en zone non lotie</w:t>
            </w:r>
            <w:r w:rsidRPr="00422183">
              <w:rPr>
                <w:rFonts w:ascii="Rockwell" w:hAnsi="Rockwell"/>
                <w:sz w:val="18"/>
                <w:szCs w:val="18"/>
              </w:rPr>
              <w:t xml:space="preserve"> </w:t>
            </w:r>
          </w:p>
        </w:tc>
        <w:tc>
          <w:tcPr>
            <w:tcW w:w="1280" w:type="dxa"/>
            <w:noWrap/>
            <w:vAlign w:val="center"/>
            <w:hideMark/>
          </w:tcPr>
          <w:p w:rsidR="00CB4808" w:rsidRPr="00422183" w:rsidRDefault="00F9665A" w:rsidP="003A0820">
            <w:pPr>
              <w:jc w:val="both"/>
              <w:rPr>
                <w:rFonts w:ascii="Rockwell" w:hAnsi="Rockwell"/>
                <w:sz w:val="18"/>
                <w:szCs w:val="18"/>
              </w:rPr>
            </w:pPr>
            <w:r w:rsidRPr="00422183">
              <w:rPr>
                <w:rFonts w:ascii="Rockwell" w:hAnsi="Rockwell"/>
                <w:sz w:val="18"/>
                <w:szCs w:val="18"/>
              </w:rPr>
              <w:t>17</w:t>
            </w:r>
            <w:r w:rsidR="00CB4808" w:rsidRPr="00422183">
              <w:rPr>
                <w:rFonts w:ascii="Rockwell" w:hAnsi="Rockwell"/>
                <w:sz w:val="18"/>
                <w:szCs w:val="18"/>
              </w:rPr>
              <w:t>,</w:t>
            </w:r>
            <w:r w:rsidRPr="00422183">
              <w:rPr>
                <w:rFonts w:ascii="Rockwell" w:hAnsi="Rockwell"/>
                <w:sz w:val="18"/>
                <w:szCs w:val="18"/>
              </w:rPr>
              <w:t>2</w:t>
            </w:r>
            <w:r w:rsidR="00CB4808" w:rsidRPr="00422183">
              <w:rPr>
                <w:rFonts w:ascii="Rockwell" w:hAnsi="Rockwell"/>
                <w:sz w:val="18"/>
                <w:szCs w:val="18"/>
              </w:rPr>
              <w:t>%</w:t>
            </w:r>
          </w:p>
        </w:tc>
        <w:tc>
          <w:tcPr>
            <w:tcW w:w="886"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w:t>
            </w:r>
            <w:r w:rsidR="00AB6088" w:rsidRPr="00422183">
              <w:rPr>
                <w:rFonts w:ascii="Rockwell" w:hAnsi="Rockwell"/>
                <w:sz w:val="18"/>
                <w:szCs w:val="18"/>
              </w:rPr>
              <w:t>14%</w:t>
            </w:r>
          </w:p>
        </w:tc>
        <w:tc>
          <w:tcPr>
            <w:tcW w:w="1178" w:type="dxa"/>
            <w:noWrap/>
            <w:vAlign w:val="center"/>
            <w:hideMark/>
          </w:tcPr>
          <w:p w:rsidR="00CB4808" w:rsidRPr="00422183" w:rsidRDefault="00F9665A" w:rsidP="003A0820">
            <w:pPr>
              <w:jc w:val="both"/>
              <w:rPr>
                <w:rFonts w:ascii="Rockwell" w:hAnsi="Rockwell"/>
                <w:sz w:val="18"/>
                <w:szCs w:val="18"/>
              </w:rPr>
            </w:pPr>
            <w:r w:rsidRPr="00422183">
              <w:rPr>
                <w:rFonts w:ascii="Rockwell" w:hAnsi="Rockwell"/>
                <w:sz w:val="18"/>
                <w:szCs w:val="18"/>
              </w:rPr>
              <w:t>1</w:t>
            </w:r>
            <w:r w:rsidR="00CB4808" w:rsidRPr="00422183">
              <w:rPr>
                <w:rFonts w:ascii="Rockwell" w:hAnsi="Rockwell"/>
                <w:sz w:val="18"/>
                <w:szCs w:val="18"/>
              </w:rPr>
              <w:t>0%</w:t>
            </w:r>
          </w:p>
        </w:tc>
        <w:tc>
          <w:tcPr>
            <w:tcW w:w="2503" w:type="dxa"/>
            <w:vMerge w:val="restart"/>
            <w:vAlign w:val="center"/>
            <w:hideMark/>
          </w:tcPr>
          <w:p w:rsidR="00CB4808" w:rsidRPr="00422183" w:rsidRDefault="006D3493" w:rsidP="003A0820">
            <w:pPr>
              <w:jc w:val="both"/>
              <w:rPr>
                <w:rFonts w:ascii="Rockwell" w:hAnsi="Rockwell"/>
                <w:sz w:val="18"/>
                <w:szCs w:val="18"/>
              </w:rPr>
            </w:pPr>
            <w:r w:rsidRPr="00422183">
              <w:rPr>
                <w:rFonts w:ascii="Rockwell" w:hAnsi="Rockwell"/>
                <w:sz w:val="18"/>
                <w:szCs w:val="18"/>
              </w:rPr>
              <w:t>A</w:t>
            </w:r>
            <w:r w:rsidR="00CB4808" w:rsidRPr="00422183">
              <w:rPr>
                <w:rFonts w:ascii="Rockwell" w:hAnsi="Rockwell"/>
                <w:sz w:val="18"/>
                <w:szCs w:val="18"/>
              </w:rPr>
              <w:t xml:space="preserve">ccès </w:t>
            </w:r>
            <w:r w:rsidR="004D72F4" w:rsidRPr="00422183">
              <w:rPr>
                <w:rFonts w:ascii="Rockwell" w:hAnsi="Rockwell"/>
                <w:sz w:val="18"/>
                <w:szCs w:val="18"/>
              </w:rPr>
              <w:t>universel</w:t>
            </w:r>
            <w:r w:rsidR="00CB4808" w:rsidRPr="00422183">
              <w:rPr>
                <w:rFonts w:ascii="Rockwell" w:hAnsi="Rockwell"/>
                <w:sz w:val="18"/>
                <w:szCs w:val="18"/>
              </w:rPr>
              <w:t xml:space="preserve"> à une </w:t>
            </w:r>
            <w:r w:rsidR="004D72F4" w:rsidRPr="00422183">
              <w:rPr>
                <w:rFonts w:ascii="Rockwell" w:hAnsi="Rockwell"/>
                <w:sz w:val="18"/>
                <w:szCs w:val="18"/>
              </w:rPr>
              <w:t>gamme</w:t>
            </w:r>
            <w:r w:rsidR="00CB4808" w:rsidRPr="00422183">
              <w:rPr>
                <w:rFonts w:ascii="Rockwell" w:hAnsi="Rockwell"/>
                <w:sz w:val="18"/>
                <w:szCs w:val="18"/>
              </w:rPr>
              <w:t xml:space="preserve"> complèt</w:t>
            </w:r>
            <w:r w:rsidRPr="00422183">
              <w:rPr>
                <w:rFonts w:ascii="Rockwell" w:hAnsi="Rockwell"/>
                <w:sz w:val="18"/>
                <w:szCs w:val="18"/>
              </w:rPr>
              <w:t xml:space="preserve">e de planification familiale, </w:t>
            </w:r>
            <w:r w:rsidR="00CB4808" w:rsidRPr="00422183">
              <w:rPr>
                <w:rFonts w:ascii="Rockwell" w:hAnsi="Rockwell"/>
                <w:sz w:val="18"/>
                <w:szCs w:val="18"/>
              </w:rPr>
              <w:t>a</w:t>
            </w:r>
            <w:r w:rsidR="00EF2E5A" w:rsidRPr="00422183">
              <w:rPr>
                <w:rFonts w:ascii="Rockwell" w:hAnsi="Rockwell"/>
                <w:sz w:val="18"/>
                <w:szCs w:val="18"/>
              </w:rPr>
              <w:t>ssurance qualité des services de</w:t>
            </w:r>
            <w:r w:rsidRPr="00422183">
              <w:rPr>
                <w:rFonts w:ascii="Rockwell" w:hAnsi="Rockwell"/>
                <w:sz w:val="18"/>
                <w:szCs w:val="18"/>
              </w:rPr>
              <w:t xml:space="preserve"> santé, </w:t>
            </w:r>
            <w:r w:rsidR="00CB4808" w:rsidRPr="00422183">
              <w:rPr>
                <w:rFonts w:ascii="Rockwell" w:hAnsi="Rockwell"/>
                <w:sz w:val="18"/>
                <w:szCs w:val="18"/>
              </w:rPr>
              <w:t>bonne gouvernance</w:t>
            </w: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Indice synthétique de fécondité</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5,4 (2014)</w:t>
            </w:r>
          </w:p>
        </w:tc>
        <w:tc>
          <w:tcPr>
            <w:tcW w:w="886" w:type="dxa"/>
            <w:noWrap/>
            <w:vAlign w:val="center"/>
            <w:hideMark/>
          </w:tcPr>
          <w:p w:rsidR="00CB4808" w:rsidRPr="00422183" w:rsidRDefault="00650DBA" w:rsidP="003A0820">
            <w:pPr>
              <w:jc w:val="both"/>
              <w:rPr>
                <w:rFonts w:ascii="Rockwell" w:hAnsi="Rockwell"/>
                <w:sz w:val="18"/>
                <w:szCs w:val="18"/>
              </w:rPr>
            </w:pPr>
            <w:r w:rsidRPr="00422183">
              <w:rPr>
                <w:rFonts w:ascii="Rockwell" w:hAnsi="Rockwell"/>
                <w:sz w:val="18"/>
                <w:szCs w:val="18"/>
              </w:rPr>
              <w:t>5</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4,7</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 xml:space="preserve">Quotient </w:t>
            </w:r>
            <w:r w:rsidR="00CB4808" w:rsidRPr="00422183">
              <w:rPr>
                <w:rFonts w:ascii="Rockwell" w:hAnsi="Rockwell"/>
                <w:sz w:val="18"/>
                <w:szCs w:val="18"/>
              </w:rPr>
              <w:t>de mortalité infanto-juvénile</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8</w:t>
            </w:r>
            <w:r w:rsidR="00AB6088" w:rsidRPr="00422183">
              <w:rPr>
                <w:rFonts w:ascii="Rockwell" w:hAnsi="Rockwell"/>
                <w:sz w:val="18"/>
                <w:szCs w:val="18"/>
              </w:rPr>
              <w:t>1,6</w:t>
            </w:r>
            <w:r w:rsidRPr="00422183">
              <w:rPr>
                <w:rFonts w:ascii="Rockwell" w:hAnsi="Rockwell"/>
                <w:sz w:val="18"/>
                <w:szCs w:val="18"/>
              </w:rPr>
              <w:t xml:space="preserve"> pour 1000 (2014)</w:t>
            </w:r>
          </w:p>
        </w:tc>
        <w:tc>
          <w:tcPr>
            <w:tcW w:w="886"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69 pour 1000</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w:t>
            </w:r>
            <w:r w:rsidR="000878B4" w:rsidRPr="00422183">
              <w:rPr>
                <w:rFonts w:ascii="Rockwell" w:hAnsi="Rockwell"/>
                <w:sz w:val="18"/>
                <w:szCs w:val="18"/>
              </w:rPr>
              <w:t>54,</w:t>
            </w:r>
            <w:r w:rsidR="00AB6088" w:rsidRPr="00422183">
              <w:rPr>
                <w:rFonts w:ascii="Rockwell" w:hAnsi="Rockwell"/>
                <w:sz w:val="18"/>
                <w:szCs w:val="18"/>
              </w:rPr>
              <w:t>7</w:t>
            </w:r>
            <w:r w:rsidR="000878B4" w:rsidRPr="00422183">
              <w:rPr>
                <w:rFonts w:ascii="Rockwell" w:hAnsi="Rockwell"/>
                <w:sz w:val="18"/>
                <w:szCs w:val="18"/>
              </w:rPr>
              <w:t xml:space="preserve"> </w:t>
            </w:r>
            <w:r w:rsidR="00AB6088" w:rsidRPr="00422183">
              <w:rPr>
                <w:rFonts w:ascii="Rockwell" w:hAnsi="Rockwell"/>
                <w:sz w:val="18"/>
                <w:szCs w:val="18"/>
              </w:rPr>
              <w:t>pour 1000</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 xml:space="preserve">Rapport </w:t>
            </w:r>
            <w:r w:rsidR="00CB4808" w:rsidRPr="00422183">
              <w:rPr>
                <w:rFonts w:ascii="Rockwell" w:hAnsi="Rockwell"/>
                <w:sz w:val="18"/>
                <w:szCs w:val="18"/>
              </w:rPr>
              <w:t xml:space="preserve">de dépendance </w:t>
            </w:r>
            <w:r w:rsidR="00385033" w:rsidRPr="00422183">
              <w:rPr>
                <w:rFonts w:ascii="Rockwell" w:hAnsi="Rockwell"/>
                <w:sz w:val="18"/>
                <w:szCs w:val="18"/>
              </w:rPr>
              <w:t>démographique</w:t>
            </w:r>
          </w:p>
        </w:tc>
        <w:tc>
          <w:tcPr>
            <w:tcW w:w="1280" w:type="dxa"/>
            <w:noWrap/>
            <w:vAlign w:val="center"/>
          </w:tcPr>
          <w:p w:rsidR="00CB4808" w:rsidRPr="00422183" w:rsidRDefault="00AB6088" w:rsidP="003A0820">
            <w:pPr>
              <w:jc w:val="both"/>
              <w:rPr>
                <w:rFonts w:ascii="Rockwell" w:hAnsi="Rockwell"/>
                <w:sz w:val="18"/>
                <w:szCs w:val="18"/>
              </w:rPr>
            </w:pPr>
            <w:r w:rsidRPr="00422183">
              <w:rPr>
                <w:rFonts w:ascii="Rockwell" w:hAnsi="Rockwell"/>
                <w:sz w:val="18"/>
                <w:szCs w:val="18"/>
              </w:rPr>
              <w:t>100%</w:t>
            </w:r>
          </w:p>
        </w:tc>
        <w:tc>
          <w:tcPr>
            <w:tcW w:w="886" w:type="dxa"/>
            <w:noWrap/>
            <w:vAlign w:val="center"/>
          </w:tcPr>
          <w:p w:rsidR="00CB4808" w:rsidRPr="00422183" w:rsidRDefault="00AB6088" w:rsidP="003A0820">
            <w:pPr>
              <w:jc w:val="both"/>
              <w:rPr>
                <w:rFonts w:ascii="Rockwell" w:hAnsi="Rockwell"/>
                <w:sz w:val="18"/>
                <w:szCs w:val="18"/>
              </w:rPr>
            </w:pPr>
            <w:r w:rsidRPr="00422183">
              <w:rPr>
                <w:rFonts w:ascii="Rockwell" w:hAnsi="Rockwell"/>
                <w:sz w:val="18"/>
                <w:szCs w:val="18"/>
              </w:rPr>
              <w:t>96%</w:t>
            </w:r>
          </w:p>
        </w:tc>
        <w:tc>
          <w:tcPr>
            <w:tcW w:w="1178" w:type="dxa"/>
            <w:noWrap/>
            <w:vAlign w:val="center"/>
          </w:tcPr>
          <w:p w:rsidR="00CB4808" w:rsidRPr="00422183" w:rsidRDefault="00AB6088" w:rsidP="003A0820">
            <w:pPr>
              <w:jc w:val="both"/>
              <w:rPr>
                <w:rFonts w:ascii="Rockwell" w:hAnsi="Rockwell"/>
                <w:sz w:val="18"/>
                <w:szCs w:val="18"/>
              </w:rPr>
            </w:pPr>
            <w:r w:rsidRPr="00422183">
              <w:rPr>
                <w:rFonts w:ascii="Rockwell" w:hAnsi="Rockwell"/>
                <w:sz w:val="18"/>
                <w:szCs w:val="18"/>
              </w:rPr>
              <w:t>92%</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15"/>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Taux de mortalité</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11,8 pour 1000 (2006)</w:t>
            </w:r>
          </w:p>
        </w:tc>
        <w:tc>
          <w:tcPr>
            <w:tcW w:w="886"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10 pour 1000</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8 pour 1000</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val="restart"/>
            <w:noWrap/>
            <w:vAlign w:val="center"/>
            <w:hideMark/>
          </w:tcPr>
          <w:p w:rsidR="00CB4808" w:rsidRPr="00422183" w:rsidRDefault="006D3493" w:rsidP="003A0820">
            <w:pPr>
              <w:jc w:val="both"/>
              <w:rPr>
                <w:rFonts w:ascii="Rockwell" w:hAnsi="Rockwell"/>
                <w:sz w:val="18"/>
                <w:szCs w:val="18"/>
              </w:rPr>
            </w:pPr>
            <w:r w:rsidRPr="00422183">
              <w:rPr>
                <w:rFonts w:ascii="Rockwell" w:hAnsi="Rockwell"/>
                <w:sz w:val="18"/>
                <w:szCs w:val="18"/>
              </w:rPr>
              <w:t>Impacts</w:t>
            </w: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Incidence de pauvreté</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40,1% (2014)</w:t>
            </w:r>
          </w:p>
        </w:tc>
        <w:tc>
          <w:tcPr>
            <w:tcW w:w="886"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38%</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35%</w:t>
            </w:r>
          </w:p>
        </w:tc>
        <w:tc>
          <w:tcPr>
            <w:tcW w:w="2503" w:type="dxa"/>
            <w:vMerge w:val="restart"/>
            <w:vAlign w:val="center"/>
            <w:hideMark/>
          </w:tcPr>
          <w:p w:rsidR="00CB4808" w:rsidRPr="00422183" w:rsidRDefault="00850F69" w:rsidP="003A0820">
            <w:pPr>
              <w:jc w:val="both"/>
              <w:rPr>
                <w:rFonts w:ascii="Rockwell" w:hAnsi="Rockwell"/>
                <w:sz w:val="18"/>
                <w:szCs w:val="18"/>
              </w:rPr>
            </w:pPr>
            <w:r w:rsidRPr="00422183">
              <w:rPr>
                <w:rFonts w:ascii="Rockwell" w:hAnsi="Rockwell"/>
                <w:sz w:val="18"/>
                <w:szCs w:val="18"/>
              </w:rPr>
              <w:t>B</w:t>
            </w:r>
            <w:r w:rsidR="00CB4808" w:rsidRPr="00422183">
              <w:rPr>
                <w:rFonts w:ascii="Rockwell" w:hAnsi="Rockwell"/>
                <w:sz w:val="18"/>
                <w:szCs w:val="18"/>
              </w:rPr>
              <w:t>onne</w:t>
            </w:r>
            <w:r w:rsidRPr="00422183">
              <w:rPr>
                <w:rFonts w:ascii="Rockwell" w:hAnsi="Rockwell"/>
                <w:sz w:val="18"/>
                <w:szCs w:val="18"/>
              </w:rPr>
              <w:t>s</w:t>
            </w:r>
            <w:r w:rsidR="00CB4808" w:rsidRPr="00422183">
              <w:rPr>
                <w:rFonts w:ascii="Rockwell" w:hAnsi="Rockwell"/>
                <w:sz w:val="18"/>
                <w:szCs w:val="18"/>
              </w:rPr>
              <w:t xml:space="preserve"> gouvernance</w:t>
            </w:r>
            <w:r w:rsidRPr="00422183">
              <w:rPr>
                <w:rFonts w:ascii="Rockwell" w:hAnsi="Rockwell"/>
                <w:sz w:val="18"/>
                <w:szCs w:val="18"/>
              </w:rPr>
              <w:t>s</w:t>
            </w:r>
            <w:r w:rsidR="00CB4808" w:rsidRPr="00422183">
              <w:rPr>
                <w:rFonts w:ascii="Rockwell" w:hAnsi="Rockwell"/>
                <w:sz w:val="18"/>
                <w:szCs w:val="18"/>
              </w:rPr>
              <w:t xml:space="preserve"> économique, politique, administrative et locale</w:t>
            </w: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Incidence de pauvreté en milieu rural</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47,5% (2014)</w:t>
            </w:r>
          </w:p>
        </w:tc>
        <w:tc>
          <w:tcPr>
            <w:tcW w:w="886"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44%</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38%</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Profondeur de la pauvreté</w:t>
            </w:r>
          </w:p>
        </w:tc>
        <w:tc>
          <w:tcPr>
            <w:tcW w:w="1280"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 xml:space="preserve"> 3,3% (2014)</w:t>
            </w:r>
          </w:p>
        </w:tc>
        <w:tc>
          <w:tcPr>
            <w:tcW w:w="886"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2,8%</w:t>
            </w:r>
          </w:p>
        </w:tc>
        <w:tc>
          <w:tcPr>
            <w:tcW w:w="1178"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1,60%</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00"/>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Taux de croissance économique</w:t>
            </w:r>
          </w:p>
        </w:tc>
        <w:tc>
          <w:tcPr>
            <w:tcW w:w="1280" w:type="dxa"/>
            <w:noWrap/>
            <w:vAlign w:val="center"/>
            <w:hideMark/>
          </w:tcPr>
          <w:p w:rsidR="00CB4808" w:rsidRPr="00422183" w:rsidRDefault="00080BC8" w:rsidP="003A0820">
            <w:pPr>
              <w:jc w:val="both"/>
              <w:rPr>
                <w:rFonts w:ascii="Rockwell" w:hAnsi="Rockwell"/>
                <w:sz w:val="18"/>
                <w:szCs w:val="18"/>
              </w:rPr>
            </w:pPr>
            <w:r w:rsidRPr="00422183">
              <w:rPr>
                <w:rFonts w:ascii="Rockwell" w:hAnsi="Rockwell"/>
                <w:sz w:val="18"/>
                <w:szCs w:val="18"/>
              </w:rPr>
              <w:t>4,0</w:t>
            </w:r>
            <w:r w:rsidR="00CB4808" w:rsidRPr="00422183">
              <w:rPr>
                <w:rFonts w:ascii="Rockwell" w:hAnsi="Rockwell"/>
                <w:sz w:val="18"/>
                <w:szCs w:val="18"/>
              </w:rPr>
              <w:t>%</w:t>
            </w:r>
            <w:r w:rsidR="00C715F0" w:rsidRPr="00422183">
              <w:rPr>
                <w:rFonts w:ascii="Rockwell" w:hAnsi="Rockwell"/>
                <w:sz w:val="18"/>
                <w:szCs w:val="18"/>
              </w:rPr>
              <w:t xml:space="preserve"> (2015)</w:t>
            </w:r>
          </w:p>
        </w:tc>
        <w:tc>
          <w:tcPr>
            <w:tcW w:w="886" w:type="dxa"/>
            <w:noWrap/>
            <w:vAlign w:val="center"/>
            <w:hideMark/>
          </w:tcPr>
          <w:p w:rsidR="00CB4808" w:rsidRPr="00422183" w:rsidRDefault="00080BC8" w:rsidP="003A0820">
            <w:pPr>
              <w:jc w:val="both"/>
              <w:rPr>
                <w:rFonts w:ascii="Rockwell" w:hAnsi="Rockwell"/>
                <w:sz w:val="18"/>
                <w:szCs w:val="18"/>
              </w:rPr>
            </w:pPr>
            <w:r w:rsidRPr="00422183">
              <w:rPr>
                <w:rFonts w:ascii="Rockwell" w:hAnsi="Rockwell"/>
                <w:sz w:val="18"/>
                <w:szCs w:val="18"/>
              </w:rPr>
              <w:t>9,5</w:t>
            </w:r>
            <w:r w:rsidR="00CB4808" w:rsidRPr="00422183">
              <w:rPr>
                <w:rFonts w:ascii="Rockwell" w:hAnsi="Rockwell"/>
                <w:sz w:val="18"/>
                <w:szCs w:val="18"/>
              </w:rPr>
              <w:t>%</w:t>
            </w:r>
          </w:p>
        </w:tc>
        <w:tc>
          <w:tcPr>
            <w:tcW w:w="1178" w:type="dxa"/>
            <w:noWrap/>
            <w:vAlign w:val="center"/>
            <w:hideMark/>
          </w:tcPr>
          <w:p w:rsidR="00CB4808" w:rsidRPr="00422183" w:rsidRDefault="00080BC8" w:rsidP="003A0820">
            <w:pPr>
              <w:jc w:val="both"/>
              <w:rPr>
                <w:rFonts w:ascii="Rockwell" w:hAnsi="Rockwell"/>
                <w:sz w:val="18"/>
                <w:szCs w:val="18"/>
              </w:rPr>
            </w:pPr>
            <w:r w:rsidRPr="00422183">
              <w:rPr>
                <w:rFonts w:ascii="Rockwell" w:hAnsi="Rockwell"/>
                <w:sz w:val="18"/>
                <w:szCs w:val="18"/>
              </w:rPr>
              <w:t>8,9</w:t>
            </w:r>
            <w:r w:rsidR="00CB4808" w:rsidRPr="00422183">
              <w:rPr>
                <w:rFonts w:ascii="Rockwell" w:hAnsi="Rockwell"/>
                <w:sz w:val="18"/>
                <w:szCs w:val="18"/>
              </w:rPr>
              <w:t>%</w:t>
            </w:r>
          </w:p>
        </w:tc>
        <w:tc>
          <w:tcPr>
            <w:tcW w:w="2503" w:type="dxa"/>
            <w:vMerge/>
            <w:vAlign w:val="center"/>
            <w:hideMark/>
          </w:tcPr>
          <w:p w:rsidR="00CB4808" w:rsidRPr="00422183" w:rsidRDefault="00CB4808" w:rsidP="003A0820">
            <w:pPr>
              <w:jc w:val="both"/>
              <w:rPr>
                <w:rFonts w:ascii="Rockwell" w:hAnsi="Rockwell"/>
                <w:sz w:val="18"/>
                <w:szCs w:val="18"/>
              </w:rPr>
            </w:pPr>
          </w:p>
        </w:tc>
      </w:tr>
      <w:tr w:rsidR="00CB4808" w:rsidRPr="00422183" w:rsidTr="003A0820">
        <w:trPr>
          <w:trHeight w:val="315"/>
        </w:trPr>
        <w:tc>
          <w:tcPr>
            <w:tcW w:w="1346" w:type="dxa"/>
            <w:vMerge/>
            <w:noWrap/>
            <w:vAlign w:val="center"/>
            <w:hideMark/>
          </w:tcPr>
          <w:p w:rsidR="00CB4808" w:rsidRPr="00422183" w:rsidRDefault="00CB4808" w:rsidP="003A0820">
            <w:pPr>
              <w:jc w:val="both"/>
              <w:rPr>
                <w:rFonts w:ascii="Rockwell" w:hAnsi="Rockwell"/>
                <w:sz w:val="18"/>
                <w:szCs w:val="18"/>
              </w:rPr>
            </w:pPr>
          </w:p>
        </w:tc>
        <w:tc>
          <w:tcPr>
            <w:tcW w:w="3092" w:type="dxa"/>
            <w:noWrap/>
            <w:vAlign w:val="center"/>
            <w:hideMark/>
          </w:tcPr>
          <w:p w:rsidR="00CB4808" w:rsidRPr="00422183" w:rsidRDefault="00CB4808" w:rsidP="003A0820">
            <w:pPr>
              <w:jc w:val="both"/>
              <w:rPr>
                <w:rFonts w:ascii="Rockwell" w:hAnsi="Rockwell"/>
                <w:sz w:val="18"/>
                <w:szCs w:val="18"/>
              </w:rPr>
            </w:pPr>
            <w:r w:rsidRPr="00422183">
              <w:rPr>
                <w:rFonts w:ascii="Rockwell" w:hAnsi="Rockwell"/>
                <w:sz w:val="18"/>
                <w:szCs w:val="18"/>
              </w:rPr>
              <w:t>Nombre moyen d</w:t>
            </w:r>
            <w:r w:rsidR="006C72DE" w:rsidRPr="00422183">
              <w:rPr>
                <w:rFonts w:ascii="Rockwell" w:hAnsi="Rockwell"/>
                <w:sz w:val="18"/>
                <w:szCs w:val="18"/>
              </w:rPr>
              <w:t>'</w:t>
            </w:r>
            <w:r w:rsidRPr="00422183">
              <w:rPr>
                <w:rFonts w:ascii="Rockwell" w:hAnsi="Rockwell"/>
                <w:sz w:val="18"/>
                <w:szCs w:val="18"/>
              </w:rPr>
              <w:t>emplois productifs créés par an (en milliers)</w:t>
            </w:r>
          </w:p>
        </w:tc>
        <w:tc>
          <w:tcPr>
            <w:tcW w:w="1280" w:type="dxa"/>
            <w:noWrap/>
            <w:vAlign w:val="center"/>
            <w:hideMark/>
          </w:tcPr>
          <w:p w:rsidR="00CB4808" w:rsidRPr="00422183" w:rsidRDefault="00EE34A2" w:rsidP="003A0820">
            <w:pPr>
              <w:jc w:val="both"/>
              <w:rPr>
                <w:rFonts w:ascii="Rockwell" w:hAnsi="Rockwell"/>
                <w:sz w:val="18"/>
                <w:szCs w:val="18"/>
              </w:rPr>
            </w:pPr>
            <w:r w:rsidRPr="00422183">
              <w:rPr>
                <w:rFonts w:ascii="Rockwell" w:hAnsi="Rockwell"/>
                <w:sz w:val="18"/>
                <w:szCs w:val="18"/>
              </w:rPr>
              <w:t>53,2</w:t>
            </w:r>
          </w:p>
        </w:tc>
        <w:tc>
          <w:tcPr>
            <w:tcW w:w="886" w:type="dxa"/>
            <w:noWrap/>
            <w:vAlign w:val="center"/>
            <w:hideMark/>
          </w:tcPr>
          <w:p w:rsidR="00CB4808" w:rsidRPr="00422183" w:rsidRDefault="00AB6088" w:rsidP="003A0820">
            <w:pPr>
              <w:jc w:val="both"/>
              <w:rPr>
                <w:rFonts w:ascii="Rockwell" w:hAnsi="Rockwell"/>
                <w:sz w:val="18"/>
                <w:szCs w:val="18"/>
              </w:rPr>
            </w:pPr>
            <w:r w:rsidRPr="00422183">
              <w:rPr>
                <w:rFonts w:ascii="Rockwell" w:hAnsi="Rockwell"/>
                <w:sz w:val="18"/>
                <w:szCs w:val="18"/>
              </w:rPr>
              <w:t>80</w:t>
            </w:r>
          </w:p>
        </w:tc>
        <w:tc>
          <w:tcPr>
            <w:tcW w:w="1178" w:type="dxa"/>
            <w:noWrap/>
            <w:vAlign w:val="center"/>
            <w:hideMark/>
          </w:tcPr>
          <w:p w:rsidR="00CB4808" w:rsidRPr="00422183" w:rsidRDefault="00EE34A2" w:rsidP="003A0820">
            <w:pPr>
              <w:jc w:val="both"/>
              <w:rPr>
                <w:rFonts w:ascii="Rockwell" w:hAnsi="Rockwell"/>
                <w:sz w:val="18"/>
                <w:szCs w:val="18"/>
              </w:rPr>
            </w:pPr>
            <w:r w:rsidRPr="00422183">
              <w:rPr>
                <w:rFonts w:ascii="Rockwell" w:hAnsi="Rockwell"/>
                <w:sz w:val="18"/>
                <w:szCs w:val="18"/>
              </w:rPr>
              <w:t>130</w:t>
            </w:r>
          </w:p>
        </w:tc>
        <w:tc>
          <w:tcPr>
            <w:tcW w:w="2503" w:type="dxa"/>
            <w:vMerge/>
            <w:vAlign w:val="center"/>
            <w:hideMark/>
          </w:tcPr>
          <w:p w:rsidR="00CB4808" w:rsidRPr="00422183" w:rsidRDefault="00CB4808" w:rsidP="003A0820">
            <w:pPr>
              <w:jc w:val="both"/>
              <w:rPr>
                <w:rFonts w:ascii="Rockwell" w:hAnsi="Rockwell"/>
                <w:sz w:val="18"/>
                <w:szCs w:val="18"/>
              </w:rPr>
            </w:pPr>
          </w:p>
        </w:tc>
      </w:tr>
    </w:tbl>
    <w:p w:rsidR="006E0B08" w:rsidRPr="00422183" w:rsidRDefault="006E0B08" w:rsidP="003A0820">
      <w:pPr>
        <w:spacing w:after="0" w:line="240" w:lineRule="auto"/>
        <w:jc w:val="both"/>
        <w:rPr>
          <w:rFonts w:ascii="Rockwell" w:hAnsi="Rockwell"/>
        </w:rPr>
      </w:pPr>
    </w:p>
    <w:p w:rsidR="00CB4808" w:rsidRPr="00422183" w:rsidRDefault="00986E9A" w:rsidP="00516FB0">
      <w:pPr>
        <w:spacing w:after="0" w:line="240" w:lineRule="auto"/>
        <w:jc w:val="both"/>
        <w:rPr>
          <w:rFonts w:ascii="Rockwell" w:hAnsi="Rockwell"/>
          <w:sz w:val="24"/>
        </w:rPr>
      </w:pPr>
      <w:r w:rsidRPr="00422183">
        <w:rPr>
          <w:rFonts w:ascii="Rockwell" w:hAnsi="Rockwell"/>
          <w:sz w:val="24"/>
        </w:rPr>
        <w:t>La transformation structurelle envisagée à</w:t>
      </w:r>
      <w:r w:rsidR="006E0B08" w:rsidRPr="00422183">
        <w:rPr>
          <w:rFonts w:ascii="Rockwell" w:hAnsi="Rockwell"/>
          <w:sz w:val="24"/>
        </w:rPr>
        <w:t xml:space="preserve"> l</w:t>
      </w:r>
      <w:r w:rsidR="006C72DE" w:rsidRPr="00422183">
        <w:rPr>
          <w:rFonts w:ascii="Rockwell" w:hAnsi="Rockwell"/>
          <w:sz w:val="24"/>
        </w:rPr>
        <w:t>'</w:t>
      </w:r>
      <w:r w:rsidR="006E0B08" w:rsidRPr="00422183">
        <w:rPr>
          <w:rFonts w:ascii="Rockwell" w:hAnsi="Rockwell"/>
          <w:sz w:val="24"/>
        </w:rPr>
        <w:t>horizon 2020</w:t>
      </w:r>
      <w:r w:rsidRPr="00422183">
        <w:rPr>
          <w:rFonts w:ascii="Rockwell" w:hAnsi="Rockwell"/>
          <w:sz w:val="24"/>
        </w:rPr>
        <w:t xml:space="preserve"> par </w:t>
      </w:r>
      <w:r w:rsidR="006E0B08" w:rsidRPr="00422183">
        <w:rPr>
          <w:rFonts w:ascii="Rockwell" w:hAnsi="Rockwell"/>
          <w:sz w:val="24"/>
        </w:rPr>
        <w:t>le PNDES</w:t>
      </w:r>
      <w:r w:rsidR="00AE1280" w:rsidRPr="00422183">
        <w:rPr>
          <w:rFonts w:ascii="Rockwell" w:hAnsi="Rockwell"/>
          <w:sz w:val="24"/>
        </w:rPr>
        <w:t xml:space="preserve"> </w:t>
      </w:r>
      <w:r w:rsidR="00850F69" w:rsidRPr="00422183">
        <w:rPr>
          <w:rFonts w:ascii="Rockwell" w:hAnsi="Rockwell"/>
          <w:sz w:val="24"/>
        </w:rPr>
        <w:t>(</w:t>
      </w:r>
      <w:r w:rsidR="00DD31E1">
        <w:fldChar w:fldCharType="begin"/>
      </w:r>
      <w:r w:rsidR="00DD31E1">
        <w:instrText xml:space="preserve"> REF _Ref453142462 \h  \* MERGEFORMAT </w:instrText>
      </w:r>
      <w:r w:rsidR="00DD31E1">
        <w:fldChar w:fldCharType="separate"/>
      </w:r>
      <w:r w:rsidR="00850F69" w:rsidRPr="00422183">
        <w:rPr>
          <w:rFonts w:ascii="Rockwell" w:hAnsi="Rockwell"/>
        </w:rPr>
        <w:t>Tableau 1</w:t>
      </w:r>
      <w:r w:rsidR="00DD31E1">
        <w:fldChar w:fldCharType="end"/>
      </w:r>
      <w:r w:rsidR="00850F69" w:rsidRPr="00422183">
        <w:rPr>
          <w:rFonts w:ascii="Rockwell" w:hAnsi="Rockwell"/>
          <w:sz w:val="24"/>
        </w:rPr>
        <w:t xml:space="preserve">) </w:t>
      </w:r>
      <w:r w:rsidRPr="00422183">
        <w:rPr>
          <w:rFonts w:ascii="Rockwell" w:hAnsi="Rockwell"/>
          <w:sz w:val="24"/>
        </w:rPr>
        <w:t>est l</w:t>
      </w:r>
      <w:r w:rsidR="006C72DE" w:rsidRPr="00422183">
        <w:rPr>
          <w:rFonts w:ascii="Rockwell" w:hAnsi="Rockwell"/>
          <w:sz w:val="24"/>
        </w:rPr>
        <w:t>'</w:t>
      </w:r>
      <w:r w:rsidRPr="00422183">
        <w:rPr>
          <w:rFonts w:ascii="Rockwell" w:hAnsi="Rockwell"/>
          <w:sz w:val="24"/>
        </w:rPr>
        <w:t>augmentation de la contribution des industries manufacturières dans le PIB et dans les exportations, soutenue par l</w:t>
      </w:r>
      <w:r w:rsidR="006C72DE" w:rsidRPr="00422183">
        <w:rPr>
          <w:rFonts w:ascii="Rockwell" w:hAnsi="Rockwell"/>
          <w:sz w:val="24"/>
        </w:rPr>
        <w:t>'</w:t>
      </w:r>
      <w:r w:rsidRPr="00422183">
        <w:rPr>
          <w:rFonts w:ascii="Rockwell" w:hAnsi="Rockwell"/>
          <w:sz w:val="24"/>
        </w:rPr>
        <w:t>accroissement de la productivité du secteur primaire</w:t>
      </w:r>
      <w:r w:rsidR="00850F69" w:rsidRPr="00422183">
        <w:rPr>
          <w:rFonts w:ascii="Rockwell" w:hAnsi="Rockwell"/>
          <w:sz w:val="24"/>
        </w:rPr>
        <w:t>,</w:t>
      </w:r>
      <w:r w:rsidRPr="00422183">
        <w:rPr>
          <w:rFonts w:ascii="Rockwell" w:hAnsi="Rockwell"/>
          <w:sz w:val="24"/>
        </w:rPr>
        <w:t xml:space="preserve"> dans un contexte d</w:t>
      </w:r>
      <w:r w:rsidR="006C72DE" w:rsidRPr="00422183">
        <w:rPr>
          <w:rFonts w:ascii="Rockwell" w:hAnsi="Rockwell"/>
          <w:sz w:val="24"/>
        </w:rPr>
        <w:t>'</w:t>
      </w:r>
      <w:r w:rsidRPr="00422183">
        <w:rPr>
          <w:rFonts w:ascii="Rockwell" w:hAnsi="Rockwell"/>
          <w:sz w:val="24"/>
        </w:rPr>
        <w:t>accélération de la transition démographique</w:t>
      </w:r>
      <w:r w:rsidR="00AE1280" w:rsidRPr="00422183">
        <w:rPr>
          <w:rFonts w:ascii="Rockwell" w:hAnsi="Rockwell"/>
          <w:sz w:val="24"/>
        </w:rPr>
        <w:t>.</w:t>
      </w:r>
    </w:p>
    <w:p w:rsidR="00C87F3F" w:rsidRPr="00422183" w:rsidRDefault="00C87F3F" w:rsidP="003A0820">
      <w:pPr>
        <w:spacing w:after="0" w:line="240" w:lineRule="auto"/>
        <w:jc w:val="both"/>
        <w:rPr>
          <w:rFonts w:ascii="Rockwell" w:hAnsi="Rockwell"/>
          <w:sz w:val="24"/>
        </w:rPr>
      </w:pPr>
    </w:p>
    <w:p w:rsidR="004C21AF" w:rsidRPr="00422183" w:rsidRDefault="000566DC" w:rsidP="003A0820">
      <w:pPr>
        <w:spacing w:after="0" w:line="240" w:lineRule="auto"/>
        <w:jc w:val="both"/>
        <w:rPr>
          <w:rFonts w:ascii="Rockwell" w:hAnsi="Rockwell"/>
          <w:sz w:val="24"/>
        </w:rPr>
      </w:pPr>
      <w:r w:rsidRPr="00422183">
        <w:rPr>
          <w:rFonts w:ascii="Rockwell" w:hAnsi="Rockwell"/>
          <w:sz w:val="24"/>
        </w:rPr>
        <w:t xml:space="preserve">Une industrialisation durable nécessitant </w:t>
      </w:r>
      <w:r w:rsidR="00D4050B" w:rsidRPr="00422183">
        <w:rPr>
          <w:rFonts w:ascii="Rockwell" w:hAnsi="Rockwell"/>
          <w:sz w:val="24"/>
        </w:rPr>
        <w:t xml:space="preserve">: </w:t>
      </w:r>
      <w:r w:rsidRPr="00422183">
        <w:rPr>
          <w:rFonts w:ascii="Rockwell" w:hAnsi="Rockwell"/>
          <w:sz w:val="24"/>
        </w:rPr>
        <w:t>(i) la réduction des coûts des principaux facteurs de production que sont l</w:t>
      </w:r>
      <w:r w:rsidR="006C72DE" w:rsidRPr="00422183">
        <w:rPr>
          <w:rFonts w:ascii="Rockwell" w:hAnsi="Rockwell"/>
          <w:sz w:val="24"/>
        </w:rPr>
        <w:t>'</w:t>
      </w:r>
      <w:r w:rsidRPr="00422183">
        <w:rPr>
          <w:rFonts w:ascii="Rockwell" w:hAnsi="Rockwell"/>
          <w:sz w:val="24"/>
        </w:rPr>
        <w:t>énergie, les tra</w:t>
      </w:r>
      <w:r w:rsidR="004C21AF" w:rsidRPr="00422183">
        <w:rPr>
          <w:rFonts w:ascii="Rockwell" w:hAnsi="Rockwell"/>
          <w:sz w:val="24"/>
        </w:rPr>
        <w:t xml:space="preserve">nsports et les technologies, </w:t>
      </w:r>
      <w:r w:rsidRPr="00422183">
        <w:rPr>
          <w:rFonts w:ascii="Rockwell" w:hAnsi="Rockwell"/>
          <w:sz w:val="24"/>
        </w:rPr>
        <w:t>(ii) la disponibilité permanente d</w:t>
      </w:r>
      <w:r w:rsidR="006C72DE" w:rsidRPr="00422183">
        <w:rPr>
          <w:rFonts w:ascii="Rockwell" w:hAnsi="Rockwell"/>
          <w:sz w:val="24"/>
        </w:rPr>
        <w:t>'</w:t>
      </w:r>
      <w:r w:rsidRPr="00422183">
        <w:rPr>
          <w:rFonts w:ascii="Rockwell" w:hAnsi="Rockwell"/>
          <w:sz w:val="24"/>
        </w:rPr>
        <w:t>un approvisionnement de qualité en matière</w:t>
      </w:r>
      <w:r w:rsidR="004C21AF" w:rsidRPr="00422183">
        <w:rPr>
          <w:rFonts w:ascii="Rockwell" w:hAnsi="Rockwell"/>
          <w:sz w:val="24"/>
        </w:rPr>
        <w:t>s</w:t>
      </w:r>
      <w:r w:rsidRPr="00422183">
        <w:rPr>
          <w:rFonts w:ascii="Rockwell" w:hAnsi="Rockwell"/>
          <w:sz w:val="24"/>
        </w:rPr>
        <w:t xml:space="preserve"> première</w:t>
      </w:r>
      <w:r w:rsidR="004C21AF" w:rsidRPr="00422183">
        <w:rPr>
          <w:rFonts w:ascii="Rockwell" w:hAnsi="Rockwell"/>
          <w:sz w:val="24"/>
        </w:rPr>
        <w:t>s.</w:t>
      </w:r>
    </w:p>
    <w:p w:rsidR="004C21AF" w:rsidRPr="00422183" w:rsidRDefault="004C21AF" w:rsidP="003A0820">
      <w:pPr>
        <w:spacing w:after="0" w:line="240" w:lineRule="auto"/>
        <w:jc w:val="both"/>
        <w:rPr>
          <w:rFonts w:ascii="Rockwell" w:hAnsi="Rockwell"/>
          <w:sz w:val="24"/>
        </w:rPr>
      </w:pPr>
    </w:p>
    <w:p w:rsidR="000566DC" w:rsidRPr="00422183" w:rsidRDefault="004C21AF" w:rsidP="003A0820">
      <w:pPr>
        <w:spacing w:after="0" w:line="240" w:lineRule="auto"/>
        <w:jc w:val="both"/>
        <w:rPr>
          <w:rFonts w:ascii="Rockwell" w:hAnsi="Rockwell"/>
          <w:sz w:val="24"/>
        </w:rPr>
      </w:pPr>
      <w:r w:rsidRPr="00422183">
        <w:rPr>
          <w:rFonts w:ascii="Rockwell" w:hAnsi="Rockwell"/>
          <w:sz w:val="24"/>
        </w:rPr>
        <w:t>L</w:t>
      </w:r>
      <w:r w:rsidR="000566DC" w:rsidRPr="00422183">
        <w:rPr>
          <w:rFonts w:ascii="Rockwell" w:hAnsi="Rockwell"/>
          <w:sz w:val="24"/>
        </w:rPr>
        <w:t>e processus de transformation structurelle de l</w:t>
      </w:r>
      <w:r w:rsidR="006C72DE" w:rsidRPr="00422183">
        <w:rPr>
          <w:rFonts w:ascii="Rockwell" w:hAnsi="Rockwell"/>
          <w:sz w:val="24"/>
        </w:rPr>
        <w:t>'</w:t>
      </w:r>
      <w:r w:rsidR="000566DC" w:rsidRPr="00422183">
        <w:rPr>
          <w:rFonts w:ascii="Rockwell" w:hAnsi="Rockwell"/>
          <w:sz w:val="24"/>
        </w:rPr>
        <w:t>économie envisagé passera par deux étapes essentielles</w:t>
      </w:r>
      <w:r w:rsidR="00DE2E06" w:rsidRPr="00422183">
        <w:rPr>
          <w:rFonts w:ascii="Rockwell" w:hAnsi="Rockwell"/>
          <w:sz w:val="24"/>
        </w:rPr>
        <w:t xml:space="preserve"> consécutives</w:t>
      </w:r>
      <w:r w:rsidR="002655DC" w:rsidRPr="00422183">
        <w:rPr>
          <w:rFonts w:ascii="Rockwell" w:hAnsi="Rockwell"/>
          <w:sz w:val="24"/>
        </w:rPr>
        <w:t>.</w:t>
      </w:r>
    </w:p>
    <w:p w:rsidR="002655DC" w:rsidRPr="00422183" w:rsidRDefault="002655DC" w:rsidP="003A0820">
      <w:pPr>
        <w:spacing w:after="0" w:line="240" w:lineRule="auto"/>
        <w:jc w:val="both"/>
        <w:rPr>
          <w:rFonts w:ascii="Rockwell" w:hAnsi="Rockwell"/>
          <w:sz w:val="24"/>
        </w:rPr>
      </w:pPr>
    </w:p>
    <w:p w:rsidR="00DE2E06" w:rsidRPr="00422183" w:rsidRDefault="002655DC" w:rsidP="00E95B1C">
      <w:pPr>
        <w:pStyle w:val="Paragraphedeliste"/>
        <w:numPr>
          <w:ilvl w:val="0"/>
          <w:numId w:val="10"/>
        </w:numPr>
        <w:spacing w:after="0" w:line="240" w:lineRule="auto"/>
        <w:ind w:left="567" w:hanging="425"/>
        <w:jc w:val="both"/>
        <w:rPr>
          <w:rFonts w:ascii="Rockwell" w:hAnsi="Rockwell"/>
          <w:sz w:val="24"/>
        </w:rPr>
      </w:pPr>
      <w:r w:rsidRPr="00422183">
        <w:rPr>
          <w:rFonts w:ascii="Rockwell" w:hAnsi="Rockwell"/>
          <w:b/>
          <w:sz w:val="24"/>
        </w:rPr>
        <w:t>Étape</w:t>
      </w:r>
      <w:r w:rsidR="000566DC" w:rsidRPr="00422183">
        <w:rPr>
          <w:rFonts w:ascii="Rockwell" w:hAnsi="Rockwell"/>
          <w:b/>
          <w:sz w:val="24"/>
        </w:rPr>
        <w:t xml:space="preserve"> 1 :</w:t>
      </w:r>
      <w:r w:rsidR="000566DC" w:rsidRPr="00422183">
        <w:rPr>
          <w:rFonts w:ascii="Rockwell" w:hAnsi="Rockwell"/>
          <w:sz w:val="24"/>
        </w:rPr>
        <w:t xml:space="preserve"> </w:t>
      </w:r>
      <w:r w:rsidR="00E06C12" w:rsidRPr="00422183">
        <w:rPr>
          <w:rFonts w:ascii="Rockwell" w:hAnsi="Rockwell"/>
          <w:sz w:val="24"/>
        </w:rPr>
        <w:t>e</w:t>
      </w:r>
      <w:r w:rsidR="008641C2" w:rsidRPr="00422183">
        <w:rPr>
          <w:rFonts w:ascii="Rockwell" w:hAnsi="Rockwell"/>
          <w:sz w:val="24"/>
        </w:rPr>
        <w:t>lle est consacrée à la création d</w:t>
      </w:r>
      <w:r w:rsidR="006C72DE" w:rsidRPr="00422183">
        <w:rPr>
          <w:rFonts w:ascii="Rockwell" w:hAnsi="Rockwell"/>
          <w:sz w:val="24"/>
        </w:rPr>
        <w:t>'</w:t>
      </w:r>
      <w:r w:rsidR="008641C2" w:rsidRPr="00422183">
        <w:rPr>
          <w:rFonts w:ascii="Rockwell" w:hAnsi="Rockwell"/>
          <w:sz w:val="24"/>
        </w:rPr>
        <w:t>un environnement favorable au développement industriel. Cela consistera au renforcement des secteurs d</w:t>
      </w:r>
      <w:r w:rsidR="006C72DE" w:rsidRPr="00422183">
        <w:rPr>
          <w:rFonts w:ascii="Rockwell" w:hAnsi="Rockwell"/>
          <w:sz w:val="24"/>
        </w:rPr>
        <w:t>'</w:t>
      </w:r>
      <w:r w:rsidR="008641C2" w:rsidRPr="00422183">
        <w:rPr>
          <w:rFonts w:ascii="Rockwell" w:hAnsi="Rockwell"/>
          <w:sz w:val="24"/>
        </w:rPr>
        <w:t>appui au développement industriel notamment l</w:t>
      </w:r>
      <w:r w:rsidR="006C72DE" w:rsidRPr="00422183">
        <w:rPr>
          <w:rFonts w:ascii="Rockwell" w:hAnsi="Rockwell"/>
          <w:sz w:val="24"/>
        </w:rPr>
        <w:t>'</w:t>
      </w:r>
      <w:r w:rsidR="008641C2" w:rsidRPr="00422183">
        <w:rPr>
          <w:rFonts w:ascii="Rockwell" w:hAnsi="Rockwell"/>
          <w:sz w:val="24"/>
        </w:rPr>
        <w:t>énergie, les infrastructures de transport et la technologie, à la réforme du système éducatif pour l</w:t>
      </w:r>
      <w:r w:rsidR="006C72DE" w:rsidRPr="00422183">
        <w:rPr>
          <w:rFonts w:ascii="Rockwell" w:hAnsi="Rockwell"/>
          <w:sz w:val="24"/>
        </w:rPr>
        <w:t>'</w:t>
      </w:r>
      <w:r w:rsidR="008641C2" w:rsidRPr="00422183">
        <w:rPr>
          <w:rFonts w:ascii="Rockwell" w:hAnsi="Rockwell"/>
          <w:sz w:val="24"/>
        </w:rPr>
        <w:t>adapter aux besoins de la transformation envisagée, et à l</w:t>
      </w:r>
      <w:r w:rsidR="006C72DE" w:rsidRPr="00422183">
        <w:rPr>
          <w:rFonts w:ascii="Rockwell" w:hAnsi="Rockwell"/>
          <w:sz w:val="24"/>
        </w:rPr>
        <w:t>'</w:t>
      </w:r>
      <w:r w:rsidR="008641C2" w:rsidRPr="00422183">
        <w:rPr>
          <w:rFonts w:ascii="Rockwell" w:hAnsi="Rockwell"/>
          <w:sz w:val="24"/>
        </w:rPr>
        <w:t>amélioration de la productivité du secteur primaire. Ces différents leviers seront activés concomitamment</w:t>
      </w:r>
      <w:r w:rsidR="00DE2E06" w:rsidRPr="00422183">
        <w:rPr>
          <w:rFonts w:ascii="Rockwell" w:hAnsi="Rockwell"/>
          <w:sz w:val="24"/>
        </w:rPr>
        <w:t xml:space="preserve"> sur trois années (2016-2018) et se maintiendront, au besoin.</w:t>
      </w:r>
    </w:p>
    <w:p w:rsidR="002655DC" w:rsidRPr="00422183" w:rsidRDefault="002655DC" w:rsidP="003A0820">
      <w:pPr>
        <w:spacing w:after="0" w:line="240" w:lineRule="auto"/>
        <w:jc w:val="both"/>
        <w:rPr>
          <w:rFonts w:ascii="Rockwell" w:hAnsi="Rockwell"/>
          <w:sz w:val="24"/>
        </w:rPr>
      </w:pPr>
    </w:p>
    <w:p w:rsidR="000566DC" w:rsidRPr="00422183" w:rsidRDefault="00F01219" w:rsidP="00E95B1C">
      <w:pPr>
        <w:pStyle w:val="Paragraphedeliste"/>
        <w:numPr>
          <w:ilvl w:val="0"/>
          <w:numId w:val="10"/>
        </w:numPr>
        <w:spacing w:after="0" w:line="240" w:lineRule="auto"/>
        <w:ind w:left="567" w:hanging="425"/>
        <w:jc w:val="both"/>
        <w:rPr>
          <w:rFonts w:ascii="Rockwell" w:hAnsi="Rockwell"/>
          <w:b/>
          <w:sz w:val="24"/>
        </w:rPr>
      </w:pPr>
      <w:r w:rsidRPr="00422183">
        <w:rPr>
          <w:rFonts w:ascii="Rockwell" w:hAnsi="Rockwell"/>
          <w:b/>
          <w:sz w:val="24"/>
        </w:rPr>
        <w:t>Étape</w:t>
      </w:r>
      <w:r w:rsidR="00DE2E06" w:rsidRPr="00422183">
        <w:rPr>
          <w:rFonts w:ascii="Rockwell" w:hAnsi="Rockwell"/>
          <w:b/>
          <w:sz w:val="24"/>
        </w:rPr>
        <w:t xml:space="preserve"> 2 :</w:t>
      </w:r>
      <w:r w:rsidR="00E06C12" w:rsidRPr="00422183">
        <w:rPr>
          <w:rFonts w:ascii="Rockwell" w:hAnsi="Rockwell"/>
          <w:b/>
          <w:sz w:val="24"/>
        </w:rPr>
        <w:t xml:space="preserve"> </w:t>
      </w:r>
      <w:r w:rsidR="00E06C12" w:rsidRPr="00422183">
        <w:rPr>
          <w:rFonts w:ascii="Rockwell" w:hAnsi="Rockwell"/>
          <w:sz w:val="24"/>
        </w:rPr>
        <w:t>e</w:t>
      </w:r>
      <w:r w:rsidR="00DE2E06" w:rsidRPr="00422183">
        <w:rPr>
          <w:rFonts w:ascii="Rockwell" w:hAnsi="Rockwell"/>
          <w:sz w:val="24"/>
        </w:rPr>
        <w:t xml:space="preserve">lle portera essentiellement sur la </w:t>
      </w:r>
      <w:r w:rsidR="00A8676C" w:rsidRPr="00422183">
        <w:rPr>
          <w:rFonts w:ascii="Rockwell" w:hAnsi="Rockwell"/>
          <w:sz w:val="24"/>
        </w:rPr>
        <w:t>relance d'un</w:t>
      </w:r>
      <w:r w:rsidR="00DE2E06" w:rsidRPr="00422183">
        <w:rPr>
          <w:rFonts w:ascii="Rockwell" w:hAnsi="Rockwell"/>
          <w:sz w:val="24"/>
        </w:rPr>
        <w:t xml:space="preserve"> développement industriel durable</w:t>
      </w:r>
      <w:r w:rsidR="00602134" w:rsidRPr="00422183">
        <w:rPr>
          <w:rFonts w:ascii="Rockwell" w:hAnsi="Rockwell"/>
          <w:sz w:val="24"/>
        </w:rPr>
        <w:t xml:space="preserve"> et la poursuite de la réforme du système éducatif</w:t>
      </w:r>
      <w:r w:rsidR="00DE2E06" w:rsidRPr="00422183">
        <w:rPr>
          <w:rFonts w:ascii="Rockwell" w:hAnsi="Rockwell"/>
          <w:sz w:val="24"/>
        </w:rPr>
        <w:t xml:space="preserve">. </w:t>
      </w:r>
      <w:r w:rsidR="00436EC3" w:rsidRPr="00422183">
        <w:rPr>
          <w:rFonts w:ascii="Rockwell" w:hAnsi="Rockwell"/>
          <w:sz w:val="24"/>
        </w:rPr>
        <w:t xml:space="preserve">Bien que </w:t>
      </w:r>
      <w:r w:rsidR="00DE2E06" w:rsidRPr="00422183">
        <w:rPr>
          <w:rFonts w:ascii="Rockwell" w:hAnsi="Rockwell"/>
          <w:sz w:val="24"/>
        </w:rPr>
        <w:t>des investissements structurants visant le développement industriel durable p</w:t>
      </w:r>
      <w:r w:rsidR="00436EC3" w:rsidRPr="00422183">
        <w:rPr>
          <w:rFonts w:ascii="Rockwell" w:hAnsi="Rockwell"/>
          <w:sz w:val="24"/>
        </w:rPr>
        <w:t>uissent</w:t>
      </w:r>
      <w:r w:rsidR="00DE2E06" w:rsidRPr="00422183">
        <w:rPr>
          <w:rFonts w:ascii="Rockwell" w:hAnsi="Rockwell"/>
          <w:sz w:val="24"/>
        </w:rPr>
        <w:t xml:space="preserve"> être exécutés durant la période 2016-2018, cette étape est pr</w:t>
      </w:r>
      <w:r w:rsidR="0078664E" w:rsidRPr="00422183">
        <w:rPr>
          <w:rFonts w:ascii="Rockwell" w:hAnsi="Rockwell"/>
          <w:sz w:val="24"/>
        </w:rPr>
        <w:t>évue pour la période 2019-2020.</w:t>
      </w:r>
    </w:p>
    <w:p w:rsidR="007C651E" w:rsidRPr="00422183" w:rsidRDefault="007C651E" w:rsidP="003A0820">
      <w:pPr>
        <w:spacing w:after="0" w:line="240" w:lineRule="auto"/>
        <w:jc w:val="both"/>
        <w:rPr>
          <w:rFonts w:ascii="Rockwell" w:hAnsi="Rockwell"/>
          <w:sz w:val="24"/>
        </w:rPr>
      </w:pPr>
    </w:p>
    <w:p w:rsidR="008641C2" w:rsidRPr="00422183" w:rsidRDefault="007C651E" w:rsidP="003A0820">
      <w:pPr>
        <w:spacing w:after="0" w:line="240" w:lineRule="auto"/>
        <w:jc w:val="both"/>
        <w:rPr>
          <w:rFonts w:ascii="Rockwell" w:hAnsi="Rockwell"/>
          <w:sz w:val="24"/>
        </w:rPr>
      </w:pPr>
      <w:r w:rsidRPr="00422183">
        <w:rPr>
          <w:rFonts w:ascii="Rockwell" w:hAnsi="Rockwell"/>
          <w:sz w:val="24"/>
        </w:rPr>
        <w:t>Quant aux mesures et interventions visant la maitrise de la croissance démographique et l</w:t>
      </w:r>
      <w:r w:rsidR="006C72DE" w:rsidRPr="00422183">
        <w:rPr>
          <w:rFonts w:ascii="Rockwell" w:hAnsi="Rockwell"/>
          <w:sz w:val="24"/>
        </w:rPr>
        <w:t>'</w:t>
      </w:r>
      <w:r w:rsidRPr="00422183">
        <w:rPr>
          <w:rFonts w:ascii="Rockwell" w:hAnsi="Rockwell"/>
          <w:sz w:val="24"/>
        </w:rPr>
        <w:t>amélioration de l</w:t>
      </w:r>
      <w:r w:rsidR="006C72DE" w:rsidRPr="00422183">
        <w:rPr>
          <w:rFonts w:ascii="Rockwell" w:hAnsi="Rockwell"/>
          <w:sz w:val="24"/>
        </w:rPr>
        <w:t>'</w:t>
      </w:r>
      <w:r w:rsidRPr="00422183">
        <w:rPr>
          <w:rFonts w:ascii="Rockwell" w:hAnsi="Rockwell"/>
          <w:sz w:val="24"/>
        </w:rPr>
        <w:t>urbanisation</w:t>
      </w:r>
      <w:r w:rsidR="0078664E" w:rsidRPr="00422183">
        <w:rPr>
          <w:rFonts w:ascii="Rockwell" w:hAnsi="Rockwell"/>
          <w:sz w:val="24"/>
        </w:rPr>
        <w:t>,</w:t>
      </w:r>
      <w:r w:rsidRPr="00422183">
        <w:rPr>
          <w:rFonts w:ascii="Rockwell" w:hAnsi="Rockwell"/>
          <w:sz w:val="24"/>
        </w:rPr>
        <w:t xml:space="preserve"> dans une perspective de transition démographique, elles seront mises en œuvre durant toute la période.L</w:t>
      </w:r>
      <w:r w:rsidR="006C72DE" w:rsidRPr="00422183">
        <w:rPr>
          <w:rFonts w:ascii="Rockwell" w:hAnsi="Rockwell"/>
          <w:sz w:val="24"/>
        </w:rPr>
        <w:t>'</w:t>
      </w:r>
      <w:r w:rsidRPr="00422183">
        <w:rPr>
          <w:rFonts w:ascii="Rockwell" w:hAnsi="Rockwell"/>
          <w:sz w:val="24"/>
        </w:rPr>
        <w:t>exécution réussie de ce processus de transformation structurelle entrainera des impacts dans tous les secteurs de l</w:t>
      </w:r>
      <w:r w:rsidR="006C72DE" w:rsidRPr="00422183">
        <w:rPr>
          <w:rFonts w:ascii="Rockwell" w:hAnsi="Rockwell"/>
          <w:sz w:val="24"/>
        </w:rPr>
        <w:t>'</w:t>
      </w:r>
      <w:r w:rsidRPr="00422183">
        <w:rPr>
          <w:rFonts w:ascii="Rockwell" w:hAnsi="Rockwell"/>
          <w:sz w:val="24"/>
        </w:rPr>
        <w:t>économie et sur les indicateurs de transition démographique.</w:t>
      </w:r>
    </w:p>
    <w:p w:rsidR="007C651E" w:rsidRPr="00422183" w:rsidRDefault="007C651E" w:rsidP="003A0820">
      <w:pPr>
        <w:spacing w:after="0" w:line="240" w:lineRule="auto"/>
        <w:jc w:val="both"/>
        <w:rPr>
          <w:rFonts w:ascii="Rockwell" w:hAnsi="Rockwell"/>
          <w:sz w:val="24"/>
        </w:rPr>
      </w:pPr>
    </w:p>
    <w:p w:rsidR="00EF2E5A" w:rsidRPr="00422183" w:rsidRDefault="00C87F3F" w:rsidP="003A0820">
      <w:pPr>
        <w:spacing w:after="0" w:line="240" w:lineRule="auto"/>
        <w:jc w:val="both"/>
        <w:rPr>
          <w:rFonts w:ascii="Rockwell" w:hAnsi="Rockwell"/>
          <w:sz w:val="24"/>
        </w:rPr>
      </w:pPr>
      <w:r w:rsidRPr="00422183">
        <w:rPr>
          <w:rFonts w:ascii="Rockwell" w:hAnsi="Rockwell"/>
          <w:sz w:val="24"/>
        </w:rPr>
        <w:t>Dans le secteur primaire, la transformation structurelle se traduira par une augmentation de</w:t>
      </w:r>
      <w:r w:rsidR="00DB7FD8" w:rsidRPr="00422183">
        <w:rPr>
          <w:rFonts w:ascii="Rockwell" w:hAnsi="Rockwell"/>
          <w:sz w:val="24"/>
        </w:rPr>
        <w:t xml:space="preserve"> la</w:t>
      </w:r>
      <w:r w:rsidRPr="00422183">
        <w:rPr>
          <w:rFonts w:ascii="Rockwell" w:hAnsi="Rockwell"/>
          <w:sz w:val="24"/>
        </w:rPr>
        <w:t xml:space="preserve"> productivité du secteur de 50% et du taux de commercialisatio</w:t>
      </w:r>
      <w:r w:rsidR="0078664E" w:rsidRPr="00422183">
        <w:rPr>
          <w:rFonts w:ascii="Rockwell" w:hAnsi="Rockwell"/>
          <w:sz w:val="24"/>
        </w:rPr>
        <w:t>n des produits agricoles. Aussi</w:t>
      </w:r>
      <w:r w:rsidRPr="00422183">
        <w:rPr>
          <w:rFonts w:ascii="Rockwell" w:hAnsi="Rockwell"/>
          <w:sz w:val="24"/>
        </w:rPr>
        <w:t xml:space="preserve"> l</w:t>
      </w:r>
      <w:r w:rsidR="006C72DE" w:rsidRPr="00422183">
        <w:rPr>
          <w:rFonts w:ascii="Rockwell" w:hAnsi="Rockwell"/>
          <w:sz w:val="24"/>
        </w:rPr>
        <w:t>'</w:t>
      </w:r>
      <w:r w:rsidRPr="00422183">
        <w:rPr>
          <w:rFonts w:ascii="Rockwell" w:hAnsi="Rockwell"/>
          <w:sz w:val="24"/>
        </w:rPr>
        <w:t>approvisionnement de l</w:t>
      </w:r>
      <w:r w:rsidR="006C72DE" w:rsidRPr="00422183">
        <w:rPr>
          <w:rFonts w:ascii="Rockwell" w:hAnsi="Rockwell"/>
          <w:sz w:val="24"/>
        </w:rPr>
        <w:t>'</w:t>
      </w:r>
      <w:r w:rsidRPr="00422183">
        <w:rPr>
          <w:rFonts w:ascii="Rockwell" w:hAnsi="Rockwell"/>
          <w:sz w:val="24"/>
        </w:rPr>
        <w:t>industrie agro-alimentaire en intrants agricoles s</w:t>
      </w:r>
      <w:r w:rsidR="006C72DE" w:rsidRPr="00422183">
        <w:rPr>
          <w:rFonts w:ascii="Rockwell" w:hAnsi="Rockwell"/>
          <w:sz w:val="24"/>
        </w:rPr>
        <w:t>'</w:t>
      </w:r>
      <w:r w:rsidR="0078664E" w:rsidRPr="00422183">
        <w:rPr>
          <w:rFonts w:ascii="Rockwell" w:hAnsi="Rockwell"/>
          <w:sz w:val="24"/>
        </w:rPr>
        <w:t>améliorera-t-il,</w:t>
      </w:r>
      <w:r w:rsidRPr="00422183">
        <w:rPr>
          <w:rFonts w:ascii="Rockwell" w:hAnsi="Rockwell"/>
          <w:sz w:val="24"/>
        </w:rPr>
        <w:t xml:space="preserve"> le tout conduisant à </w:t>
      </w:r>
      <w:r w:rsidR="006D07CD" w:rsidRPr="00422183">
        <w:rPr>
          <w:rFonts w:ascii="Rockwell" w:hAnsi="Rockwell"/>
          <w:sz w:val="24"/>
        </w:rPr>
        <w:t>une augmentation</w:t>
      </w:r>
      <w:r w:rsidRPr="00422183">
        <w:rPr>
          <w:rFonts w:ascii="Rockwell" w:hAnsi="Rockwell"/>
          <w:sz w:val="24"/>
        </w:rPr>
        <w:t xml:space="preserve"> de la part du secteur primaire dans le PIB.</w:t>
      </w:r>
    </w:p>
    <w:p w:rsidR="00C87F3F" w:rsidRPr="00422183" w:rsidRDefault="00C87F3F" w:rsidP="003A0820">
      <w:pPr>
        <w:spacing w:after="0" w:line="240" w:lineRule="auto"/>
        <w:jc w:val="both"/>
        <w:rPr>
          <w:rFonts w:ascii="Rockwell" w:hAnsi="Rockwell"/>
        </w:rPr>
      </w:pPr>
    </w:p>
    <w:p w:rsidR="006A5499" w:rsidRPr="00422183" w:rsidRDefault="006A5499" w:rsidP="003A0820">
      <w:pPr>
        <w:spacing w:after="0" w:line="240" w:lineRule="auto"/>
        <w:jc w:val="both"/>
        <w:rPr>
          <w:rFonts w:ascii="Rockwell" w:hAnsi="Rockwell"/>
          <w:sz w:val="24"/>
          <w:szCs w:val="24"/>
        </w:rPr>
      </w:pPr>
      <w:r w:rsidRPr="00422183">
        <w:rPr>
          <w:rFonts w:ascii="Rockwell" w:hAnsi="Rockwell"/>
          <w:sz w:val="24"/>
          <w:szCs w:val="24"/>
        </w:rPr>
        <w:t>Au niveau du secteur secondaire</w:t>
      </w:r>
      <w:r w:rsidR="00A61680" w:rsidRPr="00422183">
        <w:rPr>
          <w:rFonts w:ascii="Rockwell" w:hAnsi="Rockwell"/>
          <w:sz w:val="24"/>
          <w:szCs w:val="24"/>
        </w:rPr>
        <w:t>,</w:t>
      </w:r>
      <w:r w:rsidRPr="00422183">
        <w:rPr>
          <w:rFonts w:ascii="Rockwell" w:hAnsi="Rockwell"/>
          <w:sz w:val="24"/>
          <w:szCs w:val="24"/>
        </w:rPr>
        <w:t xml:space="preserve"> le schéma de la transformation conduira au doublement </w:t>
      </w:r>
      <w:r w:rsidR="008E3327" w:rsidRPr="00422183">
        <w:rPr>
          <w:rFonts w:ascii="Rockwell" w:hAnsi="Rockwell"/>
          <w:sz w:val="24"/>
          <w:szCs w:val="24"/>
        </w:rPr>
        <w:t xml:space="preserve">de </w:t>
      </w:r>
      <w:r w:rsidRPr="00422183">
        <w:rPr>
          <w:rFonts w:ascii="Rockwell" w:hAnsi="Rockwell"/>
          <w:sz w:val="24"/>
          <w:szCs w:val="24"/>
        </w:rPr>
        <w:t>la part de la valeur ajoutée de l</w:t>
      </w:r>
      <w:r w:rsidR="006C72DE" w:rsidRPr="00422183">
        <w:rPr>
          <w:rFonts w:ascii="Rockwell" w:hAnsi="Rockwell"/>
          <w:sz w:val="24"/>
          <w:szCs w:val="24"/>
        </w:rPr>
        <w:t>'</w:t>
      </w:r>
      <w:r w:rsidRPr="00422183">
        <w:rPr>
          <w:rFonts w:ascii="Rockwell" w:hAnsi="Rockwell"/>
          <w:sz w:val="24"/>
          <w:szCs w:val="24"/>
        </w:rPr>
        <w:t>industrie manufacturière dans le PIB et des exportations et l</w:t>
      </w:r>
      <w:r w:rsidR="006C72DE" w:rsidRPr="00422183">
        <w:rPr>
          <w:rFonts w:ascii="Rockwell" w:hAnsi="Rockwell"/>
          <w:sz w:val="24"/>
          <w:szCs w:val="24"/>
        </w:rPr>
        <w:t>'</w:t>
      </w:r>
      <w:r w:rsidRPr="00422183">
        <w:rPr>
          <w:rFonts w:ascii="Rockwell" w:hAnsi="Rockwell"/>
          <w:sz w:val="24"/>
          <w:szCs w:val="24"/>
        </w:rPr>
        <w:t xml:space="preserve">accroissement de 12% à 25% de la part des produits agricoles </w:t>
      </w:r>
      <w:r w:rsidR="00A61680" w:rsidRPr="00422183">
        <w:rPr>
          <w:rFonts w:ascii="Rockwell" w:hAnsi="Rockwell"/>
          <w:sz w:val="24"/>
          <w:szCs w:val="24"/>
        </w:rPr>
        <w:t xml:space="preserve">transformés. </w:t>
      </w:r>
      <w:r w:rsidRPr="00422183">
        <w:rPr>
          <w:rFonts w:ascii="Rockwell" w:hAnsi="Rockwell"/>
          <w:sz w:val="24"/>
          <w:szCs w:val="24"/>
        </w:rPr>
        <w:t>Au total, ces évolutions devraient induire une hausse de la contribution de ce sect</w:t>
      </w:r>
      <w:r w:rsidR="00A61680" w:rsidRPr="00422183">
        <w:rPr>
          <w:rFonts w:ascii="Rockwell" w:hAnsi="Rockwell"/>
          <w:sz w:val="24"/>
          <w:szCs w:val="24"/>
        </w:rPr>
        <w:t xml:space="preserve">eur au PIB qui devrait passer </w:t>
      </w:r>
      <w:r w:rsidRPr="00422183">
        <w:rPr>
          <w:rFonts w:ascii="Rockwell" w:hAnsi="Rockwell"/>
          <w:sz w:val="24"/>
          <w:szCs w:val="24"/>
        </w:rPr>
        <w:t>de 20,1% à 24%.</w:t>
      </w:r>
    </w:p>
    <w:p w:rsidR="00843E97" w:rsidRPr="00422183" w:rsidRDefault="00843E97" w:rsidP="003A0820">
      <w:pPr>
        <w:spacing w:after="0" w:line="240" w:lineRule="auto"/>
        <w:jc w:val="both"/>
        <w:rPr>
          <w:rFonts w:ascii="Rockwell" w:hAnsi="Rockwell"/>
          <w:sz w:val="24"/>
          <w:szCs w:val="24"/>
        </w:rPr>
      </w:pPr>
    </w:p>
    <w:p w:rsidR="00843E97" w:rsidRPr="00422183" w:rsidRDefault="006A5499" w:rsidP="003A0820">
      <w:pPr>
        <w:spacing w:after="0" w:line="240" w:lineRule="auto"/>
        <w:jc w:val="both"/>
        <w:rPr>
          <w:rFonts w:ascii="Rockwell" w:hAnsi="Rockwell"/>
          <w:sz w:val="24"/>
          <w:szCs w:val="24"/>
        </w:rPr>
      </w:pPr>
      <w:r w:rsidRPr="00422183">
        <w:rPr>
          <w:rFonts w:ascii="Rockwell" w:hAnsi="Rockwell"/>
          <w:sz w:val="24"/>
          <w:szCs w:val="24"/>
        </w:rPr>
        <w:t>L</w:t>
      </w:r>
      <w:r w:rsidR="006C72DE" w:rsidRPr="00422183">
        <w:rPr>
          <w:rFonts w:ascii="Rockwell" w:hAnsi="Rockwell"/>
          <w:sz w:val="24"/>
          <w:szCs w:val="24"/>
        </w:rPr>
        <w:t>'</w:t>
      </w:r>
      <w:r w:rsidRPr="00422183">
        <w:rPr>
          <w:rFonts w:ascii="Rockwell" w:hAnsi="Rockwell"/>
          <w:sz w:val="24"/>
          <w:szCs w:val="24"/>
        </w:rPr>
        <w:t>accroissement de la productivité agricole et des opportunités de transformation des produits agricoles devraient s</w:t>
      </w:r>
      <w:r w:rsidR="006C72DE" w:rsidRPr="00422183">
        <w:rPr>
          <w:rFonts w:ascii="Rockwell" w:hAnsi="Rockwell"/>
          <w:sz w:val="24"/>
          <w:szCs w:val="24"/>
        </w:rPr>
        <w:t>'</w:t>
      </w:r>
      <w:r w:rsidRPr="00422183">
        <w:rPr>
          <w:rFonts w:ascii="Rockwell" w:hAnsi="Rockwell"/>
          <w:sz w:val="24"/>
          <w:szCs w:val="24"/>
        </w:rPr>
        <w:t>accompagner du changement de la base des exportations du pays, de la réduction de l</w:t>
      </w:r>
      <w:r w:rsidR="006C72DE" w:rsidRPr="00422183">
        <w:rPr>
          <w:rFonts w:ascii="Rockwell" w:hAnsi="Rockwell"/>
          <w:sz w:val="24"/>
          <w:szCs w:val="24"/>
        </w:rPr>
        <w:t>'</w:t>
      </w:r>
      <w:r w:rsidRPr="00422183">
        <w:rPr>
          <w:rFonts w:ascii="Rockwell" w:hAnsi="Rockwell"/>
          <w:sz w:val="24"/>
          <w:szCs w:val="24"/>
        </w:rPr>
        <w:t xml:space="preserve">économie informelle. En conséquence, la part du secteur informel dans la valeur ajoutée du secteur tertiaire marchand reculera de 20,7% en 2014 à 15% en 2020, </w:t>
      </w:r>
      <w:r w:rsidR="00A61680" w:rsidRPr="00422183">
        <w:rPr>
          <w:rFonts w:ascii="Rockwell" w:hAnsi="Rockwell"/>
          <w:sz w:val="24"/>
          <w:szCs w:val="24"/>
        </w:rPr>
        <w:t xml:space="preserve">tandis que </w:t>
      </w:r>
      <w:r w:rsidRPr="00422183">
        <w:rPr>
          <w:rFonts w:ascii="Rockwell" w:hAnsi="Rockwell"/>
          <w:sz w:val="24"/>
          <w:szCs w:val="24"/>
        </w:rPr>
        <w:t>la part des exportations de biens manufacturés dans les exportations de biens augmentera de 10,6% en 2014 à 20% en 2020.</w:t>
      </w:r>
    </w:p>
    <w:p w:rsidR="00611E10" w:rsidRPr="00422183" w:rsidRDefault="00611E10" w:rsidP="003A0820">
      <w:pPr>
        <w:spacing w:after="0" w:line="240" w:lineRule="auto"/>
        <w:jc w:val="both"/>
        <w:rPr>
          <w:rFonts w:ascii="Rockwell" w:hAnsi="Rockwell"/>
          <w:sz w:val="24"/>
          <w:szCs w:val="24"/>
        </w:rPr>
      </w:pPr>
    </w:p>
    <w:p w:rsidR="0023116E" w:rsidRPr="00422183" w:rsidRDefault="0023116E" w:rsidP="003A0820">
      <w:pPr>
        <w:spacing w:after="0" w:line="240" w:lineRule="auto"/>
        <w:jc w:val="both"/>
        <w:rPr>
          <w:rFonts w:ascii="Rockwell" w:hAnsi="Rockwell"/>
          <w:sz w:val="24"/>
          <w:szCs w:val="24"/>
        </w:rPr>
      </w:pPr>
      <w:r w:rsidRPr="00422183">
        <w:rPr>
          <w:rFonts w:ascii="Rockwell" w:hAnsi="Rockwell"/>
          <w:sz w:val="24"/>
          <w:szCs w:val="24"/>
        </w:rPr>
        <w:t>Dans la perspective d</w:t>
      </w:r>
      <w:r w:rsidR="006C72DE" w:rsidRPr="00422183">
        <w:rPr>
          <w:rFonts w:ascii="Rockwell" w:hAnsi="Rockwell"/>
          <w:sz w:val="24"/>
          <w:szCs w:val="24"/>
        </w:rPr>
        <w:t>'</w:t>
      </w:r>
      <w:r w:rsidRPr="00422183">
        <w:rPr>
          <w:rFonts w:ascii="Rockwell" w:hAnsi="Rockwell"/>
          <w:sz w:val="24"/>
          <w:szCs w:val="24"/>
        </w:rPr>
        <w:t>accélérer la transition démographique</w:t>
      </w:r>
      <w:r w:rsidR="006050AA" w:rsidRPr="00422183">
        <w:rPr>
          <w:rFonts w:ascii="Rockwell" w:hAnsi="Rockwell"/>
          <w:sz w:val="24"/>
          <w:szCs w:val="24"/>
        </w:rPr>
        <w:t xml:space="preserve">, les changements structurels </w:t>
      </w:r>
      <w:r w:rsidR="006D07CD" w:rsidRPr="00422183">
        <w:rPr>
          <w:rFonts w:ascii="Rockwell" w:hAnsi="Rockwell"/>
          <w:sz w:val="24"/>
          <w:szCs w:val="24"/>
        </w:rPr>
        <w:t>porteront</w:t>
      </w:r>
      <w:r w:rsidR="006050AA" w:rsidRPr="00422183">
        <w:rPr>
          <w:rFonts w:ascii="Rockwell" w:hAnsi="Rockwell"/>
          <w:sz w:val="24"/>
          <w:szCs w:val="24"/>
        </w:rPr>
        <w:t xml:space="preserve"> sur l</w:t>
      </w:r>
      <w:r w:rsidR="006C72DE" w:rsidRPr="00422183">
        <w:rPr>
          <w:rFonts w:ascii="Rockwell" w:hAnsi="Rockwell"/>
          <w:sz w:val="24"/>
          <w:szCs w:val="24"/>
        </w:rPr>
        <w:t>'</w:t>
      </w:r>
      <w:r w:rsidR="006050AA" w:rsidRPr="00422183">
        <w:rPr>
          <w:rFonts w:ascii="Rockwell" w:hAnsi="Rockwell"/>
          <w:sz w:val="24"/>
          <w:szCs w:val="24"/>
        </w:rPr>
        <w:t>amélioration notable de l</w:t>
      </w:r>
      <w:r w:rsidR="006C72DE" w:rsidRPr="00422183">
        <w:rPr>
          <w:rFonts w:ascii="Rockwell" w:hAnsi="Rockwell"/>
          <w:sz w:val="24"/>
          <w:szCs w:val="24"/>
        </w:rPr>
        <w:t>'</w:t>
      </w:r>
      <w:r w:rsidR="006050AA" w:rsidRPr="00422183">
        <w:rPr>
          <w:rFonts w:ascii="Rockwell" w:hAnsi="Rockwell"/>
          <w:sz w:val="24"/>
          <w:szCs w:val="24"/>
        </w:rPr>
        <w:t>urbanisme et l</w:t>
      </w:r>
      <w:r w:rsidR="006C72DE" w:rsidRPr="00422183">
        <w:rPr>
          <w:rFonts w:ascii="Rockwell" w:hAnsi="Rockwell"/>
          <w:sz w:val="24"/>
          <w:szCs w:val="24"/>
        </w:rPr>
        <w:t>'</w:t>
      </w:r>
      <w:r w:rsidR="005B1787" w:rsidRPr="00422183">
        <w:rPr>
          <w:rFonts w:ascii="Rockwell" w:hAnsi="Rockwell"/>
          <w:sz w:val="24"/>
          <w:szCs w:val="24"/>
        </w:rPr>
        <w:t xml:space="preserve">accélération de la transition </w:t>
      </w:r>
      <w:r w:rsidR="00EC4BE5" w:rsidRPr="00422183">
        <w:rPr>
          <w:rFonts w:ascii="Rockwell" w:hAnsi="Rockwell"/>
          <w:sz w:val="24"/>
          <w:szCs w:val="24"/>
        </w:rPr>
        <w:t xml:space="preserve">démographique. À </w:t>
      </w:r>
      <w:r w:rsidR="005B1787" w:rsidRPr="00422183">
        <w:rPr>
          <w:rFonts w:ascii="Rockwell" w:hAnsi="Rockwell"/>
          <w:sz w:val="24"/>
          <w:szCs w:val="24"/>
        </w:rPr>
        <w:t>ce</w:t>
      </w:r>
      <w:r w:rsidR="006050AA" w:rsidRPr="00422183">
        <w:rPr>
          <w:rFonts w:ascii="Rockwell" w:hAnsi="Rockwell"/>
          <w:sz w:val="24"/>
          <w:szCs w:val="24"/>
        </w:rPr>
        <w:t xml:space="preserve"> niveau, en termes d</w:t>
      </w:r>
      <w:r w:rsidR="006C72DE" w:rsidRPr="00422183">
        <w:rPr>
          <w:rFonts w:ascii="Rockwell" w:hAnsi="Rockwell"/>
          <w:sz w:val="24"/>
          <w:szCs w:val="24"/>
        </w:rPr>
        <w:t>'</w:t>
      </w:r>
      <w:r w:rsidR="006050AA" w:rsidRPr="00422183">
        <w:rPr>
          <w:rFonts w:ascii="Rockwell" w:hAnsi="Rockwell"/>
          <w:sz w:val="24"/>
          <w:szCs w:val="24"/>
        </w:rPr>
        <w:t xml:space="preserve">impacts, la mise en œuvre </w:t>
      </w:r>
      <w:r w:rsidR="006D07CD" w:rsidRPr="00422183">
        <w:rPr>
          <w:rFonts w:ascii="Rockwell" w:hAnsi="Rockwell"/>
          <w:sz w:val="24"/>
          <w:szCs w:val="24"/>
        </w:rPr>
        <w:t>du PNDES</w:t>
      </w:r>
      <w:r w:rsidR="006050AA" w:rsidRPr="00422183">
        <w:rPr>
          <w:rFonts w:ascii="Rockwell" w:hAnsi="Rockwell"/>
          <w:sz w:val="24"/>
          <w:szCs w:val="24"/>
        </w:rPr>
        <w:t xml:space="preserve"> permettra </w:t>
      </w:r>
      <w:r w:rsidR="00BE35FD" w:rsidRPr="00422183">
        <w:rPr>
          <w:rFonts w:ascii="Rockwell" w:hAnsi="Rockwell"/>
          <w:sz w:val="24"/>
          <w:szCs w:val="24"/>
        </w:rPr>
        <w:t>l</w:t>
      </w:r>
      <w:r w:rsidR="006C72DE" w:rsidRPr="00422183">
        <w:rPr>
          <w:rFonts w:ascii="Rockwell" w:hAnsi="Rockwell"/>
          <w:sz w:val="24"/>
          <w:szCs w:val="24"/>
        </w:rPr>
        <w:t>'</w:t>
      </w:r>
      <w:r w:rsidR="005B1787" w:rsidRPr="00422183">
        <w:rPr>
          <w:rFonts w:ascii="Rockwell" w:hAnsi="Rockwell"/>
          <w:sz w:val="24"/>
          <w:szCs w:val="24"/>
        </w:rPr>
        <w:t>amélioration</w:t>
      </w:r>
      <w:r w:rsidR="00BE35FD" w:rsidRPr="00422183">
        <w:rPr>
          <w:rFonts w:ascii="Rockwell" w:hAnsi="Rockwell"/>
          <w:sz w:val="24"/>
          <w:szCs w:val="24"/>
        </w:rPr>
        <w:t xml:space="preserve"> de</w:t>
      </w:r>
      <w:r w:rsidR="005B1787" w:rsidRPr="00422183">
        <w:rPr>
          <w:rFonts w:ascii="Rockwell" w:hAnsi="Rockwell"/>
          <w:sz w:val="24"/>
          <w:szCs w:val="24"/>
        </w:rPr>
        <w:t xml:space="preserve"> la qualité de l</w:t>
      </w:r>
      <w:r w:rsidR="006C72DE" w:rsidRPr="00422183">
        <w:rPr>
          <w:rFonts w:ascii="Rockwell" w:hAnsi="Rockwell"/>
          <w:sz w:val="24"/>
          <w:szCs w:val="24"/>
        </w:rPr>
        <w:t>'</w:t>
      </w:r>
      <w:r w:rsidR="00F37DD1" w:rsidRPr="00422183">
        <w:rPr>
          <w:rFonts w:ascii="Rockwell" w:hAnsi="Rockwell"/>
          <w:sz w:val="24"/>
          <w:szCs w:val="24"/>
        </w:rPr>
        <w:t>urbanisation, à travers</w:t>
      </w:r>
      <w:r w:rsidR="005B1787" w:rsidRPr="00422183">
        <w:rPr>
          <w:rFonts w:ascii="Rockwell" w:hAnsi="Rockwell"/>
          <w:sz w:val="24"/>
          <w:szCs w:val="24"/>
        </w:rPr>
        <w:t xml:space="preserve"> une réduction de la proportion des populations urbaines vivant en zone non lotie de 17,2% en 2014 à 10% en 2020.</w:t>
      </w:r>
      <w:r w:rsidRPr="00422183">
        <w:rPr>
          <w:rFonts w:ascii="Rockwell" w:hAnsi="Rockwell"/>
          <w:sz w:val="24"/>
          <w:szCs w:val="24"/>
        </w:rPr>
        <w:t xml:space="preserve"> Dans l</w:t>
      </w:r>
      <w:r w:rsidR="006C72DE" w:rsidRPr="00422183">
        <w:rPr>
          <w:rFonts w:ascii="Rockwell" w:hAnsi="Rockwell"/>
          <w:sz w:val="24"/>
          <w:szCs w:val="24"/>
        </w:rPr>
        <w:t>'</w:t>
      </w:r>
      <w:r w:rsidRPr="00422183">
        <w:rPr>
          <w:rFonts w:ascii="Rockwell" w:hAnsi="Rockwell"/>
          <w:sz w:val="24"/>
          <w:szCs w:val="24"/>
        </w:rPr>
        <w:t>optique de maitriser la croissance démographique, l</w:t>
      </w:r>
      <w:r w:rsidR="005B1787" w:rsidRPr="00422183">
        <w:rPr>
          <w:rFonts w:ascii="Rockwell" w:hAnsi="Rockwell"/>
          <w:sz w:val="24"/>
          <w:szCs w:val="24"/>
        </w:rPr>
        <w:t>e PNDES cible une réduction de l</w:t>
      </w:r>
      <w:r w:rsidR="006C72DE" w:rsidRPr="00422183">
        <w:rPr>
          <w:rFonts w:ascii="Rockwell" w:hAnsi="Rockwell"/>
          <w:sz w:val="24"/>
          <w:szCs w:val="24"/>
        </w:rPr>
        <w:t>'</w:t>
      </w:r>
      <w:r w:rsidR="005B1787" w:rsidRPr="00422183">
        <w:rPr>
          <w:rFonts w:ascii="Rockwell" w:hAnsi="Rockwell"/>
          <w:sz w:val="24"/>
          <w:szCs w:val="24"/>
        </w:rPr>
        <w:t>indice synthétique de fécondité de 5,4 enfants par femme en 2014 à 4,7 en 2020</w:t>
      </w:r>
      <w:r w:rsidR="00845DA0" w:rsidRPr="00422183">
        <w:rPr>
          <w:rFonts w:ascii="Rockwell" w:hAnsi="Rockwell"/>
          <w:sz w:val="24"/>
          <w:szCs w:val="24"/>
        </w:rPr>
        <w:t xml:space="preserve"> et</w:t>
      </w:r>
      <w:r w:rsidR="005B1787" w:rsidRPr="00422183">
        <w:rPr>
          <w:rFonts w:ascii="Rockwell" w:hAnsi="Rockwell"/>
          <w:sz w:val="24"/>
          <w:szCs w:val="24"/>
        </w:rPr>
        <w:t xml:space="preserve"> une réduction du taux de mortalité infanto-juvénile de 82 pour mille en 2014 à </w:t>
      </w:r>
      <w:r w:rsidR="00280E6A" w:rsidRPr="00422183">
        <w:rPr>
          <w:rFonts w:ascii="Rockwell" w:hAnsi="Rockwell"/>
          <w:sz w:val="24"/>
          <w:szCs w:val="24"/>
        </w:rPr>
        <w:t>5</w:t>
      </w:r>
      <w:r w:rsidR="008E3327" w:rsidRPr="00422183">
        <w:rPr>
          <w:rFonts w:ascii="Rockwell" w:hAnsi="Rockwell"/>
          <w:sz w:val="24"/>
          <w:szCs w:val="24"/>
        </w:rPr>
        <w:t>4</w:t>
      </w:r>
      <w:r w:rsidR="00280E6A" w:rsidRPr="00422183">
        <w:rPr>
          <w:rFonts w:ascii="Rockwell" w:hAnsi="Rockwell"/>
          <w:sz w:val="24"/>
          <w:szCs w:val="24"/>
        </w:rPr>
        <w:t>,6</w:t>
      </w:r>
      <w:r w:rsidR="005B1787" w:rsidRPr="00422183">
        <w:rPr>
          <w:rFonts w:ascii="Rockwell" w:hAnsi="Rockwell"/>
          <w:sz w:val="24"/>
          <w:szCs w:val="24"/>
        </w:rPr>
        <w:t xml:space="preserve"> pour mille en 2020.</w:t>
      </w:r>
    </w:p>
    <w:p w:rsidR="0023116E" w:rsidRPr="00422183" w:rsidRDefault="0023116E" w:rsidP="003A0820">
      <w:pPr>
        <w:spacing w:after="0" w:line="240" w:lineRule="auto"/>
        <w:jc w:val="both"/>
        <w:rPr>
          <w:rFonts w:ascii="Rockwell" w:hAnsi="Rockwell"/>
          <w:sz w:val="24"/>
          <w:szCs w:val="24"/>
        </w:rPr>
      </w:pPr>
    </w:p>
    <w:p w:rsidR="0023116E" w:rsidRPr="00422183" w:rsidRDefault="00027081" w:rsidP="003A0820">
      <w:pPr>
        <w:spacing w:after="0" w:line="240" w:lineRule="auto"/>
        <w:jc w:val="both"/>
        <w:rPr>
          <w:rFonts w:ascii="Rockwell" w:hAnsi="Rockwell"/>
          <w:sz w:val="24"/>
          <w:szCs w:val="24"/>
        </w:rPr>
      </w:pPr>
      <w:r w:rsidRPr="00422183">
        <w:rPr>
          <w:rFonts w:ascii="Rockwell" w:hAnsi="Rockwell"/>
          <w:sz w:val="24"/>
          <w:szCs w:val="24"/>
        </w:rPr>
        <w:t>Sur le plan social, les impacts escomptés sur l</w:t>
      </w:r>
      <w:r w:rsidR="006C72DE" w:rsidRPr="00422183">
        <w:rPr>
          <w:rFonts w:ascii="Rockwell" w:hAnsi="Rockwell"/>
          <w:sz w:val="24"/>
          <w:szCs w:val="24"/>
        </w:rPr>
        <w:t>'</w:t>
      </w:r>
      <w:r w:rsidRPr="00422183">
        <w:rPr>
          <w:rFonts w:ascii="Rockwell" w:hAnsi="Rockwell"/>
          <w:sz w:val="24"/>
          <w:szCs w:val="24"/>
        </w:rPr>
        <w:t>ensemble des secteurs de l</w:t>
      </w:r>
      <w:r w:rsidR="006C72DE" w:rsidRPr="00422183">
        <w:rPr>
          <w:rFonts w:ascii="Rockwell" w:hAnsi="Rockwell"/>
          <w:sz w:val="24"/>
          <w:szCs w:val="24"/>
        </w:rPr>
        <w:t>'</w:t>
      </w:r>
      <w:r w:rsidRPr="00422183">
        <w:rPr>
          <w:rFonts w:ascii="Rockwell" w:hAnsi="Rockwell"/>
          <w:sz w:val="24"/>
          <w:szCs w:val="24"/>
        </w:rPr>
        <w:t>économie permettront une réduction des inégalités sociale</w:t>
      </w:r>
      <w:r w:rsidR="00CC3096" w:rsidRPr="00422183">
        <w:rPr>
          <w:rFonts w:ascii="Rockwell" w:hAnsi="Rockwell"/>
          <w:sz w:val="24"/>
          <w:szCs w:val="24"/>
        </w:rPr>
        <w:t>s</w:t>
      </w:r>
      <w:r w:rsidR="0023116E" w:rsidRPr="00422183">
        <w:rPr>
          <w:rFonts w:ascii="Rockwell" w:hAnsi="Rockwell"/>
          <w:sz w:val="24"/>
          <w:szCs w:val="24"/>
        </w:rPr>
        <w:t>, y compris régionales, l</w:t>
      </w:r>
      <w:r w:rsidR="006C72DE" w:rsidRPr="00422183">
        <w:rPr>
          <w:rFonts w:ascii="Rockwell" w:hAnsi="Rockwell"/>
          <w:sz w:val="24"/>
          <w:szCs w:val="24"/>
        </w:rPr>
        <w:t>'</w:t>
      </w:r>
      <w:r w:rsidR="0023116E" w:rsidRPr="00422183">
        <w:rPr>
          <w:rFonts w:ascii="Rockwell" w:hAnsi="Rockwell"/>
          <w:sz w:val="24"/>
          <w:szCs w:val="24"/>
        </w:rPr>
        <w:t>amélioration des conditions de vie des ménages</w:t>
      </w:r>
      <w:r w:rsidRPr="00422183">
        <w:rPr>
          <w:rFonts w:ascii="Rockwell" w:hAnsi="Rockwell"/>
          <w:sz w:val="24"/>
          <w:szCs w:val="24"/>
        </w:rPr>
        <w:t>,</w:t>
      </w:r>
      <w:r w:rsidR="0023116E" w:rsidRPr="00422183">
        <w:rPr>
          <w:rFonts w:ascii="Rockwell" w:hAnsi="Rockwell"/>
          <w:sz w:val="24"/>
          <w:szCs w:val="24"/>
        </w:rPr>
        <w:t xml:space="preserve"> la réduction de la pauvreté surtout en milieu rural, la </w:t>
      </w:r>
      <w:r w:rsidRPr="00422183">
        <w:rPr>
          <w:rFonts w:ascii="Rockwell" w:hAnsi="Rockwell"/>
          <w:sz w:val="24"/>
          <w:szCs w:val="24"/>
        </w:rPr>
        <w:t>nette</w:t>
      </w:r>
      <w:r w:rsidR="0023116E" w:rsidRPr="00422183">
        <w:rPr>
          <w:rFonts w:ascii="Rockwell" w:hAnsi="Rockwell"/>
          <w:sz w:val="24"/>
          <w:szCs w:val="24"/>
        </w:rPr>
        <w:t xml:space="preserve"> réduction du taux de chômage à travers la création des emplois décents et productifs</w:t>
      </w:r>
      <w:r w:rsidR="00CC3096" w:rsidRPr="00422183">
        <w:rPr>
          <w:rFonts w:ascii="Rockwell" w:hAnsi="Rockwell"/>
          <w:sz w:val="24"/>
          <w:szCs w:val="24"/>
        </w:rPr>
        <w:t>,</w:t>
      </w:r>
      <w:r w:rsidRPr="00422183">
        <w:rPr>
          <w:rFonts w:ascii="Rockwell" w:hAnsi="Rockwell"/>
          <w:sz w:val="24"/>
          <w:szCs w:val="24"/>
        </w:rPr>
        <w:t xml:space="preserve"> et l</w:t>
      </w:r>
      <w:r w:rsidR="006C72DE" w:rsidRPr="00422183">
        <w:rPr>
          <w:rFonts w:ascii="Rockwell" w:hAnsi="Rockwell"/>
          <w:sz w:val="24"/>
          <w:szCs w:val="24"/>
        </w:rPr>
        <w:t>'</w:t>
      </w:r>
      <w:r w:rsidRPr="00422183">
        <w:rPr>
          <w:rFonts w:ascii="Rockwell" w:hAnsi="Rockwell"/>
          <w:sz w:val="24"/>
          <w:szCs w:val="24"/>
        </w:rPr>
        <w:t>amélioration de la participation de l</w:t>
      </w:r>
      <w:r w:rsidR="006C72DE" w:rsidRPr="00422183">
        <w:rPr>
          <w:rFonts w:ascii="Rockwell" w:hAnsi="Rockwell"/>
          <w:sz w:val="24"/>
          <w:szCs w:val="24"/>
        </w:rPr>
        <w:t>'</w:t>
      </w:r>
      <w:r w:rsidRPr="00422183">
        <w:rPr>
          <w:rFonts w:ascii="Rockwell" w:hAnsi="Rockwell"/>
          <w:sz w:val="24"/>
          <w:szCs w:val="24"/>
        </w:rPr>
        <w:t xml:space="preserve">ensemble de la société au processus national de développement économique et social. Ainsi, il est attendu un recul du taux de pauvreté de 40,1% à </w:t>
      </w:r>
      <w:r w:rsidR="00F37DD1" w:rsidRPr="00422183">
        <w:rPr>
          <w:rFonts w:ascii="Rockwell" w:hAnsi="Rockwell"/>
          <w:sz w:val="24"/>
          <w:szCs w:val="24"/>
        </w:rPr>
        <w:t xml:space="preserve">moins de </w:t>
      </w:r>
      <w:r w:rsidRPr="00422183">
        <w:rPr>
          <w:rFonts w:ascii="Rockwell" w:hAnsi="Rockwell"/>
          <w:sz w:val="24"/>
          <w:szCs w:val="24"/>
        </w:rPr>
        <w:t>35% à l</w:t>
      </w:r>
      <w:r w:rsidR="006C72DE" w:rsidRPr="00422183">
        <w:rPr>
          <w:rFonts w:ascii="Rockwell" w:hAnsi="Rockwell"/>
          <w:sz w:val="24"/>
          <w:szCs w:val="24"/>
        </w:rPr>
        <w:t>'</w:t>
      </w:r>
      <w:r w:rsidRPr="00422183">
        <w:rPr>
          <w:rFonts w:ascii="Rockwell" w:hAnsi="Rockwell"/>
          <w:sz w:val="24"/>
          <w:szCs w:val="24"/>
        </w:rPr>
        <w:t>horizon 2020, une création d</w:t>
      </w:r>
      <w:r w:rsidR="006C72DE" w:rsidRPr="00422183">
        <w:rPr>
          <w:rFonts w:ascii="Rockwell" w:hAnsi="Rockwell"/>
          <w:sz w:val="24"/>
          <w:szCs w:val="24"/>
        </w:rPr>
        <w:t>'</w:t>
      </w:r>
      <w:r w:rsidR="005651BD" w:rsidRPr="00422183">
        <w:rPr>
          <w:rFonts w:ascii="Rockwell" w:hAnsi="Rockwell"/>
          <w:sz w:val="24"/>
          <w:szCs w:val="24"/>
        </w:rPr>
        <w:t>au moins 130</w:t>
      </w:r>
      <w:r w:rsidR="005651BD" w:rsidRPr="00422183">
        <w:rPr>
          <w:rFonts w:ascii="Rockwell" w:hAnsi="Rockwell"/>
          <w:sz w:val="24"/>
        </w:rPr>
        <w:t> </w:t>
      </w:r>
      <w:r w:rsidRPr="00422183">
        <w:rPr>
          <w:rFonts w:ascii="Rockwell" w:hAnsi="Rockwell"/>
          <w:sz w:val="24"/>
          <w:szCs w:val="24"/>
        </w:rPr>
        <w:t>000 emplois produc</w:t>
      </w:r>
      <w:r w:rsidR="005651BD" w:rsidRPr="00422183">
        <w:rPr>
          <w:rFonts w:ascii="Rockwell" w:hAnsi="Rockwell"/>
          <w:sz w:val="24"/>
          <w:szCs w:val="24"/>
        </w:rPr>
        <w:t>tifs par an, une réduction des</w:t>
      </w:r>
      <w:r w:rsidRPr="00422183">
        <w:rPr>
          <w:rFonts w:ascii="Rockwell" w:hAnsi="Rockwell"/>
          <w:sz w:val="24"/>
          <w:szCs w:val="24"/>
        </w:rPr>
        <w:t xml:space="preserve"> disparité</w:t>
      </w:r>
      <w:r w:rsidR="005651BD" w:rsidRPr="00422183">
        <w:rPr>
          <w:rFonts w:ascii="Rockwell" w:hAnsi="Rockwell"/>
          <w:sz w:val="24"/>
          <w:szCs w:val="24"/>
        </w:rPr>
        <w:t>s</w:t>
      </w:r>
      <w:r w:rsidRPr="00422183">
        <w:rPr>
          <w:rFonts w:ascii="Rockwell" w:hAnsi="Rockwell"/>
          <w:sz w:val="24"/>
          <w:szCs w:val="24"/>
        </w:rPr>
        <w:t xml:space="preserve"> régionale</w:t>
      </w:r>
      <w:r w:rsidR="005651BD" w:rsidRPr="00422183">
        <w:rPr>
          <w:rFonts w:ascii="Rockwell" w:hAnsi="Rockwell"/>
          <w:sz w:val="24"/>
          <w:szCs w:val="24"/>
        </w:rPr>
        <w:t>s</w:t>
      </w:r>
      <w:r w:rsidRPr="00422183">
        <w:rPr>
          <w:rFonts w:ascii="Rockwell" w:hAnsi="Rockwell"/>
          <w:sz w:val="24"/>
          <w:szCs w:val="24"/>
        </w:rPr>
        <w:t xml:space="preserve"> avec un accent particulier sur les régions marquées par une augmentation de la p</w:t>
      </w:r>
      <w:r w:rsidR="005651BD" w:rsidRPr="00422183">
        <w:rPr>
          <w:rFonts w:ascii="Rockwell" w:hAnsi="Rockwell"/>
          <w:sz w:val="24"/>
          <w:szCs w:val="24"/>
        </w:rPr>
        <w:t>auvreté.</w:t>
      </w:r>
    </w:p>
    <w:p w:rsidR="0023116E" w:rsidRPr="00422183" w:rsidRDefault="0023116E" w:rsidP="003A0820">
      <w:pPr>
        <w:spacing w:after="0" w:line="240" w:lineRule="auto"/>
        <w:jc w:val="both"/>
        <w:rPr>
          <w:rFonts w:ascii="Rockwell" w:hAnsi="Rockwell"/>
          <w:sz w:val="24"/>
          <w:szCs w:val="24"/>
        </w:rPr>
      </w:pPr>
    </w:p>
    <w:p w:rsidR="00B66B15" w:rsidRPr="00422183" w:rsidRDefault="00354B0A" w:rsidP="003A0820">
      <w:pPr>
        <w:spacing w:after="0" w:line="240" w:lineRule="auto"/>
        <w:jc w:val="both"/>
        <w:rPr>
          <w:rFonts w:ascii="Rockwell" w:hAnsi="Rockwell"/>
          <w:sz w:val="24"/>
        </w:rPr>
      </w:pPr>
      <w:r w:rsidRPr="00422183">
        <w:rPr>
          <w:rFonts w:ascii="Rockwell" w:hAnsi="Rockwell"/>
          <w:sz w:val="24"/>
        </w:rPr>
        <w:t xml:space="preserve">La réalisation de ce schéma de transformation repose sur </w:t>
      </w:r>
      <w:r w:rsidR="008B78C2" w:rsidRPr="00422183">
        <w:rPr>
          <w:rFonts w:ascii="Rockwell" w:hAnsi="Rockwell"/>
          <w:sz w:val="24"/>
        </w:rPr>
        <w:t>une bonne gouvernance, la disponibilité d</w:t>
      </w:r>
      <w:r w:rsidR="006C72DE" w:rsidRPr="00422183">
        <w:rPr>
          <w:rFonts w:ascii="Rockwell" w:hAnsi="Rockwell"/>
          <w:sz w:val="24"/>
        </w:rPr>
        <w:t>'</w:t>
      </w:r>
      <w:r w:rsidR="008B78C2" w:rsidRPr="00422183">
        <w:rPr>
          <w:rFonts w:ascii="Rockwell" w:hAnsi="Rockwell"/>
          <w:sz w:val="24"/>
        </w:rPr>
        <w:t xml:space="preserve">infrastructures de qualité et des facteurs de production </w:t>
      </w:r>
      <w:r w:rsidR="005651BD" w:rsidRPr="00422183">
        <w:rPr>
          <w:rFonts w:ascii="Rockwell" w:hAnsi="Rockwell"/>
          <w:sz w:val="24"/>
        </w:rPr>
        <w:t xml:space="preserve">à coûts réduits, parmi </w:t>
      </w:r>
      <w:r w:rsidR="004860DD" w:rsidRPr="00422183">
        <w:rPr>
          <w:rFonts w:ascii="Rockwell" w:hAnsi="Rockwell"/>
          <w:sz w:val="24"/>
        </w:rPr>
        <w:t>lesquels</w:t>
      </w:r>
      <w:r w:rsidR="008B78C2" w:rsidRPr="00422183">
        <w:rPr>
          <w:rFonts w:ascii="Rockwell" w:hAnsi="Rockwell"/>
          <w:sz w:val="24"/>
        </w:rPr>
        <w:t xml:space="preserve"> l</w:t>
      </w:r>
      <w:r w:rsidR="006C72DE" w:rsidRPr="00422183">
        <w:rPr>
          <w:rFonts w:ascii="Rockwell" w:hAnsi="Rockwell"/>
          <w:sz w:val="24"/>
        </w:rPr>
        <w:t>'</w:t>
      </w:r>
      <w:r w:rsidR="008B78C2" w:rsidRPr="00422183">
        <w:rPr>
          <w:rFonts w:ascii="Rockwell" w:hAnsi="Rockwell"/>
          <w:sz w:val="24"/>
        </w:rPr>
        <w:t>énergie et les TIC.</w:t>
      </w:r>
    </w:p>
    <w:p w:rsidR="002847FD" w:rsidRPr="00422183" w:rsidRDefault="002847FD" w:rsidP="003A0820">
      <w:pPr>
        <w:spacing w:after="0" w:line="240" w:lineRule="auto"/>
        <w:jc w:val="both"/>
        <w:rPr>
          <w:rFonts w:ascii="Rockwell" w:hAnsi="Rockwell"/>
          <w:sz w:val="24"/>
        </w:rPr>
      </w:pPr>
    </w:p>
    <w:p w:rsidR="00712F86" w:rsidRPr="00422183" w:rsidRDefault="00712F86" w:rsidP="003A0820">
      <w:pPr>
        <w:pStyle w:val="PNDES4"/>
        <w:rPr>
          <w:rFonts w:ascii="Rockwell" w:hAnsi="Rockwell"/>
        </w:rPr>
      </w:pPr>
      <w:bookmarkStart w:id="267" w:name="_Toc452994176"/>
      <w:bookmarkStart w:id="268" w:name="_Toc452994624"/>
      <w:bookmarkStart w:id="269" w:name="_Toc452995064"/>
      <w:bookmarkStart w:id="270" w:name="_Toc453160764"/>
      <w:bookmarkStart w:id="271" w:name="_Toc455132750"/>
      <w:r w:rsidRPr="00422183">
        <w:rPr>
          <w:rFonts w:ascii="Rockwell" w:hAnsi="Rockwell"/>
        </w:rPr>
        <w:t>Schéma de croissance</w:t>
      </w:r>
      <w:bookmarkEnd w:id="267"/>
      <w:bookmarkEnd w:id="268"/>
      <w:bookmarkEnd w:id="269"/>
      <w:bookmarkEnd w:id="270"/>
      <w:bookmarkEnd w:id="271"/>
      <w:r w:rsidRPr="00422183">
        <w:rPr>
          <w:rFonts w:ascii="Rockwell" w:hAnsi="Rockwell"/>
        </w:rPr>
        <w:t xml:space="preserve"> </w:t>
      </w:r>
    </w:p>
    <w:p w:rsidR="00712F86" w:rsidRPr="00422183" w:rsidRDefault="00712F86" w:rsidP="003A0820">
      <w:pPr>
        <w:spacing w:after="0" w:line="240" w:lineRule="auto"/>
        <w:jc w:val="both"/>
        <w:rPr>
          <w:rFonts w:ascii="Rockwell" w:hAnsi="Rockwell"/>
          <w:sz w:val="24"/>
          <w:szCs w:val="24"/>
        </w:rPr>
      </w:pPr>
    </w:p>
    <w:p w:rsidR="00DF04B2" w:rsidRPr="00422183" w:rsidRDefault="00DF04B2" w:rsidP="003A0820">
      <w:pPr>
        <w:spacing w:after="0" w:line="240" w:lineRule="auto"/>
        <w:jc w:val="both"/>
        <w:rPr>
          <w:rFonts w:ascii="Rockwell" w:hAnsi="Rockwell"/>
          <w:sz w:val="24"/>
          <w:szCs w:val="24"/>
        </w:rPr>
      </w:pPr>
      <w:r w:rsidRPr="00422183">
        <w:rPr>
          <w:rFonts w:ascii="Rockwell" w:hAnsi="Rockwell"/>
          <w:sz w:val="24"/>
          <w:szCs w:val="24"/>
        </w:rPr>
        <w:t>Le cadrage macroéconomique a été réalisé selon trois scénarios : (i) le scénario tendanciel qui découle des engagements avec le Fonds monétaire international (FMI) dans le cadre du programme "Facilité élargie de crédit (FEC)" avec un niveau de croissance moyen de 6,0% sur la période 2016-2020, (ii) le scénario pessimiste qui se fonde sur les hypothèses de survenue d'évènements perturbateurs dans l'activité économique, afficherait un taux de croissance moyen de 4,7% sur la période et (iii), le scénario volontariste qui traduit l'ambition du gouvernement déclinée dans le PNDES.</w:t>
      </w:r>
    </w:p>
    <w:p w:rsidR="00DF04B2" w:rsidRPr="00422183" w:rsidRDefault="00DF04B2" w:rsidP="003A0820">
      <w:pPr>
        <w:spacing w:after="0" w:line="240" w:lineRule="auto"/>
        <w:jc w:val="both"/>
        <w:rPr>
          <w:rFonts w:ascii="Rockwell" w:hAnsi="Rockwell"/>
          <w:sz w:val="24"/>
          <w:szCs w:val="24"/>
        </w:rPr>
      </w:pPr>
    </w:p>
    <w:p w:rsidR="00DF04B2" w:rsidRPr="00422183" w:rsidRDefault="00DF04B2" w:rsidP="003A0820">
      <w:pPr>
        <w:spacing w:after="0" w:line="240" w:lineRule="auto"/>
        <w:jc w:val="both"/>
        <w:rPr>
          <w:rFonts w:ascii="Rockwell" w:hAnsi="Rockwell" w:cs="Times New Roman"/>
          <w:bCs/>
          <w:sz w:val="24"/>
          <w:szCs w:val="24"/>
        </w:rPr>
      </w:pPr>
      <w:r w:rsidRPr="00422183">
        <w:rPr>
          <w:rFonts w:ascii="Rockwell" w:hAnsi="Rockwell"/>
          <w:sz w:val="24"/>
          <w:szCs w:val="24"/>
        </w:rPr>
        <w:t xml:space="preserve">Le PNDES vise une croissance forte, inclusive et génératrice d'emplois pour tous. </w:t>
      </w:r>
      <w:r w:rsidR="00D302DA" w:rsidRPr="00422183">
        <w:rPr>
          <w:rFonts w:ascii="Rockwell" w:hAnsi="Rockwell"/>
          <w:sz w:val="24"/>
          <w:szCs w:val="24"/>
        </w:rPr>
        <w:t xml:space="preserve">Ainsi </w:t>
      </w:r>
      <w:r w:rsidR="00D302DA" w:rsidRPr="00422183">
        <w:rPr>
          <w:rFonts w:ascii="Rockwell" w:hAnsi="Rockwell" w:cs="ArialNarrow"/>
          <w:sz w:val="24"/>
          <w:szCs w:val="24"/>
        </w:rPr>
        <w:t xml:space="preserve">le PNDES vise une croissance moyenne soutenue de 8,5% sur la période </w:t>
      </w:r>
      <w:r w:rsidR="00D302DA" w:rsidRPr="00422183">
        <w:rPr>
          <w:rFonts w:ascii="Rockwell" w:hAnsi="Rockwell"/>
          <w:sz w:val="24"/>
          <w:szCs w:val="24"/>
        </w:rPr>
        <w:t xml:space="preserve">2016-2020. </w:t>
      </w:r>
      <w:r w:rsidRPr="00422183">
        <w:rPr>
          <w:rFonts w:ascii="Rockwell" w:hAnsi="Rockwell"/>
          <w:sz w:val="24"/>
          <w:szCs w:val="24"/>
        </w:rPr>
        <w:t>En 2016, le taux de croissance attendu de la mise en œuvre du PNDES est de 5,7%. Il s'établira à 9,1% environ, les années suivantes pour dégager une moyenne de 8,5% sur la période 2016-2020. </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sz w:val="24"/>
          <w:szCs w:val="24"/>
        </w:rPr>
      </w:pPr>
      <w:r w:rsidRPr="00422183">
        <w:rPr>
          <w:rFonts w:ascii="Rockwell" w:hAnsi="Rockwell" w:cs="ArialNarrow"/>
          <w:sz w:val="24"/>
          <w:szCs w:val="24"/>
        </w:rPr>
        <w:t>Pour impulser un tel niveau de croissance, les principaux leviers sont : (i) l'accroissement de la production céréalière de 6,3% en moyenne par an, de la production des cultures de rentes au rythme annuel moyen de 7,6% portée par des spéculations émergentes (sésame, stévia, moringa, etc.), (ii) l'accroissement de la production d'or de 7,1% du fait notamment, de la maitrise de la production artisanale et de l'entrée en production de trois nouvelles mines d'or, (iii) l'accroissement de la production de zinc qui devra atteindre en moyenne, 130</w:t>
      </w:r>
      <w:r w:rsidRPr="00422183">
        <w:rPr>
          <w:rFonts w:ascii="Rockwell" w:hAnsi="Rockwell"/>
          <w:sz w:val="24"/>
        </w:rPr>
        <w:t> </w:t>
      </w:r>
      <w:r w:rsidRPr="00422183">
        <w:rPr>
          <w:rFonts w:ascii="Rockwell" w:hAnsi="Rockwell" w:cs="ArialNarrow"/>
          <w:sz w:val="24"/>
          <w:szCs w:val="24"/>
        </w:rPr>
        <w:t>000 tonnes par an sur la période 2016-2020, (iv) la production de manganèse qui passera de 500</w:t>
      </w:r>
      <w:r w:rsidRPr="00422183">
        <w:rPr>
          <w:rFonts w:ascii="Rockwell" w:hAnsi="Rockwell"/>
          <w:sz w:val="24"/>
        </w:rPr>
        <w:t> </w:t>
      </w:r>
      <w:r w:rsidRPr="00422183">
        <w:rPr>
          <w:rFonts w:ascii="Rockwell" w:hAnsi="Rockwell" w:cs="ArialNarrow"/>
          <w:sz w:val="24"/>
          <w:szCs w:val="24"/>
        </w:rPr>
        <w:t>000 tonnes en 2017 à 1</w:t>
      </w:r>
      <w:r w:rsidRPr="00422183">
        <w:rPr>
          <w:rFonts w:ascii="Rockwell" w:hAnsi="Rockwell"/>
          <w:sz w:val="24"/>
        </w:rPr>
        <w:t> </w:t>
      </w:r>
      <w:r w:rsidRPr="00422183">
        <w:rPr>
          <w:rFonts w:ascii="Rockwell" w:hAnsi="Rockwell" w:cs="ArialNarrow"/>
          <w:sz w:val="24"/>
          <w:szCs w:val="24"/>
        </w:rPr>
        <w:t>250</w:t>
      </w:r>
      <w:r w:rsidRPr="00422183">
        <w:rPr>
          <w:rFonts w:ascii="Rockwell" w:hAnsi="Rockwell"/>
          <w:sz w:val="24"/>
        </w:rPr>
        <w:t> </w:t>
      </w:r>
      <w:r w:rsidRPr="00422183">
        <w:rPr>
          <w:rFonts w:ascii="Rockwell" w:hAnsi="Rockwell" w:cs="ArialNarrow"/>
          <w:sz w:val="24"/>
          <w:szCs w:val="24"/>
        </w:rPr>
        <w:t>000 tonnes en 2020 et (vi) l'atteinte d'un niveau d'investissements de 8 408,2 milliards de francs CFA  sur la période 2016-2020.</w:t>
      </w:r>
      <w:r w:rsidRPr="00422183">
        <w:rPr>
          <w:rFonts w:ascii="Rockwell" w:hAnsi="Rockwell"/>
          <w:sz w:val="24"/>
          <w:szCs w:val="24"/>
        </w:rPr>
        <w:t xml:space="preserve"> Ces investissements concernent notamment les infrastructures et programmes de réformes nécessaires à la réalisation de la vision du PNDES.</w:t>
      </w:r>
    </w:p>
    <w:p w:rsidR="00DF04B2" w:rsidRPr="00422183" w:rsidRDefault="00DF04B2" w:rsidP="003A0820">
      <w:pPr>
        <w:autoSpaceDE w:val="0"/>
        <w:autoSpaceDN w:val="0"/>
        <w:adjustRightInd w:val="0"/>
        <w:spacing w:after="0" w:line="240" w:lineRule="auto"/>
        <w:jc w:val="both"/>
        <w:rPr>
          <w:rFonts w:ascii="Rockwell" w:hAnsi="Rockwell"/>
          <w:sz w:val="24"/>
          <w:szCs w:val="24"/>
        </w:rPr>
      </w:pPr>
    </w:p>
    <w:p w:rsidR="00DF04B2" w:rsidRPr="00422183" w:rsidRDefault="00DF04B2" w:rsidP="003A0820">
      <w:pPr>
        <w:autoSpaceDE w:val="0"/>
        <w:autoSpaceDN w:val="0"/>
        <w:adjustRightInd w:val="0"/>
        <w:spacing w:after="0" w:line="240" w:lineRule="auto"/>
        <w:jc w:val="both"/>
        <w:rPr>
          <w:rFonts w:ascii="Rockwell" w:hAnsi="Rockwell"/>
          <w:sz w:val="24"/>
          <w:szCs w:val="24"/>
        </w:rPr>
      </w:pPr>
      <w:r w:rsidRPr="00422183">
        <w:rPr>
          <w:rFonts w:ascii="Rockwell" w:hAnsi="Rockwell"/>
          <w:sz w:val="24"/>
          <w:szCs w:val="24"/>
        </w:rPr>
        <w:t>Les différents comptes macroéconomiques concernant le secteur réel, les prix, les finances publiques et l'extérieur, évolueraient conformément à ce schéma.</w:t>
      </w:r>
    </w:p>
    <w:p w:rsidR="00DF04B2" w:rsidRPr="00422183" w:rsidRDefault="00DF04B2" w:rsidP="003A0820">
      <w:pPr>
        <w:autoSpaceDE w:val="0"/>
        <w:autoSpaceDN w:val="0"/>
        <w:adjustRightInd w:val="0"/>
        <w:spacing w:after="0" w:line="240" w:lineRule="auto"/>
        <w:jc w:val="both"/>
        <w:rPr>
          <w:rFonts w:ascii="Rockwell" w:hAnsi="Rockwell"/>
          <w:sz w:val="24"/>
          <w:szCs w:val="24"/>
        </w:rPr>
      </w:pPr>
    </w:p>
    <w:p w:rsidR="00DF04B2" w:rsidRPr="00422183" w:rsidRDefault="00DF04B2" w:rsidP="004102F5">
      <w:pPr>
        <w:pStyle w:val="PNDES4"/>
        <w:numPr>
          <w:ilvl w:val="3"/>
          <w:numId w:val="16"/>
        </w:numPr>
        <w:rPr>
          <w:rFonts w:ascii="Rockwell" w:hAnsi="Rockwell"/>
        </w:rPr>
      </w:pPr>
      <w:bookmarkStart w:id="272" w:name="_Toc455132751"/>
      <w:r w:rsidRPr="00422183">
        <w:rPr>
          <w:rFonts w:ascii="Rockwell" w:hAnsi="Rockwell"/>
        </w:rPr>
        <w:t>Évolution du secteur réel</w:t>
      </w:r>
      <w:bookmarkEnd w:id="272"/>
    </w:p>
    <w:p w:rsidR="00DF04B2" w:rsidRPr="00422183" w:rsidRDefault="00DF04B2" w:rsidP="003A0820">
      <w:pPr>
        <w:spacing w:after="0" w:line="240" w:lineRule="auto"/>
        <w:jc w:val="both"/>
        <w:rPr>
          <w:rFonts w:ascii="Rockwell" w:hAnsi="Rockwell" w:cs="Times New Roman"/>
          <w:bCs/>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Le schéma de transformation structurelle prévoit une hausse de la contribution du secteur primaire durant la première phase du processus, suivi d'une augmentation de la contribution des industries manufacturières pendant la phase.</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À terme, la croissance reposera notamment, sur une bonne performance de l'activité dans les secteurs secondaire et tertiaire et sur une croissance régulière dans le secteur primaire.</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Dans le secteur secondaire, la bonne orientation induite par les accroissements des productions des mines industrielles, des produits miniers comme l'or, le zinc, le cuivre et le manganèse, combinés à la production des industries traditionnelles, vont entrainer un accroissement de la valeur ajoutée du secteur de 11,1% en moyenne annuelle. En outre, du fait des travaux de construction d'infrastructures structurantes, la progression du secteur sera également imputable au dynamisme du sous-secteur du bâtiment et travaux publics qui bénéficierait des grands projets d'investissement dans le domaine des transports, des logements, de la santé et de l'éducation. Par ailleurs, les industries manufacturières devraient tirer profit des actions entreprises pour accroitre l'offre d'énergie, toute chose contribuant au renforcement de la dynamique du secteur.</w:t>
      </w: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Quant au secteur tertiaire, il connaîtrait un taux de croissance annuel moyen de 7,7%. Cette évolution serait soutenue par le dynamisme attendu dans les services marchands et serait principalement, tiré par le commerce, les services financiers et les TIC, ainsi que le tourisme, la culture et les activités connexes. L'activité dans les télécommunications tirerait profit des actions tendant à améliorer l'offre de service grâce aux investissements prévus pour le déploiement de la fibre optique. En outre, la tenue de certaines manifestations à caractère international (SNC, SIAO, FESPACO, Tour du Faso, etc.) devrait contribuer au renforcement du sous-secteur du tourisme et de l'hôtellerie.</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Au niveau du secteur primaire, la valeur ajoutée connaîtrait une croissance moyenne de 5,4% par an, avec une légère hausse en 2017 et en 2018, portée par les sous-secteurs de l'agriculture et de l'élevage.  L'agriculture tirerait avantage entre autres, de l'opérationnalisation des agropoles (Samendéni-Sourou, Bagrépôle) ainsi que celle de nouveaux pôles de compétitivités</w:t>
      </w:r>
      <w:r w:rsidR="00C65C36" w:rsidRPr="00422183">
        <w:rPr>
          <w:rFonts w:ascii="Rockwell" w:hAnsi="Rockwell" w:cs="ArialNarrow"/>
          <w:sz w:val="24"/>
          <w:szCs w:val="24"/>
        </w:rPr>
        <w:t xml:space="preserve"> (</w:t>
      </w:r>
      <w:r w:rsidR="00A07FDD" w:rsidRPr="00422183">
        <w:rPr>
          <w:rFonts w:ascii="Rockwell" w:hAnsi="Rockwell" w:cs="ArialNarrow"/>
          <w:sz w:val="24"/>
          <w:szCs w:val="24"/>
        </w:rPr>
        <w:t xml:space="preserve">pôle minier du </w:t>
      </w:r>
      <w:r w:rsidR="00C65C36" w:rsidRPr="00422183">
        <w:rPr>
          <w:rFonts w:ascii="Rockwell" w:hAnsi="Rockwell" w:cs="ArialNarrow"/>
          <w:sz w:val="24"/>
          <w:szCs w:val="24"/>
        </w:rPr>
        <w:t>Sahel</w:t>
      </w:r>
      <w:r w:rsidR="00A07FDD" w:rsidRPr="00422183">
        <w:rPr>
          <w:rFonts w:ascii="Rockwell" w:hAnsi="Rockwell" w:cs="ArialNarrow"/>
          <w:sz w:val="24"/>
          <w:szCs w:val="24"/>
        </w:rPr>
        <w:t xml:space="preserve"> ; </w:t>
      </w:r>
      <w:r w:rsidR="006B4F3A" w:rsidRPr="00422183">
        <w:rPr>
          <w:rFonts w:ascii="Rockwell" w:hAnsi="Rockwell" w:cs="ArialNarrow"/>
          <w:sz w:val="24"/>
          <w:szCs w:val="24"/>
        </w:rPr>
        <w:t>etc.</w:t>
      </w:r>
      <w:r w:rsidR="00C65C36" w:rsidRPr="00422183">
        <w:rPr>
          <w:rFonts w:ascii="Rockwell" w:hAnsi="Rockwell" w:cs="ArialNarrow"/>
          <w:sz w:val="24"/>
          <w:szCs w:val="24"/>
        </w:rPr>
        <w:t>)</w:t>
      </w:r>
      <w:r w:rsidRPr="00422183">
        <w:rPr>
          <w:rFonts w:ascii="Rockwell" w:hAnsi="Rockwell" w:cs="ArialNarrow"/>
          <w:sz w:val="24"/>
          <w:szCs w:val="24"/>
        </w:rPr>
        <w:t>, de la mécanisation agricole,</w:t>
      </w:r>
      <w:r w:rsidR="00E95B1C" w:rsidRPr="00422183">
        <w:rPr>
          <w:rFonts w:ascii="Rockwell" w:hAnsi="Rockwell" w:cs="ArialNarrow"/>
          <w:sz w:val="24"/>
          <w:szCs w:val="24"/>
        </w:rPr>
        <w:t xml:space="preserve"> de l’augmentation des superficies aménagées,</w:t>
      </w:r>
      <w:r w:rsidRPr="00422183">
        <w:rPr>
          <w:rFonts w:ascii="Rockwell" w:hAnsi="Rockwell" w:cs="ArialNarrow"/>
          <w:sz w:val="24"/>
          <w:szCs w:val="24"/>
        </w:rPr>
        <w:t xml:space="preserve"> de la mise à disposition des intrants et équipements agricoles. Quant à l'élevage, il serait soutenu par l'intensification et l'augmentation des produits de l'élevage, l'encadrement et l'appui-conseil des acteurs du sous-secteur et la prévention des maladies d'animaux et épizooties.</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Le Tableau 2 présente l'évolution attendue de la croissance du PIB et de celle des valeurs ajoutées dans les secteurs économiques.</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pStyle w:val="Lgende"/>
        <w:rPr>
          <w:color w:val="auto"/>
          <w:sz w:val="24"/>
        </w:rPr>
      </w:pPr>
      <w:bookmarkStart w:id="273" w:name="_Toc455079253"/>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2</w:t>
      </w:r>
      <w:r w:rsidR="00491B03" w:rsidRPr="00422183">
        <w:rPr>
          <w:color w:val="auto"/>
          <w:sz w:val="24"/>
        </w:rPr>
        <w:fldChar w:fldCharType="end"/>
      </w:r>
      <w:r w:rsidRPr="00422183">
        <w:rPr>
          <w:color w:val="auto"/>
          <w:sz w:val="24"/>
        </w:rPr>
        <w:t> : évolution de la valeur ajoutée des différents secteurs et du PIB réel</w:t>
      </w:r>
      <w:bookmarkEnd w:id="273"/>
    </w:p>
    <w:tbl>
      <w:tblPr>
        <w:tblW w:w="5000" w:type="pct"/>
        <w:tblCellMar>
          <w:left w:w="70" w:type="dxa"/>
          <w:right w:w="70" w:type="dxa"/>
        </w:tblCellMar>
        <w:tblLook w:val="04A0" w:firstRow="1" w:lastRow="0" w:firstColumn="1" w:lastColumn="0" w:noHBand="0" w:noVBand="1"/>
      </w:tblPr>
      <w:tblGrid>
        <w:gridCol w:w="2475"/>
        <w:gridCol w:w="1152"/>
        <w:gridCol w:w="1152"/>
        <w:gridCol w:w="1152"/>
        <w:gridCol w:w="1152"/>
        <w:gridCol w:w="1152"/>
        <w:gridCol w:w="1543"/>
      </w:tblGrid>
      <w:tr w:rsidR="00DF04B2" w:rsidRPr="00422183" w:rsidTr="00034305">
        <w:trPr>
          <w:trHeight w:val="300"/>
        </w:trPr>
        <w:tc>
          <w:tcPr>
            <w:tcW w:w="126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 </w:t>
            </w:r>
          </w:p>
        </w:tc>
        <w:tc>
          <w:tcPr>
            <w:tcW w:w="589" w:type="pct"/>
            <w:tcBorders>
              <w:top w:val="single" w:sz="8" w:space="0" w:color="auto"/>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2016</w:t>
            </w:r>
          </w:p>
        </w:tc>
        <w:tc>
          <w:tcPr>
            <w:tcW w:w="589" w:type="pct"/>
            <w:tcBorders>
              <w:top w:val="single" w:sz="8" w:space="0" w:color="auto"/>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2017</w:t>
            </w:r>
          </w:p>
        </w:tc>
        <w:tc>
          <w:tcPr>
            <w:tcW w:w="589" w:type="pct"/>
            <w:tcBorders>
              <w:top w:val="single" w:sz="8" w:space="0" w:color="auto"/>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2018</w:t>
            </w:r>
          </w:p>
        </w:tc>
        <w:tc>
          <w:tcPr>
            <w:tcW w:w="589" w:type="pct"/>
            <w:tcBorders>
              <w:top w:val="single" w:sz="8" w:space="0" w:color="auto"/>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2019</w:t>
            </w:r>
          </w:p>
        </w:tc>
        <w:tc>
          <w:tcPr>
            <w:tcW w:w="589" w:type="pct"/>
            <w:tcBorders>
              <w:top w:val="single" w:sz="8" w:space="0" w:color="auto"/>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2020</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Moyenne</w:t>
            </w:r>
          </w:p>
        </w:tc>
      </w:tr>
      <w:tr w:rsidR="00DF04B2" w:rsidRPr="00422183" w:rsidTr="00034305">
        <w:trPr>
          <w:trHeight w:val="300"/>
        </w:trPr>
        <w:tc>
          <w:tcPr>
            <w:tcW w:w="1266" w:type="pct"/>
            <w:tcBorders>
              <w:top w:val="nil"/>
              <w:left w:val="single" w:sz="8" w:space="0" w:color="auto"/>
              <w:bottom w:val="single" w:sz="4" w:space="0" w:color="auto"/>
              <w:right w:val="single" w:sz="4" w:space="0" w:color="auto"/>
            </w:tcBorders>
            <w:shd w:val="clear" w:color="auto" w:fill="auto"/>
            <w:noWrap/>
            <w:vAlign w:val="bottom"/>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Secteur Primaire</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4,1%</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5,1%</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5,6%</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6,0%</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6,0%</w:t>
            </w:r>
          </w:p>
        </w:tc>
        <w:tc>
          <w:tcPr>
            <w:tcW w:w="78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5,4%</w:t>
            </w:r>
          </w:p>
        </w:tc>
      </w:tr>
      <w:tr w:rsidR="00DF04B2" w:rsidRPr="00422183" w:rsidTr="00034305">
        <w:trPr>
          <w:trHeight w:val="300"/>
        </w:trPr>
        <w:tc>
          <w:tcPr>
            <w:tcW w:w="1266" w:type="pct"/>
            <w:tcBorders>
              <w:top w:val="nil"/>
              <w:left w:val="single" w:sz="8" w:space="0" w:color="auto"/>
              <w:bottom w:val="single" w:sz="4" w:space="0" w:color="auto"/>
              <w:right w:val="single" w:sz="4" w:space="0" w:color="auto"/>
            </w:tcBorders>
            <w:shd w:val="clear" w:color="auto" w:fill="auto"/>
            <w:noWrap/>
            <w:vAlign w:val="bottom"/>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Secteur Secondaire</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6,4%</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13,7%</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14,0%</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11,7%</w:t>
            </w:r>
          </w:p>
        </w:tc>
        <w:tc>
          <w:tcPr>
            <w:tcW w:w="589" w:type="pct"/>
            <w:tcBorders>
              <w:top w:val="nil"/>
              <w:left w:val="nil"/>
              <w:bottom w:val="single" w:sz="4"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9,9%</w:t>
            </w:r>
          </w:p>
        </w:tc>
        <w:tc>
          <w:tcPr>
            <w:tcW w:w="789" w:type="pct"/>
            <w:tcBorders>
              <w:top w:val="nil"/>
              <w:left w:val="single" w:sz="4" w:space="0" w:color="auto"/>
              <w:bottom w:val="single" w:sz="4" w:space="0" w:color="auto"/>
              <w:right w:val="single" w:sz="8"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11,1%</w:t>
            </w:r>
          </w:p>
        </w:tc>
      </w:tr>
      <w:tr w:rsidR="00DF04B2" w:rsidRPr="00422183" w:rsidTr="00034305">
        <w:trPr>
          <w:trHeight w:val="315"/>
        </w:trPr>
        <w:tc>
          <w:tcPr>
            <w:tcW w:w="126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F04B2" w:rsidRPr="00422183" w:rsidRDefault="00DF04B2" w:rsidP="003A0820">
            <w:pPr>
              <w:spacing w:after="0" w:line="240" w:lineRule="auto"/>
              <w:jc w:val="both"/>
              <w:rPr>
                <w:rFonts w:ascii="Rockwell" w:eastAsia="Times New Roman" w:hAnsi="Rockwell" w:cs="Times New Roman"/>
                <w:b/>
                <w:bCs/>
              </w:rPr>
            </w:pPr>
            <w:r w:rsidRPr="00422183">
              <w:rPr>
                <w:rFonts w:ascii="Rockwell" w:eastAsia="Times New Roman" w:hAnsi="Rockwell" w:cs="Times New Roman"/>
                <w:b/>
                <w:bCs/>
              </w:rPr>
              <w:t>Secteur Tertiaire</w:t>
            </w:r>
          </w:p>
        </w:tc>
        <w:tc>
          <w:tcPr>
            <w:tcW w:w="589" w:type="pct"/>
            <w:tcBorders>
              <w:top w:val="single" w:sz="4" w:space="0" w:color="auto"/>
              <w:left w:val="nil"/>
              <w:bottom w:val="single" w:sz="8"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5,7%</w:t>
            </w:r>
          </w:p>
        </w:tc>
        <w:tc>
          <w:tcPr>
            <w:tcW w:w="589" w:type="pct"/>
            <w:tcBorders>
              <w:top w:val="single" w:sz="4" w:space="0" w:color="auto"/>
              <w:left w:val="nil"/>
              <w:bottom w:val="single" w:sz="8"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6,3%</w:t>
            </w:r>
          </w:p>
        </w:tc>
        <w:tc>
          <w:tcPr>
            <w:tcW w:w="589" w:type="pct"/>
            <w:tcBorders>
              <w:top w:val="single" w:sz="4" w:space="0" w:color="auto"/>
              <w:left w:val="nil"/>
              <w:bottom w:val="single" w:sz="8"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8,7%</w:t>
            </w:r>
          </w:p>
        </w:tc>
        <w:tc>
          <w:tcPr>
            <w:tcW w:w="589" w:type="pct"/>
            <w:tcBorders>
              <w:top w:val="single" w:sz="4" w:space="0" w:color="auto"/>
              <w:left w:val="nil"/>
              <w:bottom w:val="single" w:sz="8"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8,4%</w:t>
            </w:r>
          </w:p>
        </w:tc>
        <w:tc>
          <w:tcPr>
            <w:tcW w:w="589" w:type="pct"/>
            <w:tcBorders>
              <w:top w:val="single" w:sz="4" w:space="0" w:color="auto"/>
              <w:left w:val="nil"/>
              <w:bottom w:val="single" w:sz="8" w:space="0" w:color="auto"/>
              <w:right w:val="single" w:sz="4"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9,2%</w:t>
            </w:r>
          </w:p>
        </w:tc>
        <w:tc>
          <w:tcPr>
            <w:tcW w:w="789" w:type="pct"/>
            <w:tcBorders>
              <w:top w:val="nil"/>
              <w:left w:val="nil"/>
              <w:bottom w:val="single" w:sz="8" w:space="0" w:color="auto"/>
              <w:right w:val="single" w:sz="8" w:space="0" w:color="auto"/>
            </w:tcBorders>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Times New Roman"/>
              </w:rPr>
            </w:pPr>
            <w:r w:rsidRPr="00422183">
              <w:rPr>
                <w:rFonts w:ascii="Rockwell" w:eastAsia="Times New Roman" w:hAnsi="Rockwell" w:cs="Times New Roman"/>
              </w:rPr>
              <w:t>7,7%</w:t>
            </w:r>
          </w:p>
        </w:tc>
      </w:tr>
    </w:tbl>
    <w:p w:rsidR="00DF04B2" w:rsidRPr="00422183" w:rsidRDefault="00DF04B2" w:rsidP="00516FB0">
      <w:pPr>
        <w:spacing w:after="0" w:line="240" w:lineRule="auto"/>
        <w:jc w:val="both"/>
        <w:rPr>
          <w:rFonts w:ascii="Rockwell" w:hAnsi="Rockwell"/>
          <w:sz w:val="24"/>
          <w:szCs w:val="24"/>
        </w:rPr>
      </w:pPr>
      <w:r w:rsidRPr="00422183">
        <w:rPr>
          <w:rFonts w:ascii="Rockwell" w:hAnsi="Rockwell"/>
          <w:sz w:val="24"/>
          <w:szCs w:val="24"/>
        </w:rPr>
        <w:t>Source : DGEP, IAP (Juin 2016)</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Selon l'optique emploi du PIB, la croissance sur la période serait portée par la consommation (+5,6 points de pourcentage) et l'investissement (+4,7 points de pourcentage). Le taux d'investissement se situerait en moyenne à 34,4% sur la période 2016-2020 porté par la mise en œuvre des grands projets d'investissement programmés dans le cadre du PNDES.</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pStyle w:val="PNDES4"/>
        <w:rPr>
          <w:rFonts w:ascii="Rockwell" w:hAnsi="Rockwell"/>
        </w:rPr>
      </w:pPr>
      <w:bookmarkStart w:id="274" w:name="_Toc455132752"/>
      <w:r w:rsidRPr="00422183">
        <w:rPr>
          <w:rFonts w:ascii="Rockwell" w:hAnsi="Rockwell"/>
        </w:rPr>
        <w:t>Évolution des prix</w:t>
      </w:r>
      <w:bookmarkEnd w:id="274"/>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L'ambition de la croissance soutenue au taux moyen de 8,5% se réalisera sans un accroissement exagéré des prix dont le taux d'accroissement moyen entre 2016 et 2020 sera de 2,2%, soit une hausse des prix maitrisée en dessous du seuil maximum fixé par l'UEMOA. La maîtrise de l'évolution des prix découlera de l'a</w:t>
      </w:r>
      <w:r w:rsidR="00E95B1C" w:rsidRPr="00422183">
        <w:rPr>
          <w:rFonts w:ascii="Rockwell" w:hAnsi="Rockwell" w:cs="ArialNarrow"/>
          <w:sz w:val="24"/>
          <w:szCs w:val="24"/>
        </w:rPr>
        <w:t>ccroissement maîtrisé et régulie</w:t>
      </w:r>
      <w:r w:rsidRPr="00422183">
        <w:rPr>
          <w:rFonts w:ascii="Rockwell" w:hAnsi="Rockwell" w:cs="ArialNarrow"/>
          <w:sz w:val="24"/>
          <w:szCs w:val="24"/>
        </w:rPr>
        <w:t>r de la production agricole. À la maîtrise de la variation de la production agricole, s'ajoutera les effets des actions d'orientation des prix des produits de grande consommation. La maîtrise de l'inflation favorisera l'investissement et la consommation, participant ainsi à l'accroissement de la production.</w:t>
      </w: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pStyle w:val="PNDES4"/>
        <w:rPr>
          <w:rFonts w:ascii="Rockwell" w:hAnsi="Rockwell"/>
        </w:rPr>
      </w:pPr>
      <w:bookmarkStart w:id="275" w:name="_Toc455132753"/>
      <w:r w:rsidRPr="00422183">
        <w:rPr>
          <w:rFonts w:ascii="Rockwell" w:hAnsi="Rockwell"/>
        </w:rPr>
        <w:t>Évolution des finances publiques</w:t>
      </w:r>
      <w:bookmarkEnd w:id="275"/>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Les recettes totales et les dons évolueraient de 21,7% du PIB en 2016 à 27,9% du PIB en 2020. Le taux de pression fiscale s'établirait en moyenne à 18,7% sur la période 2016-2020. Cet accroissement des recettes sur la période serait soutenu par les effets conjugués de la forte croissance économique et du renforcement des mesures visant une amélioration des recouvrements.</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La mise en œuvre des différe</w:t>
      </w:r>
      <w:r w:rsidR="00E95B1C" w:rsidRPr="00422183">
        <w:rPr>
          <w:rFonts w:ascii="Rockwell" w:hAnsi="Rockwell" w:cs="ArialNarrow"/>
          <w:sz w:val="24"/>
          <w:szCs w:val="24"/>
        </w:rPr>
        <w:t>nts programmes et actions prévu</w:t>
      </w:r>
      <w:r w:rsidRPr="00422183">
        <w:rPr>
          <w:rFonts w:ascii="Rockwell" w:hAnsi="Rockwell" w:cs="ArialNarrow"/>
          <w:sz w:val="24"/>
          <w:szCs w:val="24"/>
        </w:rPr>
        <w:t>s dans le PNDES se traduira par un accroissement soutenu des dépenses en général et de celles en capital en particulier. En moyenne annuelle, les dépenses en capital (investissements publics) atteindraient 18,7% du PIB. Les dépenses totales et prêts-nets progresseront de 26,1% du PIB en 2016 pour se situer autour de 34,8% les années suivantes, soit une moyenne de 33,0% sur la période.</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Grâce à la rationalisation des dépenses courantes, la masse salariale serait contenue en moyenne à 7,2% du PIB, tandis que les transferts courants représenteraient 4,6% du PIB et les dépenses d’acquisition des biens et services se situeraient en moyenne à 1,9% du PIB.</w:t>
      </w: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Sur la période 2016-2020, le déficit budgétaire se situerait en moyenne à 6,6% du PIB en lien avec l'accélération des dépenses d'investissement qu'impose la réalisation des grands travaux. Toutefois, ce niveau de déficit serait en amélioration tendancielle sur la période en passant de 8,5% du PIB en 2017 à 5,2% en 2020. (</w:t>
      </w:r>
      <w:r w:rsidR="006B4F3A" w:rsidRPr="00422183">
        <w:rPr>
          <w:rFonts w:ascii="Rockwell" w:hAnsi="Rockwell" w:cs="ArialNarrow"/>
          <w:sz w:val="24"/>
          <w:szCs w:val="24"/>
        </w:rPr>
        <w:t>Cf.</w:t>
      </w:r>
      <w:r w:rsidRPr="00422183">
        <w:rPr>
          <w:rFonts w:ascii="Rockwell" w:hAnsi="Rockwell" w:cs="ArialNarrow"/>
          <w:sz w:val="24"/>
          <w:szCs w:val="24"/>
        </w:rPr>
        <w:t xml:space="preserve"> Tableau 3)</w:t>
      </w:r>
    </w:p>
    <w:p w:rsidR="00DF04B2" w:rsidRPr="00422183" w:rsidRDefault="00DF04B2" w:rsidP="003A0820">
      <w:pPr>
        <w:autoSpaceDE w:val="0"/>
        <w:autoSpaceDN w:val="0"/>
        <w:adjustRightInd w:val="0"/>
        <w:spacing w:after="0" w:line="240" w:lineRule="auto"/>
        <w:jc w:val="both"/>
        <w:rPr>
          <w:rFonts w:ascii="Rockwell" w:eastAsia="Times New Roman" w:hAnsi="Rockwell"/>
          <w:bCs/>
          <w:sz w:val="24"/>
          <w:szCs w:val="24"/>
        </w:rPr>
      </w:pPr>
    </w:p>
    <w:p w:rsidR="00DF04B2" w:rsidRPr="00422183" w:rsidRDefault="00DF04B2" w:rsidP="003A0820">
      <w:pPr>
        <w:pStyle w:val="Lgende"/>
        <w:rPr>
          <w:color w:val="auto"/>
          <w:sz w:val="24"/>
        </w:rPr>
      </w:pPr>
      <w:bookmarkStart w:id="276" w:name="_Toc455079254"/>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3</w:t>
      </w:r>
      <w:r w:rsidR="00491B03" w:rsidRPr="00422183">
        <w:rPr>
          <w:color w:val="auto"/>
          <w:sz w:val="24"/>
        </w:rPr>
        <w:fldChar w:fldCharType="end"/>
      </w:r>
      <w:r w:rsidRPr="00422183">
        <w:rPr>
          <w:color w:val="auto"/>
          <w:sz w:val="24"/>
        </w:rPr>
        <w:t> : évolution des finances publiques de 2016 à 2020 (en pourcentage du PIB)</w:t>
      </w:r>
      <w:bookmarkEnd w:id="276"/>
    </w:p>
    <w:p w:rsidR="00DF04B2" w:rsidRPr="00422183" w:rsidRDefault="00DF04B2" w:rsidP="003A0820">
      <w:pPr>
        <w:autoSpaceDE w:val="0"/>
        <w:autoSpaceDN w:val="0"/>
        <w:adjustRightInd w:val="0"/>
        <w:spacing w:after="0" w:line="240" w:lineRule="auto"/>
        <w:jc w:val="both"/>
        <w:rPr>
          <w:rFonts w:ascii="Rockwell" w:eastAsia="Times New Roman" w:hAnsi="Rockwell"/>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595"/>
        <w:gridCol w:w="660"/>
        <w:gridCol w:w="660"/>
        <w:gridCol w:w="655"/>
        <w:gridCol w:w="655"/>
        <w:gridCol w:w="657"/>
        <w:gridCol w:w="657"/>
        <w:gridCol w:w="1129"/>
      </w:tblGrid>
      <w:tr w:rsidR="00DF04B2" w:rsidRPr="00422183" w:rsidTr="00034305">
        <w:trPr>
          <w:trHeight w:val="300"/>
        </w:trPr>
        <w:tc>
          <w:tcPr>
            <w:tcW w:w="2376"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b/>
                <w:sz w:val="24"/>
                <w:szCs w:val="24"/>
              </w:rPr>
            </w:pPr>
            <w:r w:rsidRPr="00422183">
              <w:rPr>
                <w:rFonts w:ascii="Rockwell" w:eastAsia="Times New Roman" w:hAnsi="Rockwell"/>
                <w:b/>
                <w:sz w:val="24"/>
                <w:szCs w:val="24"/>
              </w:rPr>
              <w:t>En pourcentage du PIB</w:t>
            </w:r>
          </w:p>
        </w:tc>
        <w:tc>
          <w:tcPr>
            <w:tcW w:w="341" w:type="pct"/>
            <w:shd w:val="clear" w:color="auto" w:fill="BFBFBF" w:themeFill="background1" w:themeFillShade="BF"/>
            <w:vAlign w:val="center"/>
          </w:tcPr>
          <w:p w:rsidR="00DF04B2" w:rsidRPr="00422183" w:rsidRDefault="00DF04B2" w:rsidP="003A0820">
            <w:pPr>
              <w:spacing w:after="0" w:line="240" w:lineRule="auto"/>
              <w:jc w:val="both"/>
              <w:rPr>
                <w:rFonts w:ascii="Rockwell" w:eastAsia="Times New Roman" w:hAnsi="Rockwell" w:cs="Arial"/>
                <w:b/>
                <w:bCs/>
                <w:sz w:val="24"/>
                <w:szCs w:val="24"/>
              </w:rPr>
            </w:pPr>
            <w:r w:rsidRPr="00422183">
              <w:rPr>
                <w:rFonts w:ascii="Rockwell" w:eastAsia="Times New Roman" w:hAnsi="Rockwell" w:cs="Arial"/>
                <w:b/>
                <w:bCs/>
                <w:szCs w:val="24"/>
              </w:rPr>
              <w:t xml:space="preserve">2015 </w:t>
            </w:r>
            <w:r w:rsidRPr="00422183">
              <w:rPr>
                <w:rFonts w:ascii="Rockwell" w:eastAsia="Times New Roman" w:hAnsi="Rockwell" w:cs="Arial"/>
                <w:bCs/>
                <w:i/>
                <w:szCs w:val="24"/>
              </w:rPr>
              <w:t>(réf)</w:t>
            </w:r>
          </w:p>
        </w:tc>
        <w:tc>
          <w:tcPr>
            <w:tcW w:w="341"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2016</w:t>
            </w:r>
          </w:p>
        </w:tc>
        <w:tc>
          <w:tcPr>
            <w:tcW w:w="339"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2017</w:t>
            </w:r>
          </w:p>
        </w:tc>
        <w:tc>
          <w:tcPr>
            <w:tcW w:w="339"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2018</w:t>
            </w:r>
          </w:p>
        </w:tc>
        <w:tc>
          <w:tcPr>
            <w:tcW w:w="340"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2019</w:t>
            </w:r>
          </w:p>
        </w:tc>
        <w:tc>
          <w:tcPr>
            <w:tcW w:w="340" w:type="pct"/>
            <w:shd w:val="clear" w:color="auto" w:fill="BFBFBF" w:themeFill="background1" w:themeFillShade="BF"/>
            <w:noWrap/>
            <w:vAlign w:val="center"/>
            <w:hideMark/>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2020</w:t>
            </w:r>
          </w:p>
        </w:tc>
        <w:tc>
          <w:tcPr>
            <w:tcW w:w="585" w:type="pct"/>
            <w:shd w:val="clear" w:color="auto" w:fill="BFBFBF" w:themeFill="background1" w:themeFillShade="BF"/>
            <w:vAlign w:val="center"/>
          </w:tcPr>
          <w:p w:rsidR="00DF04B2" w:rsidRPr="00422183" w:rsidRDefault="00DF04B2"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Moyenne</w:t>
            </w:r>
          </w:p>
        </w:tc>
      </w:tr>
      <w:tr w:rsidR="00DF04B2" w:rsidRPr="00422183" w:rsidTr="00034305">
        <w:trPr>
          <w:trHeight w:val="300"/>
        </w:trPr>
        <w:tc>
          <w:tcPr>
            <w:tcW w:w="2376"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Recette</w:t>
            </w:r>
            <w:r w:rsidR="00E95B1C" w:rsidRPr="00422183">
              <w:rPr>
                <w:rFonts w:ascii="Rockwell" w:eastAsia="Times New Roman" w:hAnsi="Rockwell" w:cs="Arial"/>
                <w:sz w:val="24"/>
                <w:szCs w:val="24"/>
              </w:rPr>
              <w:t>s</w:t>
            </w:r>
            <w:r w:rsidRPr="00422183">
              <w:rPr>
                <w:rFonts w:ascii="Rockwell" w:eastAsia="Times New Roman" w:hAnsi="Rockwell" w:cs="Arial"/>
                <w:sz w:val="24"/>
                <w:szCs w:val="24"/>
              </w:rPr>
              <w:t xml:space="preserve"> totale</w:t>
            </w:r>
            <w:r w:rsidR="00E95B1C" w:rsidRPr="00422183">
              <w:rPr>
                <w:rFonts w:ascii="Rockwell" w:eastAsia="Times New Roman" w:hAnsi="Rockwell" w:cs="Arial"/>
                <w:sz w:val="24"/>
                <w:szCs w:val="24"/>
              </w:rPr>
              <w:t>s</w:t>
            </w:r>
            <w:r w:rsidRPr="00422183">
              <w:rPr>
                <w:rFonts w:ascii="Rockwell" w:eastAsia="Times New Roman" w:hAnsi="Rockwell" w:cs="Arial"/>
                <w:sz w:val="24"/>
                <w:szCs w:val="24"/>
              </w:rPr>
              <w:t xml:space="preserve"> et dons</w:t>
            </w:r>
          </w:p>
        </w:tc>
        <w:tc>
          <w:tcPr>
            <w:tcW w:w="341"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19,5</w:t>
            </w:r>
          </w:p>
        </w:tc>
        <w:tc>
          <w:tcPr>
            <w:tcW w:w="341"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21,7</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27,9</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28,0</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28,2</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27,9</w:t>
            </w:r>
          </w:p>
        </w:tc>
        <w:tc>
          <w:tcPr>
            <w:tcW w:w="585"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26,7</w:t>
            </w:r>
          </w:p>
        </w:tc>
      </w:tr>
      <w:tr w:rsidR="00DF04B2" w:rsidRPr="00422183" w:rsidTr="00034305">
        <w:trPr>
          <w:trHeight w:val="300"/>
        </w:trPr>
        <w:tc>
          <w:tcPr>
            <w:tcW w:w="2376" w:type="pct"/>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Taux de pression fiscale</w:t>
            </w:r>
          </w:p>
        </w:tc>
        <w:tc>
          <w:tcPr>
            <w:tcW w:w="341" w:type="pct"/>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14,2</w:t>
            </w:r>
          </w:p>
        </w:tc>
        <w:tc>
          <w:tcPr>
            <w:tcW w:w="341" w:type="pct"/>
            <w:shd w:val="clear" w:color="auto" w:fill="auto"/>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15,9</w:t>
            </w:r>
          </w:p>
        </w:tc>
        <w:tc>
          <w:tcPr>
            <w:tcW w:w="339" w:type="pct"/>
            <w:shd w:val="clear" w:color="auto" w:fill="auto"/>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18,5</w:t>
            </w:r>
          </w:p>
        </w:tc>
        <w:tc>
          <w:tcPr>
            <w:tcW w:w="339" w:type="pct"/>
            <w:shd w:val="clear" w:color="auto" w:fill="auto"/>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19,1</w:t>
            </w:r>
          </w:p>
        </w:tc>
        <w:tc>
          <w:tcPr>
            <w:tcW w:w="340" w:type="pct"/>
            <w:shd w:val="clear" w:color="auto" w:fill="auto"/>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19,6</w:t>
            </w:r>
          </w:p>
        </w:tc>
        <w:tc>
          <w:tcPr>
            <w:tcW w:w="340" w:type="pct"/>
            <w:shd w:val="clear" w:color="auto" w:fill="auto"/>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20,0</w:t>
            </w:r>
          </w:p>
        </w:tc>
        <w:tc>
          <w:tcPr>
            <w:tcW w:w="585" w:type="pct"/>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18,7</w:t>
            </w:r>
          </w:p>
        </w:tc>
      </w:tr>
      <w:tr w:rsidR="00DF04B2" w:rsidRPr="00422183" w:rsidTr="00034305">
        <w:trPr>
          <w:trHeight w:val="300"/>
        </w:trPr>
        <w:tc>
          <w:tcPr>
            <w:tcW w:w="2376"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Dépense</w:t>
            </w:r>
            <w:r w:rsidR="00E95B1C" w:rsidRPr="00422183">
              <w:rPr>
                <w:rFonts w:ascii="Rockwell" w:eastAsia="Times New Roman" w:hAnsi="Rockwell" w:cs="Arial"/>
                <w:sz w:val="24"/>
                <w:szCs w:val="24"/>
              </w:rPr>
              <w:t>s</w:t>
            </w:r>
            <w:r w:rsidRPr="00422183">
              <w:rPr>
                <w:rFonts w:ascii="Rockwell" w:eastAsia="Times New Roman" w:hAnsi="Rockwell" w:cs="Arial"/>
                <w:sz w:val="24"/>
                <w:szCs w:val="24"/>
              </w:rPr>
              <w:t xml:space="preserve"> totales et prêts-nets</w:t>
            </w:r>
          </w:p>
        </w:tc>
        <w:tc>
          <w:tcPr>
            <w:tcW w:w="341"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21,5</w:t>
            </w:r>
          </w:p>
        </w:tc>
        <w:tc>
          <w:tcPr>
            <w:tcW w:w="341"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26,1</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36,4</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35,5</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34,6</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32,6</w:t>
            </w:r>
          </w:p>
        </w:tc>
        <w:tc>
          <w:tcPr>
            <w:tcW w:w="585"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33,0</w:t>
            </w:r>
          </w:p>
        </w:tc>
      </w:tr>
      <w:tr w:rsidR="00DF04B2" w:rsidRPr="00422183" w:rsidTr="00034305">
        <w:trPr>
          <w:trHeight w:val="300"/>
        </w:trPr>
        <w:tc>
          <w:tcPr>
            <w:tcW w:w="2376" w:type="pct"/>
            <w:shd w:val="clear" w:color="auto" w:fill="auto"/>
            <w:noWrap/>
            <w:vAlign w:val="center"/>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Personnel</w:t>
            </w:r>
          </w:p>
        </w:tc>
        <w:tc>
          <w:tcPr>
            <w:tcW w:w="341" w:type="pct"/>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7,1</w:t>
            </w:r>
          </w:p>
        </w:tc>
        <w:tc>
          <w:tcPr>
            <w:tcW w:w="341"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7,2</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7,3</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7,2</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7,1</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7,0</w:t>
            </w:r>
          </w:p>
        </w:tc>
        <w:tc>
          <w:tcPr>
            <w:tcW w:w="585" w:type="pct"/>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7,2</w:t>
            </w:r>
          </w:p>
        </w:tc>
      </w:tr>
      <w:tr w:rsidR="00DF04B2" w:rsidRPr="00422183" w:rsidTr="00034305">
        <w:trPr>
          <w:trHeight w:val="300"/>
        </w:trPr>
        <w:tc>
          <w:tcPr>
            <w:tcW w:w="2376"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Acquisition de biens et services</w:t>
            </w:r>
          </w:p>
        </w:tc>
        <w:tc>
          <w:tcPr>
            <w:tcW w:w="341"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1,7</w:t>
            </w:r>
          </w:p>
        </w:tc>
        <w:tc>
          <w:tcPr>
            <w:tcW w:w="341"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2,0</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2,0</w:t>
            </w:r>
          </w:p>
        </w:tc>
        <w:tc>
          <w:tcPr>
            <w:tcW w:w="339"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2,0</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1,9</w:t>
            </w:r>
          </w:p>
        </w:tc>
        <w:tc>
          <w:tcPr>
            <w:tcW w:w="340"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1,8</w:t>
            </w:r>
          </w:p>
        </w:tc>
        <w:tc>
          <w:tcPr>
            <w:tcW w:w="585"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1,9</w:t>
            </w:r>
          </w:p>
        </w:tc>
      </w:tr>
      <w:tr w:rsidR="00DF04B2" w:rsidRPr="00422183" w:rsidTr="00034305">
        <w:trPr>
          <w:trHeight w:val="300"/>
        </w:trPr>
        <w:tc>
          <w:tcPr>
            <w:tcW w:w="2376" w:type="pct"/>
            <w:shd w:val="clear" w:color="auto" w:fill="auto"/>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Transferts courants</w:t>
            </w:r>
          </w:p>
        </w:tc>
        <w:tc>
          <w:tcPr>
            <w:tcW w:w="341" w:type="pct"/>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4,6</w:t>
            </w:r>
          </w:p>
        </w:tc>
        <w:tc>
          <w:tcPr>
            <w:tcW w:w="341"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5,0</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4,6</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4,4</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4,5</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4,4</w:t>
            </w:r>
          </w:p>
        </w:tc>
        <w:tc>
          <w:tcPr>
            <w:tcW w:w="585" w:type="pct"/>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4,6</w:t>
            </w:r>
          </w:p>
        </w:tc>
      </w:tr>
      <w:tr w:rsidR="00DF04B2" w:rsidRPr="00422183" w:rsidTr="00034305">
        <w:trPr>
          <w:trHeight w:val="300"/>
        </w:trPr>
        <w:tc>
          <w:tcPr>
            <w:tcW w:w="2376" w:type="pct"/>
            <w:shd w:val="clear" w:color="auto" w:fill="FDE9D9" w:themeFill="accent6" w:themeFillTint="33"/>
            <w:noWrap/>
            <w:vAlign w:val="center"/>
            <w:hideMark/>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Investissement</w:t>
            </w:r>
            <w:r w:rsidR="00E95B1C" w:rsidRPr="00422183">
              <w:rPr>
                <w:rFonts w:ascii="Rockwell" w:eastAsia="Times New Roman" w:hAnsi="Rockwell" w:cs="Arial"/>
                <w:sz w:val="24"/>
                <w:szCs w:val="24"/>
              </w:rPr>
              <w:t>s</w:t>
            </w:r>
            <w:r w:rsidRPr="00422183">
              <w:rPr>
                <w:rFonts w:ascii="Rockwell" w:eastAsia="Times New Roman" w:hAnsi="Rockwell" w:cs="Arial"/>
                <w:sz w:val="24"/>
                <w:szCs w:val="24"/>
              </w:rPr>
              <w:t xml:space="preserve"> </w:t>
            </w:r>
          </w:p>
        </w:tc>
        <w:tc>
          <w:tcPr>
            <w:tcW w:w="341"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7,6</w:t>
            </w:r>
          </w:p>
        </w:tc>
        <w:tc>
          <w:tcPr>
            <w:tcW w:w="341"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11,3</w:t>
            </w:r>
          </w:p>
        </w:tc>
        <w:tc>
          <w:tcPr>
            <w:tcW w:w="339"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21,8</w:t>
            </w:r>
          </w:p>
        </w:tc>
        <w:tc>
          <w:tcPr>
            <w:tcW w:w="339"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21,2</w:t>
            </w:r>
          </w:p>
        </w:tc>
        <w:tc>
          <w:tcPr>
            <w:tcW w:w="340"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20,4</w:t>
            </w:r>
          </w:p>
        </w:tc>
        <w:tc>
          <w:tcPr>
            <w:tcW w:w="340"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18,9</w:t>
            </w:r>
          </w:p>
        </w:tc>
        <w:tc>
          <w:tcPr>
            <w:tcW w:w="585"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18,7</w:t>
            </w:r>
          </w:p>
        </w:tc>
      </w:tr>
      <w:tr w:rsidR="00DF04B2" w:rsidRPr="00422183" w:rsidTr="00034305">
        <w:trPr>
          <w:trHeight w:val="300"/>
        </w:trPr>
        <w:tc>
          <w:tcPr>
            <w:tcW w:w="2376" w:type="pct"/>
            <w:shd w:val="clear" w:color="auto" w:fill="auto"/>
            <w:noWrap/>
            <w:vAlign w:val="center"/>
          </w:tcPr>
          <w:p w:rsidR="00DF04B2" w:rsidRPr="00422183" w:rsidRDefault="00DF04B2" w:rsidP="003A0820">
            <w:pPr>
              <w:spacing w:after="0" w:line="240" w:lineRule="auto"/>
              <w:jc w:val="both"/>
              <w:rPr>
                <w:rFonts w:ascii="Rockwell" w:eastAsia="Times New Roman" w:hAnsi="Rockwell" w:cs="Arial"/>
                <w:i/>
                <w:sz w:val="20"/>
                <w:szCs w:val="20"/>
              </w:rPr>
            </w:pPr>
            <w:r w:rsidRPr="00422183">
              <w:rPr>
                <w:rFonts w:ascii="Rockwell" w:eastAsia="Times New Roman" w:hAnsi="Rockwell" w:cs="Arial"/>
                <w:i/>
                <w:sz w:val="20"/>
                <w:szCs w:val="20"/>
              </w:rPr>
              <w:t xml:space="preserve"> Dont Investissement sur ressources propres</w:t>
            </w:r>
          </w:p>
        </w:tc>
        <w:tc>
          <w:tcPr>
            <w:tcW w:w="341" w:type="pct"/>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Arial" w:hAnsi="Arial" w:cs="Arial"/>
                <w:sz w:val="20"/>
                <w:szCs w:val="20"/>
              </w:rPr>
              <w:t>5,3</w:t>
            </w:r>
          </w:p>
        </w:tc>
        <w:tc>
          <w:tcPr>
            <w:tcW w:w="341" w:type="pct"/>
            <w:shd w:val="clear" w:color="auto" w:fill="auto"/>
            <w:noWrap/>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6,2</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17,7</w:t>
            </w:r>
          </w:p>
        </w:tc>
        <w:tc>
          <w:tcPr>
            <w:tcW w:w="339" w:type="pct"/>
            <w:shd w:val="clear" w:color="auto" w:fill="auto"/>
            <w:noWrap/>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17,0</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16,5</w:t>
            </w:r>
          </w:p>
        </w:tc>
        <w:tc>
          <w:tcPr>
            <w:tcW w:w="340" w:type="pct"/>
            <w:shd w:val="clear" w:color="auto" w:fill="auto"/>
            <w:noWrap/>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15,4</w:t>
            </w:r>
          </w:p>
        </w:tc>
        <w:tc>
          <w:tcPr>
            <w:tcW w:w="585" w:type="pct"/>
            <w:vAlign w:val="center"/>
          </w:tcPr>
          <w:p w:rsidR="00DF04B2" w:rsidRPr="00422183" w:rsidRDefault="00DF04B2" w:rsidP="003A0820">
            <w:pPr>
              <w:spacing w:after="0" w:line="240" w:lineRule="auto"/>
              <w:jc w:val="both"/>
              <w:rPr>
                <w:rFonts w:ascii="Rockwell" w:hAnsi="Rockwell" w:cs="Calibri"/>
                <w:i/>
                <w:sz w:val="20"/>
                <w:szCs w:val="20"/>
              </w:rPr>
            </w:pPr>
            <w:r w:rsidRPr="00422183">
              <w:rPr>
                <w:rFonts w:ascii="Rockwell" w:hAnsi="Rockwell" w:cs="Calibri"/>
                <w:i/>
                <w:sz w:val="20"/>
                <w:szCs w:val="20"/>
              </w:rPr>
              <w:t>14,6</w:t>
            </w:r>
          </w:p>
        </w:tc>
      </w:tr>
      <w:tr w:rsidR="00DF04B2" w:rsidRPr="00422183" w:rsidTr="00034305">
        <w:trPr>
          <w:trHeight w:val="300"/>
        </w:trPr>
        <w:tc>
          <w:tcPr>
            <w:tcW w:w="2376" w:type="pct"/>
            <w:shd w:val="clear" w:color="auto" w:fill="FDE9D9" w:themeFill="accent6" w:themeFillTint="33"/>
            <w:noWrap/>
            <w:vAlign w:val="center"/>
          </w:tcPr>
          <w:p w:rsidR="00DF04B2" w:rsidRPr="00422183" w:rsidRDefault="00DF04B2" w:rsidP="003A0820">
            <w:pPr>
              <w:spacing w:after="0" w:line="240" w:lineRule="auto"/>
              <w:jc w:val="both"/>
              <w:rPr>
                <w:rFonts w:ascii="Rockwell" w:eastAsia="Times New Roman" w:hAnsi="Rockwell" w:cs="Arial"/>
                <w:sz w:val="24"/>
                <w:szCs w:val="24"/>
              </w:rPr>
            </w:pPr>
            <w:r w:rsidRPr="00422183">
              <w:rPr>
                <w:rFonts w:ascii="Rockwell" w:eastAsia="Times New Roman" w:hAnsi="Rockwell" w:cs="Arial"/>
                <w:sz w:val="24"/>
                <w:szCs w:val="24"/>
              </w:rPr>
              <w:t>Déficit budgétaire</w:t>
            </w:r>
          </w:p>
        </w:tc>
        <w:tc>
          <w:tcPr>
            <w:tcW w:w="341"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Arial" w:hAnsi="Arial" w:cs="Arial"/>
                <w:sz w:val="20"/>
                <w:szCs w:val="20"/>
              </w:rPr>
              <w:t>-2,0</w:t>
            </w:r>
          </w:p>
        </w:tc>
        <w:tc>
          <w:tcPr>
            <w:tcW w:w="341"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4,0</w:t>
            </w:r>
          </w:p>
        </w:tc>
        <w:tc>
          <w:tcPr>
            <w:tcW w:w="339"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8,9</w:t>
            </w:r>
          </w:p>
        </w:tc>
        <w:tc>
          <w:tcPr>
            <w:tcW w:w="339"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7,8</w:t>
            </w:r>
          </w:p>
        </w:tc>
        <w:tc>
          <w:tcPr>
            <w:tcW w:w="340"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6,8</w:t>
            </w:r>
          </w:p>
        </w:tc>
        <w:tc>
          <w:tcPr>
            <w:tcW w:w="340" w:type="pct"/>
            <w:shd w:val="clear" w:color="auto" w:fill="FDE9D9" w:themeFill="accent6" w:themeFillTint="33"/>
            <w:noWrap/>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5,2</w:t>
            </w:r>
          </w:p>
        </w:tc>
        <w:tc>
          <w:tcPr>
            <w:tcW w:w="585" w:type="pct"/>
            <w:shd w:val="clear" w:color="auto" w:fill="FDE9D9" w:themeFill="accent6" w:themeFillTint="33"/>
            <w:vAlign w:val="center"/>
          </w:tcPr>
          <w:p w:rsidR="00DF04B2" w:rsidRPr="00422183" w:rsidRDefault="00DF04B2" w:rsidP="003A0820">
            <w:pPr>
              <w:spacing w:after="0" w:line="240" w:lineRule="auto"/>
              <w:jc w:val="both"/>
              <w:rPr>
                <w:rFonts w:ascii="Rockwell" w:hAnsi="Rockwell" w:cs="Calibri"/>
              </w:rPr>
            </w:pPr>
            <w:r w:rsidRPr="00422183">
              <w:rPr>
                <w:rFonts w:ascii="Rockwell" w:hAnsi="Rockwell" w:cs="Calibri"/>
              </w:rPr>
              <w:t>6,6</w:t>
            </w:r>
          </w:p>
        </w:tc>
      </w:tr>
    </w:tbl>
    <w:p w:rsidR="00DF04B2" w:rsidRPr="00422183" w:rsidRDefault="00DF04B2" w:rsidP="00516FB0">
      <w:pPr>
        <w:spacing w:after="0" w:line="240" w:lineRule="auto"/>
        <w:jc w:val="both"/>
        <w:rPr>
          <w:rFonts w:ascii="Rockwell" w:hAnsi="Rockwell" w:cs="Times New Roman"/>
          <w:bCs/>
          <w:sz w:val="24"/>
          <w:szCs w:val="24"/>
        </w:rPr>
      </w:pPr>
      <w:r w:rsidRPr="00422183">
        <w:rPr>
          <w:rFonts w:ascii="Rockwell" w:hAnsi="Rockwell"/>
          <w:sz w:val="24"/>
          <w:szCs w:val="24"/>
          <w:u w:val="single"/>
          <w:shd w:val="clear" w:color="auto" w:fill="FFFFFF"/>
        </w:rPr>
        <w:t>Source</w:t>
      </w:r>
      <w:r w:rsidRPr="00422183">
        <w:rPr>
          <w:rFonts w:ascii="Rockwell" w:hAnsi="Rockwell"/>
          <w:sz w:val="24"/>
          <w:szCs w:val="24"/>
          <w:shd w:val="clear" w:color="auto" w:fill="FFFFFF"/>
        </w:rPr>
        <w:t> : DGEP, IAP (juin 2016)</w:t>
      </w:r>
    </w:p>
    <w:p w:rsidR="00DF04B2" w:rsidRPr="00422183" w:rsidRDefault="00DF04B2" w:rsidP="00516FB0">
      <w:pPr>
        <w:autoSpaceDE w:val="0"/>
        <w:autoSpaceDN w:val="0"/>
        <w:adjustRightInd w:val="0"/>
        <w:spacing w:after="0" w:line="240" w:lineRule="auto"/>
        <w:jc w:val="both"/>
        <w:rPr>
          <w:rFonts w:ascii="Rockwell" w:hAnsi="Rockwell" w:cs="ArialBlack"/>
          <w:sz w:val="24"/>
          <w:szCs w:val="24"/>
        </w:rPr>
      </w:pPr>
    </w:p>
    <w:p w:rsidR="00DF04B2" w:rsidRPr="00422183" w:rsidRDefault="00DF04B2" w:rsidP="003A0820">
      <w:pPr>
        <w:autoSpaceDE w:val="0"/>
        <w:autoSpaceDN w:val="0"/>
        <w:adjustRightInd w:val="0"/>
        <w:spacing w:after="0" w:line="240" w:lineRule="auto"/>
        <w:jc w:val="both"/>
        <w:rPr>
          <w:rFonts w:ascii="Rockwell" w:hAnsi="Rockwell" w:cs="ArialBlack"/>
          <w:sz w:val="24"/>
          <w:szCs w:val="24"/>
        </w:rPr>
      </w:pPr>
      <w:r w:rsidRPr="00422183">
        <w:rPr>
          <w:rFonts w:ascii="Rockwell" w:hAnsi="Rockwell" w:cs="ArialBlack"/>
          <w:sz w:val="24"/>
          <w:szCs w:val="24"/>
        </w:rPr>
        <w:t>Sur la base des ambitions affichées par le PNDES, le déficit global ressortira au-dessus de la norme communautaire de 3% maximum en s'établissant en moyenne à 6,6% sur la période. Le taux de pression fiscale et le ratio masse salariale sur recettes fiscales devraient s'améliorer pour atteindre respectivement 20,0% et 35,2% en 2020, pour des normes respectives de 20% minimum et 35% maximum. Quant au taux d'inflation et à l'encours de la dette (extérieure et intérieure) rapportés au PIB nominal, ils seraient contenus dans la limite de la norme communautaire (respectivement 3%et 70% maximum).</w:t>
      </w:r>
    </w:p>
    <w:p w:rsidR="00DF04B2" w:rsidRPr="00422183" w:rsidRDefault="00DF04B2" w:rsidP="003A0820">
      <w:pPr>
        <w:autoSpaceDE w:val="0"/>
        <w:autoSpaceDN w:val="0"/>
        <w:adjustRightInd w:val="0"/>
        <w:spacing w:after="0" w:line="240" w:lineRule="auto"/>
        <w:jc w:val="both"/>
        <w:rPr>
          <w:rFonts w:ascii="Rockwell" w:hAnsi="Rockwell" w:cs="ArialBlack"/>
          <w:sz w:val="24"/>
          <w:szCs w:val="24"/>
        </w:rPr>
      </w:pPr>
    </w:p>
    <w:p w:rsidR="00DF04B2" w:rsidRPr="00422183" w:rsidRDefault="00DF04B2" w:rsidP="00516FB0">
      <w:pPr>
        <w:pStyle w:val="PNDES4"/>
        <w:rPr>
          <w:rFonts w:ascii="Rockwell" w:hAnsi="Rockwell"/>
        </w:rPr>
      </w:pPr>
      <w:bookmarkStart w:id="277" w:name="_Toc455132754"/>
      <w:r w:rsidRPr="00422183">
        <w:rPr>
          <w:rFonts w:ascii="Rockwell" w:hAnsi="Rockwell"/>
        </w:rPr>
        <w:t>Évolution du compte extérieur</w:t>
      </w:r>
      <w:bookmarkEnd w:id="277"/>
    </w:p>
    <w:p w:rsidR="00DF04B2" w:rsidRPr="00422183" w:rsidRDefault="00DF04B2" w:rsidP="003A0820">
      <w:pPr>
        <w:autoSpaceDE w:val="0"/>
        <w:autoSpaceDN w:val="0"/>
        <w:adjustRightInd w:val="0"/>
        <w:spacing w:after="0" w:line="240" w:lineRule="auto"/>
        <w:jc w:val="both"/>
        <w:rPr>
          <w:rFonts w:ascii="Rockwell" w:hAnsi="Rockwell" w:cs="ArialNarrow"/>
          <w:sz w:val="24"/>
          <w:szCs w:val="24"/>
        </w:rPr>
      </w:pPr>
    </w:p>
    <w:p w:rsidR="00DF04B2" w:rsidRPr="00422183" w:rsidRDefault="00DF04B2" w:rsidP="00516FB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Afin de soutenir le schéma de la croissance forte, inclusive et génératrice d'emplois, l'accroissement des investissements qu'elle implique conduirait à un déficit moyen de la balance commerciale de 8,1% du PIB qui s'explique par une augmentation relativement plus rapide des importations qui passeraient de 25,0% du PIB en 2016 à 28,6% en 2020, alors que le poids des exportations sur le PIB, lui fluctuera entre 18,5% et 21,3% du PIB.</w:t>
      </w:r>
    </w:p>
    <w:p w:rsidR="00DF04B2" w:rsidRPr="00422183" w:rsidRDefault="00DF04B2" w:rsidP="003A0820">
      <w:pPr>
        <w:spacing w:after="0" w:line="240" w:lineRule="auto"/>
        <w:jc w:val="both"/>
        <w:rPr>
          <w:rFonts w:ascii="Rockwell" w:hAnsi="Rockwell"/>
        </w:rPr>
      </w:pPr>
    </w:p>
    <w:p w:rsidR="00DF04B2" w:rsidRPr="00422183" w:rsidRDefault="00DF04B2" w:rsidP="00516FB0">
      <w:pPr>
        <w:pStyle w:val="PNDES3"/>
        <w:rPr>
          <w:rFonts w:ascii="Rockwell" w:hAnsi="Rockwell"/>
        </w:rPr>
      </w:pPr>
      <w:bookmarkStart w:id="278" w:name="_Toc455132755"/>
      <w:r w:rsidRPr="00422183">
        <w:rPr>
          <w:rFonts w:ascii="Rockwell" w:hAnsi="Rockwell"/>
        </w:rPr>
        <w:t>Impacts attendus du PNDES</w:t>
      </w:r>
      <w:bookmarkEnd w:id="278"/>
    </w:p>
    <w:p w:rsidR="00DF04B2" w:rsidRPr="00422183" w:rsidRDefault="00DF04B2" w:rsidP="00516FB0">
      <w:pPr>
        <w:spacing w:after="0" w:line="240" w:lineRule="auto"/>
        <w:jc w:val="both"/>
        <w:rPr>
          <w:rFonts w:ascii="Rockwell" w:hAnsi="Rockwell"/>
          <w:sz w:val="24"/>
        </w:rPr>
      </w:pPr>
    </w:p>
    <w:p w:rsidR="00FA2CD7" w:rsidRPr="00422183" w:rsidRDefault="00DF04B2" w:rsidP="003A0820">
      <w:pPr>
        <w:spacing w:after="0" w:line="240" w:lineRule="auto"/>
        <w:jc w:val="both"/>
        <w:rPr>
          <w:rFonts w:ascii="Rockwell" w:hAnsi="Rockwell"/>
          <w:sz w:val="24"/>
        </w:rPr>
      </w:pPr>
      <w:r w:rsidRPr="00422183">
        <w:rPr>
          <w:rFonts w:ascii="Rockwell" w:hAnsi="Rockwell"/>
          <w:sz w:val="24"/>
        </w:rPr>
        <w:t xml:space="preserve">Partant de l'objectif global et au regard du processus de transformation structurelle, les impacts attendus du PNDES sont : (i) l'amélioration de l'efficacité du mode de gouvernance nationale et locale, (ii) l'émergence d'une économie moderne, basée sur un secteur primaire évolutif et des industries de transformation et de services de plus en plus dynamiques, avec une croissance moyenne soutenue de 8,5%, créatrice d'au moins </w:t>
      </w:r>
      <w:r w:rsidR="00DB060C" w:rsidRPr="00422183">
        <w:rPr>
          <w:rFonts w:ascii="Rockwell" w:hAnsi="Rockwell"/>
          <w:sz w:val="24"/>
        </w:rPr>
        <w:t>130</w:t>
      </w:r>
      <w:r w:rsidRPr="00422183">
        <w:rPr>
          <w:rFonts w:ascii="Rockwell" w:hAnsi="Rockwell"/>
          <w:sz w:val="24"/>
        </w:rPr>
        <w:t> 000 emplois productifs par an, (iii) la baisse de l'incidence de pauvreté à moins de 35%, (iv) la maitrise de la croissance démographique à 2,7% à l'horizon 2020, (v) l'accélération du niveau de développement du capital humain et (vi) le changement des modes de production et de consommation s'inscrivant dans une perspective de développement durable.</w:t>
      </w:r>
      <w:r w:rsidR="00FA2CD7" w:rsidRPr="00422183">
        <w:rPr>
          <w:rFonts w:ascii="Rockwell" w:hAnsi="Rockwell"/>
          <w:sz w:val="24"/>
        </w:rPr>
        <w:t xml:space="preserve"> </w:t>
      </w:r>
    </w:p>
    <w:p w:rsidR="00FA2CD7" w:rsidRPr="00422183" w:rsidRDefault="00FA2CD7">
      <w:pPr>
        <w:rPr>
          <w:rFonts w:ascii="Rockwell" w:hAnsi="Rockwell"/>
          <w:sz w:val="24"/>
        </w:rPr>
      </w:pPr>
      <w:r w:rsidRPr="00422183">
        <w:rPr>
          <w:rFonts w:ascii="Rockwell" w:hAnsi="Rockwell"/>
          <w:sz w:val="24"/>
        </w:rPr>
        <w:br w:type="page"/>
      </w:r>
    </w:p>
    <w:p w:rsidR="00712F86" w:rsidRPr="00422183" w:rsidRDefault="00712F86" w:rsidP="003A0820">
      <w:pPr>
        <w:spacing w:after="0" w:line="240" w:lineRule="auto"/>
        <w:jc w:val="both"/>
        <w:rPr>
          <w:rFonts w:ascii="Rockwell" w:hAnsi="Rockwell"/>
          <w:sz w:val="24"/>
        </w:rPr>
      </w:pPr>
    </w:p>
    <w:p w:rsidR="000C32FF" w:rsidRPr="00422183" w:rsidRDefault="000C32FF" w:rsidP="003A0820">
      <w:pPr>
        <w:pStyle w:val="PNDES2"/>
      </w:pPr>
      <w:bookmarkStart w:id="279" w:name="_Toc452994181"/>
      <w:bookmarkStart w:id="280" w:name="_Toc452994629"/>
      <w:bookmarkStart w:id="281" w:name="_Toc452995069"/>
      <w:bookmarkStart w:id="282" w:name="_Toc453158157"/>
      <w:bookmarkStart w:id="283" w:name="_Toc453160770"/>
      <w:bookmarkStart w:id="284" w:name="_Toc453160940"/>
      <w:bookmarkStart w:id="285" w:name="_Toc455079236"/>
      <w:bookmarkStart w:id="286" w:name="_Toc455132756"/>
      <w:r w:rsidRPr="00422183">
        <w:t xml:space="preserve">Orientations stratégiques et effets attendus du </w:t>
      </w:r>
      <w:bookmarkEnd w:id="279"/>
      <w:bookmarkEnd w:id="280"/>
      <w:bookmarkEnd w:id="281"/>
      <w:bookmarkEnd w:id="282"/>
      <w:bookmarkEnd w:id="283"/>
      <w:bookmarkEnd w:id="284"/>
      <w:r w:rsidR="009A1A58" w:rsidRPr="00422183">
        <w:t>PNDES</w:t>
      </w:r>
      <w:bookmarkEnd w:id="285"/>
      <w:bookmarkEnd w:id="286"/>
    </w:p>
    <w:p w:rsidR="000C32FF" w:rsidRPr="00422183" w:rsidRDefault="000C32FF" w:rsidP="003A0820">
      <w:pPr>
        <w:spacing w:after="0" w:line="240" w:lineRule="auto"/>
        <w:jc w:val="both"/>
        <w:rPr>
          <w:rFonts w:ascii="Rockwell" w:hAnsi="Rockwell"/>
        </w:rPr>
      </w:pPr>
    </w:p>
    <w:p w:rsidR="000C32FF" w:rsidRPr="00422183" w:rsidRDefault="000C32FF" w:rsidP="00516FB0">
      <w:pPr>
        <w:pStyle w:val="PNDES3"/>
        <w:rPr>
          <w:rFonts w:ascii="Rockwell" w:hAnsi="Rockwell"/>
        </w:rPr>
      </w:pPr>
      <w:bookmarkStart w:id="287" w:name="_Toc452994182"/>
      <w:bookmarkStart w:id="288" w:name="_Toc452994630"/>
      <w:bookmarkStart w:id="289" w:name="_Toc452995070"/>
      <w:bookmarkStart w:id="290" w:name="_Toc453160771"/>
      <w:bookmarkStart w:id="291" w:name="_Toc455132757"/>
      <w:r w:rsidRPr="00422183">
        <w:rPr>
          <w:rFonts w:ascii="Rockwell" w:hAnsi="Rockwell"/>
        </w:rPr>
        <w:t>Axes stratégiques</w:t>
      </w:r>
      <w:bookmarkEnd w:id="287"/>
      <w:bookmarkEnd w:id="288"/>
      <w:bookmarkEnd w:id="289"/>
      <w:bookmarkEnd w:id="290"/>
      <w:bookmarkEnd w:id="291"/>
    </w:p>
    <w:p w:rsidR="00C06165" w:rsidRPr="00422183" w:rsidRDefault="00C06165" w:rsidP="00516FB0">
      <w:pPr>
        <w:spacing w:after="0" w:line="240" w:lineRule="auto"/>
        <w:jc w:val="both"/>
        <w:rPr>
          <w:rFonts w:ascii="Rockwell" w:hAnsi="Rockwell"/>
          <w:sz w:val="24"/>
        </w:rPr>
      </w:pPr>
    </w:p>
    <w:p w:rsidR="00095A83" w:rsidRPr="00422183" w:rsidRDefault="000C32FF" w:rsidP="00516FB0">
      <w:pPr>
        <w:spacing w:after="0" w:line="240" w:lineRule="auto"/>
        <w:jc w:val="both"/>
        <w:rPr>
          <w:rFonts w:ascii="Rockwell" w:hAnsi="Rockwell"/>
          <w:sz w:val="24"/>
        </w:rPr>
      </w:pPr>
      <w:r w:rsidRPr="00422183">
        <w:rPr>
          <w:rFonts w:ascii="Rockwell" w:hAnsi="Rockwell"/>
          <w:sz w:val="24"/>
        </w:rPr>
        <w:t>L</w:t>
      </w:r>
      <w:r w:rsidR="006C72DE" w:rsidRPr="00422183">
        <w:rPr>
          <w:rFonts w:ascii="Rockwell" w:hAnsi="Rockwell"/>
          <w:sz w:val="24"/>
        </w:rPr>
        <w:t>'</w:t>
      </w:r>
      <w:r w:rsidRPr="00422183">
        <w:rPr>
          <w:rFonts w:ascii="Rockwell" w:hAnsi="Rockwell"/>
          <w:sz w:val="24"/>
        </w:rPr>
        <w:t xml:space="preserve">analyse diagnostique de la situation économique et sociale du Burkina Faso a mis en évidence trois préoccupations majeures qui sont : (i) la vulnérabilité du système </w:t>
      </w:r>
      <w:r w:rsidR="001B4787" w:rsidRPr="00422183">
        <w:rPr>
          <w:rFonts w:ascii="Rockwell" w:hAnsi="Rockwell"/>
          <w:sz w:val="24"/>
        </w:rPr>
        <w:t xml:space="preserve">productif </w:t>
      </w:r>
      <w:r w:rsidRPr="00422183">
        <w:rPr>
          <w:rFonts w:ascii="Rockwell" w:hAnsi="Rockwell"/>
          <w:sz w:val="24"/>
        </w:rPr>
        <w:t>national</w:t>
      </w:r>
      <w:r w:rsidR="006500A5" w:rsidRPr="00422183">
        <w:rPr>
          <w:rFonts w:ascii="Rockwell" w:hAnsi="Rockwell"/>
          <w:sz w:val="24"/>
        </w:rPr>
        <w:t>, avec un</w:t>
      </w:r>
      <w:r w:rsidRPr="00422183">
        <w:rPr>
          <w:rFonts w:ascii="Rockwell" w:hAnsi="Rockwell"/>
          <w:sz w:val="24"/>
        </w:rPr>
        <w:t xml:space="preserve"> caractère peu inclusif et faiblement créateur d</w:t>
      </w:r>
      <w:r w:rsidR="006C72DE" w:rsidRPr="00422183">
        <w:rPr>
          <w:rFonts w:ascii="Rockwell" w:hAnsi="Rockwell"/>
          <w:sz w:val="24"/>
        </w:rPr>
        <w:t>'</w:t>
      </w:r>
      <w:r w:rsidRPr="00422183">
        <w:rPr>
          <w:rFonts w:ascii="Rockwell" w:hAnsi="Rockwell"/>
          <w:sz w:val="24"/>
        </w:rPr>
        <w:t>emplois producti</w:t>
      </w:r>
      <w:r w:rsidR="009F572B" w:rsidRPr="00422183">
        <w:rPr>
          <w:rFonts w:ascii="Rockwell" w:hAnsi="Rockwell"/>
          <w:sz w:val="24"/>
        </w:rPr>
        <w:t>fs,</w:t>
      </w:r>
      <w:r w:rsidRPr="00422183">
        <w:rPr>
          <w:rFonts w:ascii="Rockwell" w:hAnsi="Rockwell"/>
          <w:sz w:val="24"/>
        </w:rPr>
        <w:t xml:space="preserve"> (ii) le sous-développement et l</w:t>
      </w:r>
      <w:r w:rsidR="006C72DE" w:rsidRPr="00422183">
        <w:rPr>
          <w:rFonts w:ascii="Rockwell" w:hAnsi="Rockwell"/>
          <w:sz w:val="24"/>
        </w:rPr>
        <w:t>'</w:t>
      </w:r>
      <w:r w:rsidRPr="00422183">
        <w:rPr>
          <w:rFonts w:ascii="Rockwell" w:hAnsi="Rockwell"/>
          <w:sz w:val="24"/>
        </w:rPr>
        <w:t>inadéquation du capital humain aux besoins de l</w:t>
      </w:r>
      <w:r w:rsidR="006C72DE" w:rsidRPr="00422183">
        <w:rPr>
          <w:rFonts w:ascii="Rockwell" w:hAnsi="Rockwell"/>
          <w:sz w:val="24"/>
        </w:rPr>
        <w:t>'</w:t>
      </w:r>
      <w:r w:rsidR="009F572B" w:rsidRPr="00422183">
        <w:rPr>
          <w:rFonts w:ascii="Rockwell" w:hAnsi="Rockwell"/>
          <w:sz w:val="24"/>
        </w:rPr>
        <w:t>économie,</w:t>
      </w:r>
      <w:r w:rsidRPr="00422183">
        <w:rPr>
          <w:rFonts w:ascii="Rockwell" w:hAnsi="Rockwell"/>
          <w:sz w:val="24"/>
        </w:rPr>
        <w:t xml:space="preserve"> (iii) la faible performance</w:t>
      </w:r>
      <w:r w:rsidR="006500A5" w:rsidRPr="00422183">
        <w:rPr>
          <w:rFonts w:ascii="Rockwell" w:hAnsi="Rockwell"/>
          <w:sz w:val="24"/>
        </w:rPr>
        <w:t xml:space="preserve"> en matière</w:t>
      </w:r>
      <w:r w:rsidRPr="00422183">
        <w:rPr>
          <w:rFonts w:ascii="Rockwell" w:hAnsi="Rockwell"/>
          <w:sz w:val="24"/>
        </w:rPr>
        <w:t xml:space="preserve"> de gouvernance</w:t>
      </w:r>
      <w:r w:rsidR="009F572B" w:rsidRPr="00422183">
        <w:rPr>
          <w:rFonts w:ascii="Rockwell" w:hAnsi="Rockwell"/>
          <w:sz w:val="24"/>
        </w:rPr>
        <w:t>s</w:t>
      </w:r>
      <w:r w:rsidRPr="00422183">
        <w:rPr>
          <w:rFonts w:ascii="Rockwell" w:hAnsi="Rockwell"/>
          <w:sz w:val="24"/>
        </w:rPr>
        <w:t xml:space="preserve"> politique, administrative, économique et locale qui freine les efforts de développement économique et soci</w:t>
      </w:r>
      <w:r w:rsidR="00095A83" w:rsidRPr="00422183">
        <w:rPr>
          <w:rFonts w:ascii="Rockwell" w:hAnsi="Rockwell"/>
          <w:sz w:val="24"/>
        </w:rPr>
        <w:t>al.</w:t>
      </w:r>
    </w:p>
    <w:p w:rsidR="00095A83" w:rsidRPr="00422183" w:rsidRDefault="00095A83" w:rsidP="003A0820">
      <w:pPr>
        <w:spacing w:after="0" w:line="240" w:lineRule="auto"/>
        <w:jc w:val="both"/>
        <w:rPr>
          <w:rFonts w:ascii="Rockwell" w:hAnsi="Rockwell"/>
          <w:sz w:val="24"/>
        </w:rPr>
      </w:pPr>
    </w:p>
    <w:p w:rsidR="00FA2CD7" w:rsidRPr="00422183" w:rsidRDefault="000C32FF" w:rsidP="003A0820">
      <w:pPr>
        <w:spacing w:after="0" w:line="240" w:lineRule="auto"/>
        <w:jc w:val="both"/>
        <w:rPr>
          <w:rFonts w:ascii="Rockwell" w:hAnsi="Rockwell"/>
          <w:sz w:val="24"/>
        </w:rPr>
      </w:pPr>
      <w:r w:rsidRPr="00422183">
        <w:rPr>
          <w:rFonts w:ascii="Rockwell" w:hAnsi="Rockwell"/>
          <w:sz w:val="24"/>
        </w:rPr>
        <w:t>Au regard de ces préoccupations, le</w:t>
      </w:r>
      <w:r w:rsidR="006500A5" w:rsidRPr="00422183">
        <w:rPr>
          <w:rFonts w:ascii="Rockwell" w:hAnsi="Rockwell"/>
          <w:sz w:val="24"/>
        </w:rPr>
        <w:t>s actions à mettre en œuvre dans le cadre du</w:t>
      </w:r>
      <w:r w:rsidRPr="00422183">
        <w:rPr>
          <w:rFonts w:ascii="Rockwell" w:hAnsi="Rockwell"/>
          <w:sz w:val="24"/>
        </w:rPr>
        <w:t xml:space="preserve"> PNDES </w:t>
      </w:r>
      <w:r w:rsidR="006500A5" w:rsidRPr="00422183">
        <w:rPr>
          <w:rFonts w:ascii="Rockwell" w:hAnsi="Rockwell"/>
          <w:sz w:val="24"/>
        </w:rPr>
        <w:t xml:space="preserve">pour réaliser la transformation </w:t>
      </w:r>
      <w:r w:rsidR="006D07CD" w:rsidRPr="00422183">
        <w:rPr>
          <w:rFonts w:ascii="Rockwell" w:hAnsi="Rockwell"/>
          <w:sz w:val="24"/>
        </w:rPr>
        <w:t>structurelle schématisée</w:t>
      </w:r>
      <w:r w:rsidR="00677F53" w:rsidRPr="00422183">
        <w:rPr>
          <w:rFonts w:ascii="Rockwell" w:hAnsi="Rockwell"/>
          <w:sz w:val="24"/>
        </w:rPr>
        <w:t xml:space="preserve"> dans le </w:t>
      </w:r>
      <w:r w:rsidR="009F572B" w:rsidRPr="00422183">
        <w:rPr>
          <w:rFonts w:ascii="Rockwell" w:hAnsi="Rockwell"/>
          <w:sz w:val="24"/>
        </w:rPr>
        <w:t>T</w:t>
      </w:r>
      <w:r w:rsidR="00677F53" w:rsidRPr="00422183">
        <w:rPr>
          <w:rFonts w:ascii="Rockwell" w:hAnsi="Rockwell"/>
          <w:sz w:val="24"/>
        </w:rPr>
        <w:t>ableau 1</w:t>
      </w:r>
      <w:r w:rsidR="006500A5" w:rsidRPr="00422183">
        <w:rPr>
          <w:rFonts w:ascii="Rockwell" w:hAnsi="Rockwell"/>
          <w:sz w:val="24"/>
        </w:rPr>
        <w:t>, reposent</w:t>
      </w:r>
      <w:r w:rsidR="00677F53" w:rsidRPr="00422183">
        <w:rPr>
          <w:rFonts w:ascii="Rockwell" w:hAnsi="Rockwell"/>
          <w:sz w:val="24"/>
        </w:rPr>
        <w:t xml:space="preserve"> </w:t>
      </w:r>
      <w:r w:rsidR="006500A5" w:rsidRPr="00422183">
        <w:rPr>
          <w:rFonts w:ascii="Rockwell" w:hAnsi="Rockwell"/>
          <w:sz w:val="24"/>
        </w:rPr>
        <w:t xml:space="preserve">sur </w:t>
      </w:r>
      <w:r w:rsidRPr="00422183">
        <w:rPr>
          <w:rFonts w:ascii="Rockwell" w:hAnsi="Rockwell"/>
          <w:sz w:val="24"/>
        </w:rPr>
        <w:t>trois grands axes stratégiques</w:t>
      </w:r>
      <w:r w:rsidR="006500A5" w:rsidRPr="00422183">
        <w:rPr>
          <w:rFonts w:ascii="Rockwell" w:hAnsi="Rockwell"/>
          <w:sz w:val="24"/>
        </w:rPr>
        <w:t>, à savoir</w:t>
      </w:r>
      <w:r w:rsidR="00CC1D3A" w:rsidRPr="00422183">
        <w:rPr>
          <w:rFonts w:ascii="Rockwell" w:hAnsi="Rockwell"/>
          <w:sz w:val="24"/>
        </w:rPr>
        <w:t xml:space="preserve"> </w:t>
      </w:r>
    </w:p>
    <w:p w:rsidR="00FA2CD7" w:rsidRPr="00422183" w:rsidRDefault="00CC1D3A" w:rsidP="00FA2CD7">
      <w:pPr>
        <w:pStyle w:val="Paragraphedeliste"/>
        <w:numPr>
          <w:ilvl w:val="0"/>
          <w:numId w:val="10"/>
        </w:numPr>
        <w:spacing w:after="0" w:line="240" w:lineRule="auto"/>
        <w:jc w:val="both"/>
        <w:rPr>
          <w:rFonts w:ascii="Rockwell" w:hAnsi="Rockwell"/>
          <w:sz w:val="24"/>
        </w:rPr>
      </w:pPr>
      <w:r w:rsidRPr="00422183">
        <w:rPr>
          <w:rFonts w:ascii="Rockwell" w:hAnsi="Rockwell"/>
          <w:i/>
          <w:sz w:val="24"/>
        </w:rPr>
        <w:t>Axe 1 :</w:t>
      </w:r>
      <w:r w:rsidR="009F572B" w:rsidRPr="00422183">
        <w:rPr>
          <w:rFonts w:ascii="Rockwell" w:hAnsi="Rockwell"/>
          <w:i/>
          <w:sz w:val="24"/>
        </w:rPr>
        <w:t xml:space="preserve"> ré</w:t>
      </w:r>
      <w:r w:rsidR="00715C14" w:rsidRPr="00422183">
        <w:rPr>
          <w:rFonts w:ascii="Rockwell" w:hAnsi="Rockwell"/>
          <w:i/>
          <w:sz w:val="24"/>
        </w:rPr>
        <w:t>former les institutions et moderniser l</w:t>
      </w:r>
      <w:r w:rsidR="006C72DE" w:rsidRPr="00422183">
        <w:rPr>
          <w:rFonts w:ascii="Rockwell" w:hAnsi="Rockwell"/>
          <w:i/>
          <w:sz w:val="24"/>
        </w:rPr>
        <w:t>'</w:t>
      </w:r>
      <w:r w:rsidR="00715C14" w:rsidRPr="00422183">
        <w:rPr>
          <w:rFonts w:ascii="Rockwell" w:hAnsi="Rockwell"/>
          <w:i/>
          <w:sz w:val="24"/>
        </w:rPr>
        <w:t>administration</w:t>
      </w:r>
      <w:r w:rsidR="00FA2CD7" w:rsidRPr="00422183">
        <w:rPr>
          <w:rFonts w:ascii="Rockwell" w:hAnsi="Rockwell"/>
          <w:i/>
          <w:sz w:val="24"/>
        </w:rPr>
        <w:t> </w:t>
      </w:r>
      <w:r w:rsidR="00FA2CD7" w:rsidRPr="00422183">
        <w:rPr>
          <w:rFonts w:ascii="Rockwell" w:hAnsi="Rockwell"/>
          <w:sz w:val="24"/>
        </w:rPr>
        <w:t>;</w:t>
      </w:r>
    </w:p>
    <w:p w:rsidR="00FA2CD7" w:rsidRPr="00422183" w:rsidRDefault="009F572B" w:rsidP="00FA2CD7">
      <w:pPr>
        <w:pStyle w:val="Paragraphedeliste"/>
        <w:numPr>
          <w:ilvl w:val="0"/>
          <w:numId w:val="10"/>
        </w:numPr>
        <w:spacing w:after="0" w:line="240" w:lineRule="auto"/>
        <w:jc w:val="both"/>
        <w:rPr>
          <w:rFonts w:ascii="Rockwell" w:hAnsi="Rockwell"/>
          <w:sz w:val="24"/>
        </w:rPr>
      </w:pPr>
      <w:r w:rsidRPr="00422183">
        <w:rPr>
          <w:rFonts w:ascii="Rockwell" w:hAnsi="Rockwell"/>
          <w:sz w:val="24"/>
        </w:rPr>
        <w:t xml:space="preserve"> </w:t>
      </w:r>
      <w:r w:rsidR="00CC1D3A" w:rsidRPr="00422183">
        <w:rPr>
          <w:rFonts w:ascii="Rockwell" w:hAnsi="Rockwell"/>
          <w:i/>
          <w:sz w:val="24"/>
        </w:rPr>
        <w:t>Axe 2 :</w:t>
      </w:r>
      <w:r w:rsidRPr="00422183">
        <w:rPr>
          <w:rFonts w:ascii="Rockwell" w:hAnsi="Rockwell"/>
          <w:i/>
          <w:sz w:val="24"/>
        </w:rPr>
        <w:t xml:space="preserve"> </w:t>
      </w:r>
      <w:r w:rsidR="00210F12" w:rsidRPr="00422183">
        <w:rPr>
          <w:rFonts w:ascii="Rockwell" w:hAnsi="Rockwell"/>
          <w:i/>
          <w:sz w:val="24"/>
        </w:rPr>
        <w:t>d</w:t>
      </w:r>
      <w:r w:rsidR="00175A27" w:rsidRPr="00422183">
        <w:rPr>
          <w:rFonts w:ascii="Rockwell" w:hAnsi="Rockwell"/>
          <w:i/>
          <w:sz w:val="24"/>
        </w:rPr>
        <w:t>évelopper le capital humain</w:t>
      </w:r>
      <w:r w:rsidR="00CC1D3A" w:rsidRPr="00422183">
        <w:rPr>
          <w:rFonts w:ascii="Rockwell" w:hAnsi="Rockwell"/>
          <w:sz w:val="24"/>
        </w:rPr>
        <w:t xml:space="preserve"> et </w:t>
      </w:r>
    </w:p>
    <w:p w:rsidR="000C32FF" w:rsidRPr="00422183" w:rsidRDefault="00CC1D3A" w:rsidP="00FA2CD7">
      <w:pPr>
        <w:pStyle w:val="Paragraphedeliste"/>
        <w:numPr>
          <w:ilvl w:val="0"/>
          <w:numId w:val="10"/>
        </w:numPr>
        <w:spacing w:after="0" w:line="240" w:lineRule="auto"/>
        <w:jc w:val="both"/>
        <w:rPr>
          <w:rFonts w:ascii="Rockwell" w:hAnsi="Rockwell"/>
          <w:sz w:val="24"/>
        </w:rPr>
      </w:pPr>
      <w:r w:rsidRPr="00422183">
        <w:rPr>
          <w:rFonts w:ascii="Rockwell" w:hAnsi="Rockwell"/>
          <w:i/>
          <w:sz w:val="24"/>
        </w:rPr>
        <w:t>Axe 3 :</w:t>
      </w:r>
      <w:r w:rsidR="009F572B" w:rsidRPr="00422183">
        <w:rPr>
          <w:rFonts w:ascii="Rockwell" w:hAnsi="Rockwell"/>
          <w:i/>
          <w:sz w:val="24"/>
        </w:rPr>
        <w:t xml:space="preserve"> </w:t>
      </w:r>
      <w:r w:rsidR="00210F12" w:rsidRPr="00422183">
        <w:rPr>
          <w:rFonts w:ascii="Rockwell" w:hAnsi="Rockwell"/>
          <w:i/>
          <w:sz w:val="24"/>
        </w:rPr>
        <w:t>d</w:t>
      </w:r>
      <w:r w:rsidR="000C32FF" w:rsidRPr="00422183">
        <w:rPr>
          <w:rFonts w:ascii="Rockwell" w:hAnsi="Rockwell"/>
          <w:i/>
          <w:sz w:val="24"/>
        </w:rPr>
        <w:t xml:space="preserve">ynamiser les secteurs porteurs pour </w:t>
      </w:r>
      <w:r w:rsidR="00715C14" w:rsidRPr="00422183">
        <w:rPr>
          <w:rFonts w:ascii="Rockwell" w:hAnsi="Rockwell"/>
          <w:i/>
          <w:sz w:val="24"/>
        </w:rPr>
        <w:t>l</w:t>
      </w:r>
      <w:r w:rsidR="006C72DE" w:rsidRPr="00422183">
        <w:rPr>
          <w:rFonts w:ascii="Rockwell" w:hAnsi="Rockwell"/>
          <w:i/>
          <w:sz w:val="24"/>
        </w:rPr>
        <w:t>'</w:t>
      </w:r>
      <w:r w:rsidR="00715C14" w:rsidRPr="00422183">
        <w:rPr>
          <w:rFonts w:ascii="Rockwell" w:hAnsi="Rockwell"/>
          <w:i/>
          <w:sz w:val="24"/>
        </w:rPr>
        <w:t>économie</w:t>
      </w:r>
      <w:r w:rsidR="000C32FF" w:rsidRPr="00422183">
        <w:rPr>
          <w:rFonts w:ascii="Rockwell" w:hAnsi="Rockwell"/>
          <w:i/>
          <w:sz w:val="24"/>
        </w:rPr>
        <w:t xml:space="preserve"> et l</w:t>
      </w:r>
      <w:r w:rsidR="00715C14" w:rsidRPr="00422183">
        <w:rPr>
          <w:rFonts w:ascii="Rockwell" w:hAnsi="Rockwell"/>
          <w:i/>
          <w:sz w:val="24"/>
        </w:rPr>
        <w:t xml:space="preserve">es </w:t>
      </w:r>
      <w:r w:rsidR="000C32FF" w:rsidRPr="00422183">
        <w:rPr>
          <w:rFonts w:ascii="Rockwell" w:hAnsi="Rockwell"/>
          <w:i/>
          <w:sz w:val="24"/>
        </w:rPr>
        <w:t>emploi</w:t>
      </w:r>
      <w:r w:rsidR="00715C14" w:rsidRPr="00422183">
        <w:rPr>
          <w:rFonts w:ascii="Rockwell" w:hAnsi="Rockwell"/>
          <w:i/>
          <w:sz w:val="24"/>
        </w:rPr>
        <w:t>s</w:t>
      </w:r>
      <w:r w:rsidR="000C32FF" w:rsidRPr="00422183">
        <w:rPr>
          <w:rFonts w:ascii="Rockwell" w:hAnsi="Rockwell"/>
          <w:sz w:val="24"/>
        </w:rPr>
        <w:t>.</w:t>
      </w:r>
    </w:p>
    <w:p w:rsidR="000C32FF" w:rsidRPr="00422183" w:rsidRDefault="000C32FF" w:rsidP="003A0820">
      <w:pPr>
        <w:spacing w:after="0" w:line="240" w:lineRule="auto"/>
        <w:jc w:val="both"/>
        <w:rPr>
          <w:rFonts w:ascii="Rockwell" w:hAnsi="Rockwell"/>
          <w:sz w:val="24"/>
        </w:rPr>
      </w:pPr>
    </w:p>
    <w:p w:rsidR="000C32FF" w:rsidRPr="00422183" w:rsidRDefault="000C32FF" w:rsidP="003A0820">
      <w:pPr>
        <w:pStyle w:val="PNDES3"/>
        <w:rPr>
          <w:rFonts w:ascii="Rockwell" w:hAnsi="Rockwell"/>
        </w:rPr>
      </w:pPr>
      <w:bookmarkStart w:id="292" w:name="_Toc452994183"/>
      <w:bookmarkStart w:id="293" w:name="_Toc452994631"/>
      <w:bookmarkStart w:id="294" w:name="_Toc452995071"/>
      <w:bookmarkStart w:id="295" w:name="_Toc453160772"/>
      <w:bookmarkStart w:id="296" w:name="_Toc455132758"/>
      <w:r w:rsidRPr="00422183">
        <w:rPr>
          <w:rFonts w:ascii="Rockwell" w:hAnsi="Rockwell"/>
        </w:rPr>
        <w:t xml:space="preserve">Les effets attendus du </w:t>
      </w:r>
      <w:r w:rsidR="00715C14" w:rsidRPr="00422183">
        <w:rPr>
          <w:rFonts w:ascii="Rockwell" w:hAnsi="Rockwell"/>
        </w:rPr>
        <w:t>PNDES</w:t>
      </w:r>
      <w:bookmarkEnd w:id="292"/>
      <w:bookmarkEnd w:id="293"/>
      <w:bookmarkEnd w:id="294"/>
      <w:bookmarkEnd w:id="295"/>
      <w:bookmarkEnd w:id="296"/>
    </w:p>
    <w:p w:rsidR="000C32FF" w:rsidRPr="00422183" w:rsidRDefault="000C32FF" w:rsidP="003A0820">
      <w:pPr>
        <w:spacing w:after="0" w:line="240" w:lineRule="auto"/>
        <w:jc w:val="both"/>
        <w:rPr>
          <w:rFonts w:ascii="Rockwell" w:hAnsi="Rockwell"/>
          <w:sz w:val="24"/>
        </w:rPr>
      </w:pPr>
    </w:p>
    <w:p w:rsidR="000C32FF" w:rsidRPr="00422183" w:rsidRDefault="000C32FF" w:rsidP="003A0820">
      <w:pPr>
        <w:spacing w:after="0" w:line="240" w:lineRule="auto"/>
        <w:jc w:val="both"/>
        <w:rPr>
          <w:rFonts w:ascii="Rockwell" w:hAnsi="Rockwell"/>
          <w:sz w:val="24"/>
        </w:rPr>
      </w:pPr>
      <w:r w:rsidRPr="00422183">
        <w:rPr>
          <w:rFonts w:ascii="Rockwell" w:hAnsi="Rockwell"/>
          <w:sz w:val="24"/>
        </w:rPr>
        <w:t xml:space="preserve">Pour atteindre les impacts escomptés </w:t>
      </w:r>
      <w:r w:rsidR="00717225" w:rsidRPr="00422183">
        <w:rPr>
          <w:rFonts w:ascii="Rockwell" w:hAnsi="Rockwell"/>
          <w:sz w:val="24"/>
        </w:rPr>
        <w:t>par axe stratégique, le PNDES se fixe</w:t>
      </w:r>
      <w:r w:rsidRPr="00422183">
        <w:rPr>
          <w:rFonts w:ascii="Rockwell" w:hAnsi="Rockwell"/>
          <w:sz w:val="24"/>
        </w:rPr>
        <w:t xml:space="preserve"> des résultats à réaliser à moyen terme (effets). Ainsi, conformément aux résultats du diagnostic, à la vision et aux orientations stratégiques ci-dessus déclinées, </w:t>
      </w:r>
      <w:r w:rsidR="000D6EA1" w:rsidRPr="00422183">
        <w:rPr>
          <w:rFonts w:ascii="Rockwell" w:hAnsi="Rockwell"/>
          <w:sz w:val="24"/>
        </w:rPr>
        <w:t>l</w:t>
      </w:r>
      <w:r w:rsidRPr="00422183">
        <w:rPr>
          <w:rFonts w:ascii="Rockwell" w:hAnsi="Rockwell"/>
          <w:sz w:val="24"/>
        </w:rPr>
        <w:t>es effets</w:t>
      </w:r>
      <w:r w:rsidR="000D6EA1" w:rsidRPr="00422183">
        <w:rPr>
          <w:rFonts w:ascii="Rockwell" w:hAnsi="Rockwell"/>
          <w:sz w:val="24"/>
        </w:rPr>
        <w:t xml:space="preserve"> </w:t>
      </w:r>
      <w:r w:rsidR="006D07CD" w:rsidRPr="00422183">
        <w:rPr>
          <w:rFonts w:ascii="Rockwell" w:hAnsi="Rockwell"/>
          <w:sz w:val="24"/>
        </w:rPr>
        <w:t>attendus sont</w:t>
      </w:r>
      <w:r w:rsidR="000D6EA1" w:rsidRPr="00422183">
        <w:rPr>
          <w:rFonts w:ascii="Rockwell" w:hAnsi="Rockwell"/>
          <w:sz w:val="24"/>
        </w:rPr>
        <w:t xml:space="preserve"> les </w:t>
      </w:r>
      <w:r w:rsidRPr="00422183">
        <w:rPr>
          <w:rFonts w:ascii="Rockwell" w:hAnsi="Rockwell"/>
          <w:sz w:val="24"/>
        </w:rPr>
        <w:t>suivants</w:t>
      </w:r>
      <w:r w:rsidR="00D93B4F" w:rsidRPr="00422183">
        <w:rPr>
          <w:rFonts w:ascii="Rockwell" w:hAnsi="Rockwell"/>
          <w:sz w:val="24"/>
        </w:rPr>
        <w:t>, par axe stratégique.</w:t>
      </w:r>
    </w:p>
    <w:p w:rsidR="00DB35EE" w:rsidRPr="00422183" w:rsidRDefault="00DB35EE" w:rsidP="003A0820">
      <w:pPr>
        <w:spacing w:after="0" w:line="240" w:lineRule="auto"/>
        <w:jc w:val="both"/>
        <w:rPr>
          <w:rFonts w:ascii="Rockwell" w:hAnsi="Rockwell"/>
          <w:sz w:val="24"/>
        </w:rPr>
      </w:pPr>
    </w:p>
    <w:p w:rsidR="00DB35EE" w:rsidRPr="00422183" w:rsidRDefault="00DB35EE" w:rsidP="004102F5">
      <w:pPr>
        <w:pStyle w:val="Paragraphedeliste"/>
        <w:numPr>
          <w:ilvl w:val="0"/>
          <w:numId w:val="5"/>
        </w:numPr>
        <w:spacing w:after="0" w:line="240" w:lineRule="auto"/>
        <w:ind w:left="142" w:hanging="142"/>
        <w:jc w:val="both"/>
        <w:rPr>
          <w:rFonts w:ascii="Rockwell" w:hAnsi="Rockwell"/>
          <w:b/>
          <w:sz w:val="24"/>
        </w:rPr>
      </w:pPr>
      <w:r w:rsidRPr="00422183">
        <w:rPr>
          <w:rFonts w:ascii="Rockwell" w:hAnsi="Rockwell"/>
          <w:b/>
          <w:sz w:val="24"/>
        </w:rPr>
        <w:t>Effets attendus de l'Axe 1 du PNDES : réformer les institutions et moderniser l'administration</w:t>
      </w:r>
    </w:p>
    <w:p w:rsidR="00DB35EE" w:rsidRPr="00422183" w:rsidRDefault="00DB35EE" w:rsidP="003A0820">
      <w:pPr>
        <w:spacing w:after="0" w:line="240" w:lineRule="auto"/>
        <w:ind w:left="709" w:hanging="567"/>
        <w:jc w:val="both"/>
        <w:rPr>
          <w:rFonts w:ascii="Rockwell" w:hAnsi="Rockwell"/>
          <w:sz w:val="24"/>
        </w:rPr>
      </w:pPr>
    </w:p>
    <w:p w:rsidR="00DB35EE" w:rsidRPr="00422183" w:rsidRDefault="005C72B9" w:rsidP="00E63BCA">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démocratie, les droits humains, la j</w:t>
      </w:r>
      <w:r w:rsidR="00051D99" w:rsidRPr="00422183">
        <w:rPr>
          <w:rFonts w:ascii="Rockwell" w:hAnsi="Rockwell"/>
          <w:sz w:val="24"/>
        </w:rPr>
        <w:t>ustice et la paix sont renforcé</w:t>
      </w:r>
      <w:r w:rsidRPr="00422183">
        <w:rPr>
          <w:rFonts w:ascii="Rockwell" w:hAnsi="Rockwell"/>
          <w:sz w:val="24"/>
        </w:rPr>
        <w:t>s</w:t>
      </w:r>
      <w:r w:rsidR="00051D99" w:rsidRPr="00422183">
        <w:rPr>
          <w:rFonts w:ascii="Rockwell" w:hAnsi="Rockwell"/>
          <w:sz w:val="24"/>
        </w:rPr>
        <w:t> ;</w:t>
      </w:r>
    </w:p>
    <w:p w:rsidR="00E63BCA"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sécurit</w:t>
      </w:r>
      <w:r w:rsidR="00051D99" w:rsidRPr="00422183">
        <w:rPr>
          <w:rFonts w:ascii="Rockwell" w:hAnsi="Rockwell"/>
          <w:sz w:val="24"/>
        </w:rPr>
        <w:t xml:space="preserve">é </w:t>
      </w:r>
      <w:r w:rsidR="00E63BCA" w:rsidRPr="00422183">
        <w:rPr>
          <w:rFonts w:ascii="Rockwell" w:hAnsi="Rockwell"/>
          <w:sz w:val="24"/>
        </w:rPr>
        <w:t xml:space="preserve">est renforcée ; </w:t>
      </w:r>
    </w:p>
    <w:p w:rsidR="00DB35EE" w:rsidRPr="00422183" w:rsidRDefault="00E63BCA"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w:t>
      </w:r>
      <w:r w:rsidR="00051D99" w:rsidRPr="00422183">
        <w:rPr>
          <w:rFonts w:ascii="Rockwell" w:hAnsi="Rockwell"/>
          <w:sz w:val="24"/>
        </w:rPr>
        <w:t xml:space="preserve"> défense </w:t>
      </w:r>
      <w:r w:rsidRPr="00422183">
        <w:rPr>
          <w:rFonts w:ascii="Rockwell" w:hAnsi="Rockwell"/>
          <w:sz w:val="24"/>
        </w:rPr>
        <w:t>est</w:t>
      </w:r>
      <w:r w:rsidR="00051D99" w:rsidRPr="00422183">
        <w:rPr>
          <w:rFonts w:ascii="Rockwell" w:hAnsi="Rockwell"/>
          <w:sz w:val="24"/>
        </w:rPr>
        <w:t xml:space="preserve"> r</w:t>
      </w:r>
      <w:r w:rsidRPr="00422183">
        <w:rPr>
          <w:rFonts w:ascii="Rockwell" w:hAnsi="Rockwell"/>
          <w:sz w:val="24"/>
        </w:rPr>
        <w:t>enforcée</w:t>
      </w:r>
      <w:r w:rsidR="00051D99"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à l’informa</w:t>
      </w:r>
      <w:r w:rsidR="00051D99" w:rsidRPr="00422183">
        <w:rPr>
          <w:rFonts w:ascii="Rockwell" w:hAnsi="Rockwell"/>
          <w:sz w:val="24"/>
        </w:rPr>
        <w:t>tion juste est assuré pour tous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Les coopérations régionale et internationale sont amé</w:t>
      </w:r>
      <w:r w:rsidR="00051D99" w:rsidRPr="00422183">
        <w:rPr>
          <w:rFonts w:ascii="Rockwell" w:hAnsi="Rockwell"/>
          <w:sz w:val="24"/>
        </w:rPr>
        <w:t>liorées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L’administration publique est efficace et efficiente</w:t>
      </w:r>
      <w:r w:rsidR="00051D99"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 système de redevabilité est développé à tous les niveaux</w:t>
      </w:r>
      <w:r w:rsidR="00051D99"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planification, la gestion et le financement du développement sont efficaces</w:t>
      </w:r>
      <w:r w:rsidR="00051D99"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L’environnement des affaires est plus incitatif et le secteur privé renforcé dans ses capacités d’initiatives et de gestion</w:t>
      </w:r>
      <w:r w:rsidR="00051D99"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L'efficacité de la décentralisation et de la gou</w:t>
      </w:r>
      <w:r w:rsidR="00051D99" w:rsidRPr="00422183">
        <w:rPr>
          <w:rFonts w:ascii="Rockwell" w:hAnsi="Rockwell"/>
          <w:sz w:val="24"/>
        </w:rPr>
        <w:t>vernance locale s'est améliorée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Les économies locales sont dynamisées et les disparités régionales sont réduites notamment à travers un amén</w:t>
      </w:r>
      <w:r w:rsidR="00051D99" w:rsidRPr="00422183">
        <w:rPr>
          <w:rFonts w:ascii="Rockwell" w:hAnsi="Rockwell"/>
          <w:sz w:val="24"/>
        </w:rPr>
        <w:t>agement du territoire efficace.</w:t>
      </w:r>
    </w:p>
    <w:p w:rsidR="00DB35EE" w:rsidRPr="00422183" w:rsidRDefault="00DB35EE" w:rsidP="003A0820">
      <w:pPr>
        <w:pStyle w:val="Paragraphedeliste"/>
        <w:spacing w:after="0" w:line="240" w:lineRule="auto"/>
        <w:ind w:left="142"/>
        <w:jc w:val="both"/>
        <w:rPr>
          <w:rFonts w:ascii="Rockwell" w:hAnsi="Rockwell"/>
          <w:sz w:val="24"/>
        </w:rPr>
      </w:pPr>
    </w:p>
    <w:p w:rsidR="00DB35EE" w:rsidRPr="00422183" w:rsidRDefault="00DB35EE" w:rsidP="003A0820">
      <w:pPr>
        <w:spacing w:after="0" w:line="240" w:lineRule="auto"/>
        <w:jc w:val="both"/>
        <w:rPr>
          <w:rFonts w:ascii="Rockwell" w:hAnsi="Rockwell"/>
          <w:sz w:val="24"/>
        </w:rPr>
      </w:pPr>
    </w:p>
    <w:p w:rsidR="00DB35EE" w:rsidRPr="00422183" w:rsidRDefault="00DB35EE" w:rsidP="004102F5">
      <w:pPr>
        <w:pStyle w:val="Paragraphedeliste"/>
        <w:numPr>
          <w:ilvl w:val="0"/>
          <w:numId w:val="5"/>
        </w:numPr>
        <w:spacing w:after="0" w:line="240" w:lineRule="auto"/>
        <w:ind w:left="142" w:hanging="142"/>
        <w:jc w:val="both"/>
        <w:rPr>
          <w:rFonts w:ascii="Rockwell" w:hAnsi="Rockwell"/>
          <w:b/>
          <w:sz w:val="24"/>
        </w:rPr>
      </w:pPr>
      <w:r w:rsidRPr="00422183">
        <w:rPr>
          <w:rFonts w:ascii="Rockwell" w:hAnsi="Rockwell"/>
          <w:b/>
          <w:sz w:val="24"/>
        </w:rPr>
        <w:t>Effets attendus de l'Axe 2 : développer le capital humain</w:t>
      </w:r>
    </w:p>
    <w:p w:rsidR="00DB35EE" w:rsidRPr="00422183" w:rsidRDefault="00DB35EE" w:rsidP="003A0820">
      <w:pPr>
        <w:spacing w:after="0" w:line="240" w:lineRule="auto"/>
        <w:jc w:val="both"/>
        <w:rPr>
          <w:rFonts w:ascii="Rockwell" w:hAnsi="Rockwell"/>
          <w:sz w:val="24"/>
        </w:rPr>
      </w:pP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aux services de sant</w:t>
      </w:r>
      <w:r w:rsidR="00D631A2" w:rsidRPr="00422183">
        <w:rPr>
          <w:rFonts w:ascii="Rockwell" w:hAnsi="Rockwell"/>
          <w:sz w:val="24"/>
        </w:rPr>
        <w:t>é de qualité est garanti à tous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L’état nutritionnel de la population en particulier, les fem</w:t>
      </w:r>
      <w:r w:rsidR="00BE2FFD" w:rsidRPr="00422183">
        <w:rPr>
          <w:rFonts w:ascii="Rockwell" w:hAnsi="Rockwell"/>
          <w:sz w:val="24"/>
        </w:rPr>
        <w:t>mes et les enfants est amélioré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 processus d’accélération de la transition démographique est réellement mis en mouvement</w:t>
      </w:r>
      <w:r w:rsidR="00BE2FFD" w:rsidRPr="00422183">
        <w:rPr>
          <w:rFonts w:ascii="Rockwell" w:hAnsi="Rockwell"/>
          <w:sz w:val="24"/>
        </w:rPr>
        <w:t> ;</w:t>
      </w:r>
      <w:r w:rsidRPr="00422183">
        <w:rPr>
          <w:rFonts w:ascii="Rockwell" w:hAnsi="Rockwell"/>
          <w:sz w:val="24"/>
        </w:rPr>
        <w:t xml:space="preserv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de tous à une éducation de qualité est amélioré</w:t>
      </w:r>
      <w:r w:rsidR="00BE2FFD" w:rsidRPr="00422183">
        <w:rPr>
          <w:rFonts w:ascii="Rockwell" w:hAnsi="Rockwell"/>
          <w:sz w:val="24"/>
        </w:rPr>
        <w:t> ;</w:t>
      </w:r>
      <w:r w:rsidRPr="00422183">
        <w:rPr>
          <w:rFonts w:ascii="Rockwell" w:hAnsi="Rockwell"/>
          <w:sz w:val="24"/>
        </w:rPr>
        <w:t xml:space="preserv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disponibilité et l'employabilité des ressources humaines sont améliorées</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à un enseignement supérieur de qualité adapté au</w:t>
      </w:r>
      <w:r w:rsidR="004E066B" w:rsidRPr="00422183">
        <w:rPr>
          <w:rFonts w:ascii="Rockwell" w:hAnsi="Rockwell"/>
          <w:sz w:val="24"/>
        </w:rPr>
        <w:t>x</w:t>
      </w:r>
      <w:r w:rsidRPr="00422183">
        <w:rPr>
          <w:rFonts w:ascii="Rockwell" w:hAnsi="Rockwell"/>
          <w:sz w:val="24"/>
        </w:rPr>
        <w:t xml:space="preserve"> besoin</w:t>
      </w:r>
      <w:r w:rsidR="004E066B" w:rsidRPr="00422183">
        <w:rPr>
          <w:rFonts w:ascii="Rockwell" w:hAnsi="Rockwell"/>
          <w:sz w:val="24"/>
        </w:rPr>
        <w:t>s</w:t>
      </w:r>
      <w:r w:rsidRPr="00422183">
        <w:rPr>
          <w:rFonts w:ascii="Rockwell" w:hAnsi="Rockwell"/>
          <w:sz w:val="24"/>
        </w:rPr>
        <w:t xml:space="preserve"> de la transform</w:t>
      </w:r>
      <w:r w:rsidR="00BE2FFD" w:rsidRPr="00422183">
        <w:rPr>
          <w:rFonts w:ascii="Rockwell" w:hAnsi="Rockwell"/>
          <w:sz w:val="24"/>
        </w:rPr>
        <w:t xml:space="preserve">ation structurelle </w:t>
      </w:r>
      <w:r w:rsidR="00E63BCA" w:rsidRPr="00422183">
        <w:rPr>
          <w:rFonts w:ascii="Rockwell" w:hAnsi="Rockwell"/>
          <w:sz w:val="24"/>
        </w:rPr>
        <w:t xml:space="preserve">de l’économie </w:t>
      </w:r>
      <w:r w:rsidR="00BE2FFD" w:rsidRPr="00422183">
        <w:rPr>
          <w:rFonts w:ascii="Rockwell" w:hAnsi="Rockwell"/>
          <w:sz w:val="24"/>
        </w:rPr>
        <w:t>est amélioré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recherche et l'innovation sont davantage au service de la transforma</w:t>
      </w:r>
      <w:r w:rsidR="00BE2FFD" w:rsidRPr="00422183">
        <w:rPr>
          <w:rFonts w:ascii="Rockwell" w:hAnsi="Rockwell"/>
          <w:sz w:val="24"/>
        </w:rPr>
        <w:t>tion structurelle de l'économie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L'emploi décent et la protection sociale sont garantis à tous, y comp</w:t>
      </w:r>
      <w:r w:rsidR="00BE2FFD" w:rsidRPr="00422183">
        <w:rPr>
          <w:rFonts w:ascii="Rockwell" w:hAnsi="Rockwell"/>
          <w:sz w:val="24"/>
        </w:rPr>
        <w:t>ris les jeunes et les femmes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Les inégalités sociales et de genre sont réduites</w:t>
      </w:r>
      <w:r w:rsidR="00E63BCA" w:rsidRPr="00422183">
        <w:rPr>
          <w:rFonts w:ascii="Rockwell" w:hAnsi="Rockwell"/>
          <w:sz w:val="24"/>
        </w:rPr>
        <w:t xml:space="preserve"> et la femme promue comme acteur dynamique de développement</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de tous à un cadre de vie décent, à l'eau et à l'assain</w:t>
      </w:r>
      <w:r w:rsidR="00BE2FFD" w:rsidRPr="00422183">
        <w:rPr>
          <w:rFonts w:ascii="Rockwell" w:hAnsi="Rockwell"/>
          <w:sz w:val="24"/>
        </w:rPr>
        <w:t>issement de qualité est garanti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 xml:space="preserve">L’accès </w:t>
      </w:r>
      <w:r w:rsidR="006B4F3A" w:rsidRPr="00422183">
        <w:rPr>
          <w:rFonts w:ascii="Rockwell" w:hAnsi="Rockwell"/>
          <w:sz w:val="24"/>
        </w:rPr>
        <w:t>aux services</w:t>
      </w:r>
      <w:r w:rsidRPr="00422183">
        <w:rPr>
          <w:rFonts w:ascii="Rockwell" w:hAnsi="Rockwell"/>
          <w:sz w:val="24"/>
        </w:rPr>
        <w:t xml:space="preserve"> énergétiques de qualité est garanti</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croissance urbaine</w:t>
      </w:r>
      <w:r w:rsidR="00BE2FFD" w:rsidRPr="00422183">
        <w:rPr>
          <w:rFonts w:ascii="Rockwell" w:hAnsi="Rockwell"/>
          <w:sz w:val="24"/>
        </w:rPr>
        <w:t xml:space="preserve"> est planifiée et maitrisée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L’accès à des logements décents et aux bâtiments publics est assuré pour tous.</w:t>
      </w:r>
    </w:p>
    <w:p w:rsidR="00DB35EE" w:rsidRPr="00422183" w:rsidRDefault="00DB35EE" w:rsidP="003A0820">
      <w:pPr>
        <w:spacing w:after="0" w:line="240" w:lineRule="auto"/>
        <w:jc w:val="both"/>
        <w:rPr>
          <w:rFonts w:ascii="Rockwell" w:hAnsi="Rockwell"/>
          <w:sz w:val="24"/>
        </w:rPr>
      </w:pPr>
    </w:p>
    <w:p w:rsidR="00DB35EE" w:rsidRPr="00422183" w:rsidRDefault="00DB35EE" w:rsidP="004102F5">
      <w:pPr>
        <w:pStyle w:val="Paragraphedeliste"/>
        <w:numPr>
          <w:ilvl w:val="0"/>
          <w:numId w:val="5"/>
        </w:numPr>
        <w:spacing w:after="0" w:line="240" w:lineRule="auto"/>
        <w:ind w:left="142" w:hanging="142"/>
        <w:jc w:val="both"/>
        <w:rPr>
          <w:rFonts w:ascii="Rockwell" w:hAnsi="Rockwell"/>
          <w:b/>
          <w:sz w:val="24"/>
        </w:rPr>
      </w:pPr>
      <w:r w:rsidRPr="00422183">
        <w:rPr>
          <w:rFonts w:ascii="Rockwell" w:hAnsi="Rockwell"/>
          <w:b/>
          <w:sz w:val="24"/>
        </w:rPr>
        <w:t>Effets attendus de l'Axe 3 : dynamiser les secteurs porteurs pour l'économie et les emplois</w:t>
      </w:r>
    </w:p>
    <w:p w:rsidR="00DB35EE" w:rsidRPr="00422183" w:rsidRDefault="00DB35EE" w:rsidP="003A0820">
      <w:pPr>
        <w:spacing w:after="0" w:line="240" w:lineRule="auto"/>
        <w:jc w:val="both"/>
        <w:rPr>
          <w:rFonts w:ascii="Rockwell" w:hAnsi="Rockwell"/>
          <w:sz w:val="24"/>
        </w:rPr>
      </w:pP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 xml:space="preserve">Le secteur agricole contribue à la sécurité alimentaire, à l'emploi productif, </w:t>
      </w:r>
      <w:r w:rsidR="006B4F3A" w:rsidRPr="00422183">
        <w:rPr>
          <w:rFonts w:ascii="Rockwell" w:hAnsi="Rockwell"/>
          <w:sz w:val="24"/>
        </w:rPr>
        <w:t>à l’approvisionnement</w:t>
      </w:r>
      <w:r w:rsidRPr="00422183">
        <w:rPr>
          <w:rFonts w:ascii="Rockwell" w:hAnsi="Rockwell"/>
          <w:sz w:val="24"/>
        </w:rPr>
        <w:t xml:space="preserve"> de l'agro-industrie locale et est respectueux des pri</w:t>
      </w:r>
      <w:r w:rsidR="00BE2FFD" w:rsidRPr="00422183">
        <w:rPr>
          <w:rFonts w:ascii="Rockwell" w:hAnsi="Rockwell"/>
          <w:sz w:val="24"/>
        </w:rPr>
        <w:t>ncipes du développement durable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 secteur industriel et artisanal est davantage dynamique en matière de création de richesse, d’emploi</w:t>
      </w:r>
      <w:r w:rsidR="004E066B" w:rsidRPr="00422183">
        <w:rPr>
          <w:rFonts w:ascii="Rockwell" w:hAnsi="Rockwell"/>
          <w:sz w:val="24"/>
        </w:rPr>
        <w:t>s</w:t>
      </w:r>
      <w:r w:rsidRPr="00422183">
        <w:rPr>
          <w:rFonts w:ascii="Rockwell" w:hAnsi="Rockwell"/>
          <w:sz w:val="24"/>
        </w:rPr>
        <w:t xml:space="preserve"> et d’exportation</w:t>
      </w:r>
      <w:r w:rsidR="00BE2FFD" w:rsidRPr="00422183">
        <w:rPr>
          <w:rFonts w:ascii="Rockwell" w:hAnsi="Rockwell"/>
          <w:sz w:val="24"/>
        </w:rPr>
        <w:t> ;</w:t>
      </w:r>
      <w:r w:rsidRPr="00422183">
        <w:rPr>
          <w:rFonts w:ascii="Rockwell" w:hAnsi="Rockwell"/>
          <w:sz w:val="24"/>
        </w:rPr>
        <w:t xml:space="preserv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contribution des industries culturelles, touristiques et sportives à l’économie est améliorée</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jc w:val="both"/>
        <w:rPr>
          <w:rFonts w:ascii="Rockwell" w:hAnsi="Rockwell"/>
          <w:sz w:val="24"/>
        </w:rPr>
      </w:pPr>
      <w:r w:rsidRPr="00422183">
        <w:rPr>
          <w:rFonts w:ascii="Rockwell" w:hAnsi="Rockwell"/>
          <w:sz w:val="24"/>
        </w:rPr>
        <w:t xml:space="preserve">L’impact du secteur minier sur le reste de l’économie est </w:t>
      </w:r>
      <w:r w:rsidR="00826ED1" w:rsidRPr="00422183">
        <w:rPr>
          <w:rFonts w:ascii="Rockwell" w:hAnsi="Rockwell"/>
          <w:sz w:val="24"/>
        </w:rPr>
        <w:t>accru</w:t>
      </w:r>
      <w:r w:rsidR="00BE2FFD" w:rsidRPr="00422183">
        <w:rPr>
          <w:rFonts w:ascii="Rockwell" w:hAnsi="Rockwell"/>
          <w:sz w:val="24"/>
        </w:rPr>
        <w:t> ;</w:t>
      </w:r>
      <w:r w:rsidRPr="00422183">
        <w:rPr>
          <w:rFonts w:ascii="Rockwell" w:hAnsi="Rockwell"/>
          <w:sz w:val="24"/>
        </w:rPr>
        <w:t xml:space="preserv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 secteur tertiaire se formalise et est davantage dynamiqu</w:t>
      </w:r>
      <w:r w:rsidR="00BE2FFD" w:rsidRPr="00422183">
        <w:rPr>
          <w:rFonts w:ascii="Rockwell" w:hAnsi="Rockwell"/>
          <w:sz w:val="24"/>
        </w:rPr>
        <w:t>e et créateur d'emplois décents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mise en marché des produits nationaux est renforcée</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qualité, la fiabilité et l'accessibilité aux infrastructures sont accrues pour faciliter la transforma</w:t>
      </w:r>
      <w:r w:rsidR="00BE2FFD" w:rsidRPr="00422183">
        <w:rPr>
          <w:rFonts w:ascii="Rockwell" w:hAnsi="Rockwell"/>
          <w:sz w:val="24"/>
        </w:rPr>
        <w:t>tion structurelle de l'économie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La contribution des pôles de croissance</w:t>
      </w:r>
      <w:r w:rsidR="004E066B" w:rsidRPr="00422183">
        <w:rPr>
          <w:rFonts w:ascii="Rockwell" w:hAnsi="Rockwell"/>
          <w:sz w:val="24"/>
        </w:rPr>
        <w:t xml:space="preserve"> (agropoles, technopôles, zones d’économie spéciales)</w:t>
      </w:r>
      <w:r w:rsidRPr="00422183">
        <w:rPr>
          <w:rFonts w:ascii="Rockwell" w:hAnsi="Rockwell"/>
          <w:sz w:val="24"/>
        </w:rPr>
        <w:t xml:space="preserve"> à l’économie est accru</w:t>
      </w:r>
      <w:r w:rsidR="00BE2FFD" w:rsidRPr="00422183">
        <w:rPr>
          <w:rFonts w:ascii="Rockwell" w:hAnsi="Rockwell"/>
          <w:sz w:val="24"/>
        </w:rPr>
        <w:t>e ;</w:t>
      </w:r>
    </w:p>
    <w:p w:rsidR="00DB35EE" w:rsidRPr="00422183" w:rsidRDefault="004E066B"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L’environnement et l</w:t>
      </w:r>
      <w:r w:rsidR="00DB35EE" w:rsidRPr="00422183">
        <w:rPr>
          <w:rFonts w:ascii="Rockwell" w:hAnsi="Rockwell"/>
          <w:sz w:val="24"/>
        </w:rPr>
        <w:t xml:space="preserve">es ressources </w:t>
      </w:r>
      <w:r w:rsidRPr="00422183">
        <w:rPr>
          <w:rFonts w:ascii="Rockwell" w:hAnsi="Rockwell"/>
          <w:sz w:val="24"/>
        </w:rPr>
        <w:t xml:space="preserve">naturelles </w:t>
      </w:r>
      <w:r w:rsidR="00DB35EE" w:rsidRPr="00422183">
        <w:rPr>
          <w:rFonts w:ascii="Rockwell" w:hAnsi="Rockwell"/>
          <w:sz w:val="24"/>
        </w:rPr>
        <w:t xml:space="preserve">sont </w:t>
      </w:r>
      <w:r w:rsidRPr="00422183">
        <w:rPr>
          <w:rFonts w:ascii="Rockwell" w:hAnsi="Rockwell"/>
          <w:sz w:val="24"/>
        </w:rPr>
        <w:t>gérées</w:t>
      </w:r>
      <w:r w:rsidR="00DB35EE" w:rsidRPr="00422183">
        <w:rPr>
          <w:rFonts w:ascii="Rockwell" w:hAnsi="Rockwell"/>
          <w:sz w:val="24"/>
        </w:rPr>
        <w:t xml:space="preserve"> durablement</w:t>
      </w:r>
      <w:r w:rsidR="00BE2FFD" w:rsidRPr="00422183">
        <w:rPr>
          <w:rFonts w:ascii="Rockwell" w:hAnsi="Rockwell"/>
          <w:sz w:val="24"/>
        </w:rPr>
        <w:t> ;</w:t>
      </w:r>
    </w:p>
    <w:p w:rsidR="00DB35EE" w:rsidRPr="00422183" w:rsidRDefault="00DB35EE" w:rsidP="004102F5">
      <w:pPr>
        <w:pStyle w:val="Paragraphedeliste"/>
        <w:numPr>
          <w:ilvl w:val="0"/>
          <w:numId w:val="6"/>
        </w:numPr>
        <w:spacing w:after="0" w:line="240" w:lineRule="auto"/>
        <w:ind w:left="709" w:hanging="567"/>
        <w:jc w:val="both"/>
        <w:rPr>
          <w:rFonts w:ascii="Rockwell" w:hAnsi="Rockwell"/>
          <w:sz w:val="24"/>
        </w:rPr>
      </w:pPr>
      <w:r w:rsidRPr="00422183">
        <w:rPr>
          <w:rFonts w:ascii="Rockwell" w:hAnsi="Rockwell"/>
          <w:sz w:val="24"/>
        </w:rPr>
        <w:t xml:space="preserve">Les capacités d’atténuation et d’adaptation aux effets </w:t>
      </w:r>
      <w:r w:rsidR="00390851" w:rsidRPr="00422183">
        <w:rPr>
          <w:rFonts w:ascii="Rockwell" w:hAnsi="Rockwell"/>
          <w:sz w:val="24"/>
        </w:rPr>
        <w:t xml:space="preserve">néfastes </w:t>
      </w:r>
      <w:r w:rsidRPr="00422183">
        <w:rPr>
          <w:rFonts w:ascii="Rockwell" w:hAnsi="Rockwell"/>
          <w:sz w:val="24"/>
        </w:rPr>
        <w:t>du changement climatique sont renforcées</w:t>
      </w:r>
      <w:r w:rsidR="00390851" w:rsidRPr="00422183">
        <w:rPr>
          <w:rFonts w:ascii="Rockwell" w:hAnsi="Rockwell"/>
          <w:sz w:val="24"/>
        </w:rPr>
        <w:t xml:space="preserve"> dans une optique de transition vers</w:t>
      </w:r>
      <w:r w:rsidRPr="00422183">
        <w:rPr>
          <w:rFonts w:ascii="Rockwell" w:hAnsi="Rockwell"/>
          <w:sz w:val="24"/>
        </w:rPr>
        <w:t xml:space="preserve"> l’économie verte.</w:t>
      </w:r>
    </w:p>
    <w:p w:rsidR="00AB3137" w:rsidRPr="00422183" w:rsidRDefault="00AB3137" w:rsidP="003A0820">
      <w:pPr>
        <w:spacing w:after="0" w:line="240" w:lineRule="auto"/>
        <w:jc w:val="both"/>
        <w:rPr>
          <w:rFonts w:ascii="Rockwell" w:hAnsi="Rockwell"/>
          <w:sz w:val="24"/>
        </w:rPr>
      </w:pPr>
    </w:p>
    <w:p w:rsidR="00AB3137" w:rsidRPr="00422183" w:rsidRDefault="00AB3137" w:rsidP="003A0820">
      <w:pPr>
        <w:spacing w:after="0" w:line="240" w:lineRule="auto"/>
        <w:jc w:val="both"/>
        <w:rPr>
          <w:rFonts w:ascii="Rockwell" w:hAnsi="Rockwell"/>
          <w:sz w:val="24"/>
        </w:rPr>
      </w:pPr>
      <w:r w:rsidRPr="00422183">
        <w:rPr>
          <w:rFonts w:ascii="Rockwell" w:hAnsi="Rockwell"/>
          <w:sz w:val="24"/>
        </w:rPr>
        <w:t xml:space="preserve">Ces effets escomptés sont en adéquation avec les </w:t>
      </w:r>
      <w:r w:rsidR="00ED0CF1" w:rsidRPr="00422183">
        <w:rPr>
          <w:rFonts w:ascii="Rockwell" w:hAnsi="Rockwell"/>
          <w:sz w:val="24"/>
        </w:rPr>
        <w:t>ODD</w:t>
      </w:r>
      <w:r w:rsidRPr="00422183">
        <w:rPr>
          <w:rFonts w:ascii="Rockwell" w:hAnsi="Rockwell"/>
          <w:sz w:val="24"/>
        </w:rPr>
        <w:t xml:space="preserve"> à l</w:t>
      </w:r>
      <w:r w:rsidR="006C72DE" w:rsidRPr="00422183">
        <w:rPr>
          <w:rFonts w:ascii="Rockwell" w:hAnsi="Rockwell"/>
          <w:sz w:val="24"/>
        </w:rPr>
        <w:t>'</w:t>
      </w:r>
      <w:r w:rsidRPr="00422183">
        <w:rPr>
          <w:rFonts w:ascii="Rockwell" w:hAnsi="Rockwell"/>
          <w:sz w:val="24"/>
        </w:rPr>
        <w:t>horizon 2030.</w:t>
      </w:r>
    </w:p>
    <w:p w:rsidR="00A10302" w:rsidRPr="00422183" w:rsidRDefault="00A10302" w:rsidP="003A0820">
      <w:pPr>
        <w:spacing w:after="0" w:line="240" w:lineRule="auto"/>
        <w:jc w:val="both"/>
        <w:rPr>
          <w:rFonts w:ascii="Rockwell" w:hAnsi="Rockwell"/>
          <w:sz w:val="24"/>
        </w:rPr>
      </w:pPr>
    </w:p>
    <w:p w:rsidR="000C32FF" w:rsidRPr="00422183" w:rsidRDefault="000C32FF" w:rsidP="003A0820">
      <w:pPr>
        <w:pStyle w:val="PNDES3"/>
        <w:rPr>
          <w:rFonts w:ascii="Rockwell" w:hAnsi="Rockwell"/>
        </w:rPr>
      </w:pPr>
      <w:bookmarkStart w:id="297" w:name="_Toc452994184"/>
      <w:bookmarkStart w:id="298" w:name="_Toc452994632"/>
      <w:bookmarkStart w:id="299" w:name="_Toc452995072"/>
      <w:bookmarkStart w:id="300" w:name="_Toc453160773"/>
      <w:bookmarkStart w:id="301" w:name="_Toc455132759"/>
      <w:r w:rsidRPr="00422183">
        <w:rPr>
          <w:rFonts w:ascii="Rockwell" w:hAnsi="Rockwell"/>
        </w:rPr>
        <w:t xml:space="preserve">Objectifs </w:t>
      </w:r>
      <w:r w:rsidR="007F4665" w:rsidRPr="00422183">
        <w:rPr>
          <w:rFonts w:ascii="Rockwell" w:hAnsi="Rockwell"/>
        </w:rPr>
        <w:t xml:space="preserve">et orientations </w:t>
      </w:r>
      <w:r w:rsidRPr="00422183">
        <w:rPr>
          <w:rFonts w:ascii="Rockwell" w:hAnsi="Rockwell"/>
        </w:rPr>
        <w:t xml:space="preserve">stratégiques du </w:t>
      </w:r>
      <w:bookmarkEnd w:id="297"/>
      <w:bookmarkEnd w:id="298"/>
      <w:bookmarkEnd w:id="299"/>
      <w:bookmarkEnd w:id="300"/>
      <w:r w:rsidR="007348A9" w:rsidRPr="00422183">
        <w:rPr>
          <w:rFonts w:ascii="Rockwell" w:hAnsi="Rockwell"/>
        </w:rPr>
        <w:t>PNDES</w:t>
      </w:r>
      <w:bookmarkEnd w:id="301"/>
    </w:p>
    <w:p w:rsidR="000C32FF" w:rsidRPr="00422183" w:rsidRDefault="000C32FF" w:rsidP="003A0820">
      <w:pPr>
        <w:spacing w:after="0" w:line="240" w:lineRule="auto"/>
        <w:jc w:val="both"/>
        <w:rPr>
          <w:rFonts w:ascii="Rockwell" w:hAnsi="Rockwell"/>
          <w:sz w:val="24"/>
        </w:rPr>
      </w:pPr>
    </w:p>
    <w:p w:rsidR="000C32FF" w:rsidRPr="00422183" w:rsidRDefault="007348A9" w:rsidP="003A0820">
      <w:pPr>
        <w:spacing w:after="0" w:line="240" w:lineRule="auto"/>
        <w:jc w:val="both"/>
        <w:rPr>
          <w:rFonts w:ascii="Rockwell" w:hAnsi="Rockwell"/>
          <w:sz w:val="24"/>
        </w:rPr>
      </w:pPr>
      <w:r w:rsidRPr="00422183">
        <w:rPr>
          <w:rFonts w:ascii="Rockwell" w:hAnsi="Rockwell"/>
          <w:sz w:val="24"/>
        </w:rPr>
        <w:t>Pour atteindre s</w:t>
      </w:r>
      <w:r w:rsidR="000C32FF" w:rsidRPr="00422183">
        <w:rPr>
          <w:rFonts w:ascii="Rockwell" w:hAnsi="Rockwell"/>
          <w:sz w:val="24"/>
        </w:rPr>
        <w:t xml:space="preserve">es effets escomptés, le PNDES se fixe des objectifs stratégiques à travers chacun </w:t>
      </w:r>
      <w:r w:rsidR="003E284D" w:rsidRPr="00422183">
        <w:rPr>
          <w:rFonts w:ascii="Rockwell" w:hAnsi="Rockwell"/>
          <w:sz w:val="24"/>
        </w:rPr>
        <w:t>de ses trois axes stratégiques.</w:t>
      </w:r>
    </w:p>
    <w:p w:rsidR="00677F53" w:rsidRPr="00422183" w:rsidRDefault="00677F53" w:rsidP="003A0820">
      <w:pPr>
        <w:spacing w:after="0" w:line="240" w:lineRule="auto"/>
        <w:jc w:val="both"/>
        <w:rPr>
          <w:rFonts w:ascii="Rockwell" w:hAnsi="Rockwell"/>
          <w:sz w:val="24"/>
        </w:rPr>
      </w:pPr>
    </w:p>
    <w:p w:rsidR="00677F53" w:rsidRPr="00422183" w:rsidRDefault="00DE3BB5" w:rsidP="003A0820">
      <w:pPr>
        <w:pStyle w:val="PNDES4"/>
        <w:rPr>
          <w:rFonts w:ascii="Rockwell" w:hAnsi="Rockwell"/>
        </w:rPr>
      </w:pPr>
      <w:bookmarkStart w:id="302" w:name="_Toc453160774"/>
      <w:bookmarkStart w:id="303" w:name="_Toc455132760"/>
      <w:r w:rsidRPr="00422183">
        <w:rPr>
          <w:rFonts w:ascii="Rockwell" w:hAnsi="Rockwell"/>
        </w:rPr>
        <w:t>O</w:t>
      </w:r>
      <w:r w:rsidR="00677F53" w:rsidRPr="00422183">
        <w:rPr>
          <w:rFonts w:ascii="Rockwell" w:hAnsi="Rockwell"/>
        </w:rPr>
        <w:t>bjectifs stratégiques du PNDES</w:t>
      </w:r>
      <w:bookmarkEnd w:id="302"/>
      <w:bookmarkEnd w:id="303"/>
    </w:p>
    <w:p w:rsidR="000C32FF" w:rsidRPr="00422183" w:rsidRDefault="000C32FF" w:rsidP="003A0820">
      <w:pPr>
        <w:spacing w:after="0" w:line="240" w:lineRule="auto"/>
        <w:jc w:val="both"/>
        <w:rPr>
          <w:rFonts w:ascii="Rockwell" w:hAnsi="Rockwell"/>
          <w:sz w:val="24"/>
        </w:rPr>
      </w:pPr>
    </w:p>
    <w:p w:rsidR="004A1046" w:rsidRPr="00422183" w:rsidRDefault="004A1046" w:rsidP="003A0820">
      <w:pPr>
        <w:spacing w:after="0" w:line="240" w:lineRule="auto"/>
        <w:jc w:val="both"/>
        <w:rPr>
          <w:rFonts w:ascii="Rockwell" w:hAnsi="Rockwell"/>
          <w:sz w:val="24"/>
        </w:rPr>
      </w:pPr>
      <w:r w:rsidRPr="00422183">
        <w:rPr>
          <w:rFonts w:ascii="Rockwell" w:hAnsi="Rockwell"/>
          <w:sz w:val="24"/>
        </w:rPr>
        <w:t xml:space="preserve">À travers son premier axe stratégique, le PNDES vise à garantir la paix, la sécurité et la justice et droits humains, accroitre l'efficacité des interventions de l'État et de ses partenaires, impulser des dynamiques économiques et </w:t>
      </w:r>
      <w:r w:rsidR="006B4F3A" w:rsidRPr="00422183">
        <w:rPr>
          <w:rFonts w:ascii="Rockwell" w:hAnsi="Rockwell"/>
          <w:sz w:val="24"/>
        </w:rPr>
        <w:t>sociales au</w:t>
      </w:r>
      <w:r w:rsidRPr="00422183">
        <w:rPr>
          <w:rFonts w:ascii="Rockwell" w:hAnsi="Rockwell"/>
          <w:sz w:val="24"/>
        </w:rPr>
        <w:t xml:space="preserve"> plan régional et au niveau local, qui constituent les fondements du processus développement économique et social</w:t>
      </w:r>
      <w:r w:rsidR="004E066B" w:rsidRPr="00422183">
        <w:rPr>
          <w:rFonts w:ascii="Rockwell" w:hAnsi="Rockwell"/>
          <w:sz w:val="24"/>
        </w:rPr>
        <w:t>.</w:t>
      </w:r>
    </w:p>
    <w:p w:rsidR="004A1046" w:rsidRPr="00422183" w:rsidRDefault="004A1046" w:rsidP="003A0820">
      <w:pPr>
        <w:spacing w:after="0" w:line="240" w:lineRule="auto"/>
        <w:jc w:val="both"/>
        <w:rPr>
          <w:rFonts w:ascii="Rockwell" w:hAnsi="Rockwell"/>
          <w:sz w:val="24"/>
        </w:rPr>
      </w:pPr>
    </w:p>
    <w:p w:rsidR="004A1046" w:rsidRPr="00422183" w:rsidRDefault="004A1046" w:rsidP="003A0820">
      <w:pPr>
        <w:spacing w:after="0" w:line="240" w:lineRule="auto"/>
        <w:jc w:val="both"/>
        <w:rPr>
          <w:rFonts w:ascii="Rockwell" w:hAnsi="Rockwell"/>
          <w:sz w:val="24"/>
        </w:rPr>
      </w:pPr>
      <w:r w:rsidRPr="00422183">
        <w:rPr>
          <w:rFonts w:ascii="Rockwell" w:hAnsi="Rockwell"/>
          <w:sz w:val="24"/>
        </w:rPr>
        <w:t xml:space="preserve">Pour ce faire, le premier axe stratégique du PNDES se décline en trois objectifs stratégiques qui sont : </w:t>
      </w:r>
    </w:p>
    <w:p w:rsidR="004A1046" w:rsidRPr="00422183" w:rsidRDefault="004A1046" w:rsidP="003A0820">
      <w:pPr>
        <w:spacing w:after="0" w:line="240" w:lineRule="auto"/>
        <w:jc w:val="both"/>
        <w:rPr>
          <w:rFonts w:ascii="Rockwell" w:hAnsi="Rockwell"/>
          <w:sz w:val="24"/>
        </w:rPr>
      </w:pPr>
    </w:p>
    <w:p w:rsidR="004A1046" w:rsidRPr="00422183" w:rsidRDefault="004A1046" w:rsidP="004102F5">
      <w:pPr>
        <w:pStyle w:val="Paragraphedeliste"/>
        <w:numPr>
          <w:ilvl w:val="0"/>
          <w:numId w:val="4"/>
        </w:numPr>
        <w:spacing w:after="0" w:line="240" w:lineRule="auto"/>
        <w:ind w:left="567" w:hanging="567"/>
        <w:jc w:val="both"/>
        <w:rPr>
          <w:rFonts w:ascii="Rockwell" w:hAnsi="Rockwell"/>
          <w:sz w:val="24"/>
        </w:rPr>
      </w:pPr>
      <w:r w:rsidRPr="00422183">
        <w:rPr>
          <w:rFonts w:ascii="Rockwell" w:hAnsi="Rockwell"/>
          <w:sz w:val="24"/>
        </w:rPr>
        <w:t>promouvoir la bonne gouvernance politique et administrative,</w:t>
      </w:r>
    </w:p>
    <w:p w:rsidR="004A1046" w:rsidRPr="00422183" w:rsidRDefault="004A1046" w:rsidP="004102F5">
      <w:pPr>
        <w:pStyle w:val="Paragraphedeliste"/>
        <w:numPr>
          <w:ilvl w:val="0"/>
          <w:numId w:val="4"/>
        </w:numPr>
        <w:spacing w:after="0" w:line="240" w:lineRule="auto"/>
        <w:ind w:left="567" w:hanging="567"/>
        <w:jc w:val="both"/>
        <w:rPr>
          <w:rFonts w:ascii="Rockwell" w:hAnsi="Rockwell"/>
          <w:sz w:val="24"/>
        </w:rPr>
      </w:pPr>
      <w:r w:rsidRPr="00422183">
        <w:rPr>
          <w:rFonts w:ascii="Rockwell" w:hAnsi="Rockwell"/>
          <w:sz w:val="24"/>
        </w:rPr>
        <w:t>promouvoir la bonne gouvernance économique,</w:t>
      </w:r>
    </w:p>
    <w:p w:rsidR="004A1046" w:rsidRPr="00422183" w:rsidRDefault="004A1046" w:rsidP="004102F5">
      <w:pPr>
        <w:pStyle w:val="Paragraphedeliste"/>
        <w:numPr>
          <w:ilvl w:val="0"/>
          <w:numId w:val="4"/>
        </w:numPr>
        <w:spacing w:after="0" w:line="240" w:lineRule="auto"/>
        <w:ind w:left="567" w:hanging="567"/>
        <w:jc w:val="both"/>
        <w:rPr>
          <w:rFonts w:ascii="Rockwell" w:hAnsi="Rockwell"/>
          <w:sz w:val="24"/>
        </w:rPr>
      </w:pPr>
      <w:r w:rsidRPr="00422183">
        <w:rPr>
          <w:rFonts w:ascii="Rockwell" w:hAnsi="Rockwell"/>
          <w:sz w:val="24"/>
        </w:rPr>
        <w:t>renforcer la décentralisation</w:t>
      </w:r>
      <w:r w:rsidR="004E066B" w:rsidRPr="00422183">
        <w:rPr>
          <w:rFonts w:ascii="Rockwell" w:hAnsi="Rockwell"/>
          <w:sz w:val="24"/>
        </w:rPr>
        <w:t>, la gouvernance locale</w:t>
      </w:r>
      <w:r w:rsidRPr="00422183">
        <w:rPr>
          <w:rFonts w:ascii="Rockwell" w:hAnsi="Rockwell"/>
          <w:sz w:val="24"/>
        </w:rPr>
        <w:t xml:space="preserve"> et le développement régional.</w:t>
      </w:r>
    </w:p>
    <w:p w:rsidR="004A1046" w:rsidRPr="00422183" w:rsidRDefault="004A1046" w:rsidP="003A0820">
      <w:pPr>
        <w:spacing w:after="0" w:line="240" w:lineRule="auto"/>
        <w:jc w:val="both"/>
        <w:rPr>
          <w:rFonts w:ascii="Rockwell" w:hAnsi="Rockwell"/>
          <w:sz w:val="24"/>
        </w:rPr>
      </w:pPr>
    </w:p>
    <w:p w:rsidR="000C32FF" w:rsidRPr="00422183" w:rsidRDefault="000C32FF" w:rsidP="003A0820">
      <w:pPr>
        <w:spacing w:after="0" w:line="240" w:lineRule="auto"/>
        <w:jc w:val="both"/>
        <w:rPr>
          <w:rFonts w:ascii="Rockwell" w:hAnsi="Rockwell"/>
          <w:sz w:val="24"/>
        </w:rPr>
      </w:pPr>
      <w:r w:rsidRPr="00422183">
        <w:rPr>
          <w:rFonts w:ascii="Rockwell" w:hAnsi="Rockwell"/>
          <w:sz w:val="24"/>
        </w:rPr>
        <w:t>Au regard des défis</w:t>
      </w:r>
      <w:r w:rsidR="0053498A" w:rsidRPr="00422183">
        <w:rPr>
          <w:rFonts w:ascii="Rockwell" w:hAnsi="Rockwell"/>
          <w:sz w:val="24"/>
        </w:rPr>
        <w:t xml:space="preserve"> relatifs au capital humain et d</w:t>
      </w:r>
      <w:r w:rsidRPr="00422183">
        <w:rPr>
          <w:rFonts w:ascii="Rockwell" w:hAnsi="Rockwell"/>
          <w:sz w:val="24"/>
        </w:rPr>
        <w:t>es effets attendus, le PNDES vise à travers le deuxième axe stratégique à</w:t>
      </w:r>
      <w:r w:rsidR="00552747" w:rsidRPr="00422183">
        <w:rPr>
          <w:rFonts w:ascii="Rockwell" w:hAnsi="Rockwell"/>
          <w:sz w:val="24"/>
        </w:rPr>
        <w:t xml:space="preserve"> agir rapidement </w:t>
      </w:r>
      <w:r w:rsidRPr="00422183">
        <w:rPr>
          <w:rFonts w:ascii="Rockwell" w:hAnsi="Rockwell"/>
          <w:sz w:val="24"/>
        </w:rPr>
        <w:t xml:space="preserve">sur la quantité et la qualité du capital humain, ainsi que sur les possibilités et les conditions de la pleine valorisation dudit capital humain. Ainsi, </w:t>
      </w:r>
      <w:r w:rsidR="004E066B" w:rsidRPr="00422183">
        <w:rPr>
          <w:rFonts w:ascii="Rockwell" w:hAnsi="Rockwell"/>
          <w:sz w:val="24"/>
        </w:rPr>
        <w:t xml:space="preserve">cet axe </w:t>
      </w:r>
      <w:r w:rsidRPr="00422183">
        <w:rPr>
          <w:rFonts w:ascii="Rockwell" w:hAnsi="Rockwell"/>
          <w:sz w:val="24"/>
        </w:rPr>
        <w:t>se déc</w:t>
      </w:r>
      <w:r w:rsidR="0053498A" w:rsidRPr="00422183">
        <w:rPr>
          <w:rFonts w:ascii="Rockwell" w:hAnsi="Rockwell"/>
          <w:sz w:val="24"/>
        </w:rPr>
        <w:t>line en cinq o</w:t>
      </w:r>
      <w:r w:rsidRPr="00422183">
        <w:rPr>
          <w:rFonts w:ascii="Rockwell" w:hAnsi="Rockwell"/>
          <w:sz w:val="24"/>
        </w:rPr>
        <w:t>bjectifs stratégiques :</w:t>
      </w:r>
    </w:p>
    <w:p w:rsidR="000C32FF" w:rsidRPr="00422183" w:rsidRDefault="000C32FF" w:rsidP="003A0820">
      <w:pPr>
        <w:spacing w:after="0" w:line="240" w:lineRule="auto"/>
        <w:jc w:val="both"/>
        <w:rPr>
          <w:rFonts w:ascii="Rockwell" w:hAnsi="Rockwell"/>
          <w:sz w:val="24"/>
        </w:rPr>
      </w:pPr>
    </w:p>
    <w:p w:rsidR="000C32FF" w:rsidRPr="00422183" w:rsidRDefault="0053498A" w:rsidP="004102F5">
      <w:pPr>
        <w:pStyle w:val="Paragraphedeliste"/>
        <w:numPr>
          <w:ilvl w:val="0"/>
          <w:numId w:val="12"/>
        </w:numPr>
        <w:spacing w:after="0" w:line="240" w:lineRule="auto"/>
        <w:ind w:left="567" w:hanging="567"/>
        <w:jc w:val="both"/>
        <w:rPr>
          <w:rFonts w:ascii="Rockwell" w:hAnsi="Rockwell"/>
          <w:sz w:val="24"/>
        </w:rPr>
      </w:pPr>
      <w:r w:rsidRPr="00422183">
        <w:rPr>
          <w:rFonts w:ascii="Rockwell" w:hAnsi="Rockwell"/>
          <w:sz w:val="24"/>
        </w:rPr>
        <w:t>p</w:t>
      </w:r>
      <w:r w:rsidR="000C32FF" w:rsidRPr="00422183">
        <w:rPr>
          <w:rFonts w:ascii="Rockwell" w:hAnsi="Rockwell"/>
          <w:sz w:val="24"/>
        </w:rPr>
        <w:t>romouvoir la santé des populations et a</w:t>
      </w:r>
      <w:r w:rsidR="00A96A79" w:rsidRPr="00422183">
        <w:rPr>
          <w:rFonts w:ascii="Rockwell" w:hAnsi="Rockwell"/>
          <w:sz w:val="24"/>
        </w:rPr>
        <w:t xml:space="preserve">ccélérer </w:t>
      </w:r>
      <w:r w:rsidR="004E066B" w:rsidRPr="00422183">
        <w:rPr>
          <w:rFonts w:ascii="Rockwell" w:hAnsi="Rockwell"/>
          <w:sz w:val="24"/>
        </w:rPr>
        <w:t>la transition démographique ;</w:t>
      </w:r>
    </w:p>
    <w:p w:rsidR="000C32FF" w:rsidRPr="00422183" w:rsidRDefault="0053498A" w:rsidP="004102F5">
      <w:pPr>
        <w:pStyle w:val="Paragraphedeliste"/>
        <w:numPr>
          <w:ilvl w:val="0"/>
          <w:numId w:val="12"/>
        </w:numPr>
        <w:spacing w:after="0" w:line="240" w:lineRule="auto"/>
        <w:ind w:left="567" w:hanging="567"/>
        <w:jc w:val="both"/>
        <w:rPr>
          <w:rFonts w:ascii="Rockwell" w:hAnsi="Rockwell"/>
          <w:sz w:val="24"/>
        </w:rPr>
      </w:pPr>
      <w:r w:rsidRPr="00422183">
        <w:rPr>
          <w:rFonts w:ascii="Rockwell" w:hAnsi="Rockwell"/>
          <w:sz w:val="24"/>
        </w:rPr>
        <w:t>a</w:t>
      </w:r>
      <w:r w:rsidR="000C32FF" w:rsidRPr="00422183">
        <w:rPr>
          <w:rFonts w:ascii="Rockwell" w:hAnsi="Rockwell"/>
          <w:sz w:val="24"/>
        </w:rPr>
        <w:t>ccroitre l</w:t>
      </w:r>
      <w:r w:rsidR="006C72DE" w:rsidRPr="00422183">
        <w:rPr>
          <w:rFonts w:ascii="Rockwell" w:hAnsi="Rockwell"/>
          <w:sz w:val="24"/>
        </w:rPr>
        <w:t>'</w:t>
      </w:r>
      <w:r w:rsidR="000C32FF" w:rsidRPr="00422183">
        <w:rPr>
          <w:rFonts w:ascii="Rockwell" w:hAnsi="Rockwell"/>
          <w:sz w:val="24"/>
        </w:rPr>
        <w:t>offre et améliorer la qualité de l</w:t>
      </w:r>
      <w:r w:rsidR="006C72DE" w:rsidRPr="00422183">
        <w:rPr>
          <w:rFonts w:ascii="Rockwell" w:hAnsi="Rockwell"/>
          <w:sz w:val="24"/>
        </w:rPr>
        <w:t>'</w:t>
      </w:r>
      <w:r w:rsidR="000C32FF" w:rsidRPr="00422183">
        <w:rPr>
          <w:rFonts w:ascii="Rockwell" w:hAnsi="Rockwell"/>
          <w:sz w:val="24"/>
        </w:rPr>
        <w:t>éducation</w:t>
      </w:r>
      <w:r w:rsidR="00FD50CF" w:rsidRPr="00422183">
        <w:rPr>
          <w:rFonts w:ascii="Rockwell" w:hAnsi="Rockwell"/>
          <w:sz w:val="24"/>
        </w:rPr>
        <w:t xml:space="preserve">, </w:t>
      </w:r>
      <w:r w:rsidR="004E066B" w:rsidRPr="00422183">
        <w:rPr>
          <w:rFonts w:ascii="Rockwell" w:hAnsi="Rockwell"/>
          <w:sz w:val="24"/>
        </w:rPr>
        <w:t xml:space="preserve">de l’enseignement supérieur </w:t>
      </w:r>
      <w:r w:rsidR="00FD50CF" w:rsidRPr="00422183">
        <w:rPr>
          <w:rFonts w:ascii="Rockwell" w:hAnsi="Rockwell"/>
          <w:sz w:val="24"/>
        </w:rPr>
        <w:t xml:space="preserve">et </w:t>
      </w:r>
      <w:r w:rsidR="004E066B" w:rsidRPr="00422183">
        <w:rPr>
          <w:rFonts w:ascii="Rockwell" w:hAnsi="Rockwell"/>
          <w:sz w:val="24"/>
        </w:rPr>
        <w:t xml:space="preserve">de la formation </w:t>
      </w:r>
      <w:r w:rsidR="000C32FF" w:rsidRPr="00422183">
        <w:rPr>
          <w:rFonts w:ascii="Rockwell" w:hAnsi="Rockwell"/>
          <w:sz w:val="24"/>
        </w:rPr>
        <w:t>en adéquation avec les besoins de l</w:t>
      </w:r>
      <w:r w:rsidR="006C72DE" w:rsidRPr="00422183">
        <w:rPr>
          <w:rFonts w:ascii="Rockwell" w:hAnsi="Rockwell"/>
          <w:sz w:val="24"/>
        </w:rPr>
        <w:t>'</w:t>
      </w:r>
      <w:r w:rsidR="004E066B" w:rsidRPr="00422183">
        <w:rPr>
          <w:rFonts w:ascii="Rockwell" w:hAnsi="Rockwell"/>
          <w:sz w:val="24"/>
        </w:rPr>
        <w:t>économie ;</w:t>
      </w:r>
    </w:p>
    <w:p w:rsidR="000C32FF" w:rsidRPr="00422183" w:rsidRDefault="00851BE4" w:rsidP="004102F5">
      <w:pPr>
        <w:pStyle w:val="Paragraphedeliste"/>
        <w:numPr>
          <w:ilvl w:val="0"/>
          <w:numId w:val="12"/>
        </w:numPr>
        <w:spacing w:after="0" w:line="240" w:lineRule="auto"/>
        <w:ind w:left="567" w:hanging="567"/>
        <w:jc w:val="both"/>
        <w:rPr>
          <w:rFonts w:ascii="Rockwell" w:hAnsi="Rockwell"/>
          <w:sz w:val="24"/>
        </w:rPr>
      </w:pPr>
      <w:r w:rsidRPr="00422183">
        <w:rPr>
          <w:rFonts w:ascii="Rockwell" w:hAnsi="Rockwell"/>
          <w:sz w:val="24"/>
        </w:rPr>
        <w:t>p</w:t>
      </w:r>
      <w:r w:rsidR="000C32FF" w:rsidRPr="00422183">
        <w:rPr>
          <w:rFonts w:ascii="Rockwell" w:hAnsi="Rockwell"/>
          <w:sz w:val="24"/>
        </w:rPr>
        <w:t>romouvoir la recherche et l</w:t>
      </w:r>
      <w:r w:rsidR="006C72DE" w:rsidRPr="00422183">
        <w:rPr>
          <w:rFonts w:ascii="Rockwell" w:hAnsi="Rockwell"/>
          <w:sz w:val="24"/>
        </w:rPr>
        <w:t>'</w:t>
      </w:r>
      <w:r w:rsidR="000C32FF" w:rsidRPr="00422183">
        <w:rPr>
          <w:rFonts w:ascii="Rockwell" w:hAnsi="Rockwell"/>
          <w:sz w:val="24"/>
        </w:rPr>
        <w:t xml:space="preserve">innovation au </w:t>
      </w:r>
      <w:r w:rsidR="004E066B" w:rsidRPr="00422183">
        <w:rPr>
          <w:rFonts w:ascii="Rockwell" w:hAnsi="Rockwell"/>
          <w:sz w:val="24"/>
        </w:rPr>
        <w:t>service</w:t>
      </w:r>
      <w:r w:rsidR="000C32FF" w:rsidRPr="00422183">
        <w:rPr>
          <w:rFonts w:ascii="Rockwell" w:hAnsi="Rockwell"/>
          <w:sz w:val="24"/>
        </w:rPr>
        <w:t xml:space="preserve"> de la transformation structurelle de l</w:t>
      </w:r>
      <w:r w:rsidR="006C72DE" w:rsidRPr="00422183">
        <w:rPr>
          <w:rFonts w:ascii="Rockwell" w:hAnsi="Rockwell"/>
          <w:sz w:val="24"/>
        </w:rPr>
        <w:t>'</w:t>
      </w:r>
      <w:r w:rsidR="004E066B" w:rsidRPr="00422183">
        <w:rPr>
          <w:rFonts w:ascii="Rockwell" w:hAnsi="Rockwell"/>
          <w:sz w:val="24"/>
        </w:rPr>
        <w:t>économie ;</w:t>
      </w:r>
    </w:p>
    <w:p w:rsidR="000C32FF" w:rsidRPr="00422183" w:rsidRDefault="00851BE4" w:rsidP="004102F5">
      <w:pPr>
        <w:pStyle w:val="Paragraphedeliste"/>
        <w:numPr>
          <w:ilvl w:val="0"/>
          <w:numId w:val="12"/>
        </w:numPr>
        <w:spacing w:after="0" w:line="240" w:lineRule="auto"/>
        <w:ind w:left="567" w:hanging="567"/>
        <w:jc w:val="both"/>
        <w:rPr>
          <w:rFonts w:ascii="Rockwell" w:hAnsi="Rockwell"/>
          <w:sz w:val="24"/>
        </w:rPr>
      </w:pPr>
      <w:r w:rsidRPr="00422183">
        <w:rPr>
          <w:rFonts w:ascii="Rockwell" w:hAnsi="Rockwell"/>
          <w:sz w:val="24"/>
        </w:rPr>
        <w:t>p</w:t>
      </w:r>
      <w:r w:rsidR="000C32FF" w:rsidRPr="00422183">
        <w:rPr>
          <w:rFonts w:ascii="Rockwell" w:hAnsi="Rockwell"/>
          <w:sz w:val="24"/>
        </w:rPr>
        <w:t>romouvoir l</w:t>
      </w:r>
      <w:r w:rsidR="006C72DE" w:rsidRPr="00422183">
        <w:rPr>
          <w:rFonts w:ascii="Rockwell" w:hAnsi="Rockwell"/>
          <w:sz w:val="24"/>
        </w:rPr>
        <w:t>'</w:t>
      </w:r>
      <w:r w:rsidR="000C32FF" w:rsidRPr="00422183">
        <w:rPr>
          <w:rFonts w:ascii="Rockwell" w:hAnsi="Rockwell"/>
          <w:sz w:val="24"/>
        </w:rPr>
        <w:t>emploi décent et la protection sociale pour tous</w:t>
      </w:r>
      <w:r w:rsidR="004E066B" w:rsidRPr="00422183">
        <w:rPr>
          <w:rFonts w:ascii="Rockwell" w:hAnsi="Rockwell"/>
          <w:sz w:val="24"/>
        </w:rPr>
        <w:t xml:space="preserve"> </w:t>
      </w:r>
      <w:r w:rsidR="000C32FF" w:rsidRPr="00422183">
        <w:rPr>
          <w:rFonts w:ascii="Rockwell" w:hAnsi="Rockwell"/>
          <w:sz w:val="24"/>
        </w:rPr>
        <w:t>, y co</w:t>
      </w:r>
      <w:r w:rsidR="004E066B" w:rsidRPr="00422183">
        <w:rPr>
          <w:rFonts w:ascii="Rockwell" w:hAnsi="Rockwell"/>
          <w:sz w:val="24"/>
        </w:rPr>
        <w:t>mpris les jeunes et les femmes ;</w:t>
      </w:r>
    </w:p>
    <w:p w:rsidR="000C32FF" w:rsidRPr="00422183" w:rsidRDefault="00851BE4" w:rsidP="004102F5">
      <w:pPr>
        <w:pStyle w:val="Paragraphedeliste"/>
        <w:numPr>
          <w:ilvl w:val="0"/>
          <w:numId w:val="12"/>
        </w:numPr>
        <w:spacing w:after="0" w:line="240" w:lineRule="auto"/>
        <w:ind w:left="567" w:hanging="567"/>
        <w:jc w:val="both"/>
        <w:rPr>
          <w:rFonts w:ascii="Rockwell" w:hAnsi="Rockwell"/>
          <w:sz w:val="24"/>
        </w:rPr>
      </w:pPr>
      <w:r w:rsidRPr="00422183">
        <w:rPr>
          <w:rFonts w:ascii="Rockwell" w:hAnsi="Rockwell"/>
          <w:sz w:val="24"/>
        </w:rPr>
        <w:t>a</w:t>
      </w:r>
      <w:r w:rsidR="00EC5D91" w:rsidRPr="00422183">
        <w:rPr>
          <w:rFonts w:ascii="Rockwell" w:hAnsi="Rockwell"/>
          <w:sz w:val="24"/>
        </w:rPr>
        <w:t>méliorer</w:t>
      </w:r>
      <w:r w:rsidR="00390851" w:rsidRPr="00422183">
        <w:rPr>
          <w:rFonts w:ascii="Rockwell" w:hAnsi="Rockwell"/>
          <w:sz w:val="24"/>
        </w:rPr>
        <w:t xml:space="preserve"> le cadre de vie,</w:t>
      </w:r>
      <w:r w:rsidR="00EC5D91" w:rsidRPr="00422183">
        <w:rPr>
          <w:rFonts w:ascii="Rockwell" w:hAnsi="Rockwell"/>
          <w:sz w:val="24"/>
        </w:rPr>
        <w:t xml:space="preserve"> l</w:t>
      </w:r>
      <w:r w:rsidR="006C72DE" w:rsidRPr="00422183">
        <w:rPr>
          <w:rFonts w:ascii="Rockwell" w:hAnsi="Rockwell"/>
          <w:sz w:val="24"/>
        </w:rPr>
        <w:t>'</w:t>
      </w:r>
      <w:r w:rsidR="00EC5D91" w:rsidRPr="00422183">
        <w:rPr>
          <w:rFonts w:ascii="Rockwell" w:hAnsi="Rockwell"/>
          <w:sz w:val="24"/>
        </w:rPr>
        <w:t>accès à l</w:t>
      </w:r>
      <w:r w:rsidR="006C72DE" w:rsidRPr="00422183">
        <w:rPr>
          <w:rFonts w:ascii="Rockwell" w:hAnsi="Rockwell"/>
          <w:sz w:val="24"/>
        </w:rPr>
        <w:t>'</w:t>
      </w:r>
      <w:r w:rsidR="00EC5D91" w:rsidRPr="00422183">
        <w:rPr>
          <w:rFonts w:ascii="Rockwell" w:hAnsi="Rockwell"/>
          <w:sz w:val="24"/>
        </w:rPr>
        <w:t>eau, l</w:t>
      </w:r>
      <w:r w:rsidR="006C72DE" w:rsidRPr="00422183">
        <w:rPr>
          <w:rFonts w:ascii="Rockwell" w:hAnsi="Rockwell"/>
          <w:sz w:val="24"/>
        </w:rPr>
        <w:t>'</w:t>
      </w:r>
      <w:r w:rsidRPr="00422183">
        <w:rPr>
          <w:rFonts w:ascii="Rockwell" w:hAnsi="Rockwell"/>
          <w:sz w:val="24"/>
        </w:rPr>
        <w:t>assainissement et</w:t>
      </w:r>
      <w:r w:rsidR="00EC5D91" w:rsidRPr="00422183">
        <w:rPr>
          <w:rFonts w:ascii="Rockwell" w:hAnsi="Rockwell"/>
          <w:sz w:val="24"/>
        </w:rPr>
        <w:t xml:space="preserve"> aux services énergétiques de qualité.</w:t>
      </w:r>
    </w:p>
    <w:p w:rsidR="000C32FF" w:rsidRPr="00422183" w:rsidRDefault="000C32FF" w:rsidP="003A0820">
      <w:pPr>
        <w:spacing w:after="0" w:line="240" w:lineRule="auto"/>
        <w:jc w:val="both"/>
        <w:rPr>
          <w:rFonts w:ascii="Rockwell" w:hAnsi="Rockwell"/>
          <w:sz w:val="24"/>
        </w:rPr>
      </w:pPr>
    </w:p>
    <w:p w:rsidR="00714BB3" w:rsidRPr="00422183" w:rsidRDefault="00714BB3" w:rsidP="003A0820">
      <w:pPr>
        <w:spacing w:after="0" w:line="240" w:lineRule="auto"/>
        <w:jc w:val="both"/>
        <w:rPr>
          <w:rFonts w:ascii="Rockwell" w:hAnsi="Rockwell"/>
          <w:sz w:val="24"/>
        </w:rPr>
      </w:pPr>
      <w:r w:rsidRPr="00422183">
        <w:rPr>
          <w:rFonts w:ascii="Rockwell" w:hAnsi="Rockwell"/>
          <w:sz w:val="24"/>
        </w:rPr>
        <w:t>Par rapport au troisième axe stratégique qui vise à dynamiser les secteurs porteurs pour la croissance et l'emploi, il s'agit pour le PNDES d'influer positivement sur la dynamique structurelle de l'économie à travers les secteurs qui regorgent de fortes potentialités durables pour le développement économique et social. Ainsi, au regard du diagnostic du système productif national, des potentialités et des opportunités mises en évidence, le troisième axe du PNDES se décline en cinq objectifs stratégiques :</w:t>
      </w:r>
    </w:p>
    <w:p w:rsidR="00714BB3" w:rsidRPr="00422183" w:rsidRDefault="00714BB3" w:rsidP="003A0820">
      <w:pPr>
        <w:spacing w:after="0" w:line="240" w:lineRule="auto"/>
        <w:jc w:val="both"/>
        <w:rPr>
          <w:rFonts w:ascii="Rockwell" w:hAnsi="Rockwell"/>
          <w:sz w:val="24"/>
        </w:rPr>
      </w:pPr>
    </w:p>
    <w:p w:rsidR="00714BB3" w:rsidRPr="00422183" w:rsidRDefault="00714BB3" w:rsidP="004102F5">
      <w:pPr>
        <w:pStyle w:val="Paragraphedeliste"/>
        <w:numPr>
          <w:ilvl w:val="0"/>
          <w:numId w:val="13"/>
        </w:numPr>
        <w:spacing w:after="0" w:line="240" w:lineRule="auto"/>
        <w:ind w:left="567" w:hanging="567"/>
        <w:jc w:val="both"/>
        <w:rPr>
          <w:rFonts w:ascii="Rockwell" w:hAnsi="Rockwell"/>
          <w:sz w:val="24"/>
        </w:rPr>
      </w:pPr>
      <w:r w:rsidRPr="00422183">
        <w:rPr>
          <w:rFonts w:ascii="Rockwell" w:hAnsi="Rockwell"/>
          <w:sz w:val="24"/>
        </w:rPr>
        <w:t xml:space="preserve">développer un secteur agro-sylvo-pastoral, </w:t>
      </w:r>
      <w:r w:rsidR="004E066B" w:rsidRPr="00422183">
        <w:rPr>
          <w:rFonts w:ascii="Rockwell" w:hAnsi="Rockwell"/>
          <w:sz w:val="24"/>
        </w:rPr>
        <w:t xml:space="preserve">faunique et </w:t>
      </w:r>
      <w:r w:rsidRPr="00422183">
        <w:rPr>
          <w:rFonts w:ascii="Rockwell" w:hAnsi="Rockwell"/>
          <w:sz w:val="24"/>
        </w:rPr>
        <w:t>halieutique productif et résilient, d</w:t>
      </w:r>
      <w:r w:rsidR="00390851" w:rsidRPr="00422183">
        <w:rPr>
          <w:rFonts w:ascii="Rockwell" w:hAnsi="Rockwell"/>
          <w:sz w:val="24"/>
        </w:rPr>
        <w:t>avantage orienté vers le marché</w:t>
      </w:r>
      <w:r w:rsidR="004E066B" w:rsidRPr="00422183">
        <w:rPr>
          <w:rFonts w:ascii="Rockwell" w:hAnsi="Rockwell"/>
          <w:sz w:val="24"/>
        </w:rPr>
        <w:t xml:space="preserve"> et basé sur les principes de développement durable</w:t>
      </w:r>
      <w:r w:rsidR="00390851" w:rsidRPr="00422183">
        <w:rPr>
          <w:rFonts w:ascii="Rockwell" w:hAnsi="Rockwell"/>
          <w:sz w:val="24"/>
        </w:rPr>
        <w:t>;</w:t>
      </w:r>
    </w:p>
    <w:p w:rsidR="00714BB3" w:rsidRPr="00422183" w:rsidRDefault="00714BB3" w:rsidP="004102F5">
      <w:pPr>
        <w:pStyle w:val="Paragraphedeliste"/>
        <w:numPr>
          <w:ilvl w:val="0"/>
          <w:numId w:val="13"/>
        </w:numPr>
        <w:spacing w:after="0" w:line="240" w:lineRule="auto"/>
        <w:ind w:left="567" w:hanging="567"/>
        <w:jc w:val="both"/>
        <w:rPr>
          <w:rFonts w:ascii="Rockwell" w:hAnsi="Rockwell"/>
          <w:sz w:val="24"/>
        </w:rPr>
      </w:pPr>
      <w:r w:rsidRPr="00422183">
        <w:rPr>
          <w:rFonts w:ascii="Rockwell" w:hAnsi="Rockwell"/>
          <w:sz w:val="24"/>
        </w:rPr>
        <w:t>développer un secteur industriel et artisanal compétitif, à forte valeur ajoutée et créateur d'emplois décents</w:t>
      </w:r>
      <w:r w:rsidR="00390851" w:rsidRPr="00422183">
        <w:rPr>
          <w:rFonts w:ascii="Rockwell" w:hAnsi="Rockwell"/>
          <w:sz w:val="24"/>
        </w:rPr>
        <w:t> ;</w:t>
      </w:r>
    </w:p>
    <w:p w:rsidR="00714BB3" w:rsidRPr="00422183" w:rsidRDefault="00714BB3" w:rsidP="004102F5">
      <w:pPr>
        <w:pStyle w:val="Paragraphedeliste"/>
        <w:numPr>
          <w:ilvl w:val="0"/>
          <w:numId w:val="13"/>
        </w:numPr>
        <w:spacing w:after="0" w:line="240" w:lineRule="auto"/>
        <w:ind w:left="567" w:hanging="567"/>
        <w:jc w:val="both"/>
        <w:rPr>
          <w:rFonts w:ascii="Rockwell" w:hAnsi="Rockwell"/>
          <w:sz w:val="24"/>
        </w:rPr>
      </w:pPr>
      <w:r w:rsidRPr="00422183">
        <w:rPr>
          <w:rFonts w:ascii="Rockwell" w:hAnsi="Rockwell"/>
          <w:sz w:val="24"/>
        </w:rPr>
        <w:t>promouvoir l'expansion des industries de services à forte valeur ajoutée et créatrices d'emplois décents</w:t>
      </w:r>
      <w:r w:rsidR="00390851" w:rsidRPr="00422183">
        <w:rPr>
          <w:rFonts w:ascii="Rockwell" w:hAnsi="Rockwell"/>
          <w:sz w:val="24"/>
        </w:rPr>
        <w:t> ;</w:t>
      </w:r>
    </w:p>
    <w:p w:rsidR="00714BB3" w:rsidRPr="00422183" w:rsidRDefault="00714BB3" w:rsidP="004102F5">
      <w:pPr>
        <w:pStyle w:val="Paragraphedeliste"/>
        <w:numPr>
          <w:ilvl w:val="0"/>
          <w:numId w:val="13"/>
        </w:numPr>
        <w:spacing w:after="0" w:line="240" w:lineRule="auto"/>
        <w:ind w:left="567" w:hanging="567"/>
        <w:jc w:val="both"/>
        <w:rPr>
          <w:rFonts w:ascii="Rockwell" w:hAnsi="Rockwell"/>
          <w:sz w:val="24"/>
        </w:rPr>
      </w:pPr>
      <w:r w:rsidRPr="00422183">
        <w:rPr>
          <w:rFonts w:ascii="Rockwell" w:hAnsi="Rockwell"/>
          <w:sz w:val="24"/>
        </w:rPr>
        <w:t>développer des infrastructures de qualité</w:t>
      </w:r>
      <w:r w:rsidR="00277020" w:rsidRPr="00422183">
        <w:rPr>
          <w:rFonts w:ascii="Rockwell" w:hAnsi="Rockwell"/>
          <w:sz w:val="24"/>
        </w:rPr>
        <w:t xml:space="preserve"> et résilientes</w:t>
      </w:r>
      <w:r w:rsidRPr="00422183">
        <w:rPr>
          <w:rFonts w:ascii="Rockwell" w:hAnsi="Rockwell"/>
          <w:sz w:val="24"/>
        </w:rPr>
        <w:t xml:space="preserve"> pour </w:t>
      </w:r>
      <w:r w:rsidR="00277020" w:rsidRPr="00422183">
        <w:rPr>
          <w:rFonts w:ascii="Rockwell" w:hAnsi="Rockwell"/>
          <w:sz w:val="24"/>
        </w:rPr>
        <w:t>favoriser</w:t>
      </w:r>
      <w:r w:rsidRPr="00422183">
        <w:rPr>
          <w:rFonts w:ascii="Rockwell" w:hAnsi="Rockwell"/>
          <w:sz w:val="24"/>
        </w:rPr>
        <w:t xml:space="preserve"> la transformation structurelle de l'économie</w:t>
      </w:r>
      <w:r w:rsidR="00390851" w:rsidRPr="00422183">
        <w:rPr>
          <w:rFonts w:ascii="Rockwell" w:hAnsi="Rockwell"/>
          <w:sz w:val="24"/>
        </w:rPr>
        <w:t> ;</w:t>
      </w:r>
    </w:p>
    <w:p w:rsidR="00714BB3" w:rsidRPr="00422183" w:rsidRDefault="00714BB3" w:rsidP="004102F5">
      <w:pPr>
        <w:pStyle w:val="Paragraphedeliste"/>
        <w:numPr>
          <w:ilvl w:val="0"/>
          <w:numId w:val="13"/>
        </w:numPr>
        <w:spacing w:after="0" w:line="240" w:lineRule="auto"/>
        <w:ind w:left="567" w:hanging="567"/>
        <w:jc w:val="both"/>
        <w:rPr>
          <w:rFonts w:ascii="Rockwell" w:hAnsi="Rockwell"/>
          <w:sz w:val="24"/>
        </w:rPr>
      </w:pPr>
      <w:r w:rsidRPr="00422183">
        <w:rPr>
          <w:rFonts w:ascii="Rockwell" w:hAnsi="Rockwell"/>
          <w:sz w:val="24"/>
        </w:rPr>
        <w:t>inverser la tendance de la dégradation de l'environnement et assurer durablement la gestion des ressources naturelles.</w:t>
      </w:r>
    </w:p>
    <w:p w:rsidR="000C32FF" w:rsidRPr="00422183" w:rsidRDefault="000C32FF" w:rsidP="003A0820">
      <w:pPr>
        <w:pStyle w:val="Paragraphedeliste"/>
        <w:spacing w:after="0" w:line="240" w:lineRule="auto"/>
        <w:ind w:left="567"/>
        <w:jc w:val="both"/>
        <w:rPr>
          <w:rFonts w:ascii="Rockwell" w:hAnsi="Rockwell"/>
          <w:sz w:val="24"/>
        </w:rPr>
      </w:pPr>
    </w:p>
    <w:p w:rsidR="000C32FF" w:rsidRPr="00422183" w:rsidRDefault="000C32FF" w:rsidP="00516FB0">
      <w:pPr>
        <w:spacing w:after="0" w:line="240" w:lineRule="auto"/>
        <w:jc w:val="both"/>
        <w:rPr>
          <w:rFonts w:ascii="Rockwell" w:hAnsi="Rockwell"/>
          <w:sz w:val="24"/>
        </w:rPr>
      </w:pPr>
    </w:p>
    <w:p w:rsidR="000C32FF" w:rsidRPr="00422183" w:rsidRDefault="00677F53" w:rsidP="00516FB0">
      <w:pPr>
        <w:pStyle w:val="PNDES4"/>
        <w:rPr>
          <w:rFonts w:ascii="Rockwell" w:hAnsi="Rockwell"/>
        </w:rPr>
      </w:pPr>
      <w:bookmarkStart w:id="304" w:name="_Toc453160775"/>
      <w:bookmarkStart w:id="305" w:name="_Toc455132761"/>
      <w:r w:rsidRPr="00422183">
        <w:rPr>
          <w:rFonts w:ascii="Rockwell" w:hAnsi="Rockwell"/>
        </w:rPr>
        <w:t>Cohérence des objectifs stratégiques avec les ODD</w:t>
      </w:r>
      <w:bookmarkEnd w:id="304"/>
      <w:bookmarkEnd w:id="305"/>
    </w:p>
    <w:p w:rsidR="00677F53" w:rsidRPr="00422183" w:rsidRDefault="00677F53" w:rsidP="00516FB0">
      <w:pPr>
        <w:spacing w:after="0" w:line="240" w:lineRule="auto"/>
        <w:jc w:val="both"/>
        <w:rPr>
          <w:rFonts w:ascii="Rockwell" w:hAnsi="Rockwell"/>
          <w:sz w:val="24"/>
        </w:rPr>
      </w:pPr>
    </w:p>
    <w:p w:rsidR="00B6400B" w:rsidRPr="00422183" w:rsidRDefault="00775278" w:rsidP="003A0820">
      <w:pPr>
        <w:spacing w:after="0" w:line="240" w:lineRule="auto"/>
        <w:jc w:val="both"/>
        <w:rPr>
          <w:rFonts w:ascii="Rockwell" w:hAnsi="Rockwell"/>
          <w:sz w:val="24"/>
        </w:rPr>
      </w:pPr>
      <w:r w:rsidRPr="00422183">
        <w:rPr>
          <w:rFonts w:ascii="Rockwell" w:hAnsi="Rockwell"/>
          <w:sz w:val="24"/>
        </w:rPr>
        <w:t>Le PNDES, centré sur le processus transformationnel des systèmes productifs, la réduction des inégalités dans leurs multiples dimensions et l</w:t>
      </w:r>
      <w:r w:rsidR="006C72DE" w:rsidRPr="00422183">
        <w:rPr>
          <w:rFonts w:ascii="Rockwell" w:hAnsi="Rockwell"/>
          <w:sz w:val="24"/>
        </w:rPr>
        <w:t>'</w:t>
      </w:r>
      <w:r w:rsidRPr="00422183">
        <w:rPr>
          <w:rFonts w:ascii="Rockwell" w:hAnsi="Rockwell"/>
          <w:sz w:val="24"/>
        </w:rPr>
        <w:t>amélioration du système de gouvernance, articulera de façon opérationnelle les principales cibles des ODD selon les t</w:t>
      </w:r>
      <w:r w:rsidR="00B6400B" w:rsidRPr="00422183">
        <w:rPr>
          <w:rFonts w:ascii="Rockwell" w:hAnsi="Rockwell"/>
          <w:sz w:val="24"/>
        </w:rPr>
        <w:t>rois axes stratégiques retenus.</w:t>
      </w:r>
    </w:p>
    <w:p w:rsidR="00B6400B" w:rsidRPr="00422183" w:rsidRDefault="00B6400B" w:rsidP="003A0820">
      <w:pPr>
        <w:spacing w:after="0" w:line="240" w:lineRule="auto"/>
        <w:jc w:val="both"/>
        <w:rPr>
          <w:rFonts w:ascii="Rockwell" w:hAnsi="Rockwell"/>
          <w:sz w:val="24"/>
        </w:rPr>
      </w:pPr>
    </w:p>
    <w:p w:rsidR="00775278" w:rsidRPr="00422183" w:rsidRDefault="00775278" w:rsidP="003A0820">
      <w:pPr>
        <w:spacing w:after="0" w:line="240" w:lineRule="auto"/>
        <w:jc w:val="both"/>
        <w:rPr>
          <w:rFonts w:ascii="Rockwell" w:hAnsi="Rockwell"/>
          <w:sz w:val="24"/>
        </w:rPr>
      </w:pPr>
      <w:r w:rsidRPr="00422183">
        <w:rPr>
          <w:rFonts w:ascii="Rockwell" w:hAnsi="Rockwell"/>
          <w:sz w:val="24"/>
        </w:rPr>
        <w:t>Les ODD décrivent l</w:t>
      </w:r>
      <w:r w:rsidR="006C72DE" w:rsidRPr="00422183">
        <w:rPr>
          <w:rFonts w:ascii="Rockwell" w:hAnsi="Rockwell"/>
          <w:sz w:val="24"/>
        </w:rPr>
        <w:t>'</w:t>
      </w:r>
      <w:r w:rsidRPr="00422183">
        <w:rPr>
          <w:rFonts w:ascii="Rockwell" w:hAnsi="Rockwell"/>
          <w:sz w:val="24"/>
        </w:rPr>
        <w:t>engagement de tous les pays du monde, à l</w:t>
      </w:r>
      <w:r w:rsidR="006C72DE" w:rsidRPr="00422183">
        <w:rPr>
          <w:rFonts w:ascii="Rockwell" w:hAnsi="Rockwell"/>
          <w:sz w:val="24"/>
        </w:rPr>
        <w:t>'</w:t>
      </w:r>
      <w:r w:rsidRPr="00422183">
        <w:rPr>
          <w:rFonts w:ascii="Rockwell" w:hAnsi="Rockwell"/>
          <w:sz w:val="24"/>
        </w:rPr>
        <w:t xml:space="preserve">horizon 2030, en faveur des quatre objectifs stratégiques </w:t>
      </w:r>
      <w:r w:rsidR="00B6400B" w:rsidRPr="00422183">
        <w:rPr>
          <w:rFonts w:ascii="Rockwell" w:hAnsi="Rockwell"/>
          <w:sz w:val="24"/>
        </w:rPr>
        <w:t xml:space="preserve">suivants </w:t>
      </w:r>
      <w:r w:rsidRPr="00422183">
        <w:rPr>
          <w:rFonts w:ascii="Rockwell" w:hAnsi="Rockwell"/>
          <w:sz w:val="24"/>
        </w:rPr>
        <w:t xml:space="preserve">: </w:t>
      </w:r>
      <w:r w:rsidR="00B6400B" w:rsidRPr="00422183">
        <w:rPr>
          <w:rFonts w:ascii="Rockwell" w:hAnsi="Rockwell"/>
          <w:sz w:val="24"/>
        </w:rPr>
        <w:t>(</w:t>
      </w:r>
      <w:r w:rsidRPr="00422183">
        <w:rPr>
          <w:rFonts w:ascii="Rockwell" w:hAnsi="Rockwell"/>
          <w:sz w:val="24"/>
        </w:rPr>
        <w:t>i) la croissance inclusive durable mettant l</w:t>
      </w:r>
      <w:r w:rsidR="006C72DE" w:rsidRPr="00422183">
        <w:rPr>
          <w:rFonts w:ascii="Rockwell" w:hAnsi="Rockwell"/>
          <w:sz w:val="24"/>
        </w:rPr>
        <w:t>'</w:t>
      </w:r>
      <w:r w:rsidRPr="00422183">
        <w:rPr>
          <w:rFonts w:ascii="Rockwell" w:hAnsi="Rockwell"/>
          <w:sz w:val="24"/>
        </w:rPr>
        <w:t>accent sur l</w:t>
      </w:r>
      <w:r w:rsidR="006C72DE" w:rsidRPr="00422183">
        <w:rPr>
          <w:rFonts w:ascii="Rockwell" w:hAnsi="Rockwell"/>
          <w:sz w:val="24"/>
        </w:rPr>
        <w:t>'</w:t>
      </w:r>
      <w:r w:rsidRPr="00422183">
        <w:rPr>
          <w:rFonts w:ascii="Rockwell" w:hAnsi="Rockwell"/>
          <w:sz w:val="24"/>
        </w:rPr>
        <w:t>éradication de l</w:t>
      </w:r>
      <w:r w:rsidR="006C72DE" w:rsidRPr="00422183">
        <w:rPr>
          <w:rFonts w:ascii="Rockwell" w:hAnsi="Rockwell"/>
          <w:sz w:val="24"/>
        </w:rPr>
        <w:t>'</w:t>
      </w:r>
      <w:r w:rsidRPr="00422183">
        <w:rPr>
          <w:rFonts w:ascii="Rockwell" w:hAnsi="Rockwell"/>
          <w:sz w:val="24"/>
        </w:rPr>
        <w:t xml:space="preserve">extrême pauvreté, </w:t>
      </w:r>
      <w:r w:rsidR="00CD2D70" w:rsidRPr="00422183">
        <w:rPr>
          <w:rFonts w:ascii="Rockwell" w:hAnsi="Rockwell"/>
          <w:sz w:val="24"/>
        </w:rPr>
        <w:t>(</w:t>
      </w:r>
      <w:r w:rsidRPr="00422183">
        <w:rPr>
          <w:rFonts w:ascii="Rockwell" w:hAnsi="Rockwell"/>
          <w:sz w:val="24"/>
        </w:rPr>
        <w:t>ii) l</w:t>
      </w:r>
      <w:r w:rsidR="006C72DE" w:rsidRPr="00422183">
        <w:rPr>
          <w:rFonts w:ascii="Rockwell" w:hAnsi="Rockwell"/>
          <w:sz w:val="24"/>
        </w:rPr>
        <w:t>'</w:t>
      </w:r>
      <w:r w:rsidRPr="00422183">
        <w:rPr>
          <w:rFonts w:ascii="Rockwell" w:hAnsi="Rockwell"/>
          <w:sz w:val="24"/>
        </w:rPr>
        <w:t>inclusion sociale et territoriale devant d</w:t>
      </w:r>
      <w:r w:rsidR="006C72DE" w:rsidRPr="00422183">
        <w:rPr>
          <w:rFonts w:ascii="Rockwell" w:hAnsi="Rockwell"/>
          <w:sz w:val="24"/>
        </w:rPr>
        <w:t>'</w:t>
      </w:r>
      <w:r w:rsidRPr="00422183">
        <w:rPr>
          <w:rFonts w:ascii="Rockwell" w:hAnsi="Rockwell"/>
          <w:sz w:val="24"/>
        </w:rPr>
        <w:t>une part réduire les inégalités de revenus et les disparités spatiales au sein de chaque pays et entre pays et, d</w:t>
      </w:r>
      <w:r w:rsidR="006C72DE" w:rsidRPr="00422183">
        <w:rPr>
          <w:rFonts w:ascii="Rockwell" w:hAnsi="Rockwell"/>
          <w:sz w:val="24"/>
        </w:rPr>
        <w:t>'</w:t>
      </w:r>
      <w:r w:rsidRPr="00422183">
        <w:rPr>
          <w:rFonts w:ascii="Rockwell" w:hAnsi="Rockwell"/>
          <w:sz w:val="24"/>
        </w:rPr>
        <w:t xml:space="preserve">autre part la réduction du chômage et des inégalités liées au genre, </w:t>
      </w:r>
      <w:r w:rsidR="00CD2D70" w:rsidRPr="00422183">
        <w:rPr>
          <w:rFonts w:ascii="Rockwell" w:hAnsi="Rockwell"/>
          <w:sz w:val="24"/>
        </w:rPr>
        <w:t>(</w:t>
      </w:r>
      <w:r w:rsidRPr="00422183">
        <w:rPr>
          <w:rFonts w:ascii="Rockwell" w:hAnsi="Rockwell"/>
          <w:sz w:val="24"/>
        </w:rPr>
        <w:t>iii) la durabilité environnementale en raison du couplage entre le progrès économique et les dommages environnementaux</w:t>
      </w:r>
      <w:r w:rsidR="00045FFF" w:rsidRPr="00422183">
        <w:rPr>
          <w:rFonts w:ascii="Rockwell" w:hAnsi="Rockwell"/>
          <w:sz w:val="24"/>
        </w:rPr>
        <w:t>,</w:t>
      </w:r>
      <w:r w:rsidRPr="00422183">
        <w:rPr>
          <w:rFonts w:ascii="Rockwell" w:hAnsi="Rockwell"/>
          <w:sz w:val="24"/>
        </w:rPr>
        <w:t xml:space="preserve"> </w:t>
      </w:r>
      <w:r w:rsidR="00045FFF" w:rsidRPr="00422183">
        <w:rPr>
          <w:rFonts w:ascii="Rockwell" w:hAnsi="Rockwell"/>
          <w:sz w:val="24"/>
        </w:rPr>
        <w:t>(</w:t>
      </w:r>
      <w:r w:rsidRPr="00422183">
        <w:rPr>
          <w:rFonts w:ascii="Rockwell" w:hAnsi="Rockwell"/>
          <w:sz w:val="24"/>
        </w:rPr>
        <w:t>iv) la bonne gouvernance et la sécurité renvoyant surtout à la transparence, l</w:t>
      </w:r>
      <w:r w:rsidR="006C72DE" w:rsidRPr="00422183">
        <w:rPr>
          <w:rFonts w:ascii="Rockwell" w:hAnsi="Rockwell"/>
          <w:sz w:val="24"/>
        </w:rPr>
        <w:t>'</w:t>
      </w:r>
      <w:r w:rsidRPr="00422183">
        <w:rPr>
          <w:rFonts w:ascii="Rockwell" w:hAnsi="Rockwell"/>
          <w:sz w:val="24"/>
        </w:rPr>
        <w:t>efficacité des institutions, la primauté du droit et la participation, conditions indispensables pour le d</w:t>
      </w:r>
      <w:r w:rsidR="00B74BCB" w:rsidRPr="00422183">
        <w:rPr>
          <w:rFonts w:ascii="Rockwell" w:hAnsi="Rockwell"/>
          <w:sz w:val="24"/>
        </w:rPr>
        <w:t>éveloppement durable inclusif.</w:t>
      </w:r>
    </w:p>
    <w:p w:rsidR="00775278" w:rsidRPr="00422183" w:rsidRDefault="00775278" w:rsidP="003A0820">
      <w:pPr>
        <w:spacing w:after="0" w:line="240" w:lineRule="auto"/>
        <w:jc w:val="both"/>
        <w:rPr>
          <w:rFonts w:ascii="Rockwell" w:hAnsi="Rockwell"/>
          <w:sz w:val="24"/>
        </w:rPr>
      </w:pPr>
    </w:p>
    <w:p w:rsidR="007F4665" w:rsidRPr="00422183" w:rsidRDefault="00775278" w:rsidP="003A0820">
      <w:pPr>
        <w:spacing w:after="0" w:line="240" w:lineRule="auto"/>
        <w:jc w:val="both"/>
        <w:rPr>
          <w:rFonts w:ascii="Rockwell" w:hAnsi="Rockwell"/>
          <w:sz w:val="24"/>
        </w:rPr>
      </w:pPr>
      <w:r w:rsidRPr="00422183">
        <w:rPr>
          <w:rFonts w:ascii="Rockwell" w:hAnsi="Rockwell"/>
          <w:sz w:val="24"/>
        </w:rPr>
        <w:t>Pour le Burkina Faso et sur la base des résultats d</w:t>
      </w:r>
      <w:r w:rsidR="006C72DE" w:rsidRPr="00422183">
        <w:rPr>
          <w:rFonts w:ascii="Rockwell" w:hAnsi="Rockwell"/>
          <w:sz w:val="24"/>
        </w:rPr>
        <w:t>'</w:t>
      </w:r>
      <w:r w:rsidRPr="00422183">
        <w:rPr>
          <w:rFonts w:ascii="Rockwell" w:hAnsi="Rockwell"/>
          <w:sz w:val="24"/>
        </w:rPr>
        <w:t>un processus participatif regroupant un large éventail d</w:t>
      </w:r>
      <w:r w:rsidR="006C72DE" w:rsidRPr="00422183">
        <w:rPr>
          <w:rFonts w:ascii="Rockwell" w:hAnsi="Rockwell"/>
          <w:sz w:val="24"/>
        </w:rPr>
        <w:t>'</w:t>
      </w:r>
      <w:r w:rsidRPr="00422183">
        <w:rPr>
          <w:rFonts w:ascii="Rockwell" w:hAnsi="Rockwell"/>
          <w:sz w:val="24"/>
        </w:rPr>
        <w:t>acteurs publics et privés organisé au mois d</w:t>
      </w:r>
      <w:r w:rsidR="006C72DE" w:rsidRPr="00422183">
        <w:rPr>
          <w:rFonts w:ascii="Rockwell" w:hAnsi="Rockwell"/>
          <w:sz w:val="24"/>
        </w:rPr>
        <w:t>'</w:t>
      </w:r>
      <w:r w:rsidRPr="00422183">
        <w:rPr>
          <w:rFonts w:ascii="Rockwell" w:hAnsi="Rockwell"/>
          <w:sz w:val="24"/>
        </w:rPr>
        <w:t>avril 2016 à Ouagadougou, 86 cibles sur 169 des 17 ODD ont été considéré</w:t>
      </w:r>
      <w:r w:rsidR="00BF170F" w:rsidRPr="00422183">
        <w:rPr>
          <w:rFonts w:ascii="Rockwell" w:hAnsi="Rockwell"/>
          <w:sz w:val="24"/>
        </w:rPr>
        <w:t>e</w:t>
      </w:r>
      <w:r w:rsidRPr="00422183">
        <w:rPr>
          <w:rFonts w:ascii="Rockwell" w:hAnsi="Rockwell"/>
          <w:sz w:val="24"/>
        </w:rPr>
        <w:t>s comme prioritaire</w:t>
      </w:r>
      <w:r w:rsidR="00BC3E95" w:rsidRPr="00422183">
        <w:rPr>
          <w:rFonts w:ascii="Rockwell" w:hAnsi="Rockwell"/>
          <w:sz w:val="24"/>
        </w:rPr>
        <w:t xml:space="preserve">s. Parmi ces priorités, il y a : (i) </w:t>
      </w:r>
      <w:r w:rsidRPr="00422183">
        <w:rPr>
          <w:rFonts w:ascii="Rockwell" w:hAnsi="Rockwell"/>
          <w:sz w:val="24"/>
        </w:rPr>
        <w:t>l</w:t>
      </w:r>
      <w:r w:rsidR="006C72DE" w:rsidRPr="00422183">
        <w:rPr>
          <w:rFonts w:ascii="Rockwell" w:hAnsi="Rockwell"/>
          <w:sz w:val="24"/>
        </w:rPr>
        <w:t>'</w:t>
      </w:r>
      <w:r w:rsidRPr="00422183">
        <w:rPr>
          <w:rFonts w:ascii="Rockwell" w:hAnsi="Rockwell"/>
          <w:sz w:val="24"/>
        </w:rPr>
        <w:t>élimination de l</w:t>
      </w:r>
      <w:r w:rsidR="006C72DE" w:rsidRPr="00422183">
        <w:rPr>
          <w:rFonts w:ascii="Rockwell" w:hAnsi="Rockwell"/>
          <w:sz w:val="24"/>
        </w:rPr>
        <w:t>'</w:t>
      </w:r>
      <w:r w:rsidR="003A1695" w:rsidRPr="00422183">
        <w:rPr>
          <w:rFonts w:ascii="Rockwell" w:hAnsi="Rockwell"/>
          <w:sz w:val="24"/>
        </w:rPr>
        <w:t xml:space="preserve">extrême pauvreté, (ii) </w:t>
      </w:r>
      <w:r w:rsidRPr="00422183">
        <w:rPr>
          <w:rFonts w:ascii="Rockwell" w:hAnsi="Rockwell"/>
          <w:sz w:val="24"/>
        </w:rPr>
        <w:t>la mise en place d</w:t>
      </w:r>
      <w:r w:rsidR="006C72DE" w:rsidRPr="00422183">
        <w:rPr>
          <w:rFonts w:ascii="Rockwell" w:hAnsi="Rockwell"/>
          <w:sz w:val="24"/>
        </w:rPr>
        <w:t>'</w:t>
      </w:r>
      <w:r w:rsidRPr="00422183">
        <w:rPr>
          <w:rFonts w:ascii="Rockwell" w:hAnsi="Rockwell"/>
          <w:sz w:val="24"/>
        </w:rPr>
        <w:t xml:space="preserve">un système et mesures </w:t>
      </w:r>
      <w:r w:rsidR="003A1695" w:rsidRPr="00422183">
        <w:rPr>
          <w:rFonts w:ascii="Rockwell" w:hAnsi="Rockwell"/>
          <w:sz w:val="24"/>
        </w:rPr>
        <w:t xml:space="preserve">de protection sociale pour tous, (iii) </w:t>
      </w:r>
      <w:r w:rsidRPr="00422183">
        <w:rPr>
          <w:rFonts w:ascii="Rockwell" w:hAnsi="Rockwell"/>
          <w:sz w:val="24"/>
        </w:rPr>
        <w:t>le renforceme</w:t>
      </w:r>
      <w:r w:rsidR="003A1695" w:rsidRPr="00422183">
        <w:rPr>
          <w:rFonts w:ascii="Rockwell" w:hAnsi="Rockwell"/>
          <w:sz w:val="24"/>
        </w:rPr>
        <w:t xml:space="preserve">nt de la résilience des pauvres, (iv) </w:t>
      </w:r>
      <w:r w:rsidRPr="00422183">
        <w:rPr>
          <w:rFonts w:ascii="Rockwell" w:hAnsi="Rockwell"/>
          <w:sz w:val="24"/>
        </w:rPr>
        <w:t>l</w:t>
      </w:r>
      <w:r w:rsidR="006C72DE" w:rsidRPr="00422183">
        <w:rPr>
          <w:rFonts w:ascii="Rockwell" w:hAnsi="Rockwell"/>
          <w:sz w:val="24"/>
        </w:rPr>
        <w:t>'</w:t>
      </w:r>
      <w:r w:rsidRPr="00422183">
        <w:rPr>
          <w:rFonts w:ascii="Rockwell" w:hAnsi="Rockwell"/>
          <w:sz w:val="24"/>
        </w:rPr>
        <w:t xml:space="preserve">élimination de la faim et </w:t>
      </w:r>
      <w:r w:rsidR="003A1695" w:rsidRPr="00422183">
        <w:rPr>
          <w:rFonts w:ascii="Rockwell" w:hAnsi="Rockwell"/>
          <w:sz w:val="24"/>
        </w:rPr>
        <w:t xml:space="preserve">la </w:t>
      </w:r>
      <w:r w:rsidRPr="00422183">
        <w:rPr>
          <w:rFonts w:ascii="Rockwell" w:hAnsi="Rockwell"/>
          <w:sz w:val="24"/>
        </w:rPr>
        <w:t>gara</w:t>
      </w:r>
      <w:r w:rsidR="003A1695" w:rsidRPr="00422183">
        <w:rPr>
          <w:rFonts w:ascii="Rockwell" w:hAnsi="Rockwell"/>
          <w:sz w:val="24"/>
        </w:rPr>
        <w:t xml:space="preserve">ntie de la sécurité alimentaire, (v) </w:t>
      </w:r>
      <w:r w:rsidRPr="00422183">
        <w:rPr>
          <w:rFonts w:ascii="Rockwell" w:hAnsi="Rockwell"/>
          <w:sz w:val="24"/>
        </w:rPr>
        <w:t>la réduction de la mortalité mat</w:t>
      </w:r>
      <w:r w:rsidR="003746F3" w:rsidRPr="00422183">
        <w:rPr>
          <w:rFonts w:ascii="Rockwell" w:hAnsi="Rockwell"/>
          <w:sz w:val="24"/>
        </w:rPr>
        <w:t xml:space="preserve">ernelle et infantile, (vi) </w:t>
      </w:r>
      <w:r w:rsidRPr="00422183">
        <w:rPr>
          <w:rFonts w:ascii="Rockwell" w:hAnsi="Rockwell"/>
          <w:sz w:val="24"/>
        </w:rPr>
        <w:t>l</w:t>
      </w:r>
      <w:r w:rsidR="006C72DE" w:rsidRPr="00422183">
        <w:rPr>
          <w:rFonts w:ascii="Rockwell" w:hAnsi="Rockwell"/>
          <w:sz w:val="24"/>
        </w:rPr>
        <w:t>'</w:t>
      </w:r>
      <w:r w:rsidRPr="00422183">
        <w:rPr>
          <w:rFonts w:ascii="Rockwell" w:hAnsi="Rockwell"/>
          <w:sz w:val="24"/>
        </w:rPr>
        <w:t>accès à l</w:t>
      </w:r>
      <w:r w:rsidR="006C72DE" w:rsidRPr="00422183">
        <w:rPr>
          <w:rFonts w:ascii="Rockwell" w:hAnsi="Rockwell"/>
          <w:sz w:val="24"/>
        </w:rPr>
        <w:t>'</w:t>
      </w:r>
      <w:r w:rsidR="003746F3" w:rsidRPr="00422183">
        <w:rPr>
          <w:rFonts w:ascii="Rockwell" w:hAnsi="Rockwell"/>
          <w:sz w:val="24"/>
        </w:rPr>
        <w:t xml:space="preserve">éducation de qualité pour tous, (vii) </w:t>
      </w:r>
      <w:r w:rsidRPr="00422183">
        <w:rPr>
          <w:rFonts w:ascii="Rockwell" w:hAnsi="Rockwell"/>
          <w:sz w:val="24"/>
        </w:rPr>
        <w:t>l</w:t>
      </w:r>
      <w:r w:rsidR="006C72DE" w:rsidRPr="00422183">
        <w:rPr>
          <w:rFonts w:ascii="Rockwell" w:hAnsi="Rockwell"/>
          <w:sz w:val="24"/>
        </w:rPr>
        <w:t>'</w:t>
      </w:r>
      <w:r w:rsidRPr="00422183">
        <w:rPr>
          <w:rFonts w:ascii="Rockwell" w:hAnsi="Rockwell"/>
          <w:sz w:val="24"/>
        </w:rPr>
        <w:t>élimination de toutes les formes de vio</w:t>
      </w:r>
      <w:r w:rsidR="003746F3" w:rsidRPr="00422183">
        <w:rPr>
          <w:rFonts w:ascii="Rockwell" w:hAnsi="Rockwell"/>
          <w:sz w:val="24"/>
        </w:rPr>
        <w:t xml:space="preserve">lence surtout envers les femmes, (viii) </w:t>
      </w:r>
      <w:r w:rsidRPr="00422183">
        <w:rPr>
          <w:rFonts w:ascii="Rockwell" w:hAnsi="Rockwell"/>
          <w:sz w:val="24"/>
        </w:rPr>
        <w:t>l</w:t>
      </w:r>
      <w:r w:rsidR="006C72DE" w:rsidRPr="00422183">
        <w:rPr>
          <w:rFonts w:ascii="Rockwell" w:hAnsi="Rockwell"/>
          <w:sz w:val="24"/>
        </w:rPr>
        <w:t>'</w:t>
      </w:r>
      <w:r w:rsidRPr="00422183">
        <w:rPr>
          <w:rFonts w:ascii="Rockwell" w:hAnsi="Rockwell"/>
          <w:sz w:val="24"/>
        </w:rPr>
        <w:t>accès à l</w:t>
      </w:r>
      <w:r w:rsidR="006C72DE" w:rsidRPr="00422183">
        <w:rPr>
          <w:rFonts w:ascii="Rockwell" w:hAnsi="Rockwell"/>
          <w:sz w:val="24"/>
        </w:rPr>
        <w:t>'</w:t>
      </w:r>
      <w:r w:rsidRPr="00422183">
        <w:rPr>
          <w:rFonts w:ascii="Rockwell" w:hAnsi="Rockwell"/>
          <w:sz w:val="24"/>
        </w:rPr>
        <w:t>eau potable et aux conditions d</w:t>
      </w:r>
      <w:r w:rsidR="006C72DE" w:rsidRPr="00422183">
        <w:rPr>
          <w:rFonts w:ascii="Rockwell" w:hAnsi="Rockwell"/>
          <w:sz w:val="24"/>
        </w:rPr>
        <w:t>'</w:t>
      </w:r>
      <w:r w:rsidR="003746F3" w:rsidRPr="00422183">
        <w:rPr>
          <w:rFonts w:ascii="Rockwell" w:hAnsi="Rockwell"/>
          <w:sz w:val="24"/>
        </w:rPr>
        <w:t xml:space="preserve">hygiène, (ix) </w:t>
      </w:r>
      <w:r w:rsidRPr="00422183">
        <w:rPr>
          <w:rFonts w:ascii="Rockwell" w:hAnsi="Rockwell"/>
          <w:sz w:val="24"/>
        </w:rPr>
        <w:t>la promotion d</w:t>
      </w:r>
      <w:r w:rsidR="006C72DE" w:rsidRPr="00422183">
        <w:rPr>
          <w:rFonts w:ascii="Rockwell" w:hAnsi="Rockwell"/>
          <w:sz w:val="24"/>
        </w:rPr>
        <w:t>'</w:t>
      </w:r>
      <w:r w:rsidRPr="00422183">
        <w:rPr>
          <w:rFonts w:ascii="Rockwell" w:hAnsi="Rockwell"/>
          <w:sz w:val="24"/>
        </w:rPr>
        <w:t>une croissance économique soutenue, parta</w:t>
      </w:r>
      <w:r w:rsidR="003746F3" w:rsidRPr="00422183">
        <w:rPr>
          <w:rFonts w:ascii="Rockwell" w:hAnsi="Rockwell"/>
          <w:sz w:val="24"/>
        </w:rPr>
        <w:t xml:space="preserve">gée et durable, (x) </w:t>
      </w:r>
      <w:r w:rsidRPr="00422183">
        <w:rPr>
          <w:rFonts w:ascii="Rockwell" w:hAnsi="Rockwell"/>
          <w:sz w:val="24"/>
        </w:rPr>
        <w:t>la création de l</w:t>
      </w:r>
      <w:r w:rsidR="006C72DE" w:rsidRPr="00422183">
        <w:rPr>
          <w:rFonts w:ascii="Rockwell" w:hAnsi="Rockwell"/>
          <w:sz w:val="24"/>
        </w:rPr>
        <w:t>'</w:t>
      </w:r>
      <w:r w:rsidR="003746F3" w:rsidRPr="00422183">
        <w:rPr>
          <w:rFonts w:ascii="Rockwell" w:hAnsi="Rockwell"/>
          <w:sz w:val="24"/>
        </w:rPr>
        <w:t xml:space="preserve">emploi décent, (xi) </w:t>
      </w:r>
      <w:r w:rsidRPr="00422183">
        <w:rPr>
          <w:rFonts w:ascii="Rockwell" w:hAnsi="Rockwell"/>
          <w:sz w:val="24"/>
        </w:rPr>
        <w:t>la mise en place d</w:t>
      </w:r>
      <w:r w:rsidR="006C72DE" w:rsidRPr="00422183">
        <w:rPr>
          <w:rFonts w:ascii="Rockwell" w:hAnsi="Rockwell"/>
          <w:sz w:val="24"/>
        </w:rPr>
        <w:t>'</w:t>
      </w:r>
      <w:r w:rsidRPr="00422183">
        <w:rPr>
          <w:rFonts w:ascii="Rockwell" w:hAnsi="Rockwell"/>
          <w:sz w:val="24"/>
        </w:rPr>
        <w:t xml:space="preserve">infrastructures résilientes et </w:t>
      </w:r>
      <w:r w:rsidR="003746F3" w:rsidRPr="00422183">
        <w:rPr>
          <w:rFonts w:ascii="Rockwell" w:hAnsi="Rockwell"/>
          <w:sz w:val="24"/>
        </w:rPr>
        <w:t xml:space="preserve">d'une industrie durable, (xii) </w:t>
      </w:r>
      <w:r w:rsidRPr="00422183">
        <w:rPr>
          <w:rFonts w:ascii="Rockwell" w:hAnsi="Rockwell"/>
          <w:sz w:val="24"/>
        </w:rPr>
        <w:t>la réduction des inég</w:t>
      </w:r>
      <w:r w:rsidR="003746F3" w:rsidRPr="00422183">
        <w:rPr>
          <w:rFonts w:ascii="Rockwell" w:hAnsi="Rockwell"/>
          <w:sz w:val="24"/>
        </w:rPr>
        <w:t>alités sous toutes leurs formes, (xiii) la p</w:t>
      </w:r>
      <w:r w:rsidRPr="00422183">
        <w:rPr>
          <w:rFonts w:ascii="Rockwell" w:hAnsi="Rockwell"/>
          <w:sz w:val="24"/>
        </w:rPr>
        <w:t>romotion des modes de product</w:t>
      </w:r>
      <w:r w:rsidR="003746F3" w:rsidRPr="00422183">
        <w:rPr>
          <w:rFonts w:ascii="Rockwell" w:hAnsi="Rockwell"/>
          <w:sz w:val="24"/>
        </w:rPr>
        <w:t xml:space="preserve">ion et de consommation durables, (xiv) </w:t>
      </w:r>
      <w:r w:rsidRPr="00422183">
        <w:rPr>
          <w:rFonts w:ascii="Rockwell" w:hAnsi="Rockwell"/>
          <w:sz w:val="24"/>
        </w:rPr>
        <w:t>le renforcement de la résilience des capacités d</w:t>
      </w:r>
      <w:r w:rsidR="006C72DE" w:rsidRPr="00422183">
        <w:rPr>
          <w:rFonts w:ascii="Rockwell" w:hAnsi="Rockwell"/>
          <w:sz w:val="24"/>
        </w:rPr>
        <w:t>'</w:t>
      </w:r>
      <w:r w:rsidRPr="00422183">
        <w:rPr>
          <w:rFonts w:ascii="Rockwell" w:hAnsi="Rockwell"/>
          <w:sz w:val="24"/>
        </w:rPr>
        <w:t>adaptation face aux aléas climatiques et aux catastrophes naturelles liées au changement climatique</w:t>
      </w:r>
      <w:r w:rsidR="003746F3" w:rsidRPr="00422183">
        <w:rPr>
          <w:rFonts w:ascii="Rockwell" w:hAnsi="Rockwell"/>
          <w:sz w:val="24"/>
        </w:rPr>
        <w:t>.</w:t>
      </w:r>
    </w:p>
    <w:p w:rsidR="007F4665" w:rsidRPr="00422183" w:rsidRDefault="007F4665" w:rsidP="003A0820">
      <w:pPr>
        <w:spacing w:after="0" w:line="240" w:lineRule="auto"/>
        <w:jc w:val="both"/>
        <w:rPr>
          <w:rFonts w:ascii="Rockwell" w:hAnsi="Rockwell"/>
          <w:sz w:val="24"/>
        </w:rPr>
      </w:pPr>
    </w:p>
    <w:p w:rsidR="00775278" w:rsidRPr="00422183" w:rsidRDefault="00775278" w:rsidP="003A0820">
      <w:pPr>
        <w:spacing w:after="0" w:line="240" w:lineRule="auto"/>
        <w:jc w:val="both"/>
        <w:rPr>
          <w:rFonts w:ascii="Rockwell" w:eastAsia="Times New Roman" w:hAnsi="Rockwell" w:cs="Times New Roman"/>
          <w:sz w:val="24"/>
          <w:szCs w:val="24"/>
        </w:rPr>
      </w:pPr>
      <w:r w:rsidRPr="00422183">
        <w:rPr>
          <w:rFonts w:ascii="Rockwell" w:hAnsi="Rockwell"/>
          <w:sz w:val="24"/>
          <w:szCs w:val="24"/>
        </w:rPr>
        <w:t>Les objectifs</w:t>
      </w:r>
      <w:r w:rsidR="00DD0D2D" w:rsidRPr="00422183">
        <w:rPr>
          <w:rFonts w:ascii="Rockwell" w:hAnsi="Rockwell"/>
          <w:sz w:val="24"/>
          <w:szCs w:val="24"/>
        </w:rPr>
        <w:t xml:space="preserve"> stratégiques du PNDES intè</w:t>
      </w:r>
      <w:r w:rsidRPr="00422183">
        <w:rPr>
          <w:rFonts w:ascii="Rockwell" w:hAnsi="Rockwell"/>
          <w:sz w:val="24"/>
          <w:szCs w:val="24"/>
        </w:rPr>
        <w:t>gre</w:t>
      </w:r>
      <w:r w:rsidR="00DD0D2D" w:rsidRPr="00422183">
        <w:rPr>
          <w:rFonts w:ascii="Rockwell" w:hAnsi="Rockwell"/>
          <w:sz w:val="24"/>
          <w:szCs w:val="24"/>
        </w:rPr>
        <w:t>nt</w:t>
      </w:r>
      <w:r w:rsidRPr="00422183">
        <w:rPr>
          <w:rFonts w:ascii="Rockwell" w:hAnsi="Rockwell"/>
          <w:sz w:val="24"/>
          <w:szCs w:val="24"/>
        </w:rPr>
        <w:t xml:space="preserve"> les principales cibles des ODD </w:t>
      </w:r>
      <w:r w:rsidR="00DD0D2D" w:rsidRPr="00422183">
        <w:rPr>
          <w:rFonts w:ascii="Rockwell" w:hAnsi="Rockwell"/>
          <w:sz w:val="24"/>
          <w:szCs w:val="24"/>
        </w:rPr>
        <w:t>par</w:t>
      </w:r>
      <w:r w:rsidRPr="00422183">
        <w:rPr>
          <w:rFonts w:ascii="Rockwell" w:hAnsi="Rockwell"/>
          <w:sz w:val="24"/>
          <w:szCs w:val="24"/>
        </w:rPr>
        <w:t xml:space="preserve"> une meilleure i</w:t>
      </w:r>
      <w:r w:rsidRPr="00422183">
        <w:rPr>
          <w:rFonts w:ascii="Rockwell" w:eastAsia="Times New Roman" w:hAnsi="Rockwell" w:cs="Times New Roman"/>
          <w:sz w:val="24"/>
          <w:szCs w:val="24"/>
        </w:rPr>
        <w:t xml:space="preserve">ntégration </w:t>
      </w:r>
      <w:r w:rsidR="00DD0D2D" w:rsidRPr="00422183">
        <w:rPr>
          <w:rFonts w:ascii="Rockwell" w:eastAsia="Times New Roman" w:hAnsi="Rockwell" w:cs="Times New Roman"/>
          <w:sz w:val="24"/>
          <w:szCs w:val="24"/>
        </w:rPr>
        <w:t>de la c</w:t>
      </w:r>
      <w:r w:rsidRPr="00422183">
        <w:rPr>
          <w:rFonts w:ascii="Rockwell" w:eastAsia="Times New Roman" w:hAnsi="Rockwell" w:cs="Times New Roman"/>
          <w:sz w:val="24"/>
          <w:szCs w:val="24"/>
        </w:rPr>
        <w:t>roissance et</w:t>
      </w:r>
      <w:r w:rsidR="00DD0D2D" w:rsidRPr="00422183">
        <w:rPr>
          <w:rFonts w:ascii="Rockwell" w:eastAsia="Times New Roman" w:hAnsi="Rockwell" w:cs="Times New Roman"/>
          <w:sz w:val="24"/>
          <w:szCs w:val="24"/>
        </w:rPr>
        <w:t xml:space="preserve"> de la transformation économiques, de la réduction </w:t>
      </w:r>
      <w:r w:rsidRPr="00422183">
        <w:rPr>
          <w:rFonts w:ascii="Rockwell" w:eastAsia="Times New Roman" w:hAnsi="Rockwell" w:cs="Times New Roman"/>
          <w:sz w:val="24"/>
          <w:szCs w:val="24"/>
        </w:rPr>
        <w:t xml:space="preserve">des inégalités et </w:t>
      </w:r>
      <w:r w:rsidR="00DD0D2D" w:rsidRPr="00422183">
        <w:rPr>
          <w:rFonts w:ascii="Rockwell" w:eastAsia="Times New Roman" w:hAnsi="Rockwell" w:cs="Times New Roman"/>
          <w:sz w:val="24"/>
          <w:szCs w:val="24"/>
        </w:rPr>
        <w:t>de l'inclusion sociale, de la durabilité environnementale, de la g</w:t>
      </w:r>
      <w:r w:rsidRPr="00422183">
        <w:rPr>
          <w:rFonts w:ascii="Rockwell" w:eastAsia="Times New Roman" w:hAnsi="Rockwell" w:cs="Times New Roman"/>
          <w:sz w:val="24"/>
          <w:szCs w:val="24"/>
        </w:rPr>
        <w:t>o</w:t>
      </w:r>
      <w:r w:rsidR="00DD0D2D" w:rsidRPr="00422183">
        <w:rPr>
          <w:rFonts w:ascii="Rockwell" w:eastAsia="Times New Roman" w:hAnsi="Rockwell" w:cs="Times New Roman"/>
          <w:sz w:val="24"/>
          <w:szCs w:val="24"/>
        </w:rPr>
        <w:t>uvernance efficace et inclusive.</w:t>
      </w:r>
    </w:p>
    <w:p w:rsidR="00775278" w:rsidRPr="00422183" w:rsidRDefault="00775278" w:rsidP="003A0820">
      <w:pPr>
        <w:spacing w:after="0" w:line="240" w:lineRule="auto"/>
        <w:jc w:val="both"/>
        <w:rPr>
          <w:rFonts w:ascii="Rockwell" w:hAnsi="Rockwell"/>
          <w:sz w:val="24"/>
        </w:rPr>
      </w:pPr>
    </w:p>
    <w:p w:rsidR="00775278" w:rsidRPr="00422183" w:rsidRDefault="00775278" w:rsidP="003A0820">
      <w:pPr>
        <w:spacing w:after="0" w:line="240" w:lineRule="auto"/>
        <w:jc w:val="both"/>
        <w:rPr>
          <w:rFonts w:ascii="Rockwell" w:eastAsia="Times New Roman" w:hAnsi="Rockwell" w:cs="Times New Roman"/>
          <w:sz w:val="24"/>
          <w:szCs w:val="24"/>
        </w:rPr>
      </w:pPr>
      <w:r w:rsidRPr="00422183">
        <w:rPr>
          <w:rFonts w:ascii="Rockwell" w:eastAsia="Times New Roman" w:hAnsi="Rockwell" w:cs="Times New Roman"/>
          <w:sz w:val="24"/>
          <w:szCs w:val="24"/>
        </w:rPr>
        <w:t>Pour le PNDES, au regard des performances limitées en matière d</w:t>
      </w:r>
      <w:r w:rsidR="006C72DE" w:rsidRPr="00422183">
        <w:rPr>
          <w:rFonts w:ascii="Rockwell" w:eastAsia="Times New Roman" w:hAnsi="Rockwell" w:cs="Times New Roman"/>
          <w:sz w:val="24"/>
          <w:szCs w:val="24"/>
        </w:rPr>
        <w:t>'</w:t>
      </w:r>
      <w:r w:rsidRPr="00422183">
        <w:rPr>
          <w:rFonts w:ascii="Rockwell" w:eastAsia="Times New Roman" w:hAnsi="Rockwell" w:cs="Times New Roman"/>
          <w:sz w:val="24"/>
          <w:szCs w:val="24"/>
        </w:rPr>
        <w:t>OMD au niveau des secteurs et des régions, le défi principal est de mettre le pays sur une bonne trajectoire pour l</w:t>
      </w:r>
      <w:r w:rsidR="006C72DE" w:rsidRPr="00422183">
        <w:rPr>
          <w:rFonts w:ascii="Rockwell" w:eastAsia="Times New Roman" w:hAnsi="Rockwell" w:cs="Times New Roman"/>
          <w:sz w:val="24"/>
          <w:szCs w:val="24"/>
        </w:rPr>
        <w:t>'</w:t>
      </w:r>
      <w:r w:rsidRPr="00422183">
        <w:rPr>
          <w:rFonts w:ascii="Rockwell" w:eastAsia="Times New Roman" w:hAnsi="Rockwell" w:cs="Times New Roman"/>
          <w:sz w:val="24"/>
          <w:szCs w:val="24"/>
        </w:rPr>
        <w:t>atteinte de cibles des ODD</w:t>
      </w:r>
      <w:r w:rsidR="00530881" w:rsidRPr="00422183">
        <w:rPr>
          <w:rFonts w:ascii="Rockwell" w:eastAsia="Times New Roman" w:hAnsi="Rockwell" w:cs="Times New Roman"/>
          <w:sz w:val="24"/>
          <w:szCs w:val="24"/>
        </w:rPr>
        <w:t>,</w:t>
      </w:r>
      <w:r w:rsidRPr="00422183">
        <w:rPr>
          <w:rFonts w:ascii="Rockwell" w:eastAsia="Times New Roman" w:hAnsi="Rockwell" w:cs="Times New Roman"/>
          <w:sz w:val="24"/>
          <w:szCs w:val="24"/>
        </w:rPr>
        <w:t xml:space="preserve"> en mettant en place une stratégie de gains rapides suivant les secteurs et les région</w:t>
      </w:r>
      <w:r w:rsidR="00530881" w:rsidRPr="00422183">
        <w:rPr>
          <w:rFonts w:ascii="Rockwell" w:eastAsia="Times New Roman" w:hAnsi="Rockwell" w:cs="Times New Roman"/>
          <w:sz w:val="24"/>
          <w:szCs w:val="24"/>
        </w:rPr>
        <w:t>s accusant plus de retards. Le Tableau 4</w:t>
      </w:r>
      <w:r w:rsidRPr="00422183">
        <w:rPr>
          <w:rFonts w:ascii="Rockwell" w:eastAsia="Times New Roman" w:hAnsi="Rockwell" w:cs="Times New Roman"/>
          <w:sz w:val="24"/>
          <w:szCs w:val="24"/>
        </w:rPr>
        <w:t xml:space="preserve"> résume la correspondance des ob</w:t>
      </w:r>
      <w:r w:rsidR="008579D1" w:rsidRPr="00422183">
        <w:rPr>
          <w:rFonts w:ascii="Rockwell" w:eastAsia="Times New Roman" w:hAnsi="Rockwell" w:cs="Times New Roman"/>
          <w:sz w:val="24"/>
          <w:szCs w:val="24"/>
        </w:rPr>
        <w:t>jectifs stratégiques du PNDES aux</w:t>
      </w:r>
      <w:r w:rsidRPr="00422183">
        <w:rPr>
          <w:rFonts w:ascii="Rockwell" w:eastAsia="Times New Roman" w:hAnsi="Rockwell" w:cs="Times New Roman"/>
          <w:sz w:val="24"/>
          <w:szCs w:val="24"/>
        </w:rPr>
        <w:t xml:space="preserve"> ODD. </w:t>
      </w:r>
    </w:p>
    <w:p w:rsidR="00775278" w:rsidRPr="00422183" w:rsidRDefault="00775278" w:rsidP="003A0820">
      <w:pPr>
        <w:spacing w:after="0" w:line="240" w:lineRule="auto"/>
        <w:jc w:val="both"/>
        <w:rPr>
          <w:rFonts w:ascii="Rockwell" w:hAnsi="Rockwell"/>
          <w:sz w:val="24"/>
        </w:rPr>
      </w:pPr>
    </w:p>
    <w:p w:rsidR="00775278" w:rsidRPr="00422183" w:rsidRDefault="00CE148A" w:rsidP="003A0820">
      <w:pPr>
        <w:pStyle w:val="Lgende"/>
        <w:rPr>
          <w:color w:val="auto"/>
          <w:sz w:val="24"/>
        </w:rPr>
      </w:pPr>
      <w:bookmarkStart w:id="306" w:name="_Toc455079255"/>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4</w:t>
      </w:r>
      <w:r w:rsidR="00491B03" w:rsidRPr="00422183">
        <w:rPr>
          <w:color w:val="auto"/>
          <w:sz w:val="24"/>
        </w:rPr>
        <w:fldChar w:fldCharType="end"/>
      </w:r>
      <w:r w:rsidRPr="00422183">
        <w:rPr>
          <w:color w:val="auto"/>
          <w:sz w:val="24"/>
        </w:rPr>
        <w:t> :</w:t>
      </w:r>
      <w:r w:rsidR="008579D1" w:rsidRPr="00422183">
        <w:rPr>
          <w:color w:val="auto"/>
          <w:sz w:val="24"/>
        </w:rPr>
        <w:t xml:space="preserve"> </w:t>
      </w:r>
      <w:r w:rsidR="006819EA" w:rsidRPr="00422183">
        <w:rPr>
          <w:color w:val="auto"/>
          <w:sz w:val="24"/>
        </w:rPr>
        <w:t xml:space="preserve">cohérence des objectifs stratégiques du PNDES avec les </w:t>
      </w:r>
      <w:r w:rsidR="008579D1" w:rsidRPr="00422183">
        <w:rPr>
          <w:color w:val="auto"/>
          <w:sz w:val="24"/>
        </w:rPr>
        <w:t>ODD</w:t>
      </w:r>
      <w:bookmarkEnd w:id="306"/>
    </w:p>
    <w:tbl>
      <w:tblPr>
        <w:tblStyle w:val="Grilledutableau"/>
        <w:tblW w:w="989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2"/>
        <w:gridCol w:w="2523"/>
        <w:gridCol w:w="5245"/>
      </w:tblGrid>
      <w:tr w:rsidR="0090049C" w:rsidRPr="00422183" w:rsidTr="00EF7082">
        <w:trPr>
          <w:tblHeader/>
        </w:trPr>
        <w:tc>
          <w:tcPr>
            <w:tcW w:w="2122" w:type="dxa"/>
            <w:shd w:val="clear" w:color="auto" w:fill="D9D9D9" w:themeFill="background1" w:themeFillShade="D9"/>
          </w:tcPr>
          <w:p w:rsidR="006367A8" w:rsidRPr="00422183" w:rsidRDefault="006367A8" w:rsidP="003A0820">
            <w:pPr>
              <w:jc w:val="both"/>
              <w:rPr>
                <w:rFonts w:ascii="Rockwell" w:hAnsi="Rockwell"/>
                <w:b/>
                <w:sz w:val="22"/>
                <w:szCs w:val="22"/>
              </w:rPr>
            </w:pPr>
            <w:r w:rsidRPr="00422183">
              <w:rPr>
                <w:rFonts w:ascii="Rockwell" w:hAnsi="Rockwell"/>
                <w:b/>
              </w:rPr>
              <w:t>Axes</w:t>
            </w:r>
          </w:p>
        </w:tc>
        <w:tc>
          <w:tcPr>
            <w:tcW w:w="2523" w:type="dxa"/>
            <w:shd w:val="clear" w:color="auto" w:fill="D9D9D9" w:themeFill="background1" w:themeFillShade="D9"/>
          </w:tcPr>
          <w:p w:rsidR="006367A8" w:rsidRPr="00422183" w:rsidRDefault="006367A8" w:rsidP="003A0820">
            <w:pPr>
              <w:jc w:val="both"/>
              <w:rPr>
                <w:rFonts w:ascii="Rockwell" w:hAnsi="Rockwell"/>
                <w:b/>
                <w:sz w:val="22"/>
                <w:szCs w:val="22"/>
              </w:rPr>
            </w:pPr>
            <w:r w:rsidRPr="00422183">
              <w:rPr>
                <w:rFonts w:ascii="Rockwell" w:hAnsi="Rockwell"/>
                <w:b/>
              </w:rPr>
              <w:t>Objectifs stratégiques</w:t>
            </w:r>
          </w:p>
        </w:tc>
        <w:tc>
          <w:tcPr>
            <w:tcW w:w="5245" w:type="dxa"/>
            <w:shd w:val="clear" w:color="auto" w:fill="D9D9D9" w:themeFill="background1" w:themeFillShade="D9"/>
          </w:tcPr>
          <w:p w:rsidR="006367A8" w:rsidRPr="00422183" w:rsidRDefault="006367A8" w:rsidP="003A0820">
            <w:pPr>
              <w:jc w:val="both"/>
              <w:rPr>
                <w:rFonts w:ascii="Rockwell" w:hAnsi="Rockwell"/>
                <w:b/>
                <w:sz w:val="22"/>
                <w:szCs w:val="22"/>
              </w:rPr>
            </w:pPr>
            <w:r w:rsidRPr="00422183">
              <w:rPr>
                <w:rFonts w:ascii="Rockwell" w:hAnsi="Rockwell"/>
                <w:b/>
              </w:rPr>
              <w:t>ODD</w:t>
            </w:r>
          </w:p>
        </w:tc>
      </w:tr>
      <w:tr w:rsidR="0090049C" w:rsidRPr="00422183" w:rsidTr="00EF7082">
        <w:trPr>
          <w:trHeight w:val="1041"/>
        </w:trPr>
        <w:tc>
          <w:tcPr>
            <w:tcW w:w="2122" w:type="dxa"/>
            <w:vMerge w:val="restart"/>
          </w:tcPr>
          <w:p w:rsidR="006367A8" w:rsidRPr="00422183" w:rsidRDefault="006367A8" w:rsidP="00516FB0">
            <w:pPr>
              <w:jc w:val="both"/>
              <w:rPr>
                <w:rFonts w:ascii="Rockwell" w:hAnsi="Rockwell"/>
                <w:i/>
                <w:sz w:val="22"/>
                <w:szCs w:val="22"/>
              </w:rPr>
            </w:pPr>
            <w:r w:rsidRPr="00422183">
              <w:rPr>
                <w:rFonts w:ascii="Rockwell" w:hAnsi="Rockwell"/>
                <w:i/>
              </w:rPr>
              <w:t>Axe 1 : réformer les institutions et moderniser l'administration</w:t>
            </w:r>
          </w:p>
        </w:tc>
        <w:tc>
          <w:tcPr>
            <w:tcW w:w="2523" w:type="dxa"/>
          </w:tcPr>
          <w:p w:rsidR="006367A8" w:rsidRPr="00422183" w:rsidRDefault="006367A8" w:rsidP="00516FB0">
            <w:pPr>
              <w:jc w:val="both"/>
              <w:rPr>
                <w:rFonts w:ascii="Rockwell" w:hAnsi="Rockwell"/>
                <w:sz w:val="22"/>
                <w:szCs w:val="22"/>
              </w:rPr>
            </w:pPr>
            <w:r w:rsidRPr="00422183">
              <w:rPr>
                <w:rFonts w:ascii="Rockwell" w:hAnsi="Rockwell"/>
              </w:rPr>
              <w:t>OS11. Promouvoir la bonne gouvernance politique et administrative</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kern w:val="24"/>
              </w:rPr>
              <w:t>ODD 16 :</w:t>
            </w:r>
            <w:r w:rsidRPr="00422183">
              <w:rPr>
                <w:rFonts w:ascii="Rockwell" w:hAnsi="Rockwell"/>
                <w:kern w:val="24"/>
              </w:rPr>
              <w:t xml:space="preserve"> Promouvoir l'avènement de sociétés pacifiques et ouvertes à tous aux fins du développement durable, assurer l'accès de tous à la justice et mettre en place, à tous les niveaux, des institutions efficaces, responsables et ouvertes à tous</w:t>
            </w:r>
          </w:p>
        </w:tc>
      </w:tr>
      <w:tr w:rsidR="0090049C" w:rsidRPr="00422183" w:rsidTr="00EF7082">
        <w:trPr>
          <w:trHeight w:val="534"/>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3A0820">
            <w:pPr>
              <w:jc w:val="both"/>
              <w:rPr>
                <w:rFonts w:ascii="Rockwell" w:hAnsi="Rockwell"/>
                <w:sz w:val="22"/>
                <w:szCs w:val="22"/>
              </w:rPr>
            </w:pPr>
            <w:r w:rsidRPr="00422183">
              <w:rPr>
                <w:rFonts w:ascii="Rockwell" w:hAnsi="Rockwell"/>
              </w:rPr>
              <w:t>OS12. Promouvoir la bonne gouvernance économique</w:t>
            </w:r>
          </w:p>
        </w:tc>
        <w:tc>
          <w:tcPr>
            <w:tcW w:w="5245" w:type="dxa"/>
          </w:tcPr>
          <w:p w:rsidR="006367A8" w:rsidRPr="00422183" w:rsidRDefault="006367A8" w:rsidP="003A0820">
            <w:pPr>
              <w:jc w:val="both"/>
              <w:rPr>
                <w:rFonts w:ascii="Rockwell" w:hAnsi="Rockwell"/>
                <w:kern w:val="24"/>
                <w:sz w:val="22"/>
                <w:szCs w:val="22"/>
              </w:rPr>
            </w:pPr>
            <w:r w:rsidRPr="00422183">
              <w:rPr>
                <w:rFonts w:ascii="Rockwell" w:hAnsi="Rockwell"/>
                <w:b/>
                <w:kern w:val="24"/>
              </w:rPr>
              <w:t>ODD 16 :</w:t>
            </w:r>
            <w:r w:rsidRPr="00422183">
              <w:rPr>
                <w:rFonts w:ascii="Rockwell" w:hAnsi="Rockwell"/>
                <w:kern w:val="24"/>
              </w:rPr>
              <w:t xml:space="preserve"> Promouvoir l'avènement de sociétés pacifiques et ouvertes à tous aux fins du développement durable, assurer l'accès de tous à la justice et mettre en place, à tous les niveaux, des institutions efficaces, responsables et ouvertes à tous</w:t>
            </w:r>
          </w:p>
          <w:p w:rsidR="006367A8" w:rsidRPr="00422183" w:rsidRDefault="006367A8" w:rsidP="003A0820">
            <w:pPr>
              <w:jc w:val="both"/>
              <w:rPr>
                <w:rFonts w:ascii="Rockwell" w:hAnsi="Rockwell"/>
                <w:sz w:val="22"/>
                <w:szCs w:val="22"/>
              </w:rPr>
            </w:pPr>
            <w:r w:rsidRPr="00422183">
              <w:rPr>
                <w:rFonts w:ascii="Rockwell" w:hAnsi="Rockwell"/>
                <w:b/>
                <w:kern w:val="24"/>
              </w:rPr>
              <w:t>ODD 17 :</w:t>
            </w:r>
            <w:r w:rsidRPr="00422183">
              <w:rPr>
                <w:rFonts w:ascii="Rockwell" w:hAnsi="Rockwell"/>
                <w:kern w:val="24"/>
              </w:rPr>
              <w:t xml:space="preserve"> Renforcer les moyens de mettre en œuvre le Partenariat mondial pour le développement durable et le revitaliser</w:t>
            </w:r>
          </w:p>
        </w:tc>
      </w:tr>
      <w:tr w:rsidR="0090049C" w:rsidRPr="00422183" w:rsidTr="00EF7082">
        <w:trPr>
          <w:trHeight w:val="471"/>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OS13. Renforcer la décentralisation</w:t>
            </w:r>
            <w:r w:rsidR="00277020" w:rsidRPr="00422183">
              <w:rPr>
                <w:rFonts w:ascii="Rockwell" w:hAnsi="Rockwell"/>
              </w:rPr>
              <w:t>, la gouvernance locale et le développement régional</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kern w:val="24"/>
              </w:rPr>
              <w:t>ODD 16 :</w:t>
            </w:r>
            <w:r w:rsidRPr="00422183">
              <w:rPr>
                <w:rFonts w:ascii="Rockwell" w:hAnsi="Rockwell"/>
                <w:kern w:val="24"/>
              </w:rPr>
              <w:t xml:space="preserve"> Promouvoir l'avènement de sociétés pacifiques et ouvertes à tous aux fins du développement durable, assurer l'accès de tous à la justice et mettre en place, à tous les niveaux, des institutions efficaces, responsables et ouvertes à tous</w:t>
            </w:r>
          </w:p>
        </w:tc>
      </w:tr>
      <w:tr w:rsidR="0090049C" w:rsidRPr="00422183" w:rsidTr="00EF7082">
        <w:trPr>
          <w:trHeight w:val="347"/>
        </w:trPr>
        <w:tc>
          <w:tcPr>
            <w:tcW w:w="2122" w:type="dxa"/>
            <w:vMerge w:val="restart"/>
          </w:tcPr>
          <w:p w:rsidR="006367A8" w:rsidRPr="00422183" w:rsidRDefault="006367A8" w:rsidP="00516FB0">
            <w:pPr>
              <w:jc w:val="both"/>
              <w:rPr>
                <w:rFonts w:ascii="Rockwell" w:hAnsi="Rockwell"/>
                <w:i/>
                <w:sz w:val="22"/>
                <w:szCs w:val="22"/>
              </w:rPr>
            </w:pPr>
            <w:r w:rsidRPr="00422183">
              <w:rPr>
                <w:rFonts w:ascii="Rockwell" w:hAnsi="Rockwell"/>
                <w:i/>
              </w:rPr>
              <w:t>Axe 2 : développer le capital humain</w:t>
            </w: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 xml:space="preserve">OS21. Promouvoir la santé des populations et </w:t>
            </w:r>
            <w:r w:rsidR="00277020" w:rsidRPr="00422183">
              <w:rPr>
                <w:rFonts w:ascii="Rockwell" w:hAnsi="Rockwell"/>
              </w:rPr>
              <w:t>accélérer</w:t>
            </w:r>
            <w:r w:rsidRPr="00422183">
              <w:rPr>
                <w:rFonts w:ascii="Rockwell" w:hAnsi="Rockwell"/>
              </w:rPr>
              <w:t xml:space="preserve"> la transition démographique</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kern w:val="24"/>
              </w:rPr>
              <w:t>ODD 3 :</w:t>
            </w:r>
            <w:r w:rsidRPr="00422183">
              <w:rPr>
                <w:rFonts w:ascii="Rockwell" w:hAnsi="Rockwell"/>
                <w:kern w:val="24"/>
              </w:rPr>
              <w:t xml:space="preserve"> Permettre à tous de vivre en bonne santé et promouvoir le bien-être de tous à tout âge</w:t>
            </w:r>
          </w:p>
        </w:tc>
      </w:tr>
      <w:tr w:rsidR="0090049C" w:rsidRPr="00422183" w:rsidTr="00EF7082">
        <w:trPr>
          <w:trHeight w:val="347"/>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OS22. Accroitre l'offre et améliorer la qualité de l'éducation</w:t>
            </w:r>
            <w:r w:rsidR="00FD50CF" w:rsidRPr="00422183">
              <w:rPr>
                <w:rFonts w:ascii="Rockwell" w:hAnsi="Rockwell"/>
              </w:rPr>
              <w:t xml:space="preserve">, </w:t>
            </w:r>
            <w:r w:rsidR="00277020" w:rsidRPr="00422183">
              <w:rPr>
                <w:rFonts w:ascii="Rockwell" w:hAnsi="Rockwell"/>
              </w:rPr>
              <w:t xml:space="preserve">de l’enseignement supérieur et </w:t>
            </w:r>
            <w:r w:rsidRPr="00422183">
              <w:rPr>
                <w:rFonts w:ascii="Rockwell" w:hAnsi="Rockwell"/>
              </w:rPr>
              <w:t>de la formation</w:t>
            </w:r>
            <w:r w:rsidR="00FD50CF" w:rsidRPr="00422183">
              <w:rPr>
                <w:rFonts w:ascii="Rockwell" w:hAnsi="Rockwell"/>
              </w:rPr>
              <w:t xml:space="preserve"> </w:t>
            </w:r>
            <w:r w:rsidRPr="00422183">
              <w:rPr>
                <w:rFonts w:ascii="Rockwell" w:hAnsi="Rockwell"/>
              </w:rPr>
              <w:t>en adéquation avec les besoins de l'économie</w:t>
            </w:r>
          </w:p>
        </w:tc>
        <w:tc>
          <w:tcPr>
            <w:tcW w:w="5245" w:type="dxa"/>
          </w:tcPr>
          <w:p w:rsidR="006367A8" w:rsidRPr="00422183" w:rsidRDefault="006367A8" w:rsidP="003A0820">
            <w:pPr>
              <w:jc w:val="both"/>
              <w:rPr>
                <w:rFonts w:ascii="Rockwell" w:hAnsi="Rockwell"/>
                <w:kern w:val="24"/>
                <w:sz w:val="22"/>
                <w:szCs w:val="22"/>
              </w:rPr>
            </w:pPr>
            <w:r w:rsidRPr="00422183">
              <w:rPr>
                <w:rFonts w:ascii="Rockwell" w:hAnsi="Rockwell"/>
                <w:b/>
                <w:kern w:val="24"/>
              </w:rPr>
              <w:t>ODD4 :</w:t>
            </w:r>
            <w:r w:rsidRPr="00422183">
              <w:rPr>
                <w:rFonts w:ascii="Rockwell" w:hAnsi="Rockwell"/>
                <w:kern w:val="24"/>
              </w:rPr>
              <w:t xml:space="preserve"> Assurer l'accès de tous à une éducation de qualité, sur un pied d'égalité, et promouvoir les possibilités d'apprentissage tout au long de la vie</w:t>
            </w:r>
          </w:p>
          <w:p w:rsidR="006367A8" w:rsidRPr="00422183" w:rsidRDefault="006367A8" w:rsidP="003A0820">
            <w:pPr>
              <w:jc w:val="both"/>
              <w:rPr>
                <w:rFonts w:ascii="Rockwell" w:hAnsi="Rockwell"/>
                <w:kern w:val="24"/>
                <w:sz w:val="22"/>
                <w:szCs w:val="22"/>
              </w:rPr>
            </w:pPr>
            <w:r w:rsidRPr="00422183">
              <w:rPr>
                <w:rFonts w:ascii="Rockwell" w:hAnsi="Rockwell"/>
                <w:kern w:val="24"/>
              </w:rPr>
              <w:t>ODD5 : Parvenir à l'égalité des sexes et autonomiser toutes les femmes et les filles</w:t>
            </w:r>
          </w:p>
          <w:p w:rsidR="006367A8" w:rsidRPr="00422183" w:rsidRDefault="006367A8" w:rsidP="003A0820">
            <w:pPr>
              <w:jc w:val="both"/>
              <w:rPr>
                <w:rFonts w:ascii="Rockwell" w:hAnsi="Rockwell"/>
                <w:kern w:val="24"/>
                <w:sz w:val="22"/>
                <w:szCs w:val="22"/>
              </w:rPr>
            </w:pPr>
            <w:r w:rsidRPr="00422183">
              <w:rPr>
                <w:rFonts w:ascii="Rockwell" w:hAnsi="Rockwell"/>
                <w:kern w:val="24"/>
              </w:rPr>
              <w:t>ODD10 : Réduire les inégalités dans tous les pays et d’un pays à l’autre</w:t>
            </w:r>
          </w:p>
        </w:tc>
      </w:tr>
      <w:tr w:rsidR="0090049C" w:rsidRPr="00422183" w:rsidTr="00EF7082">
        <w:trPr>
          <w:trHeight w:val="523"/>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3A0820">
            <w:pPr>
              <w:jc w:val="both"/>
              <w:rPr>
                <w:rFonts w:ascii="Rockwell" w:hAnsi="Rockwell"/>
                <w:sz w:val="22"/>
                <w:szCs w:val="22"/>
              </w:rPr>
            </w:pPr>
            <w:r w:rsidRPr="00422183">
              <w:rPr>
                <w:rFonts w:ascii="Rockwell" w:hAnsi="Rockwell"/>
              </w:rPr>
              <w:t>OS23. Promouvoir la recherche et l'innovation au service de la transformation structurelle de l'économie</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ODD9 :</w:t>
            </w:r>
            <w:r w:rsidRPr="00422183">
              <w:rPr>
                <w:rFonts w:ascii="Rockwell" w:hAnsi="Rockwell"/>
              </w:rPr>
              <w:t xml:space="preserve"> Bâtir une infrastructure résiliente, promouvoir une industrialisation durable qui profite à tous et encourager l'innovation</w:t>
            </w:r>
          </w:p>
        </w:tc>
      </w:tr>
      <w:tr w:rsidR="0090049C" w:rsidRPr="00422183" w:rsidTr="00EF7082">
        <w:trPr>
          <w:trHeight w:val="497"/>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 xml:space="preserve">OS24. Promouvoir l'emploi décent et la protection sociale pour tous, </w:t>
            </w:r>
            <w:r w:rsidR="00277020" w:rsidRPr="00422183">
              <w:rPr>
                <w:rFonts w:ascii="Rockwell" w:hAnsi="Rockwell"/>
              </w:rPr>
              <w:t>y compris</w:t>
            </w:r>
            <w:r w:rsidRPr="00422183">
              <w:rPr>
                <w:rFonts w:ascii="Rockwell" w:hAnsi="Rockwell"/>
              </w:rPr>
              <w:t xml:space="preserve"> les jeunes et les femmes</w:t>
            </w:r>
          </w:p>
        </w:tc>
        <w:tc>
          <w:tcPr>
            <w:tcW w:w="5245" w:type="dxa"/>
          </w:tcPr>
          <w:p w:rsidR="006367A8" w:rsidRPr="00422183" w:rsidRDefault="006367A8" w:rsidP="00516FB0">
            <w:pPr>
              <w:jc w:val="both"/>
              <w:rPr>
                <w:rFonts w:ascii="Rockwell" w:hAnsi="Rockwell"/>
                <w:sz w:val="22"/>
                <w:szCs w:val="22"/>
              </w:rPr>
            </w:pPr>
            <w:r w:rsidRPr="00422183">
              <w:rPr>
                <w:rFonts w:ascii="Rockwell" w:hAnsi="Rockwell"/>
                <w:b/>
              </w:rPr>
              <w:t>ODD8 :</w:t>
            </w:r>
            <w:r w:rsidRPr="00422183">
              <w:rPr>
                <w:rFonts w:ascii="Rockwell" w:hAnsi="Rockwell"/>
              </w:rPr>
              <w:t xml:space="preserve"> Promouvoir une croissance économique soutenue, partagée et durable, le plein emploi productif et un travail décent pour tous</w:t>
            </w:r>
          </w:p>
        </w:tc>
      </w:tr>
      <w:tr w:rsidR="0090049C" w:rsidRPr="00422183" w:rsidTr="00EF7082">
        <w:trPr>
          <w:trHeight w:val="591"/>
        </w:trPr>
        <w:tc>
          <w:tcPr>
            <w:tcW w:w="2122" w:type="dxa"/>
            <w:vMerge/>
          </w:tcPr>
          <w:p w:rsidR="006367A8" w:rsidRPr="00422183" w:rsidRDefault="006367A8" w:rsidP="003A0820">
            <w:pPr>
              <w:jc w:val="both"/>
              <w:rPr>
                <w:rFonts w:ascii="Rockwell" w:hAnsi="Rockwell"/>
                <w:b/>
                <w:sz w:val="22"/>
                <w:szCs w:val="22"/>
              </w:rPr>
            </w:pP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 xml:space="preserve">OS25. Améliorer </w:t>
            </w:r>
            <w:r w:rsidR="00277020" w:rsidRPr="00422183">
              <w:rPr>
                <w:rFonts w:ascii="Rockwell" w:hAnsi="Rockwell"/>
              </w:rPr>
              <w:t xml:space="preserve">le cadre de vie, </w:t>
            </w:r>
            <w:r w:rsidRPr="00422183">
              <w:rPr>
                <w:rFonts w:ascii="Rockwell" w:hAnsi="Rockwell"/>
              </w:rPr>
              <w:t>l'</w:t>
            </w:r>
            <w:r w:rsidR="00277020" w:rsidRPr="00422183">
              <w:rPr>
                <w:rFonts w:ascii="Rockwell" w:hAnsi="Rockwell"/>
              </w:rPr>
              <w:t>accès à l'eau, l'assainissement et aux services énergétiques de qualité.</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ODD6 :</w:t>
            </w:r>
            <w:r w:rsidRPr="00422183">
              <w:rPr>
                <w:rFonts w:ascii="Rockwell" w:hAnsi="Rockwell"/>
              </w:rPr>
              <w:t xml:space="preserve"> Garantir l'accès de tous à l'eau et à 'assainissement et assurer une gestion durable des ressources en eau</w:t>
            </w:r>
          </w:p>
          <w:p w:rsidR="006367A8" w:rsidRPr="00422183" w:rsidRDefault="006367A8" w:rsidP="003A0820">
            <w:pPr>
              <w:jc w:val="both"/>
              <w:rPr>
                <w:rFonts w:ascii="Rockwell" w:hAnsi="Rockwell"/>
                <w:sz w:val="22"/>
                <w:szCs w:val="22"/>
              </w:rPr>
            </w:pPr>
            <w:r w:rsidRPr="00422183">
              <w:rPr>
                <w:rFonts w:ascii="Rockwell" w:hAnsi="Rockwell"/>
                <w:b/>
              </w:rPr>
              <w:t>ODD7 :</w:t>
            </w:r>
            <w:r w:rsidRPr="00422183">
              <w:rPr>
                <w:rFonts w:ascii="Rockwell" w:hAnsi="Rockwell"/>
              </w:rPr>
              <w:t xml:space="preserve"> Garantir l'accès de tous à des services énergétiques, fiables, durables et modernes à un coût abordable </w:t>
            </w:r>
          </w:p>
          <w:p w:rsidR="006367A8" w:rsidRPr="00422183" w:rsidRDefault="006367A8" w:rsidP="003A0820">
            <w:pPr>
              <w:jc w:val="both"/>
              <w:rPr>
                <w:rFonts w:ascii="Rockwell" w:hAnsi="Rockwell"/>
                <w:sz w:val="22"/>
                <w:szCs w:val="22"/>
              </w:rPr>
            </w:pPr>
            <w:r w:rsidRPr="00422183">
              <w:rPr>
                <w:rFonts w:ascii="Rockwell" w:hAnsi="Rockwell"/>
                <w:b/>
              </w:rPr>
              <w:t>ODD9 :</w:t>
            </w:r>
            <w:r w:rsidRPr="00422183">
              <w:rPr>
                <w:rFonts w:ascii="Rockwell" w:hAnsi="Rockwell"/>
              </w:rPr>
              <w:t xml:space="preserve"> Bâtir une infrastructure résiliente, promouvoir une industrialisation durable qui profite à tous et encourager l'innovation</w:t>
            </w:r>
          </w:p>
        </w:tc>
      </w:tr>
      <w:tr w:rsidR="0090049C" w:rsidRPr="00422183" w:rsidTr="00EF7082">
        <w:trPr>
          <w:trHeight w:val="332"/>
        </w:trPr>
        <w:tc>
          <w:tcPr>
            <w:tcW w:w="2122" w:type="dxa"/>
            <w:vMerge w:val="restart"/>
          </w:tcPr>
          <w:p w:rsidR="006367A8" w:rsidRPr="00422183" w:rsidRDefault="006367A8" w:rsidP="00516FB0">
            <w:pPr>
              <w:jc w:val="both"/>
              <w:rPr>
                <w:rFonts w:ascii="Rockwell" w:hAnsi="Rockwell"/>
                <w:i/>
                <w:sz w:val="22"/>
                <w:szCs w:val="22"/>
              </w:rPr>
            </w:pPr>
            <w:r w:rsidRPr="00422183">
              <w:rPr>
                <w:rFonts w:ascii="Rockwell" w:hAnsi="Rockwell"/>
                <w:i/>
              </w:rPr>
              <w:t>Axe 3 : dynamiser les secteurs porteurs pour l'économie et l'emploi</w:t>
            </w: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 xml:space="preserve">OS31. Développer un secteur agro-sylvo-pastoral, </w:t>
            </w:r>
            <w:r w:rsidR="00277020" w:rsidRPr="00422183">
              <w:rPr>
                <w:rFonts w:ascii="Rockwell" w:hAnsi="Rockwell"/>
              </w:rPr>
              <w:t xml:space="preserve">faunique et </w:t>
            </w:r>
            <w:r w:rsidRPr="00422183">
              <w:rPr>
                <w:rFonts w:ascii="Rockwell" w:hAnsi="Rockwell"/>
              </w:rPr>
              <w:t>halieutique productif</w:t>
            </w:r>
            <w:r w:rsidR="00277020" w:rsidRPr="00422183">
              <w:rPr>
                <w:rFonts w:ascii="Rockwell" w:hAnsi="Rockwell"/>
              </w:rPr>
              <w:t xml:space="preserve"> et résilient</w:t>
            </w:r>
            <w:r w:rsidRPr="00422183">
              <w:rPr>
                <w:rFonts w:ascii="Rockwell" w:hAnsi="Rockwell"/>
              </w:rPr>
              <w:t xml:space="preserve">, davantage orienté vers </w:t>
            </w:r>
            <w:r w:rsidR="00277020" w:rsidRPr="00422183">
              <w:rPr>
                <w:rFonts w:ascii="Rockwell" w:hAnsi="Rockwell"/>
              </w:rPr>
              <w:t>le marché</w:t>
            </w:r>
            <w:r w:rsidRPr="00422183">
              <w:rPr>
                <w:rFonts w:ascii="Rockwell" w:hAnsi="Rockwell"/>
              </w:rPr>
              <w:t xml:space="preserve"> et basé sur les principes de développement durable</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ODD8 :</w:t>
            </w:r>
            <w:r w:rsidRPr="00422183">
              <w:rPr>
                <w:rFonts w:ascii="Rockwell" w:hAnsi="Rockwell"/>
              </w:rPr>
              <w:t xml:space="preserve"> Promouvoir une croissance économique soutenue, partagée et durable, le plein emploi productif et un travail décent pour tous</w:t>
            </w:r>
          </w:p>
          <w:p w:rsidR="006367A8" w:rsidRPr="00422183" w:rsidRDefault="006367A8" w:rsidP="003A0820">
            <w:pPr>
              <w:jc w:val="both"/>
              <w:rPr>
                <w:rFonts w:ascii="Rockwell" w:hAnsi="Rockwell"/>
                <w:sz w:val="22"/>
                <w:szCs w:val="22"/>
              </w:rPr>
            </w:pPr>
            <w:r w:rsidRPr="00422183">
              <w:rPr>
                <w:rFonts w:ascii="Rockwell" w:hAnsi="Rockwell"/>
                <w:b/>
              </w:rPr>
              <w:t>ODD1 :</w:t>
            </w:r>
            <w:r w:rsidRPr="00422183">
              <w:rPr>
                <w:rFonts w:ascii="Rockwell" w:hAnsi="Rockwell"/>
              </w:rPr>
              <w:t xml:space="preserve"> Eliminer la pauvreté sous toutes ses formes et partout dans le monde</w:t>
            </w:r>
          </w:p>
          <w:p w:rsidR="006367A8" w:rsidRPr="00422183" w:rsidRDefault="006367A8" w:rsidP="003A0820">
            <w:pPr>
              <w:jc w:val="both"/>
              <w:rPr>
                <w:rFonts w:ascii="Rockwell" w:hAnsi="Rockwell"/>
                <w:sz w:val="22"/>
                <w:szCs w:val="22"/>
              </w:rPr>
            </w:pPr>
            <w:r w:rsidRPr="00422183">
              <w:rPr>
                <w:rFonts w:ascii="Rockwell" w:hAnsi="Rockwell"/>
                <w:b/>
              </w:rPr>
              <w:t>ODD2 :</w:t>
            </w:r>
            <w:r w:rsidRPr="00422183">
              <w:rPr>
                <w:rFonts w:ascii="Rockwell" w:hAnsi="Rockwell"/>
              </w:rPr>
              <w:t xml:space="preserve"> Eliminer la faim, assurer la sécurité alimentaire, améliorer la nutrition et promouvoir l'agriculture durable </w:t>
            </w:r>
          </w:p>
        </w:tc>
      </w:tr>
      <w:tr w:rsidR="0090049C" w:rsidRPr="00422183" w:rsidTr="00EF7082">
        <w:trPr>
          <w:trHeight w:val="280"/>
        </w:trPr>
        <w:tc>
          <w:tcPr>
            <w:tcW w:w="2122" w:type="dxa"/>
            <w:vMerge/>
          </w:tcPr>
          <w:p w:rsidR="006367A8" w:rsidRPr="00422183" w:rsidRDefault="006367A8" w:rsidP="003A0820">
            <w:pPr>
              <w:ind w:left="360"/>
              <w:jc w:val="both"/>
              <w:rPr>
                <w:rFonts w:ascii="Rockwell" w:hAnsi="Rockwell"/>
                <w:sz w:val="22"/>
                <w:szCs w:val="22"/>
              </w:rPr>
            </w:pPr>
          </w:p>
        </w:tc>
        <w:tc>
          <w:tcPr>
            <w:tcW w:w="2523" w:type="dxa"/>
          </w:tcPr>
          <w:p w:rsidR="006367A8" w:rsidRPr="00422183" w:rsidRDefault="006367A8" w:rsidP="003A0820">
            <w:pPr>
              <w:jc w:val="both"/>
              <w:rPr>
                <w:rFonts w:ascii="Rockwell" w:hAnsi="Rockwell"/>
                <w:sz w:val="22"/>
                <w:szCs w:val="22"/>
              </w:rPr>
            </w:pPr>
            <w:r w:rsidRPr="00422183">
              <w:rPr>
                <w:rFonts w:ascii="Rockwell" w:hAnsi="Rockwell"/>
              </w:rPr>
              <w:t>OS32. Développer un secteur industriel et un artisanal compétitif, à forte valeur ajoutée et créateur d'emplois décents.</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ODD8 :</w:t>
            </w:r>
            <w:r w:rsidRPr="00422183">
              <w:rPr>
                <w:rFonts w:ascii="Rockwell" w:hAnsi="Rockwell"/>
              </w:rPr>
              <w:t xml:space="preserve"> Promouvoir une croissance économique soutenue, partagée et durable, le plein emploi productif et un travail décent pour tous</w:t>
            </w:r>
          </w:p>
          <w:p w:rsidR="006367A8" w:rsidRPr="00422183" w:rsidRDefault="006367A8" w:rsidP="003A0820">
            <w:pPr>
              <w:jc w:val="both"/>
              <w:rPr>
                <w:rFonts w:ascii="Rockwell" w:hAnsi="Rockwell"/>
                <w:sz w:val="22"/>
                <w:szCs w:val="22"/>
              </w:rPr>
            </w:pPr>
            <w:r w:rsidRPr="00422183">
              <w:rPr>
                <w:rFonts w:ascii="Rockwell" w:hAnsi="Rockwell"/>
                <w:b/>
              </w:rPr>
              <w:t>ODD9 :</w:t>
            </w:r>
            <w:r w:rsidRPr="00422183">
              <w:rPr>
                <w:rFonts w:ascii="Rockwell" w:hAnsi="Rockwell"/>
              </w:rPr>
              <w:t xml:space="preserve"> Bâtir une infrastructure résiliente, promouvoir une industrialisation durable qui profite à tous et encourager l'innovation</w:t>
            </w:r>
          </w:p>
        </w:tc>
      </w:tr>
      <w:tr w:rsidR="0090049C" w:rsidRPr="00422183" w:rsidTr="00EF7082">
        <w:trPr>
          <w:trHeight w:val="844"/>
        </w:trPr>
        <w:tc>
          <w:tcPr>
            <w:tcW w:w="2122" w:type="dxa"/>
            <w:vMerge/>
          </w:tcPr>
          <w:p w:rsidR="006367A8" w:rsidRPr="00422183" w:rsidRDefault="006367A8" w:rsidP="003A0820">
            <w:pPr>
              <w:ind w:left="360"/>
              <w:jc w:val="both"/>
              <w:rPr>
                <w:rFonts w:ascii="Rockwell" w:hAnsi="Rockwell"/>
                <w:sz w:val="22"/>
                <w:szCs w:val="22"/>
              </w:rPr>
            </w:pPr>
          </w:p>
        </w:tc>
        <w:tc>
          <w:tcPr>
            <w:tcW w:w="2523" w:type="dxa"/>
          </w:tcPr>
          <w:p w:rsidR="006367A8" w:rsidRPr="00422183" w:rsidRDefault="006367A8" w:rsidP="003A0820">
            <w:pPr>
              <w:jc w:val="both"/>
              <w:rPr>
                <w:rFonts w:ascii="Rockwell" w:hAnsi="Rockwell"/>
                <w:sz w:val="22"/>
                <w:szCs w:val="22"/>
              </w:rPr>
            </w:pPr>
            <w:r w:rsidRPr="00422183">
              <w:rPr>
                <w:rFonts w:ascii="Rockwell" w:hAnsi="Rockwell"/>
              </w:rPr>
              <w:t>OS33. Promouvoir l'expansion des industries de services à forte valeur ajoutée et créatrices d'emplois décents</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ODD9 :</w:t>
            </w:r>
            <w:r w:rsidRPr="00422183">
              <w:rPr>
                <w:rFonts w:ascii="Rockwell" w:hAnsi="Rockwell"/>
              </w:rPr>
              <w:t xml:space="preserve"> Bâtir une infrastructure résiliente, promouvoir une industrialisation durable qui profite à tous et encourager l'innovation</w:t>
            </w:r>
          </w:p>
        </w:tc>
      </w:tr>
      <w:tr w:rsidR="0090049C" w:rsidRPr="00422183" w:rsidTr="00EF7082">
        <w:trPr>
          <w:trHeight w:val="1202"/>
        </w:trPr>
        <w:tc>
          <w:tcPr>
            <w:tcW w:w="2122" w:type="dxa"/>
            <w:vMerge/>
          </w:tcPr>
          <w:p w:rsidR="006367A8" w:rsidRPr="00422183" w:rsidRDefault="006367A8" w:rsidP="003A0820">
            <w:pPr>
              <w:ind w:left="360"/>
              <w:jc w:val="both"/>
              <w:rPr>
                <w:rFonts w:ascii="Rockwell" w:hAnsi="Rockwell"/>
                <w:sz w:val="22"/>
                <w:szCs w:val="22"/>
              </w:rPr>
            </w:pPr>
          </w:p>
        </w:tc>
        <w:tc>
          <w:tcPr>
            <w:tcW w:w="2523" w:type="dxa"/>
          </w:tcPr>
          <w:p w:rsidR="006367A8" w:rsidRPr="00422183" w:rsidRDefault="006367A8" w:rsidP="00277020">
            <w:pPr>
              <w:jc w:val="both"/>
              <w:rPr>
                <w:rFonts w:ascii="Rockwell" w:hAnsi="Rockwell"/>
                <w:sz w:val="22"/>
                <w:szCs w:val="22"/>
              </w:rPr>
            </w:pPr>
            <w:r w:rsidRPr="00422183">
              <w:rPr>
                <w:rFonts w:ascii="Rockwell" w:hAnsi="Rockwell"/>
              </w:rPr>
              <w:t>OS34. Développer des infrastructures de qualité</w:t>
            </w:r>
            <w:r w:rsidR="00277020" w:rsidRPr="00422183">
              <w:rPr>
                <w:rFonts w:ascii="Rockwell" w:hAnsi="Rockwell"/>
              </w:rPr>
              <w:t xml:space="preserve"> et résilientes</w:t>
            </w:r>
            <w:r w:rsidRPr="00422183">
              <w:rPr>
                <w:rFonts w:ascii="Rockwell" w:hAnsi="Rockwell"/>
              </w:rPr>
              <w:t xml:space="preserve">, pour </w:t>
            </w:r>
            <w:r w:rsidR="00277020" w:rsidRPr="00422183">
              <w:rPr>
                <w:rFonts w:ascii="Rockwell" w:hAnsi="Rockwell"/>
              </w:rPr>
              <w:t>faciliter</w:t>
            </w:r>
            <w:r w:rsidRPr="00422183">
              <w:rPr>
                <w:rFonts w:ascii="Rockwell" w:hAnsi="Rockwell"/>
              </w:rPr>
              <w:t xml:space="preserve"> la transformation structurelle de l'économie</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ODD11 :</w:t>
            </w:r>
            <w:r w:rsidRPr="00422183">
              <w:rPr>
                <w:rFonts w:ascii="Rockwell" w:hAnsi="Rockwell"/>
              </w:rPr>
              <w:t xml:space="preserve"> Faire en sorte que les villes et les établissements humains soient ouverts à tous, sûrs, résilients et durables</w:t>
            </w:r>
          </w:p>
        </w:tc>
      </w:tr>
      <w:tr w:rsidR="0090049C" w:rsidRPr="00422183" w:rsidTr="00EF7082">
        <w:trPr>
          <w:trHeight w:val="642"/>
        </w:trPr>
        <w:tc>
          <w:tcPr>
            <w:tcW w:w="2122" w:type="dxa"/>
            <w:vMerge/>
          </w:tcPr>
          <w:p w:rsidR="006367A8" w:rsidRPr="00422183" w:rsidRDefault="006367A8" w:rsidP="003A0820">
            <w:pPr>
              <w:ind w:left="360"/>
              <w:jc w:val="both"/>
              <w:rPr>
                <w:rFonts w:ascii="Rockwell" w:hAnsi="Rockwell"/>
                <w:sz w:val="22"/>
                <w:szCs w:val="22"/>
              </w:rPr>
            </w:pPr>
          </w:p>
        </w:tc>
        <w:tc>
          <w:tcPr>
            <w:tcW w:w="2523" w:type="dxa"/>
          </w:tcPr>
          <w:p w:rsidR="006367A8" w:rsidRPr="00422183" w:rsidRDefault="006367A8" w:rsidP="003A0820">
            <w:pPr>
              <w:jc w:val="both"/>
              <w:rPr>
                <w:rFonts w:ascii="Rockwell" w:hAnsi="Rockwell"/>
                <w:sz w:val="22"/>
                <w:szCs w:val="22"/>
              </w:rPr>
            </w:pPr>
            <w:r w:rsidRPr="00422183">
              <w:rPr>
                <w:rFonts w:ascii="Rockwell" w:hAnsi="Rockwell"/>
              </w:rPr>
              <w:t xml:space="preserve">OS35. Inverser la tendance de la dégradation de l'environnement et assurer durablement la gestion des ressources naturelles </w:t>
            </w:r>
          </w:p>
        </w:tc>
        <w:tc>
          <w:tcPr>
            <w:tcW w:w="5245" w:type="dxa"/>
          </w:tcPr>
          <w:p w:rsidR="006367A8" w:rsidRPr="00422183" w:rsidRDefault="006367A8" w:rsidP="003A0820">
            <w:pPr>
              <w:jc w:val="both"/>
              <w:rPr>
                <w:rFonts w:ascii="Rockwell" w:hAnsi="Rockwell"/>
                <w:sz w:val="22"/>
                <w:szCs w:val="22"/>
              </w:rPr>
            </w:pPr>
            <w:r w:rsidRPr="00422183">
              <w:rPr>
                <w:rFonts w:ascii="Rockwell" w:hAnsi="Rockwell"/>
                <w:b/>
              </w:rPr>
              <w:t>ODD12 :</w:t>
            </w:r>
            <w:r w:rsidRPr="00422183">
              <w:rPr>
                <w:rFonts w:ascii="Rockwell" w:hAnsi="Rockwell"/>
              </w:rPr>
              <w:t xml:space="preserve"> Établir des modes de consommation et de production durables</w:t>
            </w:r>
          </w:p>
          <w:p w:rsidR="006367A8" w:rsidRPr="00422183" w:rsidRDefault="006367A8" w:rsidP="003A0820">
            <w:pPr>
              <w:jc w:val="both"/>
              <w:rPr>
                <w:rFonts w:ascii="Rockwell" w:hAnsi="Rockwell"/>
                <w:sz w:val="22"/>
                <w:szCs w:val="22"/>
              </w:rPr>
            </w:pPr>
            <w:r w:rsidRPr="00422183">
              <w:rPr>
                <w:rFonts w:ascii="Rockwell" w:hAnsi="Rockwell"/>
                <w:b/>
              </w:rPr>
              <w:t>ODD13 :</w:t>
            </w:r>
            <w:r w:rsidRPr="00422183">
              <w:rPr>
                <w:rFonts w:ascii="Rockwell" w:hAnsi="Rockwell"/>
              </w:rPr>
              <w:t xml:space="preserve"> Prendre d’urgence des mesures pour lutter contre les changements climatiques et leurs répercussions</w:t>
            </w:r>
          </w:p>
          <w:p w:rsidR="006367A8" w:rsidRPr="00422183" w:rsidRDefault="006367A8" w:rsidP="003A0820">
            <w:pPr>
              <w:jc w:val="both"/>
              <w:rPr>
                <w:rFonts w:ascii="Rockwell" w:hAnsi="Rockwell"/>
                <w:sz w:val="22"/>
                <w:szCs w:val="22"/>
              </w:rPr>
            </w:pPr>
            <w:r w:rsidRPr="00422183">
              <w:rPr>
                <w:rFonts w:ascii="Rockwell" w:hAnsi="Rockwell"/>
                <w:b/>
              </w:rPr>
              <w:t>ODD15 :</w:t>
            </w:r>
            <w:r w:rsidRPr="00422183">
              <w:rPr>
                <w:rFonts w:ascii="Rockwell" w:hAnsi="Rockwell"/>
              </w:rPr>
              <w:t xml:space="preserve"> </w:t>
            </w:r>
            <w:r w:rsidRPr="00422183">
              <w:rPr>
                <w:rFonts w:ascii="Rockwell" w:eastAsia="Times New Roman" w:hAnsi="Rockwell"/>
                <w:bCs/>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tc>
      </w:tr>
    </w:tbl>
    <w:p w:rsidR="007F4665" w:rsidRPr="00422183" w:rsidRDefault="007F4665" w:rsidP="00516FB0">
      <w:pPr>
        <w:spacing w:after="0" w:line="240" w:lineRule="auto"/>
        <w:jc w:val="both"/>
        <w:rPr>
          <w:rFonts w:ascii="Rockwell" w:hAnsi="Rockwell"/>
          <w:sz w:val="24"/>
        </w:rPr>
      </w:pPr>
    </w:p>
    <w:p w:rsidR="00D73B80" w:rsidRPr="00422183" w:rsidRDefault="007F4665" w:rsidP="00516FB0">
      <w:pPr>
        <w:pStyle w:val="PNDES4"/>
        <w:rPr>
          <w:rFonts w:ascii="Rockwell" w:hAnsi="Rockwell"/>
        </w:rPr>
      </w:pPr>
      <w:bookmarkStart w:id="307" w:name="_Toc453160776"/>
      <w:bookmarkStart w:id="308" w:name="_Toc455132762"/>
      <w:r w:rsidRPr="00422183">
        <w:rPr>
          <w:rFonts w:ascii="Rockwell" w:hAnsi="Rockwell"/>
        </w:rPr>
        <w:t>Orientations stratégiques</w:t>
      </w:r>
      <w:bookmarkEnd w:id="307"/>
      <w:bookmarkEnd w:id="308"/>
    </w:p>
    <w:p w:rsidR="00627B10" w:rsidRPr="00422183" w:rsidRDefault="00627B10" w:rsidP="00516FB0">
      <w:pPr>
        <w:spacing w:after="0" w:line="240" w:lineRule="auto"/>
        <w:jc w:val="both"/>
        <w:rPr>
          <w:rFonts w:ascii="Rockwell" w:hAnsi="Rockwell"/>
          <w:sz w:val="24"/>
        </w:rPr>
      </w:pPr>
    </w:p>
    <w:p w:rsidR="00982398" w:rsidRPr="00422183" w:rsidRDefault="00C32C11"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w:t>
      </w:r>
      <w:r w:rsidR="00982398" w:rsidRPr="00422183">
        <w:rPr>
          <w:rFonts w:ascii="Rockwell" w:hAnsi="Rockwell" w:cs="Times New Roman"/>
          <w:bCs/>
          <w:sz w:val="24"/>
          <w:szCs w:val="24"/>
        </w:rPr>
        <w:t>a stratégie de mise en œuvre s</w:t>
      </w:r>
      <w:r w:rsidR="006C72DE" w:rsidRPr="00422183">
        <w:rPr>
          <w:rFonts w:ascii="Rockwell" w:hAnsi="Rockwell" w:cs="Times New Roman"/>
          <w:bCs/>
          <w:sz w:val="24"/>
          <w:szCs w:val="24"/>
        </w:rPr>
        <w:t>'</w:t>
      </w:r>
      <w:r w:rsidR="00982398" w:rsidRPr="00422183">
        <w:rPr>
          <w:rFonts w:ascii="Rockwell" w:hAnsi="Rockwell" w:cs="Times New Roman"/>
          <w:bCs/>
          <w:sz w:val="24"/>
          <w:szCs w:val="24"/>
        </w:rPr>
        <w:t xml:space="preserve">articule autour des </w:t>
      </w:r>
      <w:r w:rsidR="00C718C1" w:rsidRPr="00422183">
        <w:rPr>
          <w:rFonts w:ascii="Rockwell" w:hAnsi="Rockwell" w:cs="Times New Roman"/>
          <w:bCs/>
          <w:sz w:val="24"/>
          <w:szCs w:val="24"/>
        </w:rPr>
        <w:t xml:space="preserve">objectifs </w:t>
      </w:r>
      <w:r w:rsidR="00982398" w:rsidRPr="00422183">
        <w:rPr>
          <w:rFonts w:ascii="Rockwell" w:hAnsi="Rockwell" w:cs="Times New Roman"/>
          <w:bCs/>
          <w:sz w:val="24"/>
          <w:szCs w:val="24"/>
        </w:rPr>
        <w:t>stratégiques et vise l</w:t>
      </w:r>
      <w:r w:rsidR="006C72DE" w:rsidRPr="00422183">
        <w:rPr>
          <w:rFonts w:ascii="Rockwell" w:hAnsi="Rockwell" w:cs="Times New Roman"/>
          <w:bCs/>
          <w:sz w:val="24"/>
          <w:szCs w:val="24"/>
        </w:rPr>
        <w:t>'</w:t>
      </w:r>
      <w:r w:rsidR="00982398" w:rsidRPr="00422183">
        <w:rPr>
          <w:rFonts w:ascii="Rockwell" w:hAnsi="Rockwell" w:cs="Times New Roman"/>
          <w:bCs/>
          <w:sz w:val="24"/>
          <w:szCs w:val="24"/>
        </w:rPr>
        <w:t xml:space="preserve">atteinte rapide </w:t>
      </w:r>
      <w:r w:rsidR="00C718C1" w:rsidRPr="00422183">
        <w:rPr>
          <w:rFonts w:ascii="Rockwell" w:hAnsi="Rockwell" w:cs="Times New Roman"/>
          <w:bCs/>
          <w:sz w:val="24"/>
          <w:szCs w:val="24"/>
        </w:rPr>
        <w:t>d</w:t>
      </w:r>
      <w:r w:rsidR="00982398" w:rsidRPr="00422183">
        <w:rPr>
          <w:rFonts w:ascii="Rockwell" w:hAnsi="Rockwell" w:cs="Times New Roman"/>
          <w:bCs/>
          <w:sz w:val="24"/>
          <w:szCs w:val="24"/>
        </w:rPr>
        <w:t xml:space="preserve">es effets escomptés du </w:t>
      </w:r>
      <w:r w:rsidR="00C718C1" w:rsidRPr="00422183">
        <w:rPr>
          <w:rFonts w:ascii="Rockwell" w:hAnsi="Rockwell" w:cs="Times New Roman"/>
          <w:bCs/>
          <w:sz w:val="24"/>
          <w:szCs w:val="24"/>
        </w:rPr>
        <w:t>PNDES</w:t>
      </w:r>
      <w:r w:rsidR="00982398" w:rsidRPr="00422183">
        <w:rPr>
          <w:rFonts w:ascii="Rockwell" w:hAnsi="Rockwell" w:cs="Times New Roman"/>
          <w:bCs/>
          <w:sz w:val="24"/>
          <w:szCs w:val="24"/>
        </w:rPr>
        <w:t>.</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4"/>
          <w:numId w:val="3"/>
        </w:numPr>
        <w:rPr>
          <w:rFonts w:ascii="Rockwell" w:hAnsi="Rockwell"/>
        </w:rPr>
      </w:pPr>
      <w:bookmarkStart w:id="309" w:name="_Toc455132763"/>
      <w:r w:rsidRPr="00422183">
        <w:rPr>
          <w:rFonts w:ascii="Rockwell" w:hAnsi="Rockwell"/>
        </w:rPr>
        <w:t>Axe 1 : reformer les institutions et moderniser l'administration</w:t>
      </w:r>
      <w:bookmarkEnd w:id="309"/>
    </w:p>
    <w:p w:rsidR="004A1046" w:rsidRPr="00422183" w:rsidRDefault="004A1046" w:rsidP="003A0820">
      <w:pPr>
        <w:spacing w:after="0" w:line="240" w:lineRule="auto"/>
        <w:jc w:val="both"/>
        <w:rPr>
          <w:rFonts w:ascii="Rockwell" w:hAnsi="Rockwell"/>
          <w:lang w:bidi="en-US"/>
        </w:rPr>
      </w:pPr>
    </w:p>
    <w:p w:rsidR="004A1046" w:rsidRPr="00422183" w:rsidRDefault="004A1046" w:rsidP="004102F5">
      <w:pPr>
        <w:pStyle w:val="PNDES4"/>
        <w:numPr>
          <w:ilvl w:val="5"/>
          <w:numId w:val="3"/>
        </w:numPr>
        <w:rPr>
          <w:rFonts w:ascii="Rockwell" w:hAnsi="Rockwell"/>
        </w:rPr>
      </w:pPr>
      <w:bookmarkStart w:id="310" w:name="_Toc455132764"/>
      <w:r w:rsidRPr="00422183">
        <w:rPr>
          <w:rFonts w:ascii="Rockwell" w:hAnsi="Rockwell"/>
        </w:rPr>
        <w:t>Objectif stratégique 1.1 : promouvoir la bonne gouvernance politique et administrative</w:t>
      </w:r>
      <w:bookmarkEnd w:id="310"/>
    </w:p>
    <w:p w:rsidR="004A1046" w:rsidRPr="00422183" w:rsidRDefault="004A1046" w:rsidP="00516FB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bCs/>
          <w:sz w:val="24"/>
          <w:szCs w:val="24"/>
        </w:rPr>
      </w:pPr>
      <w:r w:rsidRPr="00422183">
        <w:rPr>
          <w:rFonts w:ascii="Rockwell" w:hAnsi="Rockwell"/>
          <w:bCs/>
          <w:sz w:val="24"/>
          <w:szCs w:val="24"/>
        </w:rPr>
        <w:t xml:space="preserve">Pour l’atteinte de l’objectif stratégique, </w:t>
      </w:r>
      <w:r w:rsidR="00D12797" w:rsidRPr="00422183">
        <w:rPr>
          <w:rFonts w:ascii="Rockwell" w:hAnsi="Rockwell"/>
          <w:bCs/>
          <w:sz w:val="24"/>
          <w:szCs w:val="24"/>
        </w:rPr>
        <w:t>sept</w:t>
      </w:r>
      <w:r w:rsidR="006C29D1" w:rsidRPr="00422183">
        <w:rPr>
          <w:rFonts w:ascii="Rockwell" w:hAnsi="Rockwell"/>
          <w:bCs/>
          <w:sz w:val="24"/>
          <w:szCs w:val="24"/>
        </w:rPr>
        <w:t xml:space="preserve"> (</w:t>
      </w:r>
      <w:r w:rsidR="00D12797" w:rsidRPr="00422183">
        <w:rPr>
          <w:rFonts w:ascii="Rockwell" w:hAnsi="Rockwell"/>
          <w:bCs/>
          <w:sz w:val="24"/>
          <w:szCs w:val="24"/>
        </w:rPr>
        <w:t>7</w:t>
      </w:r>
      <w:r w:rsidR="006C29D1" w:rsidRPr="00422183">
        <w:rPr>
          <w:rFonts w:ascii="Rockwell" w:hAnsi="Rockwell"/>
          <w:bCs/>
          <w:sz w:val="24"/>
          <w:szCs w:val="24"/>
        </w:rPr>
        <w:t>)</w:t>
      </w:r>
      <w:r w:rsidRPr="00422183">
        <w:rPr>
          <w:rFonts w:ascii="Rockwell" w:hAnsi="Rockwell"/>
          <w:bCs/>
          <w:sz w:val="24"/>
          <w:szCs w:val="24"/>
        </w:rPr>
        <w:t xml:space="preserve"> effets attendus sont identifiés.</w:t>
      </w:r>
    </w:p>
    <w:p w:rsidR="004A1046" w:rsidRPr="00422183" w:rsidRDefault="004A1046" w:rsidP="003A0820">
      <w:pPr>
        <w:spacing w:after="0" w:line="240" w:lineRule="auto"/>
        <w:jc w:val="both"/>
        <w:rPr>
          <w:rFonts w:ascii="Rockwell" w:hAnsi="Rockwell"/>
          <w:b/>
          <w:bCs/>
          <w:i/>
          <w:sz w:val="24"/>
          <w:szCs w:val="24"/>
        </w:rPr>
      </w:pPr>
    </w:p>
    <w:p w:rsidR="004A1046" w:rsidRPr="00422183" w:rsidRDefault="00E4108F" w:rsidP="003A0820">
      <w:pPr>
        <w:spacing w:after="0" w:line="240" w:lineRule="auto"/>
        <w:jc w:val="both"/>
        <w:rPr>
          <w:rFonts w:ascii="Rockwell" w:hAnsi="Rockwell"/>
          <w:bCs/>
          <w:sz w:val="24"/>
          <w:szCs w:val="24"/>
        </w:rPr>
      </w:pPr>
      <w:r w:rsidRPr="00422183">
        <w:rPr>
          <w:rFonts w:ascii="Rockwell" w:hAnsi="Rockwell"/>
          <w:b/>
          <w:bCs/>
          <w:i/>
          <w:sz w:val="24"/>
          <w:szCs w:val="24"/>
        </w:rPr>
        <w:t>La démocratie, les droits humains, la justice et la paix sont renforcés</w:t>
      </w:r>
      <w:r w:rsidR="004A1046" w:rsidRPr="00422183">
        <w:rPr>
          <w:rFonts w:ascii="Rockwell" w:hAnsi="Rockwell"/>
          <w:bCs/>
          <w:sz w:val="24"/>
          <w:szCs w:val="24"/>
        </w:rPr>
        <w:t xml:space="preserve">. En termes de résultats chiffrés, il s'agira d'accroitre le score </w:t>
      </w:r>
      <w:r w:rsidR="004A1046" w:rsidRPr="00422183">
        <w:rPr>
          <w:rFonts w:ascii="Rockwell" w:eastAsia="Times New Roman" w:hAnsi="Rockwell" w:cs="Times New Roman"/>
          <w:i/>
          <w:sz w:val="24"/>
          <w:szCs w:val="24"/>
        </w:rPr>
        <w:t>Country Policy and Institutional Assessment</w:t>
      </w:r>
      <w:r w:rsidR="004A1046" w:rsidRPr="00422183">
        <w:rPr>
          <w:rFonts w:ascii="Rockwell" w:hAnsi="Rockwell"/>
          <w:bCs/>
          <w:sz w:val="24"/>
          <w:szCs w:val="24"/>
        </w:rPr>
        <w:t xml:space="preserve"> (CPIA) (évaluation des politiques et institutions nationales) relatif à la qualité des institutions de 4,1 en 2015 à 4,8 en 2020, d’améliorer le taux de mise en œuvre de l’examen des recommandations de l’examen périodique universel de 35% en 2015</w:t>
      </w:r>
      <w:r w:rsidR="001D37BF" w:rsidRPr="00422183">
        <w:rPr>
          <w:rFonts w:ascii="Rockwell" w:hAnsi="Rockwell"/>
          <w:bCs/>
          <w:sz w:val="24"/>
          <w:szCs w:val="24"/>
        </w:rPr>
        <w:t>, lié au premier passage, à 15% en 2018 lié au second passage prévu en 2017.</w:t>
      </w:r>
    </w:p>
    <w:p w:rsidR="004A1046" w:rsidRPr="00422183" w:rsidRDefault="004A1046" w:rsidP="003A0820">
      <w:pPr>
        <w:spacing w:after="0" w:line="240" w:lineRule="auto"/>
        <w:jc w:val="both"/>
        <w:rPr>
          <w:rFonts w:ascii="Rockwell" w:hAnsi="Rockwell"/>
          <w:bCs/>
          <w:sz w:val="24"/>
          <w:szCs w:val="24"/>
        </w:rPr>
      </w:pPr>
    </w:p>
    <w:p w:rsidR="004A1046" w:rsidRPr="00422183" w:rsidRDefault="004A1046" w:rsidP="003A0820">
      <w:pPr>
        <w:spacing w:after="0" w:line="240" w:lineRule="auto"/>
        <w:jc w:val="both"/>
        <w:rPr>
          <w:rFonts w:ascii="Rockwell" w:hAnsi="Rockwell"/>
          <w:bCs/>
          <w:sz w:val="24"/>
          <w:szCs w:val="24"/>
        </w:rPr>
      </w:pPr>
      <w:r w:rsidRPr="00422183">
        <w:rPr>
          <w:rFonts w:ascii="Rockwell" w:hAnsi="Rockwell"/>
          <w:bCs/>
          <w:sz w:val="24"/>
          <w:szCs w:val="24"/>
        </w:rPr>
        <w:t xml:space="preserve">Pour atteindre ces résultats, les principales actions à mener porteront sur la réforme de l'administration publique et des institutions afin de moderniser et d’améliorer l'offre de services, le renforcement de la stabilité des institutions, la dépolitisation de l'administration et de la chefferie traditionnelle. L’action publique portera également sur la consolidation de la démocratie et la promotion de la </w:t>
      </w:r>
      <w:r w:rsidR="006B4F3A" w:rsidRPr="00422183">
        <w:rPr>
          <w:rFonts w:ascii="Rockwell" w:hAnsi="Rockwell"/>
          <w:bCs/>
          <w:sz w:val="24"/>
          <w:szCs w:val="24"/>
        </w:rPr>
        <w:t>paix,</w:t>
      </w:r>
      <w:r w:rsidRPr="00422183">
        <w:rPr>
          <w:rFonts w:ascii="Rockwell" w:hAnsi="Rockwell"/>
          <w:bCs/>
          <w:sz w:val="24"/>
          <w:szCs w:val="24"/>
        </w:rPr>
        <w:t xml:space="preserve"> le renforcement de l'indépendance de la justice et l'amélioration de son accès à tous les citoyens, ainsi que la restauration de l'autorité de l'État. La consolidation de la cohésion sociale et la solidarité nationale, le renforcement de la protection des droits humains seront également des actions à mener.</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bCs/>
          <w:sz w:val="24"/>
          <w:szCs w:val="24"/>
        </w:rPr>
      </w:pPr>
      <w:r w:rsidRPr="00422183">
        <w:rPr>
          <w:rFonts w:ascii="Rockwell" w:hAnsi="Rockwell" w:cs="Times New Roman"/>
          <w:b/>
          <w:bCs/>
          <w:i/>
          <w:sz w:val="24"/>
          <w:szCs w:val="24"/>
        </w:rPr>
        <w:t xml:space="preserve">La sécurité </w:t>
      </w:r>
      <w:r w:rsidR="00D12797" w:rsidRPr="00422183">
        <w:rPr>
          <w:rFonts w:ascii="Rockwell" w:hAnsi="Rockwell" w:cs="Times New Roman"/>
          <w:b/>
          <w:bCs/>
          <w:i/>
          <w:sz w:val="24"/>
          <w:szCs w:val="24"/>
        </w:rPr>
        <w:t>est</w:t>
      </w:r>
      <w:r w:rsidRPr="00422183">
        <w:rPr>
          <w:rFonts w:ascii="Rockwell" w:hAnsi="Rockwell" w:cs="Times New Roman"/>
          <w:b/>
          <w:bCs/>
          <w:i/>
          <w:sz w:val="24"/>
          <w:szCs w:val="24"/>
        </w:rPr>
        <w:t xml:space="preserve"> renforcée.</w:t>
      </w:r>
      <w:r w:rsidRPr="00422183">
        <w:rPr>
          <w:rFonts w:ascii="Rockwell" w:hAnsi="Rockwell" w:cs="Times New Roman"/>
          <w:bCs/>
          <w:sz w:val="24"/>
          <w:szCs w:val="24"/>
        </w:rPr>
        <w:t xml:space="preserve"> La principale cible visée à l’horizon 2020 est d’améliorer le taux de maillage du territoire national en services de sécurité opérationnels en le portant de 56,8% en 2015 à 64% en 2018 et 75% en 2020. Les principales orientations porteront sur le renforcement des capacités des forces de de sécurité</w:t>
      </w:r>
      <w:r w:rsidRPr="00422183">
        <w:rPr>
          <w:rFonts w:ascii="Rockwell" w:hAnsi="Rockwell"/>
          <w:bCs/>
          <w:sz w:val="24"/>
          <w:szCs w:val="24"/>
        </w:rPr>
        <w:t xml:space="preserve"> et la promotion de la bonne gouvernance des forces de sécurité.</w:t>
      </w:r>
    </w:p>
    <w:p w:rsidR="00D12797" w:rsidRPr="00422183" w:rsidRDefault="00D12797" w:rsidP="003A0820">
      <w:pPr>
        <w:spacing w:after="0" w:line="240" w:lineRule="auto"/>
        <w:jc w:val="both"/>
        <w:rPr>
          <w:rFonts w:ascii="Rockwell" w:hAnsi="Rockwell"/>
          <w:bCs/>
          <w:sz w:val="24"/>
          <w:szCs w:val="24"/>
        </w:rPr>
      </w:pPr>
    </w:p>
    <w:p w:rsidR="00D12797" w:rsidRPr="00422183" w:rsidRDefault="00D12797" w:rsidP="003A0820">
      <w:pPr>
        <w:spacing w:after="0" w:line="240" w:lineRule="auto"/>
        <w:jc w:val="both"/>
        <w:rPr>
          <w:rFonts w:ascii="Rockwell" w:hAnsi="Rockwell"/>
          <w:bCs/>
          <w:sz w:val="24"/>
          <w:szCs w:val="24"/>
        </w:rPr>
      </w:pPr>
      <w:r w:rsidRPr="00422183">
        <w:rPr>
          <w:rFonts w:ascii="Rockwell" w:hAnsi="Rockwell" w:cs="Times New Roman"/>
          <w:b/>
          <w:bCs/>
          <w:i/>
          <w:sz w:val="24"/>
          <w:szCs w:val="24"/>
        </w:rPr>
        <w:t xml:space="preserve">La défense est renforcée. </w:t>
      </w:r>
      <w:r w:rsidRPr="00422183">
        <w:rPr>
          <w:rFonts w:ascii="Rockwell" w:hAnsi="Rockwell" w:cs="Times New Roman"/>
          <w:bCs/>
          <w:sz w:val="24"/>
          <w:szCs w:val="24"/>
        </w:rPr>
        <w:t xml:space="preserve">Cet effet attendu vise principale à réduire le nombre d’agressions armées du pays à l’horizon 2020 y compris les actes de terrorisme. L’enjeu ultime est d’améliorer la stabilité du pays et son attractivité pour les investissements. Les principales orientations porteront sur le renforcement des capacités des forces de défense, la dépolitisation de </w:t>
      </w:r>
      <w:r w:rsidRPr="00422183">
        <w:rPr>
          <w:rFonts w:ascii="Rockwell" w:hAnsi="Rockwell"/>
          <w:bCs/>
          <w:sz w:val="24"/>
          <w:szCs w:val="24"/>
        </w:rPr>
        <w:t>l'environnement militaire et la promotion de la bonne gouvernance des forces de défense.</w:t>
      </w:r>
    </w:p>
    <w:p w:rsidR="004A1046" w:rsidRPr="00422183" w:rsidRDefault="004A1046" w:rsidP="003A0820">
      <w:pPr>
        <w:spacing w:after="0" w:line="240" w:lineRule="auto"/>
        <w:jc w:val="both"/>
        <w:rPr>
          <w:rFonts w:ascii="Rockwell" w:hAnsi="Rockwell"/>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b/>
          <w:bCs/>
          <w:i/>
          <w:sz w:val="24"/>
          <w:szCs w:val="24"/>
        </w:rPr>
        <w:t>L’accès à l’information juste</w:t>
      </w:r>
      <w:r w:rsidRPr="00422183">
        <w:rPr>
          <w:rFonts w:ascii="Rockwell" w:hAnsi="Rockwell" w:cs="Times New Roman"/>
          <w:b/>
          <w:bCs/>
          <w:i/>
          <w:sz w:val="24"/>
          <w:szCs w:val="24"/>
        </w:rPr>
        <w:t xml:space="preserve"> est assuré pour tous.</w:t>
      </w:r>
      <w:r w:rsidRPr="00422183">
        <w:rPr>
          <w:rFonts w:ascii="Rockwell" w:hAnsi="Rockwell" w:cs="Times New Roman"/>
          <w:bCs/>
          <w:i/>
          <w:sz w:val="24"/>
          <w:szCs w:val="24"/>
        </w:rPr>
        <w:t xml:space="preserve"> </w:t>
      </w:r>
      <w:r w:rsidRPr="00422183">
        <w:rPr>
          <w:rFonts w:ascii="Rockwell" w:hAnsi="Rockwell" w:cs="Times New Roman"/>
          <w:bCs/>
          <w:sz w:val="24"/>
          <w:szCs w:val="24"/>
        </w:rPr>
        <w:t>Il s’agira pour la période 2016-2020 de porter le taux de couverture télévisuelle du territoir</w:t>
      </w:r>
      <w:r w:rsidR="00D12797" w:rsidRPr="00422183">
        <w:rPr>
          <w:rFonts w:ascii="Rockwell" w:hAnsi="Rockwell" w:cs="Times New Roman"/>
          <w:bCs/>
          <w:sz w:val="24"/>
          <w:szCs w:val="24"/>
        </w:rPr>
        <w:t xml:space="preserve">e de 53% en 2015 à 100% en 2020, </w:t>
      </w:r>
      <w:r w:rsidRPr="00422183">
        <w:rPr>
          <w:rFonts w:ascii="Rockwell" w:hAnsi="Rockwell" w:cs="Times New Roman"/>
          <w:bCs/>
          <w:sz w:val="24"/>
          <w:szCs w:val="24"/>
        </w:rPr>
        <w:t>celui de la radio de 48% en 2015 à 80% en 2020</w:t>
      </w:r>
      <w:r w:rsidR="00D12797" w:rsidRPr="00422183">
        <w:rPr>
          <w:rFonts w:ascii="Rockwell" w:hAnsi="Rockwell" w:cs="Times New Roman"/>
          <w:bCs/>
          <w:sz w:val="24"/>
          <w:szCs w:val="24"/>
        </w:rPr>
        <w:t xml:space="preserve"> et la presse écrite publique de 51% en 2015 à 95% en 2020</w:t>
      </w:r>
      <w:r w:rsidRPr="00422183">
        <w:rPr>
          <w:rFonts w:ascii="Rockwell" w:hAnsi="Rockwell" w:cs="Times New Roman"/>
          <w:bCs/>
          <w:sz w:val="24"/>
          <w:szCs w:val="24"/>
        </w:rPr>
        <w:t>. L’action publique sera orientée vers le renforcement de l’accès à l’information juste pour tous sur tout le territoire national.</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
          <w:bCs/>
          <w:i/>
          <w:sz w:val="24"/>
          <w:szCs w:val="24"/>
        </w:rPr>
        <w:t>Les coopérations régionale et internationale sont améliorées</w:t>
      </w:r>
      <w:r w:rsidRPr="00422183">
        <w:rPr>
          <w:rFonts w:ascii="Rockwell" w:hAnsi="Rockwell" w:cs="Times New Roman"/>
          <w:b/>
          <w:bCs/>
          <w:sz w:val="24"/>
          <w:szCs w:val="24"/>
        </w:rPr>
        <w:t>.</w:t>
      </w:r>
      <w:r w:rsidRPr="00422183">
        <w:rPr>
          <w:rFonts w:ascii="Rockwell" w:hAnsi="Rockwell" w:cs="Times New Roman"/>
          <w:bCs/>
          <w:sz w:val="24"/>
          <w:szCs w:val="24"/>
        </w:rPr>
        <w:t xml:space="preserve"> L’ambition du gouvernement est de porter le taux d’internalisation des textes communautaires à 100% en 2020 et de porter la proportion des avis de conformité émis par rapport aux nouveaux projets et programmes à 100% en 2020. Il s’agira pour le gouvernement d’œuvrer au renforcement du rôle du Burkina Faso dans le processus d’intégration sous régionale et régionale, à la promotion des relations de partenariat et de coopération propices à la transformation structurelle de l’économie, à la sensibilisation des partenaires techniques et financiers de l’alignement de leurs interventions sur les priorités nationales et l’implication de la diaspora dans le processus de la transformation structurelle de l’économie.</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
          <w:bCs/>
          <w:i/>
          <w:sz w:val="24"/>
          <w:szCs w:val="24"/>
        </w:rPr>
        <w:t>L’administration publique est efficace et efficiente.</w:t>
      </w:r>
      <w:r w:rsidRPr="00422183">
        <w:rPr>
          <w:rFonts w:ascii="Rockwell" w:hAnsi="Rockwell" w:cs="Times New Roman"/>
          <w:bCs/>
          <w:i/>
          <w:sz w:val="24"/>
          <w:szCs w:val="24"/>
        </w:rPr>
        <w:t xml:space="preserve"> </w:t>
      </w:r>
      <w:r w:rsidRPr="00422183">
        <w:rPr>
          <w:rFonts w:ascii="Rockwell" w:hAnsi="Rockwell" w:cs="Times New Roman"/>
          <w:bCs/>
          <w:sz w:val="24"/>
          <w:szCs w:val="24"/>
        </w:rPr>
        <w:t>Il s’agira d’augmenter de 50% le niveau de satisfaction des usagers de l’administration publique. Pour ce faire, les orientations viseront la modernisation de l’administration publique, le renforcement de la stabilité institutionnelle des différents ministères et organismes publics, le renforcement du respect de la déontologie de l’administration publique, la dépolitisation de l’administration publique et l’amélioration de l’offre de service public.</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
          <w:bCs/>
          <w:i/>
          <w:sz w:val="24"/>
          <w:szCs w:val="24"/>
        </w:rPr>
        <w:t>Le système de redevabilité es</w:t>
      </w:r>
      <w:r w:rsidR="00BF170F" w:rsidRPr="00422183">
        <w:rPr>
          <w:rFonts w:ascii="Rockwell" w:hAnsi="Rockwell" w:cs="Times New Roman"/>
          <w:b/>
          <w:bCs/>
          <w:i/>
          <w:sz w:val="24"/>
          <w:szCs w:val="24"/>
        </w:rPr>
        <w:t>t développé à tous les niveaux</w:t>
      </w:r>
      <w:r w:rsidRPr="00422183">
        <w:rPr>
          <w:rFonts w:ascii="Rockwell" w:hAnsi="Rockwell" w:cs="Times New Roman"/>
          <w:b/>
          <w:bCs/>
          <w:i/>
          <w:sz w:val="24"/>
          <w:szCs w:val="24"/>
        </w:rPr>
        <w:t>.</w:t>
      </w:r>
      <w:r w:rsidRPr="00422183">
        <w:rPr>
          <w:rFonts w:ascii="Rockwell" w:hAnsi="Rockwell" w:cs="Times New Roman"/>
          <w:bCs/>
          <w:i/>
          <w:sz w:val="24"/>
          <w:szCs w:val="24"/>
        </w:rPr>
        <w:t xml:space="preserve"> </w:t>
      </w:r>
      <w:r w:rsidRPr="00422183">
        <w:rPr>
          <w:rFonts w:ascii="Rockwell" w:hAnsi="Rockwell" w:cs="Times New Roman"/>
          <w:bCs/>
          <w:sz w:val="24"/>
          <w:szCs w:val="24"/>
        </w:rPr>
        <w:t>Les résultats chiffrés consisteront à porter l’indice sur le budget ouvert (IBP) de 43/100 en 2015 à 50/100 en 2018 et 55/100 en 2020 et l’Indice de perception de la corruption (IPC) de 38/100 en 2015 à 42/100 en 2018 et à 60/100 en 2020. Les actions consisteront à la promotion et au renforcement du contrôle citoyen à tous les niveaux et au renforcement de la transparence de l’administration publique</w:t>
      </w:r>
      <w:r w:rsidR="006C29D1" w:rsidRPr="00422183">
        <w:rPr>
          <w:rFonts w:ascii="Rockwell" w:hAnsi="Rockwell" w:cs="Times New Roman"/>
          <w:bCs/>
          <w:sz w:val="24"/>
          <w:szCs w:val="24"/>
        </w:rPr>
        <w:t>.</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1" w:name="_Toc455132765"/>
      <w:r w:rsidRPr="00422183">
        <w:rPr>
          <w:rFonts w:ascii="Rockwell" w:hAnsi="Rockwell"/>
        </w:rPr>
        <w:t>Objectif stratégique 1.2 : promouvoir la bonne gouvernance économique</w:t>
      </w:r>
      <w:bookmarkEnd w:id="311"/>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Pour cet objectif stratégique, deux principaux effets attendus sont identifiés.</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
          <w:bCs/>
          <w:i/>
          <w:sz w:val="24"/>
          <w:szCs w:val="24"/>
        </w:rPr>
        <w:t>La planification, la gestion et le financement du développement sont efficaces</w:t>
      </w:r>
      <w:r w:rsidRPr="00422183">
        <w:rPr>
          <w:rFonts w:ascii="Rockwell" w:hAnsi="Rockwell" w:cs="Times New Roman"/>
          <w:b/>
          <w:bCs/>
          <w:sz w:val="24"/>
          <w:szCs w:val="24"/>
        </w:rPr>
        <w:t>.</w:t>
      </w:r>
      <w:r w:rsidRPr="00422183">
        <w:rPr>
          <w:rFonts w:ascii="Rockwell" w:hAnsi="Rockwell" w:cs="Times New Roman"/>
          <w:bCs/>
          <w:sz w:val="24"/>
          <w:szCs w:val="24"/>
        </w:rPr>
        <w:t xml:space="preserve"> En termes de résultats chiffrés, les 14 secteurs de planification devront être adoptés en 2017, la proportion des référentiels de planification validés en 2018 sera de 100%, le taux de pression fiscale devrait passer de 14,2% en 2015 à 19,1% en 2018 </w:t>
      </w:r>
      <w:r w:rsidR="006B4F3A" w:rsidRPr="00422183">
        <w:rPr>
          <w:rFonts w:ascii="Rockwell" w:hAnsi="Rockwell" w:cs="Times New Roman"/>
          <w:bCs/>
          <w:sz w:val="24"/>
          <w:szCs w:val="24"/>
        </w:rPr>
        <w:t>pour atteindre</w:t>
      </w:r>
      <w:r w:rsidRPr="00422183">
        <w:rPr>
          <w:rFonts w:ascii="Rockwell" w:hAnsi="Rockwell" w:cs="Times New Roman"/>
          <w:bCs/>
          <w:sz w:val="24"/>
          <w:szCs w:val="24"/>
        </w:rPr>
        <w:t xml:space="preserve"> 20,1% en 2020, le taux d’absorption des ressources </w:t>
      </w:r>
      <w:r w:rsidR="00BF170F" w:rsidRPr="00422183">
        <w:rPr>
          <w:rFonts w:ascii="Rockwell" w:hAnsi="Rockwell" w:cs="Times New Roman"/>
          <w:bCs/>
          <w:sz w:val="24"/>
          <w:szCs w:val="24"/>
        </w:rPr>
        <w:t xml:space="preserve">extérieures </w:t>
      </w:r>
      <w:r w:rsidRPr="00422183">
        <w:rPr>
          <w:rFonts w:ascii="Rockwell" w:hAnsi="Rockwell" w:cs="Times New Roman"/>
          <w:bCs/>
          <w:sz w:val="24"/>
          <w:szCs w:val="24"/>
        </w:rPr>
        <w:t>passera de 59% en 2014 pour atteindre 1</w:t>
      </w:r>
      <w:r w:rsidR="00BF170F" w:rsidRPr="00422183">
        <w:rPr>
          <w:rFonts w:ascii="Rockwell" w:hAnsi="Rockwell" w:cs="Times New Roman"/>
          <w:bCs/>
          <w:sz w:val="24"/>
          <w:szCs w:val="24"/>
        </w:rPr>
        <w:t xml:space="preserve">00% en 2018 et 2020, le taux de prévisibilité de l’aide </w:t>
      </w:r>
      <w:r w:rsidRPr="00422183">
        <w:rPr>
          <w:rFonts w:ascii="Rockwell" w:hAnsi="Rockwell" w:cs="Times New Roman"/>
          <w:bCs/>
          <w:sz w:val="24"/>
          <w:szCs w:val="24"/>
        </w:rPr>
        <w:t xml:space="preserve">devra également </w:t>
      </w:r>
      <w:r w:rsidR="00BF170F" w:rsidRPr="00422183">
        <w:rPr>
          <w:rFonts w:ascii="Rockwell" w:hAnsi="Rockwell" w:cs="Times New Roman"/>
          <w:bCs/>
          <w:sz w:val="24"/>
          <w:szCs w:val="24"/>
        </w:rPr>
        <w:t>atteindre 60% en 2018</w:t>
      </w:r>
      <w:r w:rsidRPr="00422183">
        <w:rPr>
          <w:rFonts w:ascii="Rockwell" w:hAnsi="Rockwell" w:cs="Times New Roman"/>
          <w:bCs/>
          <w:sz w:val="24"/>
          <w:szCs w:val="24"/>
        </w:rPr>
        <w:t xml:space="preserve"> et </w:t>
      </w:r>
      <w:r w:rsidR="00BF170F" w:rsidRPr="00422183">
        <w:rPr>
          <w:rFonts w:ascii="Rockwell" w:hAnsi="Rockwell" w:cs="Times New Roman"/>
          <w:bCs/>
          <w:sz w:val="24"/>
          <w:szCs w:val="24"/>
        </w:rPr>
        <w:t xml:space="preserve">80% en </w:t>
      </w:r>
      <w:r w:rsidRPr="00422183">
        <w:rPr>
          <w:rFonts w:ascii="Rockwell" w:hAnsi="Rockwell" w:cs="Times New Roman"/>
          <w:bCs/>
          <w:sz w:val="24"/>
          <w:szCs w:val="24"/>
        </w:rPr>
        <w:t xml:space="preserve">2020. Il sera également question de </w:t>
      </w:r>
      <w:r w:rsidR="006B4F3A" w:rsidRPr="00422183">
        <w:rPr>
          <w:rFonts w:ascii="Rockwell" w:hAnsi="Rockwell" w:cs="Times New Roman"/>
          <w:bCs/>
          <w:sz w:val="24"/>
          <w:szCs w:val="24"/>
        </w:rPr>
        <w:t>réduire la</w:t>
      </w:r>
      <w:r w:rsidRPr="00422183">
        <w:rPr>
          <w:rFonts w:ascii="Rockwell" w:hAnsi="Rockwell" w:cs="Times New Roman"/>
          <w:bCs/>
          <w:sz w:val="24"/>
          <w:szCs w:val="24"/>
        </w:rPr>
        <w:t xml:space="preserve"> proportion des dossiers judiciaires sur la fraude, le faux et </w:t>
      </w:r>
      <w:r w:rsidR="006B4F3A" w:rsidRPr="00422183">
        <w:rPr>
          <w:rFonts w:ascii="Rockwell" w:hAnsi="Rockwell" w:cs="Times New Roman"/>
          <w:bCs/>
          <w:sz w:val="24"/>
          <w:szCs w:val="24"/>
        </w:rPr>
        <w:t>le blanchiment classé</w:t>
      </w:r>
      <w:r w:rsidR="00BF170F" w:rsidRPr="00422183">
        <w:rPr>
          <w:rFonts w:ascii="Rockwell" w:hAnsi="Rockwell" w:cs="Times New Roman"/>
          <w:bCs/>
          <w:sz w:val="24"/>
          <w:szCs w:val="24"/>
        </w:rPr>
        <w:t>s</w:t>
      </w:r>
      <w:r w:rsidRPr="00422183">
        <w:rPr>
          <w:rFonts w:ascii="Rockwell" w:hAnsi="Rockwell" w:cs="Times New Roman"/>
          <w:bCs/>
          <w:sz w:val="24"/>
          <w:szCs w:val="24"/>
        </w:rPr>
        <w:t xml:space="preserve"> sans suite à 0% à l’horizon 2020.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orientations fortes à mettre en œuvre sur la période 2016-2020 porteront sur la mise en cohérence et la rationalisation des politiques publiques, </w:t>
      </w:r>
      <w:r w:rsidR="009E4475" w:rsidRPr="00422183">
        <w:rPr>
          <w:rFonts w:ascii="Rockwell" w:hAnsi="Rockwell" w:cs="Times New Roman"/>
          <w:bCs/>
          <w:sz w:val="24"/>
          <w:szCs w:val="24"/>
        </w:rPr>
        <w:t xml:space="preserve">l’amélioration de l’efficacité de la coopération au développement, </w:t>
      </w:r>
      <w:r w:rsidRPr="00422183">
        <w:rPr>
          <w:rFonts w:ascii="Rockwell" w:hAnsi="Rockwell" w:cs="Times New Roman"/>
          <w:bCs/>
          <w:sz w:val="24"/>
          <w:szCs w:val="24"/>
        </w:rPr>
        <w:t>le renforcement des capacités de planification et de gestion des politiques publiques. Aussi, les orientations viseront l'amélioration des capacités nationales de mobilisation des ressources et l'efficacité de la dépense publique, avec notamment la mise en œuvre effective de l'approche budget-programme, la</w:t>
      </w:r>
      <w:r w:rsidRPr="00422183">
        <w:rPr>
          <w:rFonts w:ascii="Rockwell" w:hAnsi="Rockwell" w:cs="Arial"/>
          <w:sz w:val="24"/>
          <w:szCs w:val="24"/>
        </w:rPr>
        <w:t xml:space="preserve"> réforme du cadre légal et réglementaire des marchés publics et du </w:t>
      </w:r>
      <w:r w:rsidR="006B4F3A" w:rsidRPr="00422183">
        <w:rPr>
          <w:rFonts w:ascii="Rockwell" w:hAnsi="Rockwell" w:cs="Arial"/>
          <w:sz w:val="24"/>
          <w:szCs w:val="24"/>
        </w:rPr>
        <w:t>PPP, la</w:t>
      </w:r>
      <w:r w:rsidRPr="00422183">
        <w:rPr>
          <w:rFonts w:ascii="Rockwell" w:hAnsi="Rockwell" w:cs="Arial"/>
          <w:sz w:val="24"/>
          <w:szCs w:val="24"/>
        </w:rPr>
        <w:t xml:space="preserve"> promotion d</w:t>
      </w:r>
      <w:r w:rsidRPr="00422183">
        <w:rPr>
          <w:rFonts w:ascii="Rockwell" w:hAnsi="Rockwell" w:cs="Arial"/>
          <w:noProof/>
          <w:sz w:val="24"/>
          <w:szCs w:val="24"/>
        </w:rPr>
        <w:t>es valeurs de rigueur, de probité, de transparence et d'efficacité dans la gestion des affaires publiques, la lutte contre la fraude, le faux et le blanchiment d’argent.</w:t>
      </w:r>
    </w:p>
    <w:p w:rsidR="009E4475" w:rsidRPr="00422183" w:rsidRDefault="009E4475"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cs="Times New Roman"/>
          <w:bCs/>
          <w:sz w:val="24"/>
          <w:szCs w:val="24"/>
        </w:rPr>
        <w:t>La mise en cohérence et la rationalisation des politiques publiques</w:t>
      </w:r>
      <w:r w:rsidRPr="00422183">
        <w:rPr>
          <w:rFonts w:ascii="Rockwell" w:hAnsi="Rockwell"/>
          <w:sz w:val="24"/>
          <w:szCs w:val="24"/>
        </w:rPr>
        <w:t xml:space="preserve"> visera à </w:t>
      </w:r>
      <w:r w:rsidRPr="00422183">
        <w:rPr>
          <w:rFonts w:ascii="Rockwell" w:eastAsia="Calibri" w:hAnsi="Rockwell"/>
          <w:bCs/>
          <w:sz w:val="24"/>
          <w:szCs w:val="24"/>
        </w:rPr>
        <w:t>assurer la</w:t>
      </w:r>
      <w:r w:rsidRPr="00422183">
        <w:rPr>
          <w:rFonts w:ascii="Rockwell" w:hAnsi="Rockwell"/>
          <w:sz w:val="24"/>
          <w:szCs w:val="24"/>
        </w:rPr>
        <w:t xml:space="preserve"> stabilité temporelle des politiques publiques, ainsi qu'une planification effective du développement par "secteurs" et non plus par "ministères". Elle consistera en l'élaboration et en l'adoption, au plus tard 2017, d'une loi sur le pilotage et la gestion du développement, instituant les secteurs de planification définis à partir des nomenclatures existantes du budget de l'État (code fonctionnel 2014) et des branches d'activités (comptes économiques de la Nation 2014), tels que présentés à l'Annexe 1.</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sz w:val="24"/>
          <w:szCs w:val="24"/>
        </w:rPr>
        <w:t>Ces secteurs, au nombre de 14, sont les suivants : (i) production agro-sylvo-pastorale, (ii) transformations industrielles et artisanales, (iii) infrastructures de transport, de communication et d'habitat, (iv) commerce et services marchands, (v) gouvernance économique, (vi) gouvernances administrative et locale, (vii) éducation et formation, (viii) santé, (ix) défense et sécurité, (x) environnement, eau et assainissement, (xi) culture, sports et loisirs, (xii) travail, emploi et protection sociale, (xiii) justice et droits humains, (iv) recherche et innovation.</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sz w:val="24"/>
          <w:szCs w:val="24"/>
        </w:rPr>
        <w:t>Cette loi précisera également une typologie des politiques publiques, prévoyant la disponibilité d'une vision de développement et d'aménagement du territoire à long terme (30 ans), par la révision de l'ENP Burkina 2025 et l'exploitation du SNADDT. Aussi, il sera élaboré et mis en œuvre un cadre d'orientation du développement à moyen terme, tous les 5 ans, en vue de la priorisation des actions sectorielles et locales, sur la base de la vision de développement à long terme, du programme du Président du Faso élu et des référentiels internationaux majeurs en vigueur.</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sz w:val="24"/>
          <w:szCs w:val="24"/>
        </w:rPr>
        <w:t>Chaque secteur de planification devra disposer d’une politique sectorielle unique, de sorte à couvrir l'ensemble des champs d'intervention de l'État et des questions transversales. L'élaboration et la mise en œuvre de stratégies, programmes et projets découleront de ces politiques sectorielles. Les interventions annuelles par ministère et institution seront contenues dans des plans d'action</w:t>
      </w:r>
      <w:r w:rsidR="000F6B07" w:rsidRPr="00422183">
        <w:rPr>
          <w:rFonts w:ascii="Rockwell" w:hAnsi="Rockwell"/>
          <w:sz w:val="24"/>
          <w:szCs w:val="24"/>
        </w:rPr>
        <w:t>s</w:t>
      </w:r>
      <w:r w:rsidRPr="00422183">
        <w:rPr>
          <w:rFonts w:ascii="Rockwell" w:hAnsi="Rockwell"/>
          <w:sz w:val="24"/>
          <w:szCs w:val="24"/>
        </w:rPr>
        <w:t xml:space="preserve"> triennaux glissants, devant servir pour la budgétisation (tout ministère ou institution devra s'inscrire dans la mise en œuvre d'un ou de plusieurs programmes, à travers l'élaboration annuelle et la mise en œuvre d'un plan d'action triennal glissant).</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sz w:val="24"/>
          <w:szCs w:val="24"/>
        </w:rPr>
        <w:t xml:space="preserve">Les thématiques transversales devront être contenues dans le cadre d'orientation du développement et dans les politiques sectorielles (éventuellement sous forme de stratégies, programmes ou projets), afin qu'elles ne donnent plus lieu à des référentiels transversaux, thématiques ou horizontaux à la mise en œuvre problématique. </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sz w:val="24"/>
          <w:szCs w:val="24"/>
        </w:rPr>
        <w:t xml:space="preserve">Au niveau </w:t>
      </w:r>
      <w:r w:rsidR="006B4F3A" w:rsidRPr="00422183">
        <w:rPr>
          <w:rFonts w:ascii="Rockwell" w:hAnsi="Rockwell"/>
          <w:sz w:val="24"/>
          <w:szCs w:val="24"/>
        </w:rPr>
        <w:t>décentralisé, l’élaboration</w:t>
      </w:r>
      <w:r w:rsidRPr="00422183">
        <w:rPr>
          <w:rFonts w:ascii="Rockwell" w:hAnsi="Rockwell"/>
          <w:sz w:val="24"/>
          <w:szCs w:val="24"/>
        </w:rPr>
        <w:t xml:space="preserve"> et la mise en œuvre des Plans régionaux et plans communaux de développement (PRD et PCD), seront axées sur les priorités locales de développement en cohérence avec les orientations du </w:t>
      </w:r>
      <w:r w:rsidR="006B4F3A" w:rsidRPr="00422183">
        <w:rPr>
          <w:rFonts w:ascii="Rockwell" w:hAnsi="Rockwell"/>
          <w:sz w:val="24"/>
          <w:szCs w:val="24"/>
        </w:rPr>
        <w:t>référentiel national</w:t>
      </w:r>
      <w:r w:rsidRPr="00422183">
        <w:rPr>
          <w:rFonts w:ascii="Rockwell" w:hAnsi="Rockwell"/>
          <w:sz w:val="24"/>
          <w:szCs w:val="24"/>
        </w:rPr>
        <w:t xml:space="preserve"> de développement à moyen terme.</w:t>
      </w:r>
    </w:p>
    <w:p w:rsidR="009E4475" w:rsidRPr="00422183" w:rsidRDefault="009E4475" w:rsidP="009E4475">
      <w:pPr>
        <w:jc w:val="both"/>
        <w:rPr>
          <w:rFonts w:ascii="Rockwell" w:hAnsi="Rockwell"/>
        </w:rPr>
      </w:pPr>
    </w:p>
    <w:p w:rsidR="009E4475" w:rsidRPr="00422183" w:rsidRDefault="009E4475" w:rsidP="009E4475">
      <w:pPr>
        <w:jc w:val="both"/>
        <w:rPr>
          <w:rFonts w:ascii="Rockwell" w:hAnsi="Rockwell"/>
          <w:sz w:val="24"/>
          <w:szCs w:val="24"/>
        </w:rPr>
      </w:pPr>
      <w:r w:rsidRPr="00422183">
        <w:rPr>
          <w:rFonts w:ascii="Rockwell" w:hAnsi="Rockwell"/>
          <w:sz w:val="24"/>
          <w:szCs w:val="24"/>
        </w:rPr>
        <w:t>Dans le domaine de la coopération au développement, les principales orientations porteront sur : i) l’utilisation systématique des procédures et systèmes nationaux dans l’exécution des projets et programmes de développement, ii) la prévisibilité suffisante des appuis des partenaires en vue d’une meilleure planification des actions de développement, iii) la division du travail et la complémentarité des interventions des bailleurs pour une efficacité de la coopération au développement.</w:t>
      </w:r>
    </w:p>
    <w:p w:rsidR="004A1046" w:rsidRPr="00422183" w:rsidRDefault="004A1046" w:rsidP="003A0820">
      <w:pPr>
        <w:spacing w:after="0" w:line="240" w:lineRule="auto"/>
        <w:jc w:val="both"/>
        <w:rPr>
          <w:rFonts w:ascii="Rockwell" w:hAnsi="Rockwell"/>
          <w:sz w:val="24"/>
          <w:szCs w:val="24"/>
        </w:rPr>
      </w:pPr>
      <w:r w:rsidRPr="00422183">
        <w:rPr>
          <w:rFonts w:ascii="Rockwell" w:hAnsi="Rockwell"/>
          <w:b/>
          <w:i/>
          <w:sz w:val="24"/>
          <w:szCs w:val="24"/>
        </w:rPr>
        <w:t xml:space="preserve">L’environnement des affaires est plus attractif et le secteur privé renforcé dans ses capacités d’initiative et de gestion. </w:t>
      </w:r>
      <w:r w:rsidRPr="00422183">
        <w:rPr>
          <w:rFonts w:ascii="Rockwell" w:hAnsi="Rockwell"/>
          <w:sz w:val="24"/>
          <w:szCs w:val="24"/>
        </w:rPr>
        <w:t>Les principales cibles à atteindre consisteront à ramener la place du Burkina Faso dans le cla</w:t>
      </w:r>
      <w:r w:rsidR="0038366B" w:rsidRPr="00422183">
        <w:rPr>
          <w:rFonts w:ascii="Rockwell" w:hAnsi="Rockwell"/>
          <w:sz w:val="24"/>
          <w:szCs w:val="24"/>
        </w:rPr>
        <w:t>ssement de Doing Business de 143</w:t>
      </w:r>
      <w:r w:rsidRPr="00422183">
        <w:rPr>
          <w:rFonts w:ascii="Rockwell" w:hAnsi="Rockwell"/>
          <w:sz w:val="24"/>
          <w:szCs w:val="24"/>
          <w:vertAlign w:val="superscript"/>
        </w:rPr>
        <w:t>ème</w:t>
      </w:r>
      <w:r w:rsidR="009D2B27" w:rsidRPr="00422183">
        <w:rPr>
          <w:rFonts w:ascii="Rockwell" w:hAnsi="Rockwell"/>
          <w:sz w:val="24"/>
          <w:szCs w:val="24"/>
        </w:rPr>
        <w:t xml:space="preserve"> sur 189 en 2015 à 130</w:t>
      </w:r>
      <w:r w:rsidRPr="00422183">
        <w:rPr>
          <w:rFonts w:ascii="Rockwell" w:hAnsi="Rockwell"/>
          <w:sz w:val="24"/>
          <w:szCs w:val="24"/>
          <w:vertAlign w:val="superscript"/>
        </w:rPr>
        <w:t>ème</w:t>
      </w:r>
      <w:r w:rsidRPr="00422183">
        <w:rPr>
          <w:rFonts w:ascii="Rockwell" w:hAnsi="Rockwell"/>
          <w:sz w:val="24"/>
          <w:szCs w:val="24"/>
        </w:rPr>
        <w:t xml:space="preserve"> en 2020 et de réduire la part du secteur informel dans la valeur ajou</w:t>
      </w:r>
      <w:r w:rsidR="0038366B" w:rsidRPr="00422183">
        <w:rPr>
          <w:rFonts w:ascii="Rockwell" w:hAnsi="Rockwell"/>
          <w:sz w:val="24"/>
          <w:szCs w:val="24"/>
        </w:rPr>
        <w:t>tée du secteur tertiaire de 20,7</w:t>
      </w:r>
      <w:r w:rsidRPr="00422183">
        <w:rPr>
          <w:rFonts w:ascii="Rockwell" w:hAnsi="Rockwell"/>
          <w:sz w:val="24"/>
          <w:szCs w:val="24"/>
        </w:rPr>
        <w:t>% en 2015 à 15% en 2020. Pour ce faire, l’action publique portera sur le renforcement des capacités du secteur privé surtout celles des PMI/PME, la mise en place de mécanismes de financement adaptés aux besoins de transformation structurelle de l’économie et l’accompagnement du secteur informel vers sa formalisation.</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4102F5">
      <w:pPr>
        <w:pStyle w:val="PNDES4"/>
        <w:numPr>
          <w:ilvl w:val="5"/>
          <w:numId w:val="3"/>
        </w:numPr>
        <w:rPr>
          <w:rFonts w:ascii="Rockwell" w:hAnsi="Rockwell"/>
        </w:rPr>
      </w:pPr>
      <w:bookmarkStart w:id="312" w:name="_Toc455132766"/>
      <w:r w:rsidRPr="00422183">
        <w:rPr>
          <w:rFonts w:ascii="Rockwell" w:hAnsi="Rockwell"/>
        </w:rPr>
        <w:t>Objectif stratégique 1.3 : Renforcer la décentralisation et appuyer le développement régional</w:t>
      </w:r>
      <w:bookmarkEnd w:id="312"/>
      <w:r w:rsidRPr="00422183">
        <w:rPr>
          <w:rFonts w:ascii="Rockwell" w:hAnsi="Rockwell"/>
        </w:rPr>
        <w:t xml:space="preserve"> </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Deux effets attendus sont identifiés pour la mise en œuvre de cet objectif stratégique. </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bCs/>
          <w:sz w:val="24"/>
          <w:szCs w:val="24"/>
        </w:rPr>
      </w:pPr>
      <w:r w:rsidRPr="00422183">
        <w:rPr>
          <w:rFonts w:ascii="Rockwell" w:hAnsi="Rockwell" w:cs="Times New Roman"/>
          <w:b/>
          <w:bCs/>
          <w:i/>
          <w:sz w:val="24"/>
          <w:szCs w:val="24"/>
        </w:rPr>
        <w:t>L'efficacité de la décentralisation et de la gouvernance s'est améliorée</w:t>
      </w:r>
      <w:r w:rsidRPr="00422183">
        <w:rPr>
          <w:rFonts w:ascii="Rockwell" w:hAnsi="Rockwell" w:cs="Times New Roman"/>
          <w:bCs/>
          <w:sz w:val="24"/>
          <w:szCs w:val="24"/>
        </w:rPr>
        <w:t xml:space="preserve">. Durant la période 2016-2020, la part du budget de l'État transférée aux collectivités territoriales passera de 4,65% en 2015 à 7% en 2018 pour atteindre 10% en 2020. L'action publique se focalisera notamment sur l’accélération du transfert de compétences , des ressources et des patrimoines, l’amélioration de la coordination de l’action publique au niveau déconcentré, un meilleur accompagnement des collectivités territoriales par les services techniques déconcentrés , la mobilisation des acteurs locaux, l'amélioration de la gestion financière des collectivités, le renforcement de la gouvernance foncière et de la maitrise d'ouvrage, ainsi que le renforcement de la cohésion sociale au niveau local et </w:t>
      </w:r>
      <w:r w:rsidRPr="00422183">
        <w:rPr>
          <w:rFonts w:ascii="Rockwell" w:hAnsi="Rockwell"/>
          <w:bCs/>
          <w:sz w:val="24"/>
          <w:szCs w:val="24"/>
        </w:rPr>
        <w:t>le renforcement de la gouvernance environnementale locale, l’élaboration et la mise en œuvre d’un nouveau référentiel stratégique de la décentralisation.</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sz w:val="24"/>
          <w:szCs w:val="24"/>
        </w:rPr>
      </w:pPr>
      <w:r w:rsidRPr="00422183">
        <w:rPr>
          <w:rFonts w:ascii="Rockwell" w:hAnsi="Rockwell"/>
          <w:b/>
          <w:i/>
          <w:sz w:val="24"/>
          <w:szCs w:val="24"/>
        </w:rPr>
        <w:t xml:space="preserve">Les économies locales sont dynamisées et les disparités régionales sont réduites notamment à travers un aménagement du territoire efficace . </w:t>
      </w:r>
      <w:r w:rsidRPr="00422183">
        <w:rPr>
          <w:rFonts w:ascii="Rockwell" w:hAnsi="Rockwell"/>
          <w:sz w:val="24"/>
          <w:szCs w:val="24"/>
        </w:rPr>
        <w:t>Le principal résultat chiffré porte sur l’amélioration du taux de réalisation des effets attendus des plans locaux de développement pour le faire passer de 60% en 2018 à 75% en 2020.</w:t>
      </w:r>
    </w:p>
    <w:p w:rsidR="004A1046" w:rsidRPr="00422183" w:rsidRDefault="004A1046" w:rsidP="003A0820">
      <w:pPr>
        <w:spacing w:after="0" w:line="240" w:lineRule="auto"/>
        <w:jc w:val="both"/>
        <w:rPr>
          <w:rFonts w:ascii="Rockwell" w:hAnsi="Rockwell"/>
          <w:sz w:val="24"/>
          <w:szCs w:val="24"/>
        </w:rPr>
      </w:pPr>
    </w:p>
    <w:p w:rsidR="004A1046" w:rsidRPr="00422183" w:rsidRDefault="004A1046" w:rsidP="003A0820">
      <w:pPr>
        <w:spacing w:after="0" w:line="240" w:lineRule="auto"/>
        <w:jc w:val="both"/>
        <w:rPr>
          <w:rFonts w:ascii="Rockwell" w:eastAsia="Times New Roman" w:hAnsi="Rockwell"/>
          <w:kern w:val="32"/>
          <w:sz w:val="24"/>
          <w:szCs w:val="24"/>
        </w:rPr>
      </w:pPr>
      <w:r w:rsidRPr="00422183">
        <w:rPr>
          <w:rFonts w:ascii="Rockwell" w:eastAsia="Times New Roman" w:hAnsi="Rockwell"/>
          <w:kern w:val="32"/>
          <w:sz w:val="24"/>
          <w:szCs w:val="24"/>
        </w:rPr>
        <w:t>Les orientations en matière de décentralisation pour le Burkina Faso dans les cinq prochaines années est d'amorcer la construction de véritables pôles de développement régionaux bâtis autour des chefs-lieux de région. En tant que centres secondaires, ceux-ci devront, par leur attractivité, constituer des alternatives aux grands centres que sont Ouagadougou et Bobo-Dioulasso, en offrant d'importantes opportunités pour la valorisation des potentialités naturelles et humaines.</w:t>
      </w:r>
    </w:p>
    <w:p w:rsidR="004A1046" w:rsidRPr="00422183" w:rsidRDefault="004A1046" w:rsidP="003A0820">
      <w:pPr>
        <w:spacing w:after="0" w:line="240" w:lineRule="auto"/>
        <w:jc w:val="both"/>
        <w:rPr>
          <w:rFonts w:ascii="Rockwell" w:eastAsia="Times New Roman" w:hAnsi="Rockwell"/>
          <w:sz w:val="24"/>
          <w:szCs w:val="24"/>
        </w:rPr>
      </w:pPr>
    </w:p>
    <w:p w:rsidR="004A1046" w:rsidRPr="00422183" w:rsidRDefault="004A1046" w:rsidP="003A0820">
      <w:pPr>
        <w:spacing w:after="0" w:line="240" w:lineRule="auto"/>
        <w:jc w:val="both"/>
        <w:rPr>
          <w:rFonts w:ascii="Rockwell" w:eastAsia="Times New Roman" w:hAnsi="Rockwell"/>
          <w:sz w:val="24"/>
          <w:szCs w:val="24"/>
        </w:rPr>
      </w:pPr>
      <w:r w:rsidRPr="00422183">
        <w:rPr>
          <w:rFonts w:ascii="Rockwell" w:eastAsia="Times New Roman" w:hAnsi="Rockwell"/>
          <w:sz w:val="24"/>
          <w:szCs w:val="24"/>
        </w:rPr>
        <w:t>Dans le souci et dans l'optique de pérenniser les acquis, de corriger les insuffisances et d’améliorer les performances en matière de croissance et de développement durable, les actions envisagées devront viser l'amélioration de l'attractivité des territoires. Il s'agira d'inscrire les actions dans une perspective d'optimisation de l'investissement public, en concentrant les efforts sur les domaines dans lesquels chaque région a un fort potentiel. Dans le cadre du SNADDT et sur la base des principales cibles des ODD pour le Burkina Faso, et en vue d'améliorer la compétitivité et l'attractivité des territoires, plusieurs actions seront engagées de façon concomitante et progressive dans les domaines ci-après :</w:t>
      </w:r>
    </w:p>
    <w:p w:rsidR="004A1046" w:rsidRPr="00422183" w:rsidRDefault="004A1046" w:rsidP="003A0820">
      <w:pPr>
        <w:spacing w:after="0" w:line="240" w:lineRule="auto"/>
        <w:jc w:val="both"/>
        <w:rPr>
          <w:rFonts w:ascii="Rockwell" w:eastAsia="Times New Roman" w:hAnsi="Rockwell"/>
          <w:sz w:val="24"/>
          <w:szCs w:val="24"/>
        </w:rPr>
      </w:pPr>
    </w:p>
    <w:p w:rsidR="004A1046" w:rsidRPr="00422183" w:rsidRDefault="004A1046" w:rsidP="004102F5">
      <w:pPr>
        <w:pStyle w:val="Paragraphedeliste"/>
        <w:numPr>
          <w:ilvl w:val="0"/>
          <w:numId w:val="11"/>
        </w:numPr>
        <w:spacing w:after="0" w:line="240" w:lineRule="auto"/>
        <w:ind w:left="142" w:hanging="142"/>
        <w:jc w:val="both"/>
        <w:rPr>
          <w:rFonts w:ascii="Rockwell" w:hAnsi="Rockwell"/>
          <w:b/>
          <w:sz w:val="24"/>
          <w:szCs w:val="24"/>
        </w:rPr>
      </w:pPr>
      <w:r w:rsidRPr="00422183">
        <w:rPr>
          <w:rFonts w:ascii="Rockwell" w:hAnsi="Rockwell"/>
          <w:b/>
          <w:sz w:val="24"/>
          <w:szCs w:val="24"/>
        </w:rPr>
        <w:t>La mise en place d'un dispositif cohérent de pilotage et de gestion du développement.</w:t>
      </w:r>
      <w:r w:rsidRPr="00422183">
        <w:rPr>
          <w:rFonts w:ascii="Rockwell" w:hAnsi="Rockwell"/>
          <w:sz w:val="24"/>
          <w:szCs w:val="24"/>
        </w:rPr>
        <w:t xml:space="preserve"> Il s'agira de mettre en cohérence le système national et les systèmes infranationaux de pilotage et de gestion du développement, ainsi que d'organiser et de planifier l'occupation du territoire, afin d'assurer un aménagement harmonieux et durable du territoire apte à permettre la valorisation de toutes les potentialités locales au profit du bien-être collectif.</w:t>
      </w:r>
    </w:p>
    <w:p w:rsidR="004A1046" w:rsidRPr="00422183" w:rsidRDefault="004A1046" w:rsidP="003A0820">
      <w:pPr>
        <w:spacing w:after="0" w:line="240" w:lineRule="auto"/>
        <w:jc w:val="both"/>
        <w:rPr>
          <w:rFonts w:ascii="Rockwell" w:eastAsia="Times New Roman" w:hAnsi="Rockwell"/>
          <w:sz w:val="24"/>
          <w:szCs w:val="24"/>
        </w:rPr>
      </w:pPr>
    </w:p>
    <w:p w:rsidR="004A1046" w:rsidRPr="00422183" w:rsidRDefault="004A1046" w:rsidP="004102F5">
      <w:pPr>
        <w:pStyle w:val="Paragraphedeliste"/>
        <w:numPr>
          <w:ilvl w:val="0"/>
          <w:numId w:val="11"/>
        </w:numPr>
        <w:spacing w:after="0" w:line="240" w:lineRule="auto"/>
        <w:ind w:left="142" w:hanging="142"/>
        <w:jc w:val="both"/>
        <w:rPr>
          <w:rFonts w:ascii="Rockwell" w:hAnsi="Rockwell"/>
          <w:b/>
          <w:sz w:val="24"/>
          <w:szCs w:val="24"/>
        </w:rPr>
      </w:pPr>
      <w:r w:rsidRPr="00422183">
        <w:rPr>
          <w:rFonts w:ascii="Rockwell" w:hAnsi="Rockwell"/>
          <w:b/>
          <w:sz w:val="24"/>
          <w:szCs w:val="24"/>
        </w:rPr>
        <w:t>La mise à niveau de la plateforme infrastructurelle régionale.</w:t>
      </w:r>
      <w:r w:rsidRPr="00422183">
        <w:rPr>
          <w:rFonts w:ascii="Rockwell" w:hAnsi="Rockwell"/>
          <w:sz w:val="24"/>
          <w:szCs w:val="24"/>
        </w:rPr>
        <w:t xml:space="preserve"> Il s’agira de bâtir une plateforme infrastructurelle moderne et performante afin notamment, de renforcer les relations entre la ville et la campagne, en créant les conditions nécessaires pour la transformation et la valorisation des productions agricoles, la création de technopoles et la promotion des chefs-lieux de région</w:t>
      </w:r>
      <w:r w:rsidR="009D2B27" w:rsidRPr="00422183">
        <w:rPr>
          <w:rFonts w:ascii="Rockwell" w:hAnsi="Rockwell"/>
          <w:sz w:val="24"/>
          <w:szCs w:val="24"/>
        </w:rPr>
        <w:t>s</w:t>
      </w:r>
      <w:r w:rsidRPr="00422183">
        <w:rPr>
          <w:rFonts w:ascii="Rockwell" w:hAnsi="Rockwell"/>
          <w:sz w:val="24"/>
          <w:szCs w:val="24"/>
        </w:rPr>
        <w:t xml:space="preserve"> comme niveau stratégique de dynamisation des économies régionales.</w:t>
      </w:r>
    </w:p>
    <w:p w:rsidR="004A1046" w:rsidRPr="00422183" w:rsidRDefault="004A1046" w:rsidP="003A0820">
      <w:pPr>
        <w:spacing w:after="0" w:line="240" w:lineRule="auto"/>
        <w:jc w:val="both"/>
        <w:rPr>
          <w:rFonts w:ascii="Rockwell" w:eastAsia="Times New Roman" w:hAnsi="Rockwell"/>
          <w:sz w:val="24"/>
          <w:szCs w:val="24"/>
        </w:rPr>
      </w:pPr>
    </w:p>
    <w:p w:rsidR="004A1046" w:rsidRPr="00422183" w:rsidRDefault="004A1046" w:rsidP="004102F5">
      <w:pPr>
        <w:pStyle w:val="Paragraphedeliste"/>
        <w:numPr>
          <w:ilvl w:val="0"/>
          <w:numId w:val="11"/>
        </w:numPr>
        <w:spacing w:after="0" w:line="240" w:lineRule="auto"/>
        <w:ind w:left="142" w:hanging="142"/>
        <w:jc w:val="both"/>
        <w:rPr>
          <w:rFonts w:ascii="Rockwell" w:hAnsi="Rockwell"/>
          <w:b/>
          <w:sz w:val="24"/>
          <w:szCs w:val="24"/>
        </w:rPr>
      </w:pPr>
      <w:r w:rsidRPr="00422183">
        <w:rPr>
          <w:rFonts w:ascii="Rockwell" w:hAnsi="Rockwell"/>
          <w:b/>
          <w:sz w:val="24"/>
          <w:szCs w:val="24"/>
        </w:rPr>
        <w:t>L'amélioration de l'environnement des affaires et l'appui au développement d'un secteur privé local dynamique.</w:t>
      </w:r>
      <w:r w:rsidRPr="00422183">
        <w:rPr>
          <w:rFonts w:ascii="Rockwell" w:hAnsi="Rockwell"/>
          <w:sz w:val="24"/>
          <w:szCs w:val="24"/>
        </w:rPr>
        <w:t xml:space="preserve"> Il s'agira pour ce </w:t>
      </w:r>
      <w:r w:rsidR="006B4F3A" w:rsidRPr="00422183">
        <w:rPr>
          <w:rFonts w:ascii="Rockwell" w:hAnsi="Rockwell"/>
          <w:sz w:val="24"/>
          <w:szCs w:val="24"/>
        </w:rPr>
        <w:t>faire de</w:t>
      </w:r>
      <w:r w:rsidRPr="00422183">
        <w:rPr>
          <w:rFonts w:ascii="Rockwell" w:hAnsi="Rockwell"/>
          <w:sz w:val="24"/>
          <w:szCs w:val="24"/>
        </w:rPr>
        <w:t xml:space="preserve"> créer des conditions favorables de création d'entreprises locales, en améliorant le déploiement des centres de formalité de création d'entreprises, d'assurer l'accès aux financements pour les entreprises, de développer les plateformes et vitrines de promotion des potentialités des localités pour attirer des investissements.</w:t>
      </w:r>
    </w:p>
    <w:p w:rsidR="004A1046" w:rsidRPr="00422183" w:rsidRDefault="004A1046" w:rsidP="003A0820">
      <w:pPr>
        <w:spacing w:after="0" w:line="240" w:lineRule="auto"/>
        <w:jc w:val="both"/>
        <w:rPr>
          <w:rFonts w:ascii="Rockwell" w:hAnsi="Rockwell"/>
          <w:b/>
          <w:sz w:val="24"/>
          <w:szCs w:val="24"/>
        </w:rPr>
      </w:pPr>
    </w:p>
    <w:p w:rsidR="004A1046" w:rsidRPr="00422183" w:rsidRDefault="004A1046" w:rsidP="004102F5">
      <w:pPr>
        <w:pStyle w:val="Paragraphedeliste"/>
        <w:numPr>
          <w:ilvl w:val="0"/>
          <w:numId w:val="11"/>
        </w:numPr>
        <w:spacing w:after="0" w:line="240" w:lineRule="auto"/>
        <w:ind w:left="142" w:hanging="142"/>
        <w:jc w:val="both"/>
        <w:rPr>
          <w:rFonts w:ascii="Rockwell" w:hAnsi="Rockwell"/>
          <w:b/>
          <w:sz w:val="24"/>
          <w:szCs w:val="24"/>
        </w:rPr>
      </w:pPr>
      <w:r w:rsidRPr="00422183">
        <w:rPr>
          <w:rFonts w:ascii="Rockwell" w:hAnsi="Rockwell"/>
          <w:b/>
          <w:sz w:val="24"/>
          <w:szCs w:val="24"/>
        </w:rPr>
        <w:t>La mise en place de programmes spécifiques pour des gains rapides au niveau des ODD pour les territoires accusant plus de retard.</w:t>
      </w:r>
      <w:r w:rsidRPr="00422183">
        <w:rPr>
          <w:rFonts w:ascii="Rockwell" w:hAnsi="Rockwell"/>
          <w:sz w:val="24"/>
          <w:szCs w:val="24"/>
        </w:rPr>
        <w:t xml:space="preserve"> Pour ce faire, les actions du gouvernement consisteront à élaborer un indice de développement régional combinant la pauvreté (monétaire et non monétaire), renforcer l’accès aux équipements et aux services régionaux par l’établissement d’une carte des priorités régionales, mettre en place un programme de gains rapides pour certaines cibles des ODD pour les communes prioritaires et renforcer le système de suivi des territoires accusant plus de retard de développement.</w:t>
      </w:r>
    </w:p>
    <w:p w:rsidR="004A1046" w:rsidRPr="00422183" w:rsidRDefault="004A1046" w:rsidP="003A0820">
      <w:pPr>
        <w:spacing w:after="0" w:line="240" w:lineRule="auto"/>
        <w:jc w:val="both"/>
        <w:rPr>
          <w:rFonts w:ascii="Rockwell" w:hAnsi="Rockwell" w:cs="Times New Roman"/>
          <w:bCs/>
          <w:sz w:val="24"/>
          <w:szCs w:val="24"/>
        </w:rPr>
      </w:pPr>
    </w:p>
    <w:p w:rsidR="009D2B27" w:rsidRPr="00422183" w:rsidRDefault="009D2B27">
      <w:pPr>
        <w:rPr>
          <w:rFonts w:ascii="Rockwell" w:hAnsi="Rockwell" w:cs="Times New Roman"/>
          <w:bCs/>
          <w:sz w:val="24"/>
          <w:szCs w:val="24"/>
        </w:rPr>
      </w:pPr>
      <w:r w:rsidRPr="00422183">
        <w:rPr>
          <w:rFonts w:ascii="Rockwell" w:hAnsi="Rockwell" w:cs="Times New Roman"/>
          <w:bCs/>
          <w:sz w:val="24"/>
          <w:szCs w:val="24"/>
        </w:rPr>
        <w:br w:type="page"/>
      </w:r>
    </w:p>
    <w:p w:rsidR="004A1046" w:rsidRPr="00422183" w:rsidRDefault="004A1046" w:rsidP="004102F5">
      <w:pPr>
        <w:pStyle w:val="PNDES4"/>
        <w:numPr>
          <w:ilvl w:val="4"/>
          <w:numId w:val="3"/>
        </w:numPr>
        <w:rPr>
          <w:rFonts w:ascii="Rockwell" w:hAnsi="Rockwell"/>
        </w:rPr>
      </w:pPr>
      <w:bookmarkStart w:id="313" w:name="_Toc455132767"/>
      <w:r w:rsidRPr="00422183">
        <w:rPr>
          <w:rFonts w:ascii="Rockwell" w:hAnsi="Rockwell"/>
        </w:rPr>
        <w:t>Axe 2 : Développer le capital humain</w:t>
      </w:r>
      <w:bookmarkEnd w:id="313"/>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4" w:name="_Toc455132768"/>
      <w:r w:rsidRPr="00422183">
        <w:rPr>
          <w:rFonts w:ascii="Rockwell" w:hAnsi="Rockwell"/>
        </w:rPr>
        <w:t xml:space="preserve">Objectif stratégique 2.1 : promouvoir la santé </w:t>
      </w:r>
      <w:r w:rsidR="00C22A70" w:rsidRPr="00422183">
        <w:rPr>
          <w:rFonts w:ascii="Rockwell" w:hAnsi="Rockwell"/>
        </w:rPr>
        <w:t>des populations</w:t>
      </w:r>
      <w:r w:rsidRPr="00422183">
        <w:rPr>
          <w:rFonts w:ascii="Rockwell" w:hAnsi="Rockwell"/>
        </w:rPr>
        <w:t xml:space="preserve"> et accélérer la transition démographique</w:t>
      </w:r>
      <w:bookmarkEnd w:id="314"/>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Cet objectif str</w:t>
      </w:r>
      <w:r w:rsidR="0038366B" w:rsidRPr="00422183">
        <w:rPr>
          <w:rFonts w:ascii="Rockwell" w:hAnsi="Rockwell" w:cs="Times New Roman"/>
          <w:bCs/>
          <w:sz w:val="24"/>
          <w:szCs w:val="24"/>
        </w:rPr>
        <w:t>atégique vise la réalisation de trois</w:t>
      </w:r>
      <w:r w:rsidRPr="00422183">
        <w:rPr>
          <w:rFonts w:ascii="Rockwell" w:hAnsi="Rockwell" w:cs="Times New Roman"/>
          <w:bCs/>
          <w:sz w:val="24"/>
          <w:szCs w:val="24"/>
        </w:rPr>
        <w:t xml:space="preserve"> effets attendus </w:t>
      </w:r>
      <w:r w:rsidR="0038366B" w:rsidRPr="00422183">
        <w:rPr>
          <w:rFonts w:ascii="Rockwell" w:hAnsi="Rockwell" w:cs="Times New Roman"/>
          <w:bCs/>
          <w:sz w:val="24"/>
          <w:szCs w:val="24"/>
        </w:rPr>
        <w:t>à savoir</w:t>
      </w:r>
      <w:r w:rsidRPr="00422183">
        <w:rPr>
          <w:rFonts w:ascii="Rockwell" w:hAnsi="Rockwell" w:cs="Times New Roman"/>
          <w:bCs/>
          <w:sz w:val="24"/>
          <w:szCs w:val="24"/>
        </w:rPr>
        <w:t> </w:t>
      </w:r>
      <w:r w:rsidRPr="00422183">
        <w:rPr>
          <w:rFonts w:ascii="Rockwell" w:hAnsi="Rockwell" w:cs="Times New Roman"/>
          <w:bCs/>
          <w:i/>
          <w:sz w:val="24"/>
          <w:szCs w:val="24"/>
        </w:rPr>
        <w:t xml:space="preserve">: </w:t>
      </w:r>
      <w:r w:rsidR="0038366B" w:rsidRPr="00422183">
        <w:rPr>
          <w:rFonts w:ascii="Rockwell" w:hAnsi="Rockwell" w:cs="Times New Roman"/>
          <w:bCs/>
          <w:i/>
          <w:sz w:val="24"/>
          <w:szCs w:val="24"/>
        </w:rPr>
        <w:t xml:space="preserve">(i) </w:t>
      </w:r>
      <w:r w:rsidRPr="00422183">
        <w:rPr>
          <w:rFonts w:ascii="Rockwell" w:hAnsi="Rockwell" w:cs="Times New Roman"/>
          <w:bCs/>
          <w:i/>
          <w:sz w:val="24"/>
          <w:szCs w:val="24"/>
        </w:rPr>
        <w:t>l'accès aux services de santé de quali</w:t>
      </w:r>
      <w:r w:rsidR="0038366B" w:rsidRPr="00422183">
        <w:rPr>
          <w:rFonts w:ascii="Rockwell" w:hAnsi="Rockwell" w:cs="Times New Roman"/>
          <w:bCs/>
          <w:i/>
          <w:sz w:val="24"/>
          <w:szCs w:val="24"/>
        </w:rPr>
        <w:t>té est garanti à tous</w:t>
      </w:r>
      <w:r w:rsidRPr="00422183">
        <w:rPr>
          <w:rFonts w:ascii="Rockwell" w:hAnsi="Rockwell" w:cs="Times New Roman"/>
          <w:bCs/>
          <w:i/>
          <w:sz w:val="24"/>
          <w:szCs w:val="24"/>
        </w:rPr>
        <w:t xml:space="preserve">, </w:t>
      </w:r>
      <w:r w:rsidR="0038366B" w:rsidRPr="00422183">
        <w:rPr>
          <w:rFonts w:ascii="Rockwell" w:hAnsi="Rockwell" w:cs="Times New Roman"/>
          <w:bCs/>
          <w:i/>
          <w:sz w:val="24"/>
          <w:szCs w:val="24"/>
        </w:rPr>
        <w:t xml:space="preserve">(ii) </w:t>
      </w:r>
      <w:r w:rsidRPr="00422183">
        <w:rPr>
          <w:rFonts w:ascii="Rockwell" w:eastAsia="Times New Roman" w:hAnsi="Rockwell" w:cs="Times New Roman"/>
          <w:i/>
          <w:sz w:val="24"/>
          <w:szCs w:val="24"/>
        </w:rPr>
        <w:t>l’état nutritionnel de la population en particulier les femm</w:t>
      </w:r>
      <w:r w:rsidR="0038366B" w:rsidRPr="00422183">
        <w:rPr>
          <w:rFonts w:ascii="Rockwell" w:eastAsia="Times New Roman" w:hAnsi="Rockwell" w:cs="Times New Roman"/>
          <w:i/>
          <w:sz w:val="24"/>
          <w:szCs w:val="24"/>
        </w:rPr>
        <w:t>es et les enfants est amélioré</w:t>
      </w:r>
      <w:r w:rsidRPr="00422183">
        <w:rPr>
          <w:rFonts w:ascii="Rockwell" w:eastAsia="Times New Roman" w:hAnsi="Rockwell" w:cs="Times New Roman"/>
          <w:i/>
          <w:sz w:val="24"/>
          <w:szCs w:val="24"/>
        </w:rPr>
        <w:t xml:space="preserve">, </w:t>
      </w:r>
      <w:r w:rsidR="0038366B" w:rsidRPr="00422183">
        <w:rPr>
          <w:rFonts w:ascii="Rockwell" w:eastAsia="Times New Roman" w:hAnsi="Rockwell" w:cs="Times New Roman"/>
          <w:i/>
          <w:sz w:val="24"/>
          <w:szCs w:val="24"/>
        </w:rPr>
        <w:t xml:space="preserve">(iii) </w:t>
      </w:r>
      <w:r w:rsidRPr="00422183">
        <w:rPr>
          <w:rFonts w:ascii="Rockwell" w:eastAsia="Times New Roman" w:hAnsi="Rockwell" w:cs="Times New Roman"/>
          <w:i/>
          <w:sz w:val="24"/>
          <w:szCs w:val="24"/>
        </w:rPr>
        <w:t>le processus d’accélération de la transition démographique est réellement mis en mouvement</w:t>
      </w:r>
      <w:r w:rsidR="0038366B" w:rsidRPr="00422183">
        <w:rPr>
          <w:rFonts w:ascii="Rockwell" w:eastAsia="Times New Roman" w:hAnsi="Rockwell" w:cs="Times New Roman"/>
          <w:i/>
          <w:sz w:val="24"/>
          <w:szCs w:val="24"/>
        </w:rPr>
        <w:t>.</w:t>
      </w: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En term</w:t>
      </w:r>
      <w:r w:rsidR="0038366B" w:rsidRPr="00422183">
        <w:rPr>
          <w:rFonts w:ascii="Rockwell" w:hAnsi="Rockwell" w:cs="Times New Roman"/>
          <w:bCs/>
          <w:sz w:val="24"/>
          <w:szCs w:val="24"/>
        </w:rPr>
        <w:t>es de résultats chiffrés, pour garantir l’accès aux services de santé de qualité à tous</w:t>
      </w:r>
      <w:r w:rsidRPr="00422183">
        <w:rPr>
          <w:rFonts w:ascii="Rockwell" w:hAnsi="Rockwell" w:cs="Times New Roman"/>
          <w:bCs/>
          <w:sz w:val="24"/>
          <w:szCs w:val="24"/>
        </w:rPr>
        <w:t xml:space="preserve">, il s'agit de faire baisser le taux de mortalité maternelle de 330 en 2015 à 242 en 2020 pour 100 000 naissances vivantes, et de celui infanto-juvénile de 81,6 pour mille à 54,7 pour mille en 2020, de réduire le taux de létalité du paludisme grave chez les enfants de moins de 5 ans de 1,4% en 2015 à moins de 1% en 2020 et d’accroitre la proportion des Dépôts de médicaments essentiels génériques (DMEG) n'ayant pas connu de rupture de stock des médicaments traceurs de 88,7% en 2015 à plus de 95% en 2020. </w:t>
      </w: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principales actions pour cet effet consisteront à l’amélioration de la qualité et de la quantité de l'offre des services de santé, la réduction des inégalités régionales d'accès à la santé, le renforcement du système d'information sanitaire, la mise à disposition des ressources humaines et des infrastructures aux normes internationales et la gouvernance des établissements de santé. </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ce qui concerne l’effet attendu </w:t>
      </w:r>
      <w:r w:rsidR="0038366B" w:rsidRPr="00422183">
        <w:rPr>
          <w:rFonts w:ascii="Rockwell" w:hAnsi="Rockwell" w:cs="Times New Roman"/>
          <w:bCs/>
          <w:sz w:val="24"/>
          <w:szCs w:val="24"/>
        </w:rPr>
        <w:t>portant « </w:t>
      </w:r>
      <w:r w:rsidR="0038366B" w:rsidRPr="00422183">
        <w:rPr>
          <w:rFonts w:ascii="Rockwell" w:eastAsia="Times New Roman" w:hAnsi="Rockwell" w:cs="Times New Roman"/>
          <w:i/>
          <w:sz w:val="24"/>
          <w:szCs w:val="24"/>
        </w:rPr>
        <w:t>l’état nutritionnel de la population en particulier les femmes et les enfants est amélioré »</w:t>
      </w:r>
      <w:r w:rsidRPr="00422183">
        <w:rPr>
          <w:rFonts w:ascii="Rockwell" w:hAnsi="Rockwell" w:cs="Times New Roman"/>
          <w:bCs/>
          <w:sz w:val="24"/>
          <w:szCs w:val="24"/>
        </w:rPr>
        <w:t xml:space="preserve">, les résultats attendus chiffrés portent sur l’accroissement de la prise en charge de la proportion de la Malnutrition Aigüe Sévère par rapport au nombre de cas attendus de 80% en 2015 à 95% en 2020 et de celle de la Malnutrition Aigüe Sévère guérie de 93,8% en 2015 à 100% en 2020. L’action publique visera l’amélioration des pratiques nutritionnelles et le renforcement de la prise en charge </w:t>
      </w:r>
      <w:r w:rsidR="006B4F3A" w:rsidRPr="00422183">
        <w:rPr>
          <w:rFonts w:ascii="Rockwell" w:hAnsi="Rockwell" w:cs="Times New Roman"/>
          <w:bCs/>
          <w:sz w:val="24"/>
          <w:szCs w:val="24"/>
        </w:rPr>
        <w:t>et des</w:t>
      </w:r>
      <w:r w:rsidRPr="00422183">
        <w:rPr>
          <w:rFonts w:ascii="Rockwell" w:hAnsi="Rockwell" w:cs="Times New Roman"/>
          <w:bCs/>
          <w:sz w:val="24"/>
          <w:szCs w:val="24"/>
        </w:rPr>
        <w:t xml:space="preserve"> mesures de préventions de toutes les formes de malnutrition.</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Par rapport à l’effet attendu </w:t>
      </w:r>
      <w:r w:rsidR="0038366B" w:rsidRPr="00422183">
        <w:rPr>
          <w:rFonts w:ascii="Rockwell" w:hAnsi="Rockwell" w:cs="Times New Roman"/>
          <w:bCs/>
          <w:sz w:val="24"/>
          <w:szCs w:val="24"/>
        </w:rPr>
        <w:t>intitulé « </w:t>
      </w:r>
      <w:r w:rsidR="0038366B" w:rsidRPr="00422183">
        <w:rPr>
          <w:rFonts w:ascii="Rockwell" w:eastAsia="Times New Roman" w:hAnsi="Rockwell" w:cs="Times New Roman"/>
          <w:i/>
          <w:sz w:val="24"/>
          <w:szCs w:val="24"/>
        </w:rPr>
        <w:t>le processus d’accélération de la transition démographique est réellement mis en mouvement »</w:t>
      </w:r>
      <w:r w:rsidRPr="00422183">
        <w:rPr>
          <w:rFonts w:ascii="Rockwell" w:hAnsi="Rockwell" w:cs="Times New Roman"/>
          <w:bCs/>
          <w:sz w:val="24"/>
          <w:szCs w:val="24"/>
        </w:rPr>
        <w:t xml:space="preserve">, les principaux résultats chiffrés attendus, concernent la réduction de l’indice synthétique de fécondité de 5,4 enfants par femme en âge de procréer en </w:t>
      </w:r>
      <w:r w:rsidR="0038366B" w:rsidRPr="00422183">
        <w:rPr>
          <w:rFonts w:ascii="Rockwell" w:hAnsi="Rockwell" w:cs="Times New Roman"/>
          <w:bCs/>
          <w:sz w:val="24"/>
          <w:szCs w:val="24"/>
        </w:rPr>
        <w:t>2014 à 4,7 enfants en 2020 et le taux de dépendance démographique</w:t>
      </w:r>
      <w:r w:rsidRPr="00422183">
        <w:rPr>
          <w:rFonts w:ascii="Rockwell" w:hAnsi="Rockwell" w:cs="Times New Roman"/>
          <w:bCs/>
          <w:sz w:val="24"/>
          <w:szCs w:val="24"/>
        </w:rPr>
        <w:t xml:space="preserve"> de 45% en 2014 à 47% en 2020. Pour ce faire, le </w:t>
      </w:r>
      <w:r w:rsidR="0038366B" w:rsidRPr="00422183">
        <w:rPr>
          <w:rFonts w:ascii="Rockwell" w:hAnsi="Rockwell" w:cs="Times New Roman"/>
          <w:bCs/>
          <w:sz w:val="24"/>
          <w:szCs w:val="24"/>
        </w:rPr>
        <w:t>g</w:t>
      </w:r>
      <w:r w:rsidRPr="00422183">
        <w:rPr>
          <w:rFonts w:ascii="Rockwell" w:hAnsi="Rockwell" w:cs="Times New Roman"/>
          <w:bCs/>
          <w:sz w:val="24"/>
          <w:szCs w:val="24"/>
        </w:rPr>
        <w:t>ouvernement veillera à améliorer l’accès aux services de planification familiale à travers les actions de sensibilisation en vue d</w:t>
      </w:r>
      <w:r w:rsidR="00686AF2" w:rsidRPr="00422183">
        <w:rPr>
          <w:rFonts w:ascii="Rockwell" w:hAnsi="Rockwell" w:cs="Times New Roman"/>
          <w:bCs/>
          <w:sz w:val="24"/>
          <w:szCs w:val="24"/>
        </w:rPr>
        <w:t xml:space="preserve">e la maîtrise de la fécondité. </w:t>
      </w:r>
    </w:p>
    <w:p w:rsidR="00686AF2" w:rsidRPr="00422183" w:rsidRDefault="00686AF2"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5" w:name="_Toc455132769"/>
      <w:r w:rsidRPr="00422183">
        <w:rPr>
          <w:rFonts w:ascii="Rockwell" w:hAnsi="Rockwell"/>
        </w:rPr>
        <w:t>Objectif stratégique 2.2 : Accroitre l'offre et améliorer la qualité de l'éducation</w:t>
      </w:r>
      <w:r w:rsidR="00FD50CF" w:rsidRPr="00422183">
        <w:rPr>
          <w:rFonts w:ascii="Rockwell" w:hAnsi="Rockwell"/>
        </w:rPr>
        <w:t xml:space="preserve">, </w:t>
      </w:r>
      <w:r w:rsidR="00687E53" w:rsidRPr="00422183">
        <w:rPr>
          <w:rFonts w:ascii="Rockwell" w:hAnsi="Rockwell"/>
        </w:rPr>
        <w:t xml:space="preserve">de l’enseignement supérieur et </w:t>
      </w:r>
      <w:r w:rsidR="00FD50CF" w:rsidRPr="00422183">
        <w:rPr>
          <w:rFonts w:ascii="Rockwell" w:hAnsi="Rockwell"/>
        </w:rPr>
        <w:t xml:space="preserve">de la formation </w:t>
      </w:r>
      <w:r w:rsidRPr="00422183">
        <w:rPr>
          <w:rFonts w:ascii="Rockwell" w:hAnsi="Rockwell"/>
        </w:rPr>
        <w:t>en adéquation avec les besoins de transformation de l'économie</w:t>
      </w:r>
      <w:bookmarkEnd w:id="315"/>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eastAsia="Times New Roman" w:hAnsi="Rockwell" w:cs="Times New Roman"/>
          <w:b/>
          <w:sz w:val="24"/>
          <w:szCs w:val="24"/>
        </w:rPr>
      </w:pPr>
      <w:r w:rsidRPr="00422183">
        <w:rPr>
          <w:rFonts w:ascii="Rockwell" w:hAnsi="Rockwell" w:cs="Times New Roman"/>
          <w:bCs/>
          <w:sz w:val="24"/>
          <w:szCs w:val="24"/>
        </w:rPr>
        <w:t xml:space="preserve">Cet objectif stratégique vise la réalisation des effets attendus suivants : </w:t>
      </w:r>
      <w:r w:rsidR="00687E53" w:rsidRPr="00422183">
        <w:rPr>
          <w:rFonts w:ascii="Rockwell" w:hAnsi="Rockwell" w:cs="Times New Roman"/>
          <w:bCs/>
          <w:sz w:val="24"/>
          <w:szCs w:val="24"/>
        </w:rPr>
        <w:t xml:space="preserve">(i) </w:t>
      </w:r>
      <w:r w:rsidR="00687E53" w:rsidRPr="00422183">
        <w:rPr>
          <w:rFonts w:ascii="Rockwell" w:eastAsia="Times New Roman" w:hAnsi="Rockwell" w:cs="Times New Roman"/>
          <w:i/>
          <w:sz w:val="24"/>
          <w:szCs w:val="24"/>
        </w:rPr>
        <w:t>l’accès de</w:t>
      </w:r>
      <w:r w:rsidRPr="00422183">
        <w:rPr>
          <w:rFonts w:ascii="Rockwell" w:eastAsia="Times New Roman" w:hAnsi="Rockwell" w:cs="Times New Roman"/>
          <w:i/>
          <w:sz w:val="24"/>
          <w:szCs w:val="24"/>
        </w:rPr>
        <w:t xml:space="preserve"> tous à une éducation de qualité est amélioré, </w:t>
      </w:r>
      <w:r w:rsidR="00687E53" w:rsidRPr="00422183">
        <w:rPr>
          <w:rFonts w:ascii="Rockwell" w:eastAsia="Times New Roman" w:hAnsi="Rockwell" w:cs="Times New Roman"/>
          <w:i/>
          <w:sz w:val="24"/>
          <w:szCs w:val="24"/>
        </w:rPr>
        <w:t xml:space="preserve">(ii) </w:t>
      </w:r>
      <w:r w:rsidRPr="00422183">
        <w:rPr>
          <w:rFonts w:ascii="Rockwell" w:eastAsia="Times New Roman" w:hAnsi="Rockwell" w:cs="Times New Roman"/>
          <w:i/>
          <w:sz w:val="24"/>
          <w:szCs w:val="24"/>
        </w:rPr>
        <w:t xml:space="preserve">la disponibilité et l'employabilité des ressources humaines sont </w:t>
      </w:r>
      <w:r w:rsidR="00687E53" w:rsidRPr="00422183">
        <w:rPr>
          <w:rFonts w:ascii="Rockwell" w:eastAsia="Times New Roman" w:hAnsi="Rockwell" w:cs="Times New Roman"/>
          <w:i/>
          <w:sz w:val="24"/>
          <w:szCs w:val="24"/>
        </w:rPr>
        <w:t>améliorées,</w:t>
      </w:r>
      <w:r w:rsidRPr="00422183">
        <w:rPr>
          <w:rFonts w:ascii="Rockwell" w:eastAsia="Times New Roman" w:hAnsi="Rockwell" w:cs="Times New Roman"/>
          <w:b/>
          <w:i/>
          <w:sz w:val="24"/>
          <w:szCs w:val="24"/>
        </w:rPr>
        <w:t xml:space="preserve"> </w:t>
      </w:r>
      <w:r w:rsidR="00687E53" w:rsidRPr="00422183">
        <w:rPr>
          <w:rFonts w:ascii="Rockwell" w:eastAsia="Times New Roman" w:hAnsi="Rockwell" w:cs="Times New Roman"/>
          <w:i/>
          <w:sz w:val="24"/>
          <w:szCs w:val="24"/>
        </w:rPr>
        <w:t>(iii)</w:t>
      </w:r>
      <w:r w:rsidR="00687E53" w:rsidRPr="00422183">
        <w:rPr>
          <w:rFonts w:ascii="Rockwell" w:eastAsia="Times New Roman" w:hAnsi="Rockwell" w:cs="Times New Roman"/>
          <w:b/>
          <w:i/>
          <w:sz w:val="24"/>
          <w:szCs w:val="24"/>
        </w:rPr>
        <w:t xml:space="preserve"> </w:t>
      </w:r>
      <w:r w:rsidRPr="00422183">
        <w:rPr>
          <w:rFonts w:ascii="Rockwell" w:eastAsia="Times New Roman" w:hAnsi="Rockwell" w:cs="Times New Roman"/>
          <w:i/>
          <w:sz w:val="24"/>
          <w:szCs w:val="24"/>
        </w:rPr>
        <w:t>l’accès à un enseignement supérieur de qualité adapté aux besoins de transformation structurelle de l'économie est assuré</w:t>
      </w:r>
      <w:r w:rsidRPr="00422183">
        <w:rPr>
          <w:rFonts w:ascii="Rockwell" w:eastAsia="Times New Roman" w:hAnsi="Rockwell" w:cs="Times New Roman"/>
          <w:b/>
          <w:sz w:val="24"/>
          <w:szCs w:val="24"/>
        </w:rPr>
        <w:t>.</w:t>
      </w:r>
    </w:p>
    <w:p w:rsidR="004A1046" w:rsidRPr="00422183" w:rsidRDefault="004A1046" w:rsidP="003A0820">
      <w:pPr>
        <w:spacing w:after="0" w:line="240" w:lineRule="auto"/>
        <w:jc w:val="both"/>
        <w:rPr>
          <w:rFonts w:ascii="Rockwell" w:hAnsi="Rockwell" w:cs="Times New Roman"/>
          <w:bCs/>
          <w:i/>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termes de résultats chiffrés de l’effet attendu </w:t>
      </w:r>
      <w:r w:rsidR="00687E53" w:rsidRPr="00422183">
        <w:rPr>
          <w:rFonts w:ascii="Rockwell" w:hAnsi="Rockwell" w:cs="Times New Roman"/>
          <w:bCs/>
          <w:sz w:val="24"/>
          <w:szCs w:val="24"/>
        </w:rPr>
        <w:t xml:space="preserve">« </w:t>
      </w:r>
      <w:r w:rsidR="00687E53" w:rsidRPr="00422183">
        <w:rPr>
          <w:rFonts w:ascii="Rockwell" w:eastAsia="Times New Roman" w:hAnsi="Rockwell" w:cs="Times New Roman"/>
          <w:i/>
          <w:sz w:val="24"/>
          <w:szCs w:val="24"/>
        </w:rPr>
        <w:t>l’accès de tous à une éducation de qualité est amélioré</w:t>
      </w:r>
      <w:r w:rsidR="00687E53" w:rsidRPr="00422183">
        <w:rPr>
          <w:rFonts w:ascii="Rockwell" w:hAnsi="Rockwell" w:cs="Times New Roman"/>
          <w:bCs/>
          <w:sz w:val="24"/>
          <w:szCs w:val="24"/>
        </w:rPr>
        <w:t> »</w:t>
      </w:r>
      <w:r w:rsidRPr="00422183">
        <w:rPr>
          <w:rFonts w:ascii="Rockwell" w:hAnsi="Rockwell" w:cs="Times New Roman"/>
          <w:bCs/>
          <w:sz w:val="24"/>
          <w:szCs w:val="24"/>
        </w:rPr>
        <w:t>, il s'agira d'accroître le taux brut de scolarisation au préscolaire de 3,9% en 2015 à 7,6% en 2020, le taux d'achèvement au primaire de 58,5% en 2015 à 75,6% en 2020 et le taux d’achèvement au post pr</w:t>
      </w:r>
      <w:r w:rsidR="00687E53" w:rsidRPr="00422183">
        <w:rPr>
          <w:rFonts w:ascii="Rockwell" w:hAnsi="Rockwell" w:cs="Times New Roman"/>
          <w:bCs/>
          <w:sz w:val="24"/>
          <w:szCs w:val="24"/>
        </w:rPr>
        <w:t>imaire de 24,2% en 2015 à 38</w:t>
      </w:r>
      <w:r w:rsidRPr="00422183">
        <w:rPr>
          <w:rFonts w:ascii="Rockwell" w:hAnsi="Rockwell" w:cs="Times New Roman"/>
          <w:bCs/>
          <w:sz w:val="24"/>
          <w:szCs w:val="24"/>
        </w:rPr>
        <w:t>,</w:t>
      </w:r>
      <w:r w:rsidR="00687E53" w:rsidRPr="00422183">
        <w:rPr>
          <w:rFonts w:ascii="Rockwell" w:hAnsi="Rockwell" w:cs="Times New Roman"/>
          <w:bCs/>
          <w:sz w:val="24"/>
          <w:szCs w:val="24"/>
        </w:rPr>
        <w:t>2</w:t>
      </w:r>
      <w:r w:rsidRPr="00422183">
        <w:rPr>
          <w:rFonts w:ascii="Rockwell" w:hAnsi="Rockwell" w:cs="Times New Roman"/>
          <w:bCs/>
          <w:sz w:val="24"/>
          <w:szCs w:val="24"/>
        </w:rPr>
        <w:t xml:space="preserve">% en </w:t>
      </w:r>
      <w:r w:rsidR="006B4F3A" w:rsidRPr="00422183">
        <w:rPr>
          <w:rFonts w:ascii="Rockwell" w:hAnsi="Rockwell" w:cs="Times New Roman"/>
          <w:bCs/>
          <w:sz w:val="24"/>
          <w:szCs w:val="24"/>
        </w:rPr>
        <w:t>2020, d’en</w:t>
      </w:r>
      <w:r w:rsidRPr="00422183">
        <w:rPr>
          <w:rFonts w:ascii="Rockwell" w:hAnsi="Rockwell" w:cs="Times New Roman"/>
          <w:bCs/>
          <w:sz w:val="24"/>
          <w:szCs w:val="24"/>
        </w:rPr>
        <w:t xml:space="preserve"> finir avec les écoles sous paillotes et de réduire les actes d’incivisme en milieu scolaire. </w:t>
      </w: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Les actions à mettre en œuvre pour l’atteinte de cet effet, sont l'accroissement et l'amélioration de la qualité et de l'offre d’enseignement de base et la réduction des disparités, la réforme du système éducatif pour l'adapter aux besoins de la transformation structurelle, le renforcement de la sensibilisation et de l’éducation civique en milieu scolaire.</w:t>
      </w:r>
    </w:p>
    <w:p w:rsidR="004A1046" w:rsidRPr="00422183" w:rsidRDefault="004A1046" w:rsidP="003A0820">
      <w:pPr>
        <w:spacing w:after="0" w:line="240" w:lineRule="auto"/>
        <w:jc w:val="both"/>
        <w:rPr>
          <w:rFonts w:ascii="Rockwell" w:hAnsi="Rockwell"/>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Au niveau de l’effet attendu </w:t>
      </w:r>
      <w:r w:rsidR="00687E53" w:rsidRPr="00422183">
        <w:rPr>
          <w:rFonts w:ascii="Rockwell" w:hAnsi="Rockwell" w:cs="Times New Roman"/>
          <w:bCs/>
          <w:sz w:val="24"/>
          <w:szCs w:val="24"/>
        </w:rPr>
        <w:t>« </w:t>
      </w:r>
      <w:r w:rsidR="00687E53" w:rsidRPr="00422183">
        <w:rPr>
          <w:rFonts w:ascii="Rockwell" w:eastAsia="Times New Roman" w:hAnsi="Rockwell" w:cs="Times New Roman"/>
          <w:i/>
          <w:sz w:val="24"/>
          <w:szCs w:val="24"/>
        </w:rPr>
        <w:t>la disponibilité et l'employabilité des ressources humaines sont améliorées »</w:t>
      </w:r>
      <w:r w:rsidRPr="00422183">
        <w:rPr>
          <w:rFonts w:ascii="Rockwell" w:hAnsi="Rockwell" w:cs="Times New Roman"/>
          <w:bCs/>
          <w:sz w:val="24"/>
          <w:szCs w:val="24"/>
        </w:rPr>
        <w:t xml:space="preserve">, les résultats chiffrés visent à accroitre la proportion des effectifs de l’enseignement et la formation technique et professionnelle (EFTP), 3,4% en 2015 à 16% en 2020, d’accroitre le taux d’instruction de la population en âge de travailler de 29,5% en 2015 à 35% en 2020 et de la proportion de la main d’œuvre bénéficiaires de l’EFTP dans les filières de transformation agro-pastorale de 1,1% en 2015 à 15% en 2020. A cet effet, les actions majeures consisteront à l’amélioration de la qualité et de l’accès à l’EFTP adapté aux besoins de l’économie et </w:t>
      </w:r>
      <w:r w:rsidR="00687E53" w:rsidRPr="00422183">
        <w:rPr>
          <w:rFonts w:ascii="Rockwell" w:hAnsi="Rockwell" w:cs="Times New Roman"/>
          <w:bCs/>
          <w:sz w:val="24"/>
          <w:szCs w:val="24"/>
        </w:rPr>
        <w:t>au</w:t>
      </w:r>
      <w:r w:rsidRPr="00422183">
        <w:rPr>
          <w:rFonts w:ascii="Rockwell" w:hAnsi="Rockwell" w:cs="Times New Roman"/>
          <w:bCs/>
          <w:sz w:val="24"/>
          <w:szCs w:val="24"/>
        </w:rPr>
        <w:t xml:space="preserve"> renforcement du niveau de la formation de la population en âge de travailler.</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Relativement à l’effet attendu </w:t>
      </w:r>
      <w:r w:rsidR="00687E53" w:rsidRPr="00422183">
        <w:rPr>
          <w:rFonts w:ascii="Rockwell" w:hAnsi="Rockwell" w:cs="Times New Roman"/>
          <w:bCs/>
          <w:sz w:val="24"/>
          <w:szCs w:val="24"/>
        </w:rPr>
        <w:t>« </w:t>
      </w:r>
      <w:r w:rsidR="00687E53" w:rsidRPr="00422183">
        <w:rPr>
          <w:rFonts w:ascii="Rockwell" w:eastAsia="Times New Roman" w:hAnsi="Rockwell" w:cs="Times New Roman"/>
          <w:i/>
          <w:sz w:val="24"/>
          <w:szCs w:val="24"/>
        </w:rPr>
        <w:t>l’accès à un enseignement supérieur de qualité adapté aux besoins de transformation structurelle de l'économie est assuré »</w:t>
      </w:r>
      <w:r w:rsidRPr="00422183">
        <w:rPr>
          <w:rFonts w:ascii="Rockwell" w:hAnsi="Rockwell" w:cs="Times New Roman"/>
          <w:bCs/>
          <w:sz w:val="24"/>
          <w:szCs w:val="24"/>
        </w:rPr>
        <w:t>, les résultats chiffrés visent à porter le nombre d’étudiant</w:t>
      </w:r>
      <w:r w:rsidR="00687E53" w:rsidRPr="00422183">
        <w:rPr>
          <w:rFonts w:ascii="Rockwell" w:hAnsi="Rockwell" w:cs="Times New Roman"/>
          <w:bCs/>
          <w:sz w:val="24"/>
          <w:szCs w:val="24"/>
        </w:rPr>
        <w:t>s</w:t>
      </w:r>
      <w:r w:rsidRPr="00422183">
        <w:rPr>
          <w:rFonts w:ascii="Rockwell" w:hAnsi="Rockwell" w:cs="Times New Roman"/>
          <w:bCs/>
          <w:sz w:val="24"/>
          <w:szCs w:val="24"/>
        </w:rPr>
        <w:t xml:space="preserve"> pour 100 000 habitants de 611 en 2015 à 829 en 2020, </w:t>
      </w:r>
      <w:r w:rsidR="00687E53" w:rsidRPr="00422183">
        <w:rPr>
          <w:rFonts w:ascii="Rockwell" w:hAnsi="Rockwell" w:cs="Times New Roman"/>
          <w:bCs/>
          <w:sz w:val="24"/>
          <w:szCs w:val="24"/>
        </w:rPr>
        <w:t xml:space="preserve">de </w:t>
      </w:r>
      <w:r w:rsidRPr="00422183">
        <w:rPr>
          <w:rFonts w:ascii="Rockwell" w:hAnsi="Rockwell" w:cs="Times New Roman"/>
          <w:bCs/>
          <w:sz w:val="24"/>
          <w:szCs w:val="24"/>
        </w:rPr>
        <w:t xml:space="preserve">réduire la durée moyenne d’obtention d’un premier emploi pour un sortant de l’enseignement supérieur de </w:t>
      </w:r>
      <w:r w:rsidR="00FD50CF" w:rsidRPr="00422183">
        <w:rPr>
          <w:rFonts w:ascii="Rockwell" w:hAnsi="Rockwell" w:cs="Times New Roman"/>
          <w:bCs/>
          <w:sz w:val="24"/>
          <w:szCs w:val="24"/>
        </w:rPr>
        <w:t xml:space="preserve">5 ans en 2015 à 3 ans en 2020, </w:t>
      </w:r>
      <w:r w:rsidRPr="00422183">
        <w:rPr>
          <w:rFonts w:ascii="Rockwell" w:hAnsi="Rockwell" w:cs="Times New Roman"/>
          <w:bCs/>
          <w:sz w:val="24"/>
          <w:szCs w:val="24"/>
        </w:rPr>
        <w:t>accroitre la pr</w:t>
      </w:r>
      <w:r w:rsidR="006B4F3A" w:rsidRPr="00422183">
        <w:rPr>
          <w:rFonts w:ascii="Rockwell" w:hAnsi="Rockwell" w:cs="Times New Roman"/>
          <w:bCs/>
          <w:sz w:val="24"/>
          <w:szCs w:val="24"/>
        </w:rPr>
        <w:t>oportion de filières professionn</w:t>
      </w:r>
      <w:r w:rsidRPr="00422183">
        <w:rPr>
          <w:rFonts w:ascii="Rockwell" w:hAnsi="Rockwell" w:cs="Times New Roman"/>
          <w:bCs/>
          <w:sz w:val="24"/>
          <w:szCs w:val="24"/>
        </w:rPr>
        <w:t>alisant</w:t>
      </w:r>
      <w:r w:rsidR="00687E53" w:rsidRPr="00422183">
        <w:rPr>
          <w:rFonts w:ascii="Rockwell" w:hAnsi="Rockwell" w:cs="Times New Roman"/>
          <w:bCs/>
          <w:sz w:val="24"/>
          <w:szCs w:val="24"/>
        </w:rPr>
        <w:t>es</w:t>
      </w:r>
      <w:r w:rsidRPr="00422183">
        <w:rPr>
          <w:rFonts w:ascii="Rockwell" w:hAnsi="Rockwell" w:cs="Times New Roman"/>
          <w:bCs/>
          <w:sz w:val="24"/>
          <w:szCs w:val="24"/>
        </w:rPr>
        <w:t xml:space="preserve"> </w:t>
      </w:r>
      <w:r w:rsidR="00FD50CF" w:rsidRPr="00422183">
        <w:rPr>
          <w:rFonts w:ascii="Rockwell" w:hAnsi="Rockwell" w:cs="Times New Roman"/>
          <w:bCs/>
          <w:sz w:val="24"/>
          <w:szCs w:val="24"/>
        </w:rPr>
        <w:t xml:space="preserve">de </w:t>
      </w:r>
      <w:r w:rsidR="00687E53" w:rsidRPr="00422183">
        <w:rPr>
          <w:rFonts w:ascii="Rockwell" w:hAnsi="Rockwell" w:cs="Times New Roman"/>
          <w:bCs/>
          <w:sz w:val="24"/>
          <w:szCs w:val="24"/>
        </w:rPr>
        <w:t>10</w:t>
      </w:r>
      <w:r w:rsidR="00FD50CF" w:rsidRPr="00422183">
        <w:rPr>
          <w:rFonts w:ascii="Rockwell" w:hAnsi="Rockwell" w:cs="Times New Roman"/>
          <w:bCs/>
          <w:sz w:val="24"/>
          <w:szCs w:val="24"/>
        </w:rPr>
        <w:t>% en 2015 à 30% en 2020 et renforcer</w:t>
      </w:r>
      <w:r w:rsidRPr="00422183">
        <w:rPr>
          <w:rFonts w:ascii="Rockwell" w:hAnsi="Rockwell" w:cs="Times New Roman"/>
          <w:bCs/>
          <w:sz w:val="24"/>
          <w:szCs w:val="24"/>
        </w:rPr>
        <w:t xml:space="preserve"> l'autonomisation (notamment financière) des université</w:t>
      </w:r>
      <w:r w:rsidR="00687E53" w:rsidRPr="00422183">
        <w:rPr>
          <w:rFonts w:ascii="Rockwell" w:hAnsi="Rockwell" w:cs="Times New Roman"/>
          <w:bCs/>
          <w:sz w:val="24"/>
          <w:szCs w:val="24"/>
        </w:rPr>
        <w:t>s</w:t>
      </w:r>
      <w:r w:rsidRPr="00422183">
        <w:rPr>
          <w:rFonts w:ascii="Rockwell" w:hAnsi="Rockwell" w:cs="Times New Roman"/>
          <w:bCs/>
          <w:sz w:val="24"/>
          <w:szCs w:val="24"/>
        </w:rPr>
        <w:t>.</w:t>
      </w:r>
    </w:p>
    <w:p w:rsidR="0090049C" w:rsidRPr="00422183" w:rsidRDefault="0090049C"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Par ailleurs, les principales actions s’inscriront dans l’amélioration de l’accès à l’enseignement supérieur de qualité, l’accroissement des capacités en ressources et en infrastructures des universités et des structures d’accompagnement social et à l’amélioration de la gouvernance de l’enseignement supérieur.</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6" w:name="_Toc455132770"/>
      <w:r w:rsidRPr="00422183">
        <w:rPr>
          <w:rFonts w:ascii="Rockwell" w:hAnsi="Rockwell"/>
        </w:rPr>
        <w:t>Objectif stratégique 2.3 : Promouvoir la recherche et l'innovation au service de la transformation structurelle de l'économie</w:t>
      </w:r>
      <w:bookmarkEnd w:id="316"/>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L’effet attendu de cet objectif stratégique </w:t>
      </w:r>
      <w:r w:rsidR="00686AF2" w:rsidRPr="00422183">
        <w:rPr>
          <w:rFonts w:ascii="Rockwell" w:hAnsi="Rockwell" w:cs="Times New Roman"/>
          <w:bCs/>
          <w:sz w:val="24"/>
          <w:szCs w:val="24"/>
        </w:rPr>
        <w:t>s’intitule</w:t>
      </w:r>
      <w:r w:rsidRPr="00422183">
        <w:rPr>
          <w:rFonts w:ascii="Rockwell" w:hAnsi="Rockwell" w:cs="Times New Roman"/>
          <w:bCs/>
          <w:sz w:val="24"/>
          <w:szCs w:val="24"/>
        </w:rPr>
        <w:t xml:space="preserve"> comme suit : </w:t>
      </w:r>
      <w:r w:rsidRPr="00422183">
        <w:rPr>
          <w:rFonts w:ascii="Rockwell" w:hAnsi="Rockwell" w:cs="Times New Roman"/>
          <w:bCs/>
          <w:i/>
          <w:sz w:val="24"/>
          <w:szCs w:val="24"/>
        </w:rPr>
        <w:t>la recherche et l'innovation sont davantage au service de la transformation structurelle de l'économie</w:t>
      </w:r>
      <w:r w:rsidRPr="00422183">
        <w:rPr>
          <w:rFonts w:ascii="Rockwell" w:hAnsi="Rockwell" w:cs="Times New Roman"/>
          <w:bCs/>
          <w:sz w:val="24"/>
          <w:szCs w:val="24"/>
        </w:rPr>
        <w:t>. En termes de résultat</w:t>
      </w:r>
      <w:r w:rsidR="001E36C3" w:rsidRPr="00422183">
        <w:rPr>
          <w:rFonts w:ascii="Rockwell" w:hAnsi="Rockwell" w:cs="Times New Roman"/>
          <w:bCs/>
          <w:sz w:val="24"/>
          <w:szCs w:val="24"/>
        </w:rPr>
        <w:t>s</w:t>
      </w:r>
      <w:r w:rsidRPr="00422183">
        <w:rPr>
          <w:rFonts w:ascii="Rockwell" w:hAnsi="Rockwell" w:cs="Times New Roman"/>
          <w:bCs/>
          <w:sz w:val="24"/>
          <w:szCs w:val="24"/>
        </w:rPr>
        <w:t xml:space="preserve"> chiffrés pour cet effet attendu, il s'agit d'accroitre le nombre de technologies générées au profit de la production de 300 en 2015 à 600 en 2020 et le taux d’adoption des technologies et innovations générées par la recherche scientifique et </w:t>
      </w:r>
      <w:r w:rsidR="006B4F3A" w:rsidRPr="00422183">
        <w:rPr>
          <w:rFonts w:ascii="Rockwell" w:hAnsi="Rockwell" w:cs="Times New Roman"/>
          <w:bCs/>
          <w:sz w:val="24"/>
          <w:szCs w:val="24"/>
        </w:rPr>
        <w:t>technologique de</w:t>
      </w:r>
      <w:r w:rsidRPr="00422183">
        <w:rPr>
          <w:rFonts w:ascii="Rockwell" w:hAnsi="Rockwell" w:cs="Times New Roman"/>
          <w:bCs/>
          <w:sz w:val="24"/>
          <w:szCs w:val="24"/>
        </w:rPr>
        <w:t xml:space="preserve"> 60 en 2015 à 95 en 2020.</w:t>
      </w:r>
    </w:p>
    <w:p w:rsidR="001E36C3" w:rsidRPr="00422183" w:rsidRDefault="001E36C3"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Pour y parvenir, il s'agira d'améliorer la gouvernance institutionnelle de la recherche, d'œuvrer à renforcer les capacités techniques des ressources humaines</w:t>
      </w:r>
      <w:r w:rsidR="00FD50CF" w:rsidRPr="00422183">
        <w:rPr>
          <w:rFonts w:ascii="Rockwell" w:hAnsi="Rockwell" w:cs="Times New Roman"/>
          <w:bCs/>
          <w:sz w:val="24"/>
          <w:szCs w:val="24"/>
        </w:rPr>
        <w:t xml:space="preserve">, d’accroitre la capacité en infrastructure et équipement de recherche, d’assurer la sécurisation foncière (sites des universités et des stations recherches) et l’autonomisation financière des centres de recherche. Il s’agira </w:t>
      </w:r>
      <w:r w:rsidR="002455E0" w:rsidRPr="00422183">
        <w:rPr>
          <w:rFonts w:ascii="Rockwell" w:hAnsi="Rockwell" w:cs="Times New Roman"/>
          <w:bCs/>
          <w:sz w:val="24"/>
          <w:szCs w:val="24"/>
        </w:rPr>
        <w:t>également d’orienter</w:t>
      </w:r>
      <w:r w:rsidRPr="00422183">
        <w:rPr>
          <w:rFonts w:ascii="Rockwell" w:hAnsi="Rockwell" w:cs="Times New Roman"/>
          <w:bCs/>
          <w:sz w:val="24"/>
          <w:szCs w:val="24"/>
        </w:rPr>
        <w:t xml:space="preserve"> la recherche vers les objectifs de développement, de renforcer le P</w:t>
      </w:r>
      <w:r w:rsidR="00CB2218" w:rsidRPr="00422183">
        <w:rPr>
          <w:rFonts w:ascii="Rockwell" w:hAnsi="Rockwell" w:cs="Times New Roman"/>
          <w:bCs/>
          <w:sz w:val="24"/>
          <w:szCs w:val="24"/>
        </w:rPr>
        <w:t xml:space="preserve">artenariat </w:t>
      </w:r>
      <w:r w:rsidRPr="00422183">
        <w:rPr>
          <w:rFonts w:ascii="Rockwell" w:hAnsi="Rockwell" w:cs="Times New Roman"/>
          <w:bCs/>
          <w:sz w:val="24"/>
          <w:szCs w:val="24"/>
        </w:rPr>
        <w:t>P</w:t>
      </w:r>
      <w:r w:rsidR="00CB2218" w:rsidRPr="00422183">
        <w:rPr>
          <w:rFonts w:ascii="Rockwell" w:hAnsi="Rockwell" w:cs="Times New Roman"/>
          <w:bCs/>
          <w:sz w:val="24"/>
          <w:szCs w:val="24"/>
        </w:rPr>
        <w:t xml:space="preserve">ublic </w:t>
      </w:r>
      <w:r w:rsidRPr="00422183">
        <w:rPr>
          <w:rFonts w:ascii="Rockwell" w:hAnsi="Rockwell" w:cs="Times New Roman"/>
          <w:bCs/>
          <w:sz w:val="24"/>
          <w:szCs w:val="24"/>
        </w:rPr>
        <w:t>P</w:t>
      </w:r>
      <w:r w:rsidR="00CB2218" w:rsidRPr="00422183">
        <w:rPr>
          <w:rFonts w:ascii="Rockwell" w:hAnsi="Rockwell" w:cs="Times New Roman"/>
          <w:bCs/>
          <w:sz w:val="24"/>
          <w:szCs w:val="24"/>
        </w:rPr>
        <w:t xml:space="preserve">rivé dans la recherche, </w:t>
      </w:r>
      <w:r w:rsidRPr="00422183">
        <w:rPr>
          <w:rFonts w:ascii="Rockwell" w:hAnsi="Rockwell" w:cs="Times New Roman"/>
          <w:bCs/>
          <w:sz w:val="24"/>
          <w:szCs w:val="24"/>
        </w:rPr>
        <w:t xml:space="preserve">la valorisation des résultats de la recherche </w:t>
      </w:r>
      <w:r w:rsidR="00CB2218" w:rsidRPr="00422183">
        <w:rPr>
          <w:rFonts w:ascii="Rockwell" w:hAnsi="Rockwell" w:cs="Times New Roman"/>
          <w:bCs/>
          <w:sz w:val="24"/>
          <w:szCs w:val="24"/>
        </w:rPr>
        <w:t xml:space="preserve">et de l’innovation </w:t>
      </w:r>
      <w:r w:rsidRPr="00422183">
        <w:rPr>
          <w:rFonts w:ascii="Rockwell" w:hAnsi="Rockwell" w:cs="Times New Roman"/>
          <w:bCs/>
          <w:sz w:val="24"/>
          <w:szCs w:val="24"/>
        </w:rPr>
        <w:t>et</w:t>
      </w:r>
      <w:r w:rsidR="00CB2218" w:rsidRPr="00422183">
        <w:rPr>
          <w:rFonts w:ascii="Rockwell" w:hAnsi="Rockwell" w:cs="Times New Roman"/>
          <w:bCs/>
          <w:sz w:val="24"/>
          <w:szCs w:val="24"/>
        </w:rPr>
        <w:t xml:space="preserve"> </w:t>
      </w:r>
      <w:r w:rsidRPr="00422183">
        <w:rPr>
          <w:rFonts w:ascii="Rockwell" w:hAnsi="Rockwell" w:cs="Times New Roman"/>
          <w:bCs/>
          <w:sz w:val="24"/>
          <w:szCs w:val="24"/>
        </w:rPr>
        <w:t xml:space="preserve">de promouvoir la coopération régionale </w:t>
      </w:r>
      <w:r w:rsidR="00CB2218" w:rsidRPr="00422183">
        <w:rPr>
          <w:rFonts w:ascii="Rockwell" w:hAnsi="Rockwell" w:cs="Times New Roman"/>
          <w:bCs/>
          <w:sz w:val="24"/>
          <w:szCs w:val="24"/>
        </w:rPr>
        <w:t xml:space="preserve">et </w:t>
      </w:r>
      <w:r w:rsidRPr="00422183">
        <w:rPr>
          <w:rFonts w:ascii="Rockwell" w:hAnsi="Rockwell" w:cs="Times New Roman"/>
          <w:bCs/>
          <w:sz w:val="24"/>
          <w:szCs w:val="24"/>
        </w:rPr>
        <w:t>internationale en matière de recherche et d'innovation.</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7" w:name="_Toc455132771"/>
      <w:r w:rsidRPr="00422183">
        <w:rPr>
          <w:rFonts w:ascii="Rockwell" w:hAnsi="Rockwell"/>
        </w:rPr>
        <w:t>Objectif stratégique 2.4 : Promouvoir l'emploi décent et la protection sociale pour tous</w:t>
      </w:r>
      <w:r w:rsidR="00453665" w:rsidRPr="00422183">
        <w:rPr>
          <w:rFonts w:ascii="Rockwell" w:hAnsi="Rockwell"/>
        </w:rPr>
        <w:t xml:space="preserve"> y compris les femmes et les jeunes</w:t>
      </w:r>
      <w:bookmarkEnd w:id="317"/>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effets attendus de cet objectif stratégique se formulent ainsi : </w:t>
      </w:r>
      <w:r w:rsidR="00453665" w:rsidRPr="00422183">
        <w:rPr>
          <w:rFonts w:ascii="Rockwell" w:hAnsi="Rockwell" w:cs="Times New Roman"/>
          <w:bCs/>
          <w:sz w:val="24"/>
          <w:szCs w:val="24"/>
        </w:rPr>
        <w:t>(</w:t>
      </w:r>
      <w:r w:rsidR="00453665" w:rsidRPr="00422183">
        <w:rPr>
          <w:rFonts w:ascii="Rockwell" w:hAnsi="Rockwell" w:cs="Times New Roman"/>
          <w:bCs/>
          <w:i/>
          <w:sz w:val="24"/>
          <w:szCs w:val="24"/>
        </w:rPr>
        <w:t xml:space="preserve">i) </w:t>
      </w:r>
      <w:r w:rsidRPr="00422183">
        <w:rPr>
          <w:rFonts w:ascii="Rockwell" w:hAnsi="Rockwell" w:cs="Times New Roman"/>
          <w:bCs/>
          <w:i/>
          <w:sz w:val="24"/>
          <w:szCs w:val="24"/>
        </w:rPr>
        <w:t xml:space="preserve">l'emploi décent et la protection sociale sont garantis à tous y </w:t>
      </w:r>
      <w:r w:rsidR="006B4F3A" w:rsidRPr="00422183">
        <w:rPr>
          <w:rFonts w:ascii="Rockwell" w:hAnsi="Rockwell" w:cs="Times New Roman"/>
          <w:bCs/>
          <w:i/>
          <w:sz w:val="24"/>
          <w:szCs w:val="24"/>
        </w:rPr>
        <w:t>compris les</w:t>
      </w:r>
      <w:r w:rsidRPr="00422183">
        <w:rPr>
          <w:rFonts w:ascii="Rockwell" w:hAnsi="Rockwell" w:cs="Times New Roman"/>
          <w:bCs/>
          <w:i/>
          <w:sz w:val="24"/>
          <w:szCs w:val="24"/>
        </w:rPr>
        <w:t xml:space="preserve"> jeunes et les femmes, </w:t>
      </w:r>
      <w:r w:rsidR="00453665" w:rsidRPr="00422183">
        <w:rPr>
          <w:rFonts w:ascii="Rockwell" w:hAnsi="Rockwell" w:cs="Times New Roman"/>
          <w:bCs/>
          <w:i/>
          <w:sz w:val="24"/>
          <w:szCs w:val="24"/>
        </w:rPr>
        <w:t xml:space="preserve">(ii) </w:t>
      </w:r>
      <w:r w:rsidRPr="00422183">
        <w:rPr>
          <w:rFonts w:ascii="Rockwell" w:hAnsi="Rockwell" w:cs="Times New Roman"/>
          <w:bCs/>
          <w:i/>
          <w:sz w:val="24"/>
          <w:szCs w:val="24"/>
        </w:rPr>
        <w:t>les inégalités sociales et de genre sont réduits</w:t>
      </w:r>
      <w:r w:rsidR="00453665" w:rsidRPr="00422183">
        <w:rPr>
          <w:rFonts w:ascii="Rockwell" w:hAnsi="Rockwell" w:cs="Times New Roman"/>
          <w:bCs/>
          <w:i/>
          <w:sz w:val="24"/>
          <w:szCs w:val="24"/>
        </w:rPr>
        <w:t xml:space="preserve"> et la femme est promue comme acteur dynamique de développement</w:t>
      </w:r>
      <w:r w:rsidR="00453665" w:rsidRPr="00422183">
        <w:rPr>
          <w:rFonts w:ascii="Rockwell" w:hAnsi="Rockwell" w:cs="Times New Roman"/>
          <w:bCs/>
          <w:sz w:val="24"/>
          <w:szCs w:val="24"/>
        </w:rPr>
        <w:t>.</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termes de résultats chiffrés à l'horizon 2020 pour l’effet attendu </w:t>
      </w:r>
      <w:r w:rsidR="00453665" w:rsidRPr="00422183">
        <w:rPr>
          <w:rFonts w:ascii="Rockwell" w:hAnsi="Rockwell" w:cs="Times New Roman"/>
          <w:bCs/>
          <w:sz w:val="24"/>
          <w:szCs w:val="24"/>
        </w:rPr>
        <w:t>« </w:t>
      </w:r>
      <w:r w:rsidR="00453665" w:rsidRPr="00422183">
        <w:rPr>
          <w:rFonts w:ascii="Rockwell" w:hAnsi="Rockwell" w:cs="Times New Roman"/>
          <w:bCs/>
          <w:i/>
          <w:sz w:val="24"/>
          <w:szCs w:val="24"/>
        </w:rPr>
        <w:t>l'emploi décent et la protection sociale sont garantis à tous y compris les jeunes et les femmes</w:t>
      </w:r>
      <w:r w:rsidR="00453665" w:rsidRPr="00422183">
        <w:rPr>
          <w:rFonts w:ascii="Rockwell" w:hAnsi="Rockwell" w:cs="Times New Roman"/>
          <w:bCs/>
          <w:sz w:val="24"/>
          <w:szCs w:val="24"/>
        </w:rPr>
        <w:t> »</w:t>
      </w:r>
      <w:r w:rsidRPr="00422183">
        <w:rPr>
          <w:rFonts w:ascii="Rockwell" w:hAnsi="Rockwell" w:cs="Times New Roman"/>
          <w:bCs/>
          <w:sz w:val="24"/>
          <w:szCs w:val="24"/>
        </w:rPr>
        <w:t xml:space="preserve">, le PNDES vise à porter à au moins 20%, le taux d'insertion professionnelle des jeunes et des femmes via le Service public de l'emploi (SPE), </w:t>
      </w:r>
      <w:r w:rsidR="00453665" w:rsidRPr="00422183">
        <w:rPr>
          <w:rFonts w:ascii="Rockwell" w:hAnsi="Rockwell" w:cs="Times New Roman"/>
          <w:bCs/>
          <w:sz w:val="24"/>
          <w:szCs w:val="24"/>
        </w:rPr>
        <w:t>le taux de couverture du RAMU à 25% au minimum, le taux de chômage à 3% et le taux de sous emplois à 50%</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ce qui concerne l’effet attendu </w:t>
      </w:r>
      <w:r w:rsidR="00453665" w:rsidRPr="00422183">
        <w:rPr>
          <w:rFonts w:ascii="Rockwell" w:hAnsi="Rockwell" w:cs="Times New Roman"/>
          <w:bCs/>
          <w:sz w:val="24"/>
          <w:szCs w:val="24"/>
        </w:rPr>
        <w:t xml:space="preserve">« </w:t>
      </w:r>
      <w:r w:rsidR="00453665" w:rsidRPr="00422183">
        <w:rPr>
          <w:rFonts w:ascii="Rockwell" w:hAnsi="Rockwell" w:cs="Times New Roman"/>
          <w:bCs/>
          <w:i/>
          <w:sz w:val="24"/>
          <w:szCs w:val="24"/>
        </w:rPr>
        <w:t>les inégalités sociales et de genre sont réduits et la femme est promue comme acteur dynamique de développement »</w:t>
      </w:r>
      <w:r w:rsidRPr="00422183">
        <w:rPr>
          <w:rFonts w:ascii="Rockwell" w:hAnsi="Rockwell" w:cs="Times New Roman"/>
          <w:bCs/>
          <w:sz w:val="24"/>
          <w:szCs w:val="24"/>
        </w:rPr>
        <w:t>, les résultats chiffrés escomptés visent à identifier et insérer au moins 75% des personnes marginalisées d’ici à 2020, d’accroître la proportion des handicapés actifs</w:t>
      </w:r>
      <w:r w:rsidR="00453665" w:rsidRPr="00422183">
        <w:rPr>
          <w:rFonts w:ascii="Rockwell" w:hAnsi="Rockwell" w:cs="Times New Roman"/>
          <w:bCs/>
          <w:sz w:val="24"/>
          <w:szCs w:val="24"/>
        </w:rPr>
        <w:t xml:space="preserve"> occupés</w:t>
      </w:r>
      <w:r w:rsidRPr="00422183">
        <w:rPr>
          <w:rFonts w:ascii="Rockwell" w:hAnsi="Rockwell" w:cs="Times New Roman"/>
          <w:bCs/>
          <w:sz w:val="24"/>
          <w:szCs w:val="24"/>
        </w:rPr>
        <w:t xml:space="preserve"> de 2,2% en 2015 à 50% en 2020, la proportion des enfants vulnérables identifiés et pris en charge de 45% en 2015 à 70% en 2020 et celle des femmes propriétaires d’entreprises parmi les entrepreneurs de 21% en 2015 à 50% en 2020 et de réduire le nombre d’enfants en situation de rue d</w:t>
      </w:r>
      <w:r w:rsidR="006C29D1" w:rsidRPr="00422183">
        <w:rPr>
          <w:rFonts w:ascii="Rockwell" w:hAnsi="Rockwell" w:cs="Times New Roman"/>
          <w:bCs/>
          <w:sz w:val="24"/>
          <w:szCs w:val="24"/>
        </w:rPr>
        <w:t>e 5721 en 2015 à 2860 en 2020.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Pour concrétiser ces résultats, l'action publique visera la promotion des opportunités d’emplois décents, l'amélioration de l'employabilité et la promotion de l'insertion socioprofessionnelle des jeunes et des femmes, la réduction du sous-emploi de la main d’œuvre rurale, le renforcement de l’accès la formation technique et professionnelle, la promotion de la culture entrepreneuriale et de l’entreprenariat au profit des jeunes et des femmes, l’amélioration de la gouvernance du marché du travail, l’extension et l’élargissement de la protection sociale et la promotion socioéducative de la jeunesse. </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18" w:name="_Toc455132772"/>
      <w:r w:rsidRPr="00422183">
        <w:rPr>
          <w:rFonts w:ascii="Rockwell" w:hAnsi="Rockwell"/>
        </w:rPr>
        <w:t>Objectif stratégique 2.5 : Améliorer le cadre de vie, l'accès à l'eau, à l'assainissement et aux services énergétiques de qualité</w:t>
      </w:r>
      <w:bookmarkEnd w:id="318"/>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effets attendus de cet objectif stratégique sont : </w:t>
      </w:r>
      <w:r w:rsidR="00453665" w:rsidRPr="00422183">
        <w:rPr>
          <w:rFonts w:ascii="Rockwell" w:hAnsi="Rockwell" w:cs="Times New Roman"/>
          <w:bCs/>
          <w:i/>
          <w:sz w:val="24"/>
          <w:szCs w:val="24"/>
        </w:rPr>
        <w:t xml:space="preserve">(i) </w:t>
      </w:r>
      <w:r w:rsidRPr="00422183">
        <w:rPr>
          <w:rFonts w:ascii="Rockwell" w:hAnsi="Rockwell" w:cs="Times New Roman"/>
          <w:bCs/>
          <w:i/>
          <w:sz w:val="24"/>
          <w:szCs w:val="24"/>
        </w:rPr>
        <w:t xml:space="preserve">l'accès de tous à un cadre de vie décent, à l'eau et à l'assainissement de qualité est garanti, </w:t>
      </w:r>
      <w:r w:rsidR="00453665" w:rsidRPr="00422183">
        <w:rPr>
          <w:rFonts w:ascii="Rockwell" w:hAnsi="Rockwell" w:cs="Times New Roman"/>
          <w:bCs/>
          <w:i/>
          <w:sz w:val="24"/>
          <w:szCs w:val="24"/>
        </w:rPr>
        <w:t xml:space="preserve">(ii) </w:t>
      </w:r>
      <w:r w:rsidRPr="00422183">
        <w:rPr>
          <w:rFonts w:ascii="Rockwell" w:hAnsi="Rockwell" w:cs="Times New Roman"/>
          <w:bCs/>
          <w:i/>
          <w:sz w:val="24"/>
          <w:szCs w:val="24"/>
        </w:rPr>
        <w:t xml:space="preserve">l’accès aux services énergétiques de qualité est </w:t>
      </w:r>
      <w:r w:rsidR="00453665" w:rsidRPr="00422183">
        <w:rPr>
          <w:rFonts w:ascii="Rockwell" w:hAnsi="Rockwell" w:cs="Times New Roman"/>
          <w:bCs/>
          <w:i/>
          <w:sz w:val="24"/>
          <w:szCs w:val="24"/>
        </w:rPr>
        <w:t>garanti,</w:t>
      </w:r>
      <w:r w:rsidRPr="00422183">
        <w:rPr>
          <w:rFonts w:ascii="Rockwell" w:hAnsi="Rockwell" w:cs="Times New Roman"/>
          <w:bCs/>
          <w:i/>
          <w:sz w:val="24"/>
          <w:szCs w:val="24"/>
        </w:rPr>
        <w:t xml:space="preserve"> </w:t>
      </w:r>
      <w:r w:rsidR="00453665" w:rsidRPr="00422183">
        <w:rPr>
          <w:rFonts w:ascii="Rockwell" w:hAnsi="Rockwell" w:cs="Times New Roman"/>
          <w:bCs/>
          <w:i/>
          <w:sz w:val="24"/>
          <w:szCs w:val="24"/>
        </w:rPr>
        <w:t xml:space="preserve">(iii) </w:t>
      </w:r>
      <w:r w:rsidRPr="00422183">
        <w:rPr>
          <w:rFonts w:ascii="Rockwell" w:hAnsi="Rockwell" w:cs="Times New Roman"/>
          <w:bCs/>
          <w:i/>
          <w:sz w:val="24"/>
          <w:szCs w:val="24"/>
        </w:rPr>
        <w:t xml:space="preserve">la croissance urbaine est planifiée et maîtrisée, </w:t>
      </w:r>
      <w:r w:rsidR="00453665" w:rsidRPr="00422183">
        <w:rPr>
          <w:rFonts w:ascii="Rockwell" w:hAnsi="Rockwell" w:cs="Times New Roman"/>
          <w:bCs/>
          <w:i/>
          <w:sz w:val="24"/>
          <w:szCs w:val="24"/>
        </w:rPr>
        <w:t xml:space="preserve">(iv) </w:t>
      </w:r>
      <w:r w:rsidRPr="00422183">
        <w:rPr>
          <w:rFonts w:ascii="Rockwell" w:hAnsi="Rockwell" w:cs="Times New Roman"/>
          <w:bCs/>
          <w:i/>
          <w:sz w:val="24"/>
          <w:szCs w:val="24"/>
        </w:rPr>
        <w:t>l’accès à des logements décents et aux bâtiments publics est assurés pour tous</w:t>
      </w:r>
      <w:r w:rsidRPr="00422183">
        <w:rPr>
          <w:rFonts w:ascii="Rockwell" w:hAnsi="Rockwell" w:cs="Times New Roman"/>
          <w:bCs/>
          <w:sz w:val="24"/>
          <w:szCs w:val="24"/>
        </w:rPr>
        <w:t xml:space="preserve">. </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Pour l’effet attendu </w:t>
      </w:r>
      <w:r w:rsidR="00453665" w:rsidRPr="00422183">
        <w:rPr>
          <w:rFonts w:ascii="Rockwell" w:hAnsi="Rockwell" w:cs="Times New Roman"/>
          <w:bCs/>
          <w:sz w:val="24"/>
          <w:szCs w:val="24"/>
        </w:rPr>
        <w:t>« l'accès de tous à un cadre de vie décent, à l'eau et à l'assainissement de qualité est garanti »</w:t>
      </w:r>
      <w:r w:rsidRPr="00422183">
        <w:rPr>
          <w:rFonts w:ascii="Rockwell" w:hAnsi="Rockwell" w:cs="Times New Roman"/>
          <w:bCs/>
          <w:sz w:val="24"/>
          <w:szCs w:val="24"/>
        </w:rPr>
        <w:t xml:space="preserve">, les résultats chiffrés à l’horizon 2020 consistent à porter </w:t>
      </w:r>
      <w:r w:rsidR="00390851" w:rsidRPr="00422183">
        <w:rPr>
          <w:rFonts w:ascii="Rockwell" w:hAnsi="Rockwell" w:cs="Times New Roman"/>
          <w:bCs/>
          <w:sz w:val="24"/>
          <w:szCs w:val="24"/>
        </w:rPr>
        <w:t xml:space="preserve">entre autres </w:t>
      </w:r>
      <w:r w:rsidRPr="00422183">
        <w:rPr>
          <w:rFonts w:ascii="Rockwell" w:hAnsi="Rockwell" w:cs="Times New Roman"/>
          <w:bCs/>
          <w:sz w:val="24"/>
          <w:szCs w:val="24"/>
        </w:rPr>
        <w:t>à 100% le taux d’accès à l’eau potable</w:t>
      </w:r>
      <w:r w:rsidR="00390851" w:rsidRPr="00422183">
        <w:rPr>
          <w:rFonts w:ascii="Rockwell" w:hAnsi="Rockwell" w:cs="Times New Roman"/>
          <w:bCs/>
          <w:sz w:val="24"/>
          <w:szCs w:val="24"/>
        </w:rPr>
        <w:t xml:space="preserve"> et de 13 à 25% le nombre de communes dotées d’un système fonctionnel de gestion </w:t>
      </w:r>
      <w:r w:rsidRPr="00422183">
        <w:rPr>
          <w:rFonts w:ascii="Rockwell" w:hAnsi="Rockwell" w:cs="Times New Roman"/>
          <w:bCs/>
          <w:sz w:val="24"/>
          <w:szCs w:val="24"/>
        </w:rPr>
        <w:t>des déchets solides.</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ce qui concerne, l’effet attendu </w:t>
      </w:r>
      <w:r w:rsidR="00453665" w:rsidRPr="00422183">
        <w:rPr>
          <w:rFonts w:ascii="Rockwell" w:hAnsi="Rockwell" w:cs="Times New Roman"/>
          <w:bCs/>
          <w:sz w:val="24"/>
          <w:szCs w:val="24"/>
        </w:rPr>
        <w:t>« l’accès aux services énergétiques de qualité est garanti »</w:t>
      </w:r>
      <w:r w:rsidRPr="00422183">
        <w:rPr>
          <w:rFonts w:ascii="Rockwell" w:hAnsi="Rockwell" w:cs="Times New Roman"/>
          <w:bCs/>
          <w:sz w:val="24"/>
          <w:szCs w:val="24"/>
        </w:rPr>
        <w:t>, les résultats chiffrés visent à accroître le taux d’accès des ménages à l’électricité</w:t>
      </w:r>
      <w:r w:rsidR="00453665" w:rsidRPr="00422183">
        <w:rPr>
          <w:rFonts w:ascii="Rockwell" w:hAnsi="Rockwell" w:cs="Times New Roman"/>
          <w:bCs/>
          <w:sz w:val="24"/>
          <w:szCs w:val="24"/>
        </w:rPr>
        <w:t xml:space="preserve"> de 24,4% en 2015 à 45% en 2020 et la part des énergies renouvelables dans la production totale de 6,4% à 30%.</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Pour ce qui est de l’effet attendu </w:t>
      </w:r>
      <w:r w:rsidR="00453665" w:rsidRPr="00422183">
        <w:rPr>
          <w:rFonts w:ascii="Rockwell" w:hAnsi="Rockwell" w:cs="Times New Roman"/>
          <w:bCs/>
          <w:sz w:val="24"/>
          <w:szCs w:val="24"/>
        </w:rPr>
        <w:t>« </w:t>
      </w:r>
      <w:r w:rsidR="00453665" w:rsidRPr="00422183">
        <w:rPr>
          <w:rFonts w:ascii="Rockwell" w:hAnsi="Rockwell" w:cs="Times New Roman"/>
          <w:bCs/>
          <w:i/>
          <w:sz w:val="24"/>
          <w:szCs w:val="24"/>
        </w:rPr>
        <w:t>la croissance urbaine est planifiée et maîtrisée »</w:t>
      </w:r>
      <w:r w:rsidRPr="00422183">
        <w:rPr>
          <w:rFonts w:ascii="Rockwell" w:hAnsi="Rockwell" w:cs="Times New Roman"/>
          <w:bCs/>
          <w:sz w:val="24"/>
          <w:szCs w:val="24"/>
        </w:rPr>
        <w:t>, les résultats chiffrés prospectent d’accroître le nombre de ville</w:t>
      </w:r>
      <w:r w:rsidR="00C73D2A" w:rsidRPr="00422183">
        <w:rPr>
          <w:rFonts w:ascii="Rockwell" w:hAnsi="Rockwell" w:cs="Times New Roman"/>
          <w:bCs/>
          <w:sz w:val="24"/>
          <w:szCs w:val="24"/>
        </w:rPr>
        <w:t>s</w:t>
      </w:r>
      <w:r w:rsidRPr="00422183">
        <w:rPr>
          <w:rFonts w:ascii="Rockwell" w:hAnsi="Rockwell" w:cs="Times New Roman"/>
          <w:bCs/>
          <w:sz w:val="24"/>
          <w:szCs w:val="24"/>
        </w:rPr>
        <w:t xml:space="preserve"> disposant de SDAU de 12 en 2015 à 37 en 2020.</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Au niveau de l’effet attendu </w:t>
      </w:r>
      <w:r w:rsidR="00274292" w:rsidRPr="00422183">
        <w:rPr>
          <w:rFonts w:ascii="Rockwell" w:hAnsi="Rockwell" w:cs="Times New Roman"/>
          <w:bCs/>
          <w:sz w:val="24"/>
          <w:szCs w:val="24"/>
        </w:rPr>
        <w:t>« </w:t>
      </w:r>
      <w:r w:rsidR="00274292" w:rsidRPr="00422183">
        <w:rPr>
          <w:rFonts w:ascii="Rockwell" w:hAnsi="Rockwell" w:cs="Times New Roman"/>
          <w:bCs/>
          <w:i/>
          <w:sz w:val="24"/>
          <w:szCs w:val="24"/>
        </w:rPr>
        <w:t>l’accès à des logements décents et aux bâtiments publics est assurés pour tous »</w:t>
      </w:r>
      <w:r w:rsidRPr="00422183">
        <w:rPr>
          <w:rFonts w:ascii="Rockwell" w:hAnsi="Rockwell" w:cs="Times New Roman"/>
          <w:bCs/>
          <w:sz w:val="24"/>
          <w:szCs w:val="24"/>
        </w:rPr>
        <w:t>, les résultats chiffrés projetés à l’horizon 2020 visent la restructuration de 13 villes disposant d’habitats spontanés, la réduction à 10% de la proportion des populations urbaine</w:t>
      </w:r>
      <w:r w:rsidR="00C73D2A" w:rsidRPr="00422183">
        <w:rPr>
          <w:rFonts w:ascii="Rockwell" w:hAnsi="Rockwell" w:cs="Times New Roman"/>
          <w:bCs/>
          <w:sz w:val="24"/>
          <w:szCs w:val="24"/>
        </w:rPr>
        <w:t>s</w:t>
      </w:r>
      <w:r w:rsidRPr="00422183">
        <w:rPr>
          <w:rFonts w:ascii="Rockwell" w:hAnsi="Rockwell" w:cs="Times New Roman"/>
          <w:bCs/>
          <w:sz w:val="24"/>
          <w:szCs w:val="24"/>
        </w:rPr>
        <w:t xml:space="preserve"> vivant en zone</w:t>
      </w:r>
      <w:r w:rsidR="00C73D2A" w:rsidRPr="00422183">
        <w:rPr>
          <w:rFonts w:ascii="Rockwell" w:hAnsi="Rockwell" w:cs="Times New Roman"/>
          <w:bCs/>
          <w:sz w:val="24"/>
          <w:szCs w:val="24"/>
        </w:rPr>
        <w:t>s</w:t>
      </w:r>
      <w:r w:rsidRPr="00422183">
        <w:rPr>
          <w:rFonts w:ascii="Rockwell" w:hAnsi="Rockwell" w:cs="Times New Roman"/>
          <w:bCs/>
          <w:sz w:val="24"/>
          <w:szCs w:val="24"/>
        </w:rPr>
        <w:t xml:space="preserve"> non lotie</w:t>
      </w:r>
      <w:r w:rsidR="00C73D2A" w:rsidRPr="00422183">
        <w:rPr>
          <w:rFonts w:ascii="Rockwell" w:hAnsi="Rockwell" w:cs="Times New Roman"/>
          <w:bCs/>
          <w:sz w:val="24"/>
          <w:szCs w:val="24"/>
        </w:rPr>
        <w:t>s</w:t>
      </w:r>
      <w:r w:rsidRPr="00422183">
        <w:rPr>
          <w:rFonts w:ascii="Rockwell" w:hAnsi="Rockwell" w:cs="Times New Roman"/>
          <w:bCs/>
          <w:sz w:val="24"/>
          <w:szCs w:val="24"/>
        </w:rPr>
        <w:t>, à augmenter le nombre de ménages ayant accès à un logement décent à 35 000 et le nombre de ménages assistés dans l’auto-construction à 50 000.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En vue d’atteindre l’ensemble de ces résultats, les ambitions du PNDES portent sur la mobilisation, la gestion et la valorisation des ressources en eau, la protection des écosystèmes existants et la préservation du cadre de vie, le renforcement de la coopération internationale en matière d’eau, l’amélioration de la connaissance des ressources en eau, la promotion de la planification et l’aménagement urbain, la promotion de l’accès au logement, l’amélioration de la gouvernance urbaine, le renforcement des capacités humaines du domaine de l’urbanisme et le contrôle de l’extension géographique de la ville de Ouagadougou.</w:t>
      </w:r>
    </w:p>
    <w:p w:rsidR="00E154B6" w:rsidRPr="00422183" w:rsidRDefault="00E154B6" w:rsidP="003A0820">
      <w:pPr>
        <w:spacing w:after="0" w:line="240" w:lineRule="auto"/>
        <w:jc w:val="both"/>
        <w:rPr>
          <w:rFonts w:ascii="Rockwell" w:hAnsi="Rockwell" w:cs="Times New Roman"/>
          <w:bCs/>
          <w:sz w:val="24"/>
          <w:szCs w:val="24"/>
        </w:rPr>
      </w:pPr>
    </w:p>
    <w:p w:rsidR="00E8633A" w:rsidRPr="00422183" w:rsidRDefault="00E8633A" w:rsidP="003A0820">
      <w:pPr>
        <w:spacing w:after="0" w:line="240" w:lineRule="auto"/>
        <w:jc w:val="both"/>
        <w:rPr>
          <w:rFonts w:ascii="Rockwell" w:hAnsi="Rockwell" w:cs="Times New Roman"/>
          <w:bCs/>
          <w:sz w:val="24"/>
          <w:szCs w:val="24"/>
        </w:rPr>
      </w:pPr>
      <w:bookmarkStart w:id="319" w:name="_Toc452991093"/>
      <w:bookmarkStart w:id="320" w:name="_Toc452991537"/>
      <w:bookmarkStart w:id="321" w:name="_Toc452991980"/>
      <w:bookmarkStart w:id="322" w:name="_Toc452992422"/>
      <w:bookmarkStart w:id="323" w:name="_Toc452992864"/>
      <w:bookmarkStart w:id="324" w:name="_Toc452993306"/>
      <w:bookmarkStart w:id="325" w:name="_Toc452993748"/>
      <w:bookmarkStart w:id="326" w:name="_Toc452994190"/>
      <w:bookmarkStart w:id="327" w:name="_Toc452994638"/>
      <w:bookmarkStart w:id="328" w:name="_Toc452995078"/>
      <w:bookmarkStart w:id="329" w:name="_Toc452996320"/>
      <w:bookmarkEnd w:id="319"/>
      <w:bookmarkEnd w:id="320"/>
      <w:bookmarkEnd w:id="321"/>
      <w:bookmarkEnd w:id="322"/>
      <w:bookmarkEnd w:id="323"/>
      <w:bookmarkEnd w:id="324"/>
      <w:bookmarkEnd w:id="325"/>
      <w:bookmarkEnd w:id="326"/>
      <w:bookmarkEnd w:id="327"/>
      <w:bookmarkEnd w:id="328"/>
      <w:bookmarkEnd w:id="329"/>
    </w:p>
    <w:p w:rsidR="00E8633A" w:rsidRPr="00422183" w:rsidRDefault="00E8633A" w:rsidP="004102F5">
      <w:pPr>
        <w:pStyle w:val="PNDES4"/>
        <w:numPr>
          <w:ilvl w:val="4"/>
          <w:numId w:val="3"/>
        </w:numPr>
        <w:rPr>
          <w:rFonts w:ascii="Rockwell" w:hAnsi="Rockwell"/>
        </w:rPr>
      </w:pPr>
      <w:bookmarkStart w:id="330" w:name="_Toc452994197"/>
      <w:bookmarkStart w:id="331" w:name="_Toc452994645"/>
      <w:bookmarkStart w:id="332" w:name="_Toc452995085"/>
      <w:bookmarkStart w:id="333" w:name="_Toc453160787"/>
      <w:bookmarkStart w:id="334" w:name="_Toc455132773"/>
      <w:r w:rsidRPr="00422183">
        <w:rPr>
          <w:rFonts w:ascii="Rockwell" w:hAnsi="Rockwell"/>
        </w:rPr>
        <w:t xml:space="preserve">Axe </w:t>
      </w:r>
      <w:r w:rsidR="00A17CEE" w:rsidRPr="00422183">
        <w:rPr>
          <w:rFonts w:ascii="Rockwell" w:hAnsi="Rockwell"/>
        </w:rPr>
        <w:t>3</w:t>
      </w:r>
      <w:r w:rsidRPr="00422183">
        <w:rPr>
          <w:rFonts w:ascii="Rockwell" w:hAnsi="Rockwell"/>
        </w:rPr>
        <w:t xml:space="preserve"> : D</w:t>
      </w:r>
      <w:r w:rsidR="00A17CEE" w:rsidRPr="00422183">
        <w:rPr>
          <w:rFonts w:ascii="Rockwell" w:hAnsi="Rockwell"/>
        </w:rPr>
        <w:t>ynamiser les secteurs porteurs pour l</w:t>
      </w:r>
      <w:r w:rsidR="00CF44A9" w:rsidRPr="00422183">
        <w:rPr>
          <w:rFonts w:ascii="Rockwell" w:hAnsi="Rockwell"/>
        </w:rPr>
        <w:t>'économie</w:t>
      </w:r>
      <w:r w:rsidR="00A17CEE" w:rsidRPr="00422183">
        <w:rPr>
          <w:rFonts w:ascii="Rockwell" w:hAnsi="Rockwell"/>
        </w:rPr>
        <w:t xml:space="preserve"> et l</w:t>
      </w:r>
      <w:r w:rsidR="006C72DE" w:rsidRPr="00422183">
        <w:rPr>
          <w:rFonts w:ascii="Rockwell" w:hAnsi="Rockwell"/>
        </w:rPr>
        <w:t>'</w:t>
      </w:r>
      <w:r w:rsidR="00A17CEE" w:rsidRPr="00422183">
        <w:rPr>
          <w:rFonts w:ascii="Rockwell" w:hAnsi="Rockwell"/>
        </w:rPr>
        <w:t>emploi</w:t>
      </w:r>
      <w:bookmarkEnd w:id="330"/>
      <w:bookmarkEnd w:id="331"/>
      <w:bookmarkEnd w:id="332"/>
      <w:bookmarkEnd w:id="333"/>
      <w:bookmarkEnd w:id="334"/>
    </w:p>
    <w:p w:rsidR="004A1046" w:rsidRPr="00422183" w:rsidRDefault="004A1046" w:rsidP="003A0820">
      <w:pPr>
        <w:spacing w:after="0" w:line="240" w:lineRule="auto"/>
        <w:jc w:val="both"/>
        <w:rPr>
          <w:rFonts w:ascii="Rockwell" w:hAnsi="Rockwell"/>
          <w:lang w:bidi="en-US"/>
        </w:rPr>
      </w:pPr>
    </w:p>
    <w:p w:rsidR="004A1046" w:rsidRPr="00422183" w:rsidRDefault="004A1046" w:rsidP="004102F5">
      <w:pPr>
        <w:pStyle w:val="PNDES4"/>
        <w:numPr>
          <w:ilvl w:val="5"/>
          <w:numId w:val="3"/>
        </w:numPr>
        <w:rPr>
          <w:rFonts w:ascii="Rockwell" w:hAnsi="Rockwell"/>
        </w:rPr>
      </w:pPr>
      <w:bookmarkStart w:id="335" w:name="_Toc455132774"/>
      <w:r w:rsidRPr="00422183">
        <w:rPr>
          <w:rFonts w:ascii="Rockwell" w:hAnsi="Rockwell"/>
        </w:rPr>
        <w:t xml:space="preserve">Objectif stratégique 3.1 : Développer un secteur agro-sylvo-pastoral, </w:t>
      </w:r>
      <w:r w:rsidR="00274292" w:rsidRPr="00422183">
        <w:rPr>
          <w:rFonts w:ascii="Rockwell" w:hAnsi="Rockwell"/>
        </w:rPr>
        <w:t xml:space="preserve">faunique </w:t>
      </w:r>
      <w:r w:rsidRPr="00422183">
        <w:rPr>
          <w:rFonts w:ascii="Rockwell" w:hAnsi="Rockwell"/>
        </w:rPr>
        <w:t xml:space="preserve">et </w:t>
      </w:r>
      <w:r w:rsidR="00274292" w:rsidRPr="00422183">
        <w:rPr>
          <w:rFonts w:ascii="Rockwell" w:hAnsi="Rockwell"/>
        </w:rPr>
        <w:t xml:space="preserve">halieutique </w:t>
      </w:r>
      <w:r w:rsidRPr="00422183">
        <w:rPr>
          <w:rFonts w:ascii="Rockwell" w:hAnsi="Rockwell"/>
        </w:rPr>
        <w:t>productif et résilient, davantage orienté vers le marché</w:t>
      </w:r>
      <w:bookmarkEnd w:id="335"/>
    </w:p>
    <w:p w:rsidR="004A1046" w:rsidRPr="00422183" w:rsidRDefault="004A1046" w:rsidP="00516FB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L'effet attendu de cet objectif stratégique est : </w:t>
      </w:r>
      <w:r w:rsidRPr="00422183">
        <w:rPr>
          <w:rFonts w:ascii="Rockwell" w:hAnsi="Rockwell"/>
          <w:i/>
          <w:sz w:val="24"/>
        </w:rPr>
        <w:t xml:space="preserve">le secteur </w:t>
      </w:r>
      <w:r w:rsidR="00274292" w:rsidRPr="00422183">
        <w:rPr>
          <w:rFonts w:ascii="Rockwell" w:hAnsi="Rockwell"/>
          <w:i/>
          <w:sz w:val="24"/>
        </w:rPr>
        <w:t>primaire</w:t>
      </w:r>
      <w:r w:rsidRPr="00422183">
        <w:rPr>
          <w:rFonts w:ascii="Rockwell" w:hAnsi="Rockwell"/>
          <w:i/>
          <w:sz w:val="24"/>
        </w:rPr>
        <w:t xml:space="preserve"> contribue à la sécurité alimentaire, à l'emploi productif, à l'approvisionnement de l'agro-industrie locale et </w:t>
      </w:r>
      <w:r w:rsidR="00274292" w:rsidRPr="00422183">
        <w:rPr>
          <w:rFonts w:ascii="Rockwell" w:hAnsi="Rockwell"/>
          <w:i/>
          <w:sz w:val="24"/>
        </w:rPr>
        <w:t xml:space="preserve">est </w:t>
      </w:r>
      <w:r w:rsidRPr="00422183">
        <w:rPr>
          <w:rFonts w:ascii="Rockwell" w:hAnsi="Rockwell"/>
          <w:i/>
          <w:sz w:val="24"/>
        </w:rPr>
        <w:t>respectueuse des principes de développement durable</w:t>
      </w:r>
      <w:r w:rsidRPr="00422183">
        <w:rPr>
          <w:rFonts w:ascii="Rockwell" w:hAnsi="Rockwell" w:cs="Times New Roman"/>
          <w:bCs/>
          <w:sz w:val="24"/>
          <w:szCs w:val="24"/>
        </w:rPr>
        <w:t>. À l'horizon 2020, le PNDES ambitionne</w:t>
      </w:r>
      <w:r w:rsidR="00274292" w:rsidRPr="00422183">
        <w:rPr>
          <w:rFonts w:ascii="Rockwell" w:hAnsi="Rockwell" w:cs="Times New Roman"/>
          <w:bCs/>
          <w:sz w:val="24"/>
          <w:szCs w:val="24"/>
        </w:rPr>
        <w:t xml:space="preserve"> </w:t>
      </w:r>
      <w:r w:rsidRPr="00422183">
        <w:rPr>
          <w:rFonts w:ascii="Rockwell" w:hAnsi="Rockwell" w:cs="Times New Roman"/>
          <w:bCs/>
          <w:sz w:val="24"/>
          <w:szCs w:val="24"/>
        </w:rPr>
        <w:t xml:space="preserve">: (i) </w:t>
      </w:r>
      <w:r w:rsidR="00274292" w:rsidRPr="00422183">
        <w:rPr>
          <w:rFonts w:ascii="Rockwell" w:hAnsi="Rockwell" w:cs="Times New Roman"/>
          <w:bCs/>
          <w:sz w:val="24"/>
          <w:szCs w:val="24"/>
        </w:rPr>
        <w:t xml:space="preserve">de porter </w:t>
      </w:r>
      <w:r w:rsidRPr="00422183">
        <w:rPr>
          <w:rFonts w:ascii="Rockwell" w:hAnsi="Rockwell" w:cs="Times New Roman"/>
          <w:bCs/>
          <w:sz w:val="24"/>
          <w:szCs w:val="24"/>
        </w:rPr>
        <w:t xml:space="preserve">le taux de couverture des besoins céréaliers à 140%, (ii) d'accroitre la productivité du secteur primaire </w:t>
      </w:r>
      <w:r w:rsidR="00274292" w:rsidRPr="00422183">
        <w:rPr>
          <w:rFonts w:ascii="Rockwell" w:hAnsi="Rockwell" w:cs="Times New Roman"/>
          <w:bCs/>
          <w:sz w:val="24"/>
          <w:szCs w:val="24"/>
        </w:rPr>
        <w:t>de</w:t>
      </w:r>
      <w:r w:rsidRPr="00422183">
        <w:rPr>
          <w:rFonts w:ascii="Rockwell" w:hAnsi="Rockwell" w:cs="Times New Roman"/>
          <w:bCs/>
          <w:sz w:val="24"/>
          <w:szCs w:val="24"/>
        </w:rPr>
        <w:t xml:space="preserve"> 50%, (iii) de porter de 25% à 37,5% le taux de commercialisation des produits agricoles, (iv) d'accroitre le taux d'approvisionnement des agro-industries de 50% et (v) de porter le nombre moyen d'emplois créés dans les créneaux porteurs du secteur primaire à 110 000.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Les principales actions à mener ont trait à l’amélioration de la maitrise de l'eau à des fins agricoles et des superficies aménagées, la facilitation de l'accès aux intrants, équipements et financements, la promotion de l'entreprenariat agricole et agro-alimentaire, l'amélioration de la résilience du secteur aux aléas, le découplage de la production agricole et la dégradation de l’environnement et l'organisation incitative du marché.</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L'optique de la transformation structurelle du secteur commande d'accélérer la réalisation des pôles de compétitivités agricoles, notamment les pôles de cr</w:t>
      </w:r>
      <w:r w:rsidR="00C73D2A" w:rsidRPr="00422183">
        <w:rPr>
          <w:rFonts w:ascii="Rockwell" w:hAnsi="Rockwell" w:cs="Times New Roman"/>
          <w:bCs/>
          <w:sz w:val="24"/>
          <w:szCs w:val="24"/>
        </w:rPr>
        <w:t>oissance de Bagré, de Samendéni -</w:t>
      </w:r>
      <w:r w:rsidRPr="00422183">
        <w:rPr>
          <w:rFonts w:ascii="Rockwell" w:hAnsi="Rockwell" w:cs="Times New Roman"/>
          <w:bCs/>
          <w:sz w:val="24"/>
          <w:szCs w:val="24"/>
        </w:rPr>
        <w:t xml:space="preserve"> Sourou et la mise en place de mini-pôles agropastoraux dans les projets miniers existants et à venir. Il s'agira aussi d'améliorer les capacités nationales de production et de transformation des produits halieutiques, forestiers et fauniques. La mise en œuvre réussie de l'ensemble de ces actions exige l'accélération de la sécurisation foncière en milieu rural et le renforcement des capacités des acteurs.</w:t>
      </w:r>
    </w:p>
    <w:p w:rsidR="004A1046" w:rsidRPr="00422183" w:rsidRDefault="004A1046" w:rsidP="003A0820">
      <w:pPr>
        <w:spacing w:after="0" w:line="240" w:lineRule="auto"/>
        <w:jc w:val="both"/>
        <w:rPr>
          <w:rFonts w:ascii="Rockwell" w:hAnsi="Rockwell"/>
          <w:lang w:bidi="en-US"/>
        </w:rPr>
      </w:pPr>
    </w:p>
    <w:p w:rsidR="004A1046" w:rsidRPr="00422183" w:rsidRDefault="004A1046" w:rsidP="004102F5">
      <w:pPr>
        <w:pStyle w:val="PNDES4"/>
        <w:numPr>
          <w:ilvl w:val="5"/>
          <w:numId w:val="3"/>
        </w:numPr>
        <w:rPr>
          <w:rFonts w:ascii="Rockwell" w:hAnsi="Rockwell"/>
        </w:rPr>
      </w:pPr>
      <w:bookmarkStart w:id="336" w:name="_Toc455132775"/>
      <w:r w:rsidRPr="00422183">
        <w:rPr>
          <w:rFonts w:ascii="Rockwell" w:hAnsi="Rockwell"/>
        </w:rPr>
        <w:t>Objectif stratégique 3.2 : Développer un secteur industriel et artisanal compétitif, à forte valeur ajoutée et créateur d'emplois décents</w:t>
      </w:r>
      <w:bookmarkEnd w:id="336"/>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516FB0">
      <w:pPr>
        <w:spacing w:after="0" w:line="240" w:lineRule="auto"/>
        <w:jc w:val="both"/>
        <w:rPr>
          <w:rFonts w:ascii="Rockwell" w:hAnsi="Rockwell" w:cs="Times New Roman"/>
          <w:bCs/>
          <w:sz w:val="24"/>
          <w:szCs w:val="24"/>
        </w:rPr>
      </w:pPr>
      <w:r w:rsidRPr="00422183">
        <w:rPr>
          <w:rFonts w:ascii="Rockwell" w:hAnsi="Rockwell" w:cs="Times New Roman"/>
          <w:bCs/>
          <w:sz w:val="24"/>
          <w:szCs w:val="24"/>
        </w:rPr>
        <w:t>Trois effets majeurs sont attendus de cet objectif stratégique.</w:t>
      </w:r>
    </w:p>
    <w:p w:rsidR="004A1046" w:rsidRPr="00422183" w:rsidRDefault="004A1046" w:rsidP="00516FB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i/>
          <w:sz w:val="24"/>
        </w:rPr>
        <w:t>Le secteur industriel et artisanal est davantage dynamique en matière de création de richesses, d'emplois et d’exportation</w:t>
      </w:r>
      <w:r w:rsidRPr="00422183">
        <w:rPr>
          <w:rFonts w:ascii="Rockwell" w:hAnsi="Rockwell" w:cs="Times New Roman"/>
          <w:bCs/>
          <w:sz w:val="24"/>
          <w:szCs w:val="24"/>
        </w:rPr>
        <w:t>. En termes de résultats chiffrés à l'horizon 2020, l'ambition est de réduire la part du secteur informel dans la valeur ajoutée du tertiaire, de faire évoluer le taux de transformation des produits agricoles de 12% à 25% et d'accroître la contribution de l'industrie manufactu</w:t>
      </w:r>
      <w:r w:rsidR="00D6443D" w:rsidRPr="00422183">
        <w:rPr>
          <w:rFonts w:ascii="Rockwell" w:hAnsi="Rockwell" w:cs="Times New Roman"/>
          <w:bCs/>
          <w:sz w:val="24"/>
          <w:szCs w:val="24"/>
        </w:rPr>
        <w:t xml:space="preserve">rière dans le PIB de 6,6% à 12%. </w:t>
      </w:r>
      <w:r w:rsidRPr="00422183">
        <w:rPr>
          <w:rFonts w:ascii="Rockwell" w:hAnsi="Rockwell" w:cs="Times New Roman"/>
          <w:bCs/>
          <w:sz w:val="24"/>
          <w:szCs w:val="24"/>
        </w:rPr>
        <w:t>Il est également attendu de la mise en œuvre des actions, l'accroissement du nombre moyen d'emplois formels créés par an de 2 200 en 2015 à 3 600 en 2020.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Pour atteindre ces résultats, l'action publique portera notamment, sur la relance des industries en difficulté, la promotion du développement de PMI agroalimentaires et d'industries de fabrication d'équipements et de prod</w:t>
      </w:r>
      <w:r w:rsidR="00C73D2A" w:rsidRPr="00422183">
        <w:rPr>
          <w:rFonts w:ascii="Rockwell" w:hAnsi="Rockwell" w:cs="Times New Roman"/>
          <w:bCs/>
          <w:sz w:val="24"/>
          <w:szCs w:val="24"/>
        </w:rPr>
        <w:t>uction d'intrants pour le secteur</w:t>
      </w:r>
      <w:r w:rsidRPr="00422183">
        <w:rPr>
          <w:rFonts w:ascii="Rockwell" w:hAnsi="Rockwell" w:cs="Times New Roman"/>
          <w:bCs/>
          <w:sz w:val="24"/>
          <w:szCs w:val="24"/>
        </w:rPr>
        <w:t xml:space="preserve"> primaire, la création et la viabilisation des zones industrielles ainsi que l'amélioration de l'accès au financement de moyen et long termes. En outre, il s'agira de promouvoir l'artisanat de production à travers la professionnalisation des acteurs et l'amélioration de leur accès à la commande publique et au financement.</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E154B6">
      <w:pPr>
        <w:spacing w:after="0" w:line="240" w:lineRule="auto"/>
        <w:jc w:val="both"/>
      </w:pPr>
      <w:r w:rsidRPr="00422183">
        <w:rPr>
          <w:rFonts w:ascii="Rockwell" w:hAnsi="Rockwell"/>
          <w:i/>
          <w:sz w:val="24"/>
        </w:rPr>
        <w:t>La contribution des industries culturelles, touristiques et sportives à l’économie est améliorée</w:t>
      </w:r>
      <w:r w:rsidRPr="00422183">
        <w:rPr>
          <w:rFonts w:ascii="Rockwell" w:hAnsi="Rockwell"/>
          <w:sz w:val="24"/>
        </w:rPr>
        <w:t>. En termes de résultats chiffrés, l’ambition est d’accroître chacune des parts dans le PIB de l’industrie touristique, culturelle et sportive de 10%. En outre le taux d’accroissement de l’emploi dans les industries culturelles et touristiq</w:t>
      </w:r>
      <w:r w:rsidR="00E154B6" w:rsidRPr="00422183">
        <w:rPr>
          <w:rFonts w:ascii="Rockwell" w:hAnsi="Rockwell"/>
          <w:sz w:val="24"/>
        </w:rPr>
        <w:t xml:space="preserve">ue devra passer à 7% en 2020. </w:t>
      </w:r>
      <w:r w:rsidRPr="00422183">
        <w:rPr>
          <w:rFonts w:ascii="Rockwell" w:hAnsi="Rockwell"/>
          <w:sz w:val="24"/>
        </w:rPr>
        <w:t xml:space="preserve">Pour ce faire l’action publique portera sur </w:t>
      </w:r>
      <w:r w:rsidRPr="00422183">
        <w:rPr>
          <w:rFonts w:ascii="Rockwell" w:eastAsiaTheme="majorEastAsia" w:hAnsi="Rockwell" w:cstheme="majorBidi"/>
          <w:bCs/>
          <w:kern w:val="28"/>
          <w:sz w:val="24"/>
          <w:szCs w:val="24"/>
        </w:rPr>
        <w:t xml:space="preserve">le développement des ressources humaines et la structuration des acteurs la professionnalisation des manifestations culturelles et touristiques, la promotion de l’émergence de grands groupes d’entreprises hôtelières, l'augmentation de l'offre de formation sportive, l'accroissement des infrastructures sportives et de loisirs de qualité. </w:t>
      </w:r>
    </w:p>
    <w:p w:rsidR="004A1046" w:rsidRPr="00422183" w:rsidRDefault="004A1046" w:rsidP="00516FB0">
      <w:pPr>
        <w:spacing w:after="0" w:line="240" w:lineRule="auto"/>
        <w:jc w:val="both"/>
        <w:rPr>
          <w:rFonts w:ascii="Rockwell" w:hAnsi="Rockwell"/>
          <w:i/>
          <w:sz w:val="24"/>
        </w:rPr>
      </w:pPr>
    </w:p>
    <w:p w:rsidR="004A1046" w:rsidRPr="00422183" w:rsidRDefault="004A1046" w:rsidP="00516FB0">
      <w:pPr>
        <w:spacing w:after="0" w:line="240" w:lineRule="auto"/>
        <w:jc w:val="both"/>
        <w:rPr>
          <w:rFonts w:ascii="Rockwell" w:hAnsi="Rockwell"/>
          <w:i/>
          <w:sz w:val="24"/>
        </w:rPr>
      </w:pPr>
      <w:r w:rsidRPr="00422183">
        <w:rPr>
          <w:rFonts w:ascii="Rockwell" w:hAnsi="Rockwell"/>
          <w:i/>
          <w:sz w:val="24"/>
        </w:rPr>
        <w:t xml:space="preserve">L’impact du secteur minier sur le reste de l’économie est </w:t>
      </w:r>
      <w:r w:rsidR="00826ED1" w:rsidRPr="00422183">
        <w:rPr>
          <w:rFonts w:ascii="Rockwell" w:hAnsi="Rockwell"/>
          <w:i/>
          <w:sz w:val="24"/>
        </w:rPr>
        <w:t>accru</w:t>
      </w:r>
      <w:r w:rsidRPr="00422183">
        <w:rPr>
          <w:rFonts w:ascii="Rockwell" w:hAnsi="Rockwell"/>
          <w:i/>
          <w:sz w:val="24"/>
        </w:rPr>
        <w:t>,</w:t>
      </w:r>
      <w:r w:rsidRPr="00422183">
        <w:rPr>
          <w:rFonts w:ascii="Rockwell" w:hAnsi="Rockwell" w:cs="Times New Roman"/>
          <w:bCs/>
          <w:sz w:val="24"/>
          <w:szCs w:val="24"/>
        </w:rPr>
        <w:t xml:space="preserve"> </w:t>
      </w:r>
      <w:r w:rsidR="007E2B3F" w:rsidRPr="00422183">
        <w:rPr>
          <w:rFonts w:ascii="Rockwell" w:hAnsi="Rockwell" w:cs="Times New Roman"/>
          <w:bCs/>
          <w:sz w:val="24"/>
          <w:szCs w:val="24"/>
        </w:rPr>
        <w:t>e</w:t>
      </w:r>
      <w:r w:rsidRPr="00422183">
        <w:rPr>
          <w:rFonts w:ascii="Rockwell" w:hAnsi="Rockwell" w:cs="Times New Roman"/>
          <w:bCs/>
          <w:sz w:val="24"/>
          <w:szCs w:val="24"/>
        </w:rPr>
        <w:t>n termes de résultats chiffrés à l'horizon 2020, le PNDES ambitionne de porter la proportion des achats locaux dans les consommations alimentaires des industries minières à 20%, la part des industries extractives dans le PIB de 7,9% à 10,2%.</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Pour ce </w:t>
      </w:r>
      <w:r w:rsidR="007E2B3F" w:rsidRPr="00422183">
        <w:rPr>
          <w:rFonts w:ascii="Rockwell" w:hAnsi="Rockwell" w:cs="Times New Roman"/>
          <w:bCs/>
          <w:sz w:val="24"/>
          <w:szCs w:val="24"/>
        </w:rPr>
        <w:t xml:space="preserve">faire, </w:t>
      </w:r>
      <w:r w:rsidRPr="00422183">
        <w:rPr>
          <w:rFonts w:ascii="Rockwell" w:hAnsi="Rockwell" w:cs="Times New Roman"/>
          <w:bCs/>
          <w:sz w:val="24"/>
          <w:szCs w:val="24"/>
        </w:rPr>
        <w:t xml:space="preserve">les actions à mener porteront sur </w:t>
      </w:r>
      <w:r w:rsidRPr="00422183">
        <w:rPr>
          <w:rFonts w:ascii="Rockwell" w:eastAsiaTheme="majorEastAsia" w:hAnsi="Rockwell" w:cstheme="majorBidi"/>
          <w:kern w:val="28"/>
          <w:sz w:val="24"/>
          <w:szCs w:val="24"/>
        </w:rPr>
        <w:t xml:space="preserve">le développement de l'information géologique et minière, la création et la valorisation de l'expertise nationale, la promotion de la petite mine, la surveillance des zones d'exploitation au regard des conventions relatives au respect de l'environnement, l'accroissement des achats locaux de biens et services des mines, </w:t>
      </w:r>
      <w:r w:rsidRPr="00422183">
        <w:rPr>
          <w:rFonts w:ascii="Rockwell" w:hAnsi="Rockwell"/>
          <w:sz w:val="24"/>
          <w:szCs w:val="24"/>
        </w:rPr>
        <w:t xml:space="preserve">l'amélioration de l'impact des mines dans le développement local. </w:t>
      </w:r>
      <w:r w:rsidRPr="00422183">
        <w:rPr>
          <w:rFonts w:ascii="Rockwell" w:hAnsi="Rockwell" w:cs="Times New Roman"/>
          <w:bCs/>
          <w:sz w:val="24"/>
          <w:szCs w:val="24"/>
        </w:rPr>
        <w:t>Par ailleurs, le PNDES promouvra le renforcement de la gouvernance du secteur minier et le développement des activités connexes à la mine, afin d'accroitre la fourniture de biens et services locaux.</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37" w:name="_Toc455132776"/>
      <w:r w:rsidRPr="00422183">
        <w:rPr>
          <w:rFonts w:ascii="Rockwell" w:hAnsi="Rockwell"/>
        </w:rPr>
        <w:t>Objectif stratégique 3.3 : Promouvoir l'expansion des industries de services à forte valeur ajoutée et créatrices d'emplois décents</w:t>
      </w:r>
      <w:bookmarkEnd w:id="337"/>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Deux effets sont attendus de cet objectif </w:t>
      </w:r>
      <w:r w:rsidR="006B4F3A" w:rsidRPr="00422183">
        <w:rPr>
          <w:rFonts w:ascii="Rockwell" w:hAnsi="Rockwell" w:cs="Times New Roman"/>
          <w:bCs/>
          <w:sz w:val="24"/>
          <w:szCs w:val="24"/>
        </w:rPr>
        <w:t>stratégique :</w:t>
      </w:r>
      <w:r w:rsidRPr="00422183">
        <w:rPr>
          <w:rFonts w:ascii="Rockwell" w:hAnsi="Rockwell" w:cs="Times New Roman"/>
          <w:bCs/>
          <w:sz w:val="24"/>
          <w:szCs w:val="24"/>
        </w:rPr>
        <w:t xml:space="preserve"> </w:t>
      </w:r>
    </w:p>
    <w:p w:rsidR="00E154B6" w:rsidRPr="00422183" w:rsidRDefault="00E154B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i/>
          <w:sz w:val="24"/>
          <w:szCs w:val="24"/>
        </w:rPr>
        <w:t>Le secteur tertiaire se formalise et est davantage dynamique et créateur d'emplois décents</w:t>
      </w:r>
      <w:r w:rsidRPr="00422183">
        <w:rPr>
          <w:rFonts w:ascii="Rockwell" w:hAnsi="Rockwell" w:cs="Times New Roman"/>
          <w:bCs/>
          <w:sz w:val="24"/>
          <w:szCs w:val="24"/>
        </w:rPr>
        <w:t xml:space="preserve">. En termes de résultats chiffrés à l'horizon 2020, l'ambition est de réduire la part du secteur informel dans la valeur ajoutée du secteur tertiaire, de 20,7% en 2015 à 15%, d'accélérer la croissance de la valeur ajoutée des services de 6,6% </w:t>
      </w:r>
      <w:r w:rsidR="007E2B3F" w:rsidRPr="00422183">
        <w:rPr>
          <w:rFonts w:ascii="Rockwell" w:hAnsi="Rockwell" w:cs="Times New Roman"/>
          <w:bCs/>
          <w:sz w:val="24"/>
          <w:szCs w:val="24"/>
        </w:rPr>
        <w:t>en</w:t>
      </w:r>
      <w:r w:rsidRPr="00422183">
        <w:rPr>
          <w:rFonts w:ascii="Rockwell" w:hAnsi="Rockwell" w:cs="Times New Roman"/>
          <w:bCs/>
          <w:sz w:val="24"/>
          <w:szCs w:val="24"/>
        </w:rPr>
        <w:t xml:space="preserve"> 2015 à </w:t>
      </w:r>
      <w:r w:rsidR="007E2B3F" w:rsidRPr="00422183">
        <w:rPr>
          <w:rFonts w:ascii="Rockwell" w:hAnsi="Rockwell" w:cs="Times New Roman"/>
          <w:bCs/>
          <w:sz w:val="24"/>
          <w:szCs w:val="24"/>
        </w:rPr>
        <w:t>8</w:t>
      </w:r>
      <w:r w:rsidRPr="00422183">
        <w:rPr>
          <w:rFonts w:ascii="Rockwell" w:hAnsi="Rockwell" w:cs="Times New Roman"/>
          <w:bCs/>
          <w:sz w:val="24"/>
          <w:szCs w:val="24"/>
        </w:rPr>
        <w:t xml:space="preserve">% </w:t>
      </w:r>
      <w:r w:rsidR="007E2B3F" w:rsidRPr="00422183">
        <w:rPr>
          <w:rFonts w:ascii="Rockwell" w:hAnsi="Rockwell" w:cs="Times New Roman"/>
          <w:bCs/>
          <w:sz w:val="24"/>
          <w:szCs w:val="24"/>
        </w:rPr>
        <w:t>en</w:t>
      </w:r>
      <w:r w:rsidRPr="00422183">
        <w:rPr>
          <w:rFonts w:ascii="Rockwell" w:hAnsi="Rockwell" w:cs="Times New Roman"/>
          <w:bCs/>
          <w:sz w:val="24"/>
          <w:szCs w:val="24"/>
        </w:rPr>
        <w:t xml:space="preserve"> 2020, d'accroitre le nombre d'emplois formels créés par an, par les industries tertiaires marchandes de 12 100 à 20 000.</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Dans le sous-secteur informel tertiaire, le schéma de transformation structurelle commande d'agir principalement sur les branches à fort potentiel de développement et de création d'emplois. Pour ces industries de services, les principales actions à mener sont l'organisation, l'amélioration de la règlementation et de la régulation, la formalisation et la facilitation de l'accès aux financements, l'accroissement de la formation professionnelle des acteurs.</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Dans le sous-secteur formel tertiaire, les actions porteront paritairement sur la promotion des investissements publics et privés dans la branche hôtellerie et restauration, l'accroissement de l'offre de formation et des infrastructures sportives de qualité, la modernisation des logistiques de transport, l'augmentation de l'offre de transport aérien et ferroviaire. </w:t>
      </w: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En ce qui concerne le domaine des TIC et les branches des services fournis aux entreprises, il s'agira d'améliorer la gouvernance et de faciliter l'accroissement et l'amélioration des offres de services, en soutenant notamment la formation professionnelle dans ces branches.</w:t>
      </w:r>
    </w:p>
    <w:p w:rsidR="004A1046" w:rsidRPr="00422183" w:rsidRDefault="004A1046" w:rsidP="003A0820">
      <w:pPr>
        <w:spacing w:after="0" w:line="240" w:lineRule="auto"/>
        <w:contextualSpacing/>
        <w:mirrorIndents/>
        <w:jc w:val="both"/>
        <w:rPr>
          <w:rFonts w:ascii="Rockwell" w:hAnsi="Rockwell"/>
          <w:sz w:val="24"/>
        </w:rPr>
      </w:pPr>
    </w:p>
    <w:p w:rsidR="004A1046" w:rsidRPr="00422183" w:rsidRDefault="004A1046" w:rsidP="007E2B3F">
      <w:pPr>
        <w:spacing w:after="0" w:line="240" w:lineRule="auto"/>
        <w:mirrorIndents/>
        <w:jc w:val="both"/>
        <w:rPr>
          <w:rFonts w:ascii="Rockwell" w:hAnsi="Rockwell" w:cs="Times New Roman"/>
          <w:bCs/>
          <w:sz w:val="24"/>
          <w:szCs w:val="24"/>
        </w:rPr>
      </w:pPr>
      <w:r w:rsidRPr="00422183">
        <w:rPr>
          <w:rFonts w:ascii="Rockwell" w:hAnsi="Rockwell" w:cs="Times New Roman"/>
          <w:bCs/>
          <w:i/>
          <w:sz w:val="24"/>
          <w:szCs w:val="24"/>
        </w:rPr>
        <w:t>La mise en marché des produits locaux est renforcée.</w:t>
      </w:r>
      <w:r w:rsidRPr="00422183">
        <w:rPr>
          <w:rFonts w:ascii="Rockwell" w:hAnsi="Rockwell" w:cs="Times New Roman"/>
          <w:bCs/>
          <w:sz w:val="24"/>
          <w:szCs w:val="24"/>
        </w:rPr>
        <w:t xml:space="preserve"> </w:t>
      </w:r>
      <w:r w:rsidR="006B4F3A" w:rsidRPr="00422183">
        <w:rPr>
          <w:rFonts w:ascii="Rockwell" w:hAnsi="Rockwell" w:cs="Times New Roman"/>
          <w:bCs/>
          <w:sz w:val="24"/>
          <w:szCs w:val="24"/>
        </w:rPr>
        <w:t>E</w:t>
      </w:r>
      <w:r w:rsidRPr="00422183">
        <w:rPr>
          <w:rFonts w:ascii="Rockwell" w:hAnsi="Rockwell" w:cs="Times New Roman"/>
          <w:bCs/>
          <w:sz w:val="24"/>
          <w:szCs w:val="24"/>
        </w:rPr>
        <w:t>n terme</w:t>
      </w:r>
      <w:r w:rsidR="007E2B3F" w:rsidRPr="00422183">
        <w:rPr>
          <w:rFonts w:ascii="Rockwell" w:hAnsi="Rockwell" w:cs="Times New Roman"/>
          <w:bCs/>
          <w:sz w:val="24"/>
          <w:szCs w:val="24"/>
        </w:rPr>
        <w:t>s</w:t>
      </w:r>
      <w:r w:rsidRPr="00422183">
        <w:rPr>
          <w:rFonts w:ascii="Rockwell" w:hAnsi="Rockwell" w:cs="Times New Roman"/>
          <w:bCs/>
          <w:sz w:val="24"/>
          <w:szCs w:val="24"/>
        </w:rPr>
        <w:t xml:space="preserve"> de résultats chiffrés, le PNDES ambitionne de faire passer la part des deux premiers produits d’exportation de 85% à 65%, la part des produits manufacturiers dans les exportations de biens de 10,6% à 20% et</w:t>
      </w:r>
      <w:r w:rsidR="006F5F3D" w:rsidRPr="00422183">
        <w:rPr>
          <w:rFonts w:ascii="Rockwell" w:hAnsi="Rockwell" w:cs="Times New Roman"/>
          <w:bCs/>
          <w:sz w:val="24"/>
          <w:szCs w:val="24"/>
        </w:rPr>
        <w:t xml:space="preserve"> de réduire</w:t>
      </w:r>
      <w:r w:rsidRPr="00422183">
        <w:rPr>
          <w:rFonts w:ascii="Rockwell" w:hAnsi="Rockwell" w:cs="Times New Roman"/>
          <w:bCs/>
          <w:sz w:val="24"/>
          <w:szCs w:val="24"/>
        </w:rPr>
        <w:t xml:space="preserve"> la part des produits de consommation dans les importations </w:t>
      </w:r>
    </w:p>
    <w:p w:rsidR="004A1046" w:rsidRPr="00422183" w:rsidRDefault="004A1046" w:rsidP="00516FB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actions à cet effet porteront sur l’amélioration des circuits de commercialisation des produits sur le marché national et l’amélioration de la qualité des produits locaux par la définition de normes de qualité. </w:t>
      </w:r>
    </w:p>
    <w:p w:rsidR="004A1046" w:rsidRPr="00422183" w:rsidRDefault="004A1046" w:rsidP="00516FB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38" w:name="_Toc455132777"/>
      <w:r w:rsidRPr="00422183">
        <w:rPr>
          <w:rFonts w:ascii="Rockwell" w:hAnsi="Rockwell"/>
        </w:rPr>
        <w:t xml:space="preserve">Objectif stratégique 3.4 : Développer des infrastructures de qualité et </w:t>
      </w:r>
      <w:r w:rsidR="007E2B3F" w:rsidRPr="00422183">
        <w:rPr>
          <w:rFonts w:ascii="Rockwell" w:hAnsi="Rockwell"/>
        </w:rPr>
        <w:t>résilientes</w:t>
      </w:r>
      <w:r w:rsidRPr="00422183">
        <w:rPr>
          <w:rFonts w:ascii="Rockwell" w:hAnsi="Rockwell"/>
        </w:rPr>
        <w:t>, pour favoriser la transformation structurelle de l'économie</w:t>
      </w:r>
      <w:bookmarkEnd w:id="338"/>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Deux effets sont attendus de cet objectif stratégique.</w:t>
      </w:r>
    </w:p>
    <w:p w:rsidR="004A1046" w:rsidRPr="00422183" w:rsidRDefault="004A1046" w:rsidP="007E2B3F">
      <w:pPr>
        <w:spacing w:after="0" w:line="240" w:lineRule="auto"/>
        <w:contextualSpacing/>
        <w:jc w:val="both"/>
        <w:rPr>
          <w:rFonts w:ascii="Rockwell" w:hAnsi="Rockwell" w:cs="Times New Roman"/>
          <w:bCs/>
          <w:sz w:val="24"/>
          <w:szCs w:val="24"/>
        </w:rPr>
      </w:pPr>
      <w:r w:rsidRPr="00422183">
        <w:rPr>
          <w:rFonts w:ascii="Rockwell" w:eastAsia="Calibri" w:hAnsi="Rockwell" w:cs="Times New Roman"/>
          <w:i/>
          <w:sz w:val="24"/>
          <w:lang w:eastAsia="en-US"/>
        </w:rPr>
        <w:t>La qualité, la fiabilité et l'accessibilité aux infrastructures sont accrues pour faciliter la transformation structurelle de l'économie</w:t>
      </w:r>
      <w:r w:rsidR="007E2B3F" w:rsidRPr="00422183">
        <w:rPr>
          <w:rFonts w:ascii="Rockwell" w:eastAsia="Calibri" w:hAnsi="Rockwell" w:cs="Times New Roman"/>
          <w:sz w:val="24"/>
          <w:lang w:eastAsia="en-US"/>
        </w:rPr>
        <w:t>.</w:t>
      </w:r>
      <w:r w:rsidRPr="00422183">
        <w:rPr>
          <w:rFonts w:ascii="Rockwell" w:eastAsia="Calibri" w:hAnsi="Rockwell" w:cs="Times New Roman"/>
          <w:sz w:val="24"/>
          <w:lang w:eastAsia="en-US"/>
        </w:rPr>
        <w:t xml:space="preserve"> </w:t>
      </w:r>
      <w:r w:rsidRPr="00422183">
        <w:rPr>
          <w:rFonts w:ascii="Rockwell" w:hAnsi="Rockwell" w:cs="Times New Roman"/>
          <w:bCs/>
          <w:sz w:val="24"/>
          <w:szCs w:val="24"/>
        </w:rPr>
        <w:t>En termes de résultats chiffrés, le PNDES ambitionne à l'horizon 2020, d'accroitre la puissance d'électricité fournie de 300</w:t>
      </w:r>
      <w:r w:rsidR="007E2B3F" w:rsidRPr="00422183">
        <w:rPr>
          <w:rFonts w:ascii="Rockwell" w:hAnsi="Rockwell" w:cs="Times New Roman"/>
          <w:bCs/>
          <w:sz w:val="24"/>
          <w:szCs w:val="24"/>
        </w:rPr>
        <w:t xml:space="preserve"> </w:t>
      </w:r>
      <w:r w:rsidRPr="00422183">
        <w:rPr>
          <w:rFonts w:ascii="Rockwell" w:hAnsi="Rockwell" w:cs="Times New Roman"/>
          <w:bCs/>
          <w:sz w:val="24"/>
          <w:szCs w:val="24"/>
        </w:rPr>
        <w:t xml:space="preserve">MGh à 1000 MGh, de réduire à </w:t>
      </w:r>
      <w:r w:rsidR="007E2B3F" w:rsidRPr="00422183">
        <w:rPr>
          <w:rFonts w:ascii="Rockwell" w:hAnsi="Rockwell" w:cs="Times New Roman"/>
          <w:bCs/>
          <w:sz w:val="24"/>
          <w:szCs w:val="24"/>
        </w:rPr>
        <w:t>50</w:t>
      </w:r>
      <w:r w:rsidRPr="00422183">
        <w:rPr>
          <w:rFonts w:ascii="Rockwell" w:hAnsi="Rockwell" w:cs="Times New Roman"/>
          <w:bCs/>
          <w:sz w:val="24"/>
          <w:szCs w:val="24"/>
        </w:rPr>
        <w:t xml:space="preserve"> FCFA le coût du Kwh d'électricité de haute tension, d'accroitre la proportion</w:t>
      </w:r>
      <w:r w:rsidR="007E2B3F" w:rsidRPr="00422183">
        <w:rPr>
          <w:rFonts w:ascii="Rockwell" w:hAnsi="Rockwell" w:cs="Times New Roman"/>
          <w:bCs/>
          <w:sz w:val="24"/>
          <w:szCs w:val="24"/>
        </w:rPr>
        <w:t xml:space="preserve"> de routes</w:t>
      </w:r>
      <w:r w:rsidRPr="00422183">
        <w:rPr>
          <w:rFonts w:ascii="Rockwell" w:hAnsi="Rockwell" w:cs="Times New Roman"/>
          <w:bCs/>
          <w:sz w:val="24"/>
          <w:szCs w:val="24"/>
        </w:rPr>
        <w:t xml:space="preserve"> bitumée </w:t>
      </w:r>
      <w:r w:rsidR="007E2B3F" w:rsidRPr="00422183">
        <w:rPr>
          <w:rFonts w:ascii="Rockwell" w:hAnsi="Rockwell" w:cs="Times New Roman"/>
          <w:bCs/>
          <w:sz w:val="24"/>
          <w:szCs w:val="24"/>
        </w:rPr>
        <w:t>de 24% en 2015 à 42</w:t>
      </w:r>
      <w:r w:rsidRPr="00422183">
        <w:rPr>
          <w:rFonts w:ascii="Rockwell" w:hAnsi="Rockwell" w:cs="Times New Roman"/>
          <w:bCs/>
          <w:sz w:val="24"/>
          <w:szCs w:val="24"/>
        </w:rPr>
        <w:t>%</w:t>
      </w:r>
      <w:r w:rsidR="007E2B3F" w:rsidRPr="00422183">
        <w:rPr>
          <w:rFonts w:ascii="Rockwell" w:hAnsi="Rockwell" w:cs="Times New Roman"/>
          <w:bCs/>
          <w:sz w:val="24"/>
          <w:szCs w:val="24"/>
        </w:rPr>
        <w:t xml:space="preserve"> en 2020</w:t>
      </w:r>
      <w:r w:rsidRPr="00422183">
        <w:rPr>
          <w:rFonts w:ascii="Rockwell" w:hAnsi="Rockwell" w:cs="Times New Roman"/>
          <w:bCs/>
          <w:sz w:val="24"/>
          <w:szCs w:val="24"/>
        </w:rPr>
        <w:t>, de porter à 100 Go la largeur de la bande internet intérieure, d'accroitre le taux de crédit à l'économie de 29% à 35% du PIB, d’accroître le taux élargi de bancarisation de 30,1 à 35%.</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Il s'agira également de réaliser les infrastructures routières, ferroviaires et aéroportuaires de qualité, permettant de désenclaver le pays et ses zones de production, d'accélérer la mise en œuvre des projets d'interconnexion électriques et de réalisation des centrales électriques solaires, du réseau dorsal des télécommunications en fibre optique (</w:t>
      </w:r>
      <w:r w:rsidRPr="00422183">
        <w:rPr>
          <w:rFonts w:ascii="Rockwell" w:hAnsi="Rockwell" w:cs="Times New Roman"/>
          <w:bCs/>
          <w:i/>
          <w:sz w:val="24"/>
          <w:szCs w:val="24"/>
        </w:rPr>
        <w:t>backbone</w:t>
      </w:r>
      <w:r w:rsidRPr="00422183">
        <w:rPr>
          <w:rFonts w:ascii="Rockwell" w:hAnsi="Rockwell" w:cs="Times New Roman"/>
          <w:bCs/>
          <w:sz w:val="24"/>
          <w:szCs w:val="24"/>
        </w:rPr>
        <w:t>). En outre, des efforts devront être faits dans le sens de l’amélioration de l’accès aux services financiers décentralisés, de la promotion de l’accès des PME/PMI et des acteurs du secteur rural au crédit bancaire.</w:t>
      </w:r>
    </w:p>
    <w:p w:rsidR="004A1046" w:rsidRPr="00422183" w:rsidRDefault="004A1046" w:rsidP="003A0820">
      <w:pPr>
        <w:spacing w:after="0" w:line="240" w:lineRule="auto"/>
        <w:ind w:left="142"/>
        <w:contextualSpacing/>
        <w:jc w:val="both"/>
        <w:rPr>
          <w:rFonts w:ascii="Rockwell" w:eastAsia="Calibri" w:hAnsi="Rockwell" w:cs="Times New Roman"/>
          <w:sz w:val="24"/>
          <w:lang w:eastAsia="en-US"/>
        </w:rPr>
      </w:pPr>
    </w:p>
    <w:p w:rsidR="004A1046" w:rsidRPr="00422183" w:rsidRDefault="004A1046" w:rsidP="003A0820">
      <w:pPr>
        <w:spacing w:after="0" w:line="240" w:lineRule="auto"/>
        <w:contextualSpacing/>
        <w:jc w:val="both"/>
        <w:rPr>
          <w:rFonts w:ascii="Rockwell" w:hAnsi="Rockwell" w:cs="Times New Roman"/>
          <w:bCs/>
          <w:sz w:val="24"/>
          <w:szCs w:val="24"/>
        </w:rPr>
      </w:pPr>
      <w:r w:rsidRPr="00422183">
        <w:rPr>
          <w:rFonts w:ascii="Rockwell" w:eastAsia="Calibri" w:hAnsi="Rockwell" w:cs="Times New Roman"/>
          <w:i/>
          <w:sz w:val="24"/>
          <w:lang w:eastAsia="en-US"/>
        </w:rPr>
        <w:t>La contribution des pôles de croi</w:t>
      </w:r>
      <w:r w:rsidR="00C138FD" w:rsidRPr="00422183">
        <w:rPr>
          <w:rFonts w:ascii="Rockwell" w:eastAsia="Calibri" w:hAnsi="Rockwell" w:cs="Times New Roman"/>
          <w:i/>
          <w:sz w:val="24"/>
          <w:lang w:eastAsia="en-US"/>
        </w:rPr>
        <w:t>ssance à l’économie est accrue</w:t>
      </w:r>
      <w:r w:rsidR="00C138FD" w:rsidRPr="00422183">
        <w:rPr>
          <w:rFonts w:ascii="Rockwell" w:eastAsia="Calibri" w:hAnsi="Rockwell" w:cs="Times New Roman"/>
          <w:sz w:val="24"/>
          <w:lang w:eastAsia="en-US"/>
        </w:rPr>
        <w:t xml:space="preserve">. </w:t>
      </w:r>
      <w:r w:rsidRPr="00422183">
        <w:rPr>
          <w:rFonts w:ascii="Rockwell" w:hAnsi="Rockwell" w:cs="Times New Roman"/>
          <w:bCs/>
          <w:sz w:val="24"/>
          <w:szCs w:val="24"/>
        </w:rPr>
        <w:t>En terme</w:t>
      </w:r>
      <w:r w:rsidR="00C138FD" w:rsidRPr="00422183">
        <w:rPr>
          <w:rFonts w:ascii="Rockwell" w:hAnsi="Rockwell" w:cs="Times New Roman"/>
          <w:bCs/>
          <w:sz w:val="24"/>
          <w:szCs w:val="24"/>
        </w:rPr>
        <w:t>s</w:t>
      </w:r>
      <w:r w:rsidRPr="00422183">
        <w:rPr>
          <w:rFonts w:ascii="Rockwell" w:hAnsi="Rockwell" w:cs="Times New Roman"/>
          <w:bCs/>
          <w:sz w:val="24"/>
          <w:szCs w:val="24"/>
        </w:rPr>
        <w:t xml:space="preserve"> de résultats chiffrés le PNDES ambitionne d’accroître la contribution des pôles de croissance au PIB et de faire passer la proportion des emplois locaux crées dans les régions à 50%.</w:t>
      </w:r>
    </w:p>
    <w:p w:rsidR="004A1046" w:rsidRPr="00422183" w:rsidRDefault="00DB4AEC" w:rsidP="003A0820">
      <w:pPr>
        <w:spacing w:after="0" w:line="240" w:lineRule="auto"/>
        <w:jc w:val="both"/>
        <w:rPr>
          <w:rFonts w:ascii="Rockwell" w:hAnsi="Rockwell"/>
          <w:sz w:val="24"/>
          <w:szCs w:val="24"/>
        </w:rPr>
      </w:pPr>
      <w:r w:rsidRPr="00422183">
        <w:rPr>
          <w:rFonts w:ascii="Rockwell" w:hAnsi="Rockwell"/>
          <w:sz w:val="24"/>
          <w:szCs w:val="24"/>
        </w:rPr>
        <w:t>Pour ce faire, il s’agira</w:t>
      </w:r>
      <w:r w:rsidR="004A1046" w:rsidRPr="00422183">
        <w:rPr>
          <w:rFonts w:ascii="Rockwell" w:hAnsi="Rockwell"/>
          <w:sz w:val="24"/>
          <w:szCs w:val="24"/>
        </w:rPr>
        <w:t xml:space="preserve"> de poursuivre la mise en place des pôles de croissance et de compétitivité en cours et de se doter d’un cadre cohérent de développement des pôles de croissance et de compétitivité. Cela devra permettre d’assurer un maillage optimal du territoire afin qu’émerge</w:t>
      </w:r>
      <w:r w:rsidRPr="00422183">
        <w:rPr>
          <w:rFonts w:ascii="Rockwell" w:hAnsi="Rockwell"/>
          <w:sz w:val="24"/>
          <w:szCs w:val="24"/>
        </w:rPr>
        <w:t>nt</w:t>
      </w:r>
      <w:r w:rsidR="004A1046" w:rsidRPr="00422183">
        <w:rPr>
          <w:rFonts w:ascii="Rockwell" w:hAnsi="Rockwell"/>
          <w:sz w:val="24"/>
          <w:szCs w:val="24"/>
        </w:rPr>
        <w:t xml:space="preserve"> des effets d’entrainement qui se diffuseront progressivement sur l’ensemble de l’économie nationale et être ainsi le catalyseur du développement.</w:t>
      </w:r>
    </w:p>
    <w:p w:rsidR="0090049C" w:rsidRPr="00422183" w:rsidRDefault="0090049C" w:rsidP="003A0820">
      <w:pPr>
        <w:spacing w:after="0" w:line="240" w:lineRule="auto"/>
        <w:jc w:val="both"/>
        <w:rPr>
          <w:rFonts w:ascii="Rockwell" w:hAnsi="Rockwell" w:cs="Times New Roman"/>
          <w:bCs/>
          <w:sz w:val="24"/>
          <w:szCs w:val="24"/>
        </w:rPr>
      </w:pPr>
    </w:p>
    <w:p w:rsidR="004A1046" w:rsidRPr="00422183" w:rsidRDefault="004A1046" w:rsidP="004102F5">
      <w:pPr>
        <w:pStyle w:val="PNDES4"/>
        <w:numPr>
          <w:ilvl w:val="5"/>
          <w:numId w:val="3"/>
        </w:numPr>
        <w:rPr>
          <w:rFonts w:ascii="Rockwell" w:hAnsi="Rockwell"/>
        </w:rPr>
      </w:pPr>
      <w:bookmarkStart w:id="339" w:name="_Toc455132778"/>
      <w:r w:rsidRPr="00422183">
        <w:rPr>
          <w:rFonts w:ascii="Rockwell" w:hAnsi="Rockwell"/>
        </w:rPr>
        <w:t>Objectif stratégique 3.5. Inverser la tendance de la dégradation de l'environnement et assurer durablement la gestion des ressources naturelles</w:t>
      </w:r>
      <w:bookmarkEnd w:id="339"/>
    </w:p>
    <w:p w:rsidR="004A1046" w:rsidRPr="00422183" w:rsidRDefault="004A1046" w:rsidP="00516FB0">
      <w:pPr>
        <w:spacing w:after="0" w:line="240" w:lineRule="auto"/>
        <w:jc w:val="both"/>
        <w:rPr>
          <w:rFonts w:ascii="Rockwell" w:hAnsi="Rockwell"/>
          <w:sz w:val="24"/>
          <w:szCs w:val="24"/>
        </w:rPr>
      </w:pPr>
    </w:p>
    <w:p w:rsidR="004A1046" w:rsidRPr="00422183" w:rsidRDefault="004A1046" w:rsidP="003A0820">
      <w:pPr>
        <w:spacing w:after="0" w:line="240" w:lineRule="auto"/>
        <w:contextualSpacing/>
        <w:jc w:val="both"/>
        <w:rPr>
          <w:rFonts w:ascii="Rockwell" w:hAnsi="Rockwell"/>
          <w:sz w:val="24"/>
          <w:szCs w:val="24"/>
        </w:rPr>
      </w:pPr>
      <w:r w:rsidRPr="00422183">
        <w:rPr>
          <w:rFonts w:ascii="Rockwell" w:hAnsi="Rockwell"/>
          <w:sz w:val="24"/>
          <w:szCs w:val="24"/>
        </w:rPr>
        <w:t xml:space="preserve">Les principaux effets attendus sont : </w:t>
      </w:r>
    </w:p>
    <w:p w:rsidR="001E36C3" w:rsidRPr="00422183" w:rsidRDefault="001E36C3" w:rsidP="003A0820">
      <w:pPr>
        <w:spacing w:after="0" w:line="240" w:lineRule="auto"/>
        <w:contextualSpacing/>
        <w:jc w:val="both"/>
        <w:rPr>
          <w:rFonts w:ascii="Rockwell" w:eastAsia="Calibri" w:hAnsi="Rockwell" w:cs="Times New Roman"/>
          <w:sz w:val="24"/>
          <w:lang w:eastAsia="en-US"/>
        </w:rPr>
      </w:pPr>
    </w:p>
    <w:p w:rsidR="004A1046" w:rsidRPr="00422183" w:rsidRDefault="004A1046" w:rsidP="00516FB0">
      <w:pPr>
        <w:spacing w:after="0" w:line="240" w:lineRule="auto"/>
        <w:jc w:val="both"/>
        <w:rPr>
          <w:rFonts w:ascii="Rockwell" w:hAnsi="Rockwell" w:cs="Times New Roman"/>
          <w:bCs/>
          <w:sz w:val="24"/>
          <w:szCs w:val="24"/>
        </w:rPr>
      </w:pPr>
      <w:r w:rsidRPr="00422183">
        <w:rPr>
          <w:rFonts w:ascii="Rockwell" w:eastAsia="Calibri" w:hAnsi="Rockwell" w:cs="Times New Roman"/>
          <w:b/>
          <w:i/>
          <w:sz w:val="24"/>
          <w:lang w:eastAsia="en-US"/>
        </w:rPr>
        <w:t>L’environ</w:t>
      </w:r>
      <w:r w:rsidR="00390851" w:rsidRPr="00422183">
        <w:rPr>
          <w:rFonts w:ascii="Rockwell" w:eastAsia="Calibri" w:hAnsi="Rockwell" w:cs="Times New Roman"/>
          <w:b/>
          <w:i/>
          <w:sz w:val="24"/>
          <w:lang w:eastAsia="en-US"/>
        </w:rPr>
        <w:t xml:space="preserve">nement et les </w:t>
      </w:r>
      <w:r w:rsidRPr="00422183">
        <w:rPr>
          <w:rFonts w:ascii="Rockwell" w:eastAsia="Calibri" w:hAnsi="Rockwell" w:cs="Times New Roman"/>
          <w:b/>
          <w:i/>
          <w:sz w:val="24"/>
          <w:lang w:eastAsia="en-US"/>
        </w:rPr>
        <w:t>ressources</w:t>
      </w:r>
      <w:r w:rsidR="00390851" w:rsidRPr="00422183">
        <w:rPr>
          <w:rFonts w:ascii="Rockwell" w:eastAsia="Calibri" w:hAnsi="Rockwell" w:cs="Times New Roman"/>
          <w:b/>
          <w:i/>
          <w:sz w:val="24"/>
          <w:lang w:eastAsia="en-US"/>
        </w:rPr>
        <w:t xml:space="preserve"> naturelles</w:t>
      </w:r>
      <w:r w:rsidRPr="00422183">
        <w:rPr>
          <w:rFonts w:ascii="Rockwell" w:eastAsia="Calibri" w:hAnsi="Rockwell" w:cs="Times New Roman"/>
          <w:b/>
          <w:i/>
          <w:sz w:val="24"/>
          <w:lang w:eastAsia="en-US"/>
        </w:rPr>
        <w:t xml:space="preserve"> sont </w:t>
      </w:r>
      <w:r w:rsidR="00390851" w:rsidRPr="00422183">
        <w:rPr>
          <w:rFonts w:ascii="Rockwell" w:eastAsia="Calibri" w:hAnsi="Rockwell" w:cs="Times New Roman"/>
          <w:b/>
          <w:i/>
          <w:sz w:val="24"/>
          <w:lang w:eastAsia="en-US"/>
        </w:rPr>
        <w:t>gérés</w:t>
      </w:r>
      <w:r w:rsidRPr="00422183">
        <w:rPr>
          <w:rFonts w:ascii="Rockwell" w:eastAsia="Calibri" w:hAnsi="Rockwell" w:cs="Times New Roman"/>
          <w:b/>
          <w:i/>
          <w:sz w:val="24"/>
          <w:lang w:eastAsia="en-US"/>
        </w:rPr>
        <w:t xml:space="preserve"> durablement</w:t>
      </w:r>
      <w:r w:rsidRPr="00422183">
        <w:rPr>
          <w:rFonts w:ascii="Rockwell" w:eastAsia="Calibri" w:hAnsi="Rockwell" w:cs="Times New Roman"/>
          <w:b/>
          <w:sz w:val="24"/>
          <w:lang w:eastAsia="en-US"/>
        </w:rPr>
        <w:t>.</w:t>
      </w:r>
      <w:r w:rsidR="00DB4AEC" w:rsidRPr="00422183">
        <w:rPr>
          <w:rFonts w:ascii="Rockwell" w:eastAsia="Calibri" w:hAnsi="Rockwell" w:cs="Times New Roman"/>
          <w:b/>
          <w:sz w:val="24"/>
          <w:lang w:eastAsia="en-US"/>
        </w:rPr>
        <w:t xml:space="preserve"> </w:t>
      </w:r>
      <w:r w:rsidRPr="00422183">
        <w:rPr>
          <w:rFonts w:ascii="Rockwell" w:hAnsi="Rockwell" w:cs="Times New Roman"/>
          <w:bCs/>
          <w:sz w:val="24"/>
          <w:szCs w:val="24"/>
        </w:rPr>
        <w:t xml:space="preserve">En termes de résultats chiffrés, le PNDES ambitionne d’accroitre les superficies des </w:t>
      </w:r>
      <w:r w:rsidR="00390851" w:rsidRPr="00422183">
        <w:rPr>
          <w:rFonts w:ascii="Rockwell" w:hAnsi="Rockwell" w:cs="Times New Roman"/>
          <w:bCs/>
          <w:sz w:val="24"/>
          <w:szCs w:val="24"/>
        </w:rPr>
        <w:t>espaces de conservation</w:t>
      </w:r>
      <w:r w:rsidRPr="00422183">
        <w:rPr>
          <w:rFonts w:ascii="Rockwell" w:hAnsi="Rockwell" w:cs="Times New Roman"/>
          <w:bCs/>
          <w:sz w:val="24"/>
          <w:szCs w:val="24"/>
        </w:rPr>
        <w:t xml:space="preserve"> sous aménagement</w:t>
      </w:r>
      <w:r w:rsidR="00390851" w:rsidRPr="00422183">
        <w:rPr>
          <w:rFonts w:ascii="Rockwell" w:hAnsi="Rockwell" w:cs="Times New Roman"/>
          <w:bCs/>
          <w:sz w:val="24"/>
          <w:szCs w:val="24"/>
        </w:rPr>
        <w:t xml:space="preserve"> de 25 à 31%</w:t>
      </w:r>
      <w:r w:rsidRPr="00422183">
        <w:rPr>
          <w:rFonts w:ascii="Rockwell" w:hAnsi="Rockwell" w:cs="Times New Roman"/>
          <w:bCs/>
          <w:sz w:val="24"/>
          <w:szCs w:val="24"/>
        </w:rPr>
        <w:t xml:space="preserve"> et </w:t>
      </w:r>
      <w:r w:rsidR="006F5F3D" w:rsidRPr="00422183">
        <w:rPr>
          <w:rFonts w:ascii="Rockwell" w:hAnsi="Rockwell" w:cs="Times New Roman"/>
          <w:bCs/>
          <w:sz w:val="24"/>
          <w:szCs w:val="24"/>
        </w:rPr>
        <w:t>d’augmenter</w:t>
      </w:r>
      <w:r w:rsidRPr="00422183">
        <w:rPr>
          <w:rFonts w:ascii="Rockwell" w:hAnsi="Rockwell" w:cs="Times New Roman"/>
          <w:bCs/>
          <w:sz w:val="24"/>
          <w:szCs w:val="24"/>
        </w:rPr>
        <w:t xml:space="preserve"> les superficies des terres dégradées </w:t>
      </w:r>
      <w:r w:rsidR="00390851" w:rsidRPr="00422183">
        <w:rPr>
          <w:rFonts w:ascii="Rockwell" w:hAnsi="Rockwell" w:cs="Times New Roman"/>
          <w:bCs/>
          <w:sz w:val="24"/>
          <w:szCs w:val="24"/>
        </w:rPr>
        <w:t>des zones protégées récupérées</w:t>
      </w:r>
      <w:r w:rsidRPr="00422183">
        <w:rPr>
          <w:rFonts w:ascii="Rockwell" w:hAnsi="Rockwell" w:cs="Times New Roman"/>
          <w:bCs/>
          <w:sz w:val="24"/>
          <w:szCs w:val="24"/>
        </w:rPr>
        <w:t xml:space="preserve"> de</w:t>
      </w:r>
      <w:r w:rsidR="00390851" w:rsidRPr="00422183">
        <w:rPr>
          <w:rFonts w:ascii="Rockwell" w:hAnsi="Rockwell" w:cs="Times New Roman"/>
          <w:bCs/>
          <w:sz w:val="24"/>
          <w:szCs w:val="24"/>
        </w:rPr>
        <w:t xml:space="preserve"> 10 500 hectares à</w:t>
      </w:r>
      <w:r w:rsidRPr="00422183">
        <w:rPr>
          <w:rFonts w:ascii="Rockwell" w:hAnsi="Rockwell" w:cs="Times New Roman"/>
          <w:bCs/>
          <w:sz w:val="24"/>
          <w:szCs w:val="24"/>
        </w:rPr>
        <w:t xml:space="preserve"> 25 000 ha.</w:t>
      </w:r>
    </w:p>
    <w:p w:rsidR="004A1046" w:rsidRPr="00422183" w:rsidRDefault="004A1046" w:rsidP="00516FB0">
      <w:pPr>
        <w:spacing w:after="0" w:line="240" w:lineRule="auto"/>
        <w:jc w:val="both"/>
        <w:rPr>
          <w:rFonts w:ascii="Rockwell" w:hAnsi="Rockwell" w:cs="Times New Roman"/>
          <w:bCs/>
          <w:sz w:val="24"/>
          <w:szCs w:val="24"/>
        </w:rPr>
      </w:pPr>
      <w:r w:rsidRPr="00422183">
        <w:rPr>
          <w:rFonts w:ascii="Rockwell" w:hAnsi="Rockwell" w:cs="Times New Roman"/>
          <w:bCs/>
          <w:sz w:val="24"/>
          <w:szCs w:val="24"/>
        </w:rPr>
        <w:t>Les actions majeures à mettre en œuvre sont la gestion durable des ressources forestières et fauniques, la réduction des émissions de carbones, l'amélioration de la gouvernance de l'environnement, et la protection de l'écosystème et la préservation du cadre de vie, la promotion de l'accès des ménages aux services énergétiques de qualité.</w:t>
      </w:r>
    </w:p>
    <w:p w:rsidR="004A1046" w:rsidRPr="00422183" w:rsidRDefault="004A1046" w:rsidP="003A0820">
      <w:pPr>
        <w:spacing w:after="0" w:line="240" w:lineRule="auto"/>
        <w:jc w:val="both"/>
        <w:rPr>
          <w:rFonts w:ascii="Rockwell" w:hAnsi="Rockwell" w:cs="Times New Roman"/>
          <w:bCs/>
          <w:sz w:val="24"/>
          <w:szCs w:val="24"/>
        </w:rPr>
      </w:pPr>
    </w:p>
    <w:p w:rsidR="004A1046" w:rsidRPr="00422183" w:rsidRDefault="004A1046" w:rsidP="003A0820">
      <w:pPr>
        <w:spacing w:after="0" w:line="240" w:lineRule="auto"/>
        <w:contextualSpacing/>
        <w:jc w:val="both"/>
        <w:rPr>
          <w:rFonts w:ascii="Arial" w:eastAsia="Calibri" w:hAnsi="Arial" w:cs="Arial"/>
          <w:sz w:val="28"/>
          <w:szCs w:val="28"/>
          <w:lang w:eastAsia="en-US"/>
        </w:rPr>
      </w:pPr>
      <w:r w:rsidRPr="00422183">
        <w:rPr>
          <w:rFonts w:ascii="Rockwell" w:eastAsia="Calibri" w:hAnsi="Rockwell" w:cs="Times New Roman"/>
          <w:b/>
          <w:i/>
          <w:sz w:val="24"/>
          <w:lang w:eastAsia="en-US"/>
        </w:rPr>
        <w:t xml:space="preserve">Les capacités d’atténuation et d’adaptation aux effets </w:t>
      </w:r>
      <w:r w:rsidR="0070199B" w:rsidRPr="00422183">
        <w:rPr>
          <w:rFonts w:ascii="Rockwell" w:eastAsia="Calibri" w:hAnsi="Rockwell" w:cs="Times New Roman"/>
          <w:b/>
          <w:i/>
          <w:sz w:val="24"/>
          <w:lang w:eastAsia="en-US"/>
        </w:rPr>
        <w:t xml:space="preserve">néfastes </w:t>
      </w:r>
      <w:r w:rsidRPr="00422183">
        <w:rPr>
          <w:rFonts w:ascii="Rockwell" w:eastAsia="Calibri" w:hAnsi="Rockwell" w:cs="Times New Roman"/>
          <w:b/>
          <w:i/>
          <w:sz w:val="24"/>
          <w:lang w:eastAsia="en-US"/>
        </w:rPr>
        <w:t>du changement climatique sont renforcées</w:t>
      </w:r>
      <w:r w:rsidR="0070199B" w:rsidRPr="00422183">
        <w:rPr>
          <w:rFonts w:ascii="Rockwell" w:eastAsia="Calibri" w:hAnsi="Rockwell" w:cs="Times New Roman"/>
          <w:b/>
          <w:i/>
          <w:sz w:val="24"/>
          <w:lang w:eastAsia="en-US"/>
        </w:rPr>
        <w:t xml:space="preserve"> dans une optique de transition</w:t>
      </w:r>
      <w:r w:rsidRPr="00422183">
        <w:rPr>
          <w:rFonts w:ascii="Rockwell" w:eastAsia="Calibri" w:hAnsi="Rockwell" w:cs="Times New Roman"/>
          <w:b/>
          <w:i/>
          <w:sz w:val="24"/>
          <w:lang w:eastAsia="en-US"/>
        </w:rPr>
        <w:t xml:space="preserve"> </w:t>
      </w:r>
      <w:r w:rsidR="0070199B" w:rsidRPr="00422183">
        <w:rPr>
          <w:rFonts w:ascii="Rockwell" w:eastAsia="Calibri" w:hAnsi="Rockwell" w:cs="Times New Roman"/>
          <w:b/>
          <w:i/>
          <w:sz w:val="24"/>
          <w:lang w:eastAsia="en-US"/>
        </w:rPr>
        <w:t>vers</w:t>
      </w:r>
      <w:r w:rsidRPr="00422183">
        <w:rPr>
          <w:rFonts w:ascii="Rockwell" w:eastAsia="Calibri" w:hAnsi="Rockwell" w:cs="Times New Roman"/>
          <w:b/>
          <w:i/>
          <w:sz w:val="24"/>
          <w:lang w:eastAsia="en-US"/>
        </w:rPr>
        <w:t xml:space="preserve"> l’économie verte</w:t>
      </w:r>
      <w:r w:rsidRPr="00422183">
        <w:rPr>
          <w:rFonts w:ascii="Rockwell" w:eastAsia="Calibri" w:hAnsi="Rockwell" w:cs="Times New Roman"/>
          <w:sz w:val="24"/>
          <w:lang w:eastAsia="en-US"/>
        </w:rPr>
        <w:t>. La mise en œuvre du PNDES permettra d’accroître la quanti</w:t>
      </w:r>
      <w:r w:rsidR="0070199B" w:rsidRPr="00422183">
        <w:rPr>
          <w:rFonts w:ascii="Rockwell" w:eastAsia="Calibri" w:hAnsi="Rockwell" w:cs="Times New Roman"/>
          <w:sz w:val="24"/>
          <w:lang w:eastAsia="en-US"/>
        </w:rPr>
        <w:t>té de carbone</w:t>
      </w:r>
      <w:r w:rsidR="00DB4AEC" w:rsidRPr="00422183">
        <w:rPr>
          <w:rFonts w:ascii="Rockwell" w:eastAsia="Calibri" w:hAnsi="Rockwell" w:cs="Times New Roman"/>
          <w:sz w:val="24"/>
          <w:lang w:eastAsia="en-US"/>
        </w:rPr>
        <w:t>s</w:t>
      </w:r>
      <w:r w:rsidR="0070199B" w:rsidRPr="00422183">
        <w:rPr>
          <w:rFonts w:ascii="Rockwell" w:eastAsia="Calibri" w:hAnsi="Rockwell" w:cs="Times New Roman"/>
          <w:sz w:val="24"/>
          <w:lang w:eastAsia="en-US"/>
        </w:rPr>
        <w:t xml:space="preserve"> séquestré</w:t>
      </w:r>
      <w:r w:rsidR="00DB4AEC" w:rsidRPr="00422183">
        <w:rPr>
          <w:rFonts w:ascii="Rockwell" w:eastAsia="Calibri" w:hAnsi="Rockwell" w:cs="Times New Roman"/>
          <w:sz w:val="24"/>
          <w:lang w:eastAsia="en-US"/>
        </w:rPr>
        <w:t>s</w:t>
      </w:r>
      <w:r w:rsidR="0070199B" w:rsidRPr="00422183">
        <w:rPr>
          <w:rFonts w:ascii="Rockwell" w:eastAsia="Calibri" w:hAnsi="Rockwell" w:cs="Times New Roman"/>
          <w:sz w:val="24"/>
          <w:lang w:eastAsia="en-US"/>
        </w:rPr>
        <w:t xml:space="preserve"> à 8 000 000 </w:t>
      </w:r>
      <w:r w:rsidRPr="00422183">
        <w:rPr>
          <w:rFonts w:ascii="Rockwell" w:eastAsia="Calibri" w:hAnsi="Rockwell" w:cs="Times New Roman"/>
          <w:sz w:val="24"/>
          <w:lang w:eastAsia="en-US"/>
        </w:rPr>
        <w:t xml:space="preserve">tonnes </w:t>
      </w:r>
      <w:r w:rsidR="0070199B" w:rsidRPr="00422183">
        <w:rPr>
          <w:rFonts w:ascii="Rockwell" w:eastAsia="Calibri" w:hAnsi="Rockwell" w:cs="Times New Roman"/>
          <w:sz w:val="24"/>
          <w:lang w:eastAsia="en-US"/>
        </w:rPr>
        <w:t>d’ici à 2020 et de créer 2 000 éco villages.</w:t>
      </w:r>
    </w:p>
    <w:p w:rsidR="004A1046" w:rsidRPr="00422183" w:rsidRDefault="004A1046" w:rsidP="00516FB0">
      <w:pPr>
        <w:spacing w:after="0" w:line="240" w:lineRule="auto"/>
        <w:jc w:val="both"/>
        <w:rPr>
          <w:rFonts w:ascii="Rockwell" w:eastAsiaTheme="majorEastAsia" w:hAnsi="Rockwell" w:cstheme="majorBidi"/>
          <w:iCs/>
          <w:sz w:val="24"/>
          <w:szCs w:val="24"/>
        </w:rPr>
      </w:pPr>
      <w:r w:rsidRPr="00422183">
        <w:rPr>
          <w:rFonts w:ascii="Rockwell" w:hAnsi="Rockwell"/>
          <w:sz w:val="24"/>
          <w:szCs w:val="24"/>
        </w:rPr>
        <w:t xml:space="preserve">Les actions à mener porteront sur </w:t>
      </w:r>
      <w:r w:rsidRPr="00422183">
        <w:rPr>
          <w:rFonts w:ascii="Rockwell" w:hAnsi="Rockwell" w:cs="Tahoma"/>
          <w:sz w:val="24"/>
          <w:szCs w:val="24"/>
        </w:rPr>
        <w:t xml:space="preserve">la réduction des émissions de carbone, </w:t>
      </w:r>
      <w:r w:rsidR="0070199B" w:rsidRPr="00422183">
        <w:rPr>
          <w:rFonts w:ascii="Rockwell" w:hAnsi="Rockwell" w:cs="Tahoma"/>
          <w:sz w:val="24"/>
          <w:szCs w:val="24"/>
        </w:rPr>
        <w:t xml:space="preserve">le renforcement des capacités en matière de résilience au changement climatique, l’exploitation, la valorisation et la promotion des produits forestiers non ligneux, </w:t>
      </w:r>
      <w:r w:rsidRPr="00422183">
        <w:rPr>
          <w:rFonts w:ascii="Rockwell" w:hAnsi="Rockwell" w:cs="Tahoma"/>
          <w:sz w:val="24"/>
          <w:szCs w:val="24"/>
        </w:rPr>
        <w:t xml:space="preserve">la promotion des modes de consommation et de production durables, la lutte contre l'exploitation anarchique des ressources minières et </w:t>
      </w:r>
      <w:r w:rsidRPr="00422183">
        <w:rPr>
          <w:rFonts w:ascii="Rockwell" w:eastAsiaTheme="majorEastAsia" w:hAnsi="Rockwell" w:cstheme="majorBidi"/>
          <w:iCs/>
          <w:sz w:val="24"/>
          <w:szCs w:val="24"/>
        </w:rPr>
        <w:t>l'amélioration de la gouvernance environnementale.</w:t>
      </w:r>
    </w:p>
    <w:p w:rsidR="004A1046" w:rsidRPr="00422183" w:rsidRDefault="004A1046" w:rsidP="00516FB0">
      <w:pPr>
        <w:spacing w:after="0" w:line="240" w:lineRule="auto"/>
        <w:jc w:val="both"/>
        <w:rPr>
          <w:rFonts w:ascii="Rockwell" w:hAnsi="Rockwell"/>
          <w:sz w:val="24"/>
          <w:szCs w:val="24"/>
        </w:rPr>
      </w:pPr>
    </w:p>
    <w:p w:rsidR="00763167" w:rsidRPr="00422183" w:rsidRDefault="00763167"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Au total, les orientations stratégiques</w:t>
      </w:r>
      <w:r w:rsidR="00426D0A" w:rsidRPr="00422183">
        <w:rPr>
          <w:rFonts w:ascii="Rockwell" w:hAnsi="Rockwell" w:cs="Times New Roman"/>
          <w:bCs/>
          <w:sz w:val="24"/>
          <w:szCs w:val="24"/>
        </w:rPr>
        <w:t xml:space="preserve"> sont résumées dans la Tableau 5.</w:t>
      </w:r>
    </w:p>
    <w:p w:rsidR="00763167" w:rsidRPr="00422183" w:rsidRDefault="00763167" w:rsidP="003A0820">
      <w:pPr>
        <w:spacing w:after="0" w:line="240" w:lineRule="auto"/>
        <w:jc w:val="both"/>
        <w:rPr>
          <w:rFonts w:ascii="Rockwell" w:hAnsi="Rockwell" w:cs="Times New Roman"/>
          <w:bCs/>
          <w:sz w:val="24"/>
          <w:szCs w:val="24"/>
        </w:rPr>
      </w:pPr>
    </w:p>
    <w:p w:rsidR="00747C5E" w:rsidRPr="00422183" w:rsidRDefault="00F96208" w:rsidP="003A0820">
      <w:pPr>
        <w:pStyle w:val="Lgende"/>
        <w:rPr>
          <w:color w:val="auto"/>
          <w:sz w:val="24"/>
        </w:rPr>
      </w:pPr>
      <w:bookmarkStart w:id="340" w:name="_Toc455079256"/>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5</w:t>
      </w:r>
      <w:r w:rsidR="00491B03" w:rsidRPr="00422183">
        <w:rPr>
          <w:color w:val="auto"/>
          <w:sz w:val="24"/>
        </w:rPr>
        <w:fldChar w:fldCharType="end"/>
      </w:r>
      <w:r w:rsidRPr="00422183">
        <w:rPr>
          <w:color w:val="auto"/>
          <w:sz w:val="24"/>
        </w:rPr>
        <w:t xml:space="preserve"> : </w:t>
      </w:r>
      <w:r w:rsidR="00426D0A" w:rsidRPr="00422183">
        <w:rPr>
          <w:color w:val="auto"/>
          <w:sz w:val="24"/>
        </w:rPr>
        <w:t>a</w:t>
      </w:r>
      <w:r w:rsidR="00747C5E" w:rsidRPr="00422183">
        <w:rPr>
          <w:color w:val="auto"/>
          <w:sz w:val="24"/>
        </w:rPr>
        <w:t>xes</w:t>
      </w:r>
      <w:r w:rsidR="00426D0A" w:rsidRPr="00422183">
        <w:rPr>
          <w:color w:val="auto"/>
          <w:sz w:val="24"/>
        </w:rPr>
        <w:t xml:space="preserve"> stratégiques</w:t>
      </w:r>
      <w:r w:rsidR="00747C5E" w:rsidRPr="00422183">
        <w:rPr>
          <w:color w:val="auto"/>
          <w:sz w:val="24"/>
        </w:rPr>
        <w:t>, objectifs stratégiques et effets attendus</w:t>
      </w:r>
      <w:r w:rsidR="00426D0A" w:rsidRPr="00422183">
        <w:rPr>
          <w:color w:val="auto"/>
          <w:sz w:val="24"/>
        </w:rPr>
        <w:t xml:space="preserve"> du PNDES</w:t>
      </w:r>
      <w:bookmarkEnd w:id="340"/>
    </w:p>
    <w:p w:rsidR="007B2A04" w:rsidRPr="00422183" w:rsidRDefault="007B2A04" w:rsidP="003A0820">
      <w:pPr>
        <w:spacing w:after="0" w:line="240" w:lineRule="auto"/>
        <w:jc w:val="both"/>
        <w:rPr>
          <w:rFonts w:ascii="Rockwell" w:hAnsi="Rockwell" w:cs="Times New Roman"/>
          <w:bCs/>
          <w:sz w:val="24"/>
          <w:szCs w:val="24"/>
        </w:rPr>
      </w:pPr>
    </w:p>
    <w:tbl>
      <w:tblPr>
        <w:tblStyle w:val="Grilledutableau"/>
        <w:tblW w:w="10313"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68"/>
        <w:gridCol w:w="3119"/>
        <w:gridCol w:w="4926"/>
      </w:tblGrid>
      <w:tr w:rsidR="00D42A61" w:rsidRPr="00422183" w:rsidTr="00D42A61">
        <w:trPr>
          <w:tblHeader/>
        </w:trPr>
        <w:tc>
          <w:tcPr>
            <w:tcW w:w="2268" w:type="dxa"/>
            <w:shd w:val="clear" w:color="auto" w:fill="D9D9D9" w:themeFill="background1" w:themeFillShade="D9"/>
            <w:vAlign w:val="center"/>
          </w:tcPr>
          <w:p w:rsidR="00D42A61" w:rsidRPr="00422183" w:rsidRDefault="00D42A61" w:rsidP="00D42A61">
            <w:pPr>
              <w:jc w:val="both"/>
              <w:rPr>
                <w:rFonts w:ascii="Rockwell" w:eastAsiaTheme="minorHAnsi" w:hAnsi="Rockwell"/>
                <w:b/>
              </w:rPr>
            </w:pPr>
            <w:r w:rsidRPr="00422183">
              <w:rPr>
                <w:rFonts w:ascii="Rockwell" w:eastAsiaTheme="minorHAnsi" w:hAnsi="Rockwell"/>
                <w:b/>
              </w:rPr>
              <w:t>Axes</w:t>
            </w:r>
          </w:p>
        </w:tc>
        <w:tc>
          <w:tcPr>
            <w:tcW w:w="3119" w:type="dxa"/>
            <w:shd w:val="clear" w:color="auto" w:fill="D9D9D9" w:themeFill="background1" w:themeFillShade="D9"/>
            <w:vAlign w:val="center"/>
          </w:tcPr>
          <w:p w:rsidR="00D42A61" w:rsidRPr="00422183" w:rsidRDefault="00D42A61" w:rsidP="00D42A61">
            <w:pPr>
              <w:jc w:val="both"/>
              <w:rPr>
                <w:rFonts w:ascii="Rockwell" w:eastAsiaTheme="minorHAnsi" w:hAnsi="Rockwell"/>
                <w:b/>
              </w:rPr>
            </w:pPr>
            <w:r w:rsidRPr="00422183">
              <w:rPr>
                <w:rFonts w:ascii="Rockwell" w:eastAsiaTheme="minorHAnsi" w:hAnsi="Rockwell"/>
                <w:b/>
              </w:rPr>
              <w:t>Objectifs stratégiques</w:t>
            </w:r>
          </w:p>
        </w:tc>
        <w:tc>
          <w:tcPr>
            <w:tcW w:w="4926" w:type="dxa"/>
            <w:shd w:val="clear" w:color="auto" w:fill="D9D9D9" w:themeFill="background1" w:themeFillShade="D9"/>
            <w:vAlign w:val="center"/>
          </w:tcPr>
          <w:p w:rsidR="00D42A61" w:rsidRPr="00422183" w:rsidRDefault="00D42A61" w:rsidP="00D42A61">
            <w:pPr>
              <w:jc w:val="both"/>
              <w:rPr>
                <w:rFonts w:ascii="Rockwell" w:eastAsiaTheme="minorHAnsi" w:hAnsi="Rockwell"/>
                <w:b/>
              </w:rPr>
            </w:pPr>
            <w:r w:rsidRPr="00422183">
              <w:rPr>
                <w:rFonts w:ascii="Rockwell" w:eastAsiaTheme="minorHAnsi" w:hAnsi="Rockwell"/>
                <w:b/>
              </w:rPr>
              <w:t xml:space="preserve">Effets attendus </w:t>
            </w:r>
          </w:p>
        </w:tc>
      </w:tr>
      <w:tr w:rsidR="00D42A61" w:rsidRPr="00422183" w:rsidTr="00D42A61">
        <w:trPr>
          <w:trHeight w:val="440"/>
        </w:trPr>
        <w:tc>
          <w:tcPr>
            <w:tcW w:w="2268" w:type="dxa"/>
            <w:vMerge w:val="restart"/>
            <w:vAlign w:val="center"/>
          </w:tcPr>
          <w:p w:rsidR="00D42A61" w:rsidRPr="00422183" w:rsidRDefault="00D42A61" w:rsidP="00D42A61">
            <w:pPr>
              <w:jc w:val="both"/>
              <w:rPr>
                <w:rFonts w:ascii="Rockwell" w:eastAsiaTheme="minorHAnsi" w:hAnsi="Rockwell"/>
                <w:i/>
              </w:rPr>
            </w:pPr>
          </w:p>
          <w:p w:rsidR="00D42A61" w:rsidRPr="00422183" w:rsidRDefault="00D42A61" w:rsidP="00D42A61">
            <w:pPr>
              <w:jc w:val="both"/>
              <w:rPr>
                <w:rFonts w:ascii="Rockwell" w:eastAsiaTheme="minorHAnsi" w:hAnsi="Rockwell"/>
              </w:rPr>
            </w:pPr>
            <w:r w:rsidRPr="00422183">
              <w:rPr>
                <w:rFonts w:ascii="Rockwell" w:eastAsiaTheme="minorHAnsi" w:hAnsi="Rockwell"/>
                <w:i/>
              </w:rPr>
              <w:t>Axe 1 : réformer les institutions et moderniser l'administration</w:t>
            </w: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OS12</w:t>
            </w:r>
            <w:r w:rsidRPr="00422183">
              <w:rPr>
                <w:rFonts w:ascii="Rockwell" w:hAnsi="Rockwell"/>
                <w:b/>
                <w:sz w:val="18"/>
                <w:szCs w:val="18"/>
              </w:rPr>
              <w:t>: Promouvoir la bonne gouvernance politique et administrative</w:t>
            </w:r>
          </w:p>
        </w:tc>
        <w:tc>
          <w:tcPr>
            <w:tcW w:w="4926" w:type="dxa"/>
            <w:vAlign w:val="center"/>
          </w:tcPr>
          <w:p w:rsidR="00D42A61" w:rsidRPr="00422183" w:rsidRDefault="00D42A61" w:rsidP="00D42A61">
            <w:pPr>
              <w:jc w:val="both"/>
              <w:rPr>
                <w:rFonts w:ascii="Rockwell" w:eastAsiaTheme="minorHAnsi" w:hAnsi="Rockwell"/>
              </w:rPr>
            </w:pPr>
            <w:r w:rsidRPr="00422183">
              <w:rPr>
                <w:rFonts w:ascii="Rockwell" w:hAnsi="Rockwell"/>
                <w:sz w:val="18"/>
                <w:szCs w:val="18"/>
              </w:rPr>
              <w:t>EA 1. La démocratie, les droits humains, la justice et la paix</w:t>
            </w:r>
            <w:r w:rsidR="00FE4980" w:rsidRPr="00422183">
              <w:rPr>
                <w:rFonts w:ascii="Rockwell" w:hAnsi="Rockwell"/>
                <w:sz w:val="18"/>
                <w:szCs w:val="18"/>
              </w:rPr>
              <w:t xml:space="preserve"> sont renforcé</w:t>
            </w:r>
            <w:r w:rsidRPr="00422183">
              <w:rPr>
                <w:rFonts w:ascii="Rockwell" w:hAnsi="Rockwell"/>
                <w:sz w:val="18"/>
                <w:szCs w:val="18"/>
              </w:rPr>
              <w:t>s</w:t>
            </w:r>
          </w:p>
        </w:tc>
      </w:tr>
      <w:tr w:rsidR="00D42A61" w:rsidRPr="00422183" w:rsidTr="00D42A61">
        <w:trPr>
          <w:trHeight w:val="421"/>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FE4980">
            <w:r w:rsidRPr="00422183">
              <w:rPr>
                <w:rFonts w:ascii="Rockwell" w:hAnsi="Rockwell"/>
                <w:sz w:val="18"/>
                <w:szCs w:val="18"/>
              </w:rPr>
              <w:t xml:space="preserve">EA 2.  La sécurité </w:t>
            </w:r>
            <w:r w:rsidR="00FE4980" w:rsidRPr="00422183">
              <w:rPr>
                <w:rFonts w:ascii="Rockwell" w:hAnsi="Rockwell"/>
                <w:sz w:val="18"/>
                <w:szCs w:val="18"/>
              </w:rPr>
              <w:t>est renforcée</w:t>
            </w:r>
            <w:r w:rsidRPr="00422183">
              <w:rPr>
                <w:rFonts w:ascii="Rockwell" w:hAnsi="Rockwell"/>
                <w:sz w:val="18"/>
                <w:szCs w:val="18"/>
              </w:rPr>
              <w:t xml:space="preserve"> </w:t>
            </w:r>
          </w:p>
        </w:tc>
      </w:tr>
      <w:tr w:rsidR="00FE4980" w:rsidRPr="00422183" w:rsidTr="00D42A61">
        <w:trPr>
          <w:trHeight w:val="421"/>
        </w:trPr>
        <w:tc>
          <w:tcPr>
            <w:tcW w:w="2268" w:type="dxa"/>
            <w:vMerge/>
            <w:vAlign w:val="center"/>
          </w:tcPr>
          <w:p w:rsidR="00FE4980" w:rsidRPr="00422183" w:rsidRDefault="00FE4980" w:rsidP="00D42A61">
            <w:pPr>
              <w:jc w:val="both"/>
              <w:rPr>
                <w:rFonts w:ascii="Rockwell" w:eastAsiaTheme="minorHAnsi" w:hAnsi="Rockwell"/>
                <w:i/>
              </w:rPr>
            </w:pPr>
          </w:p>
        </w:tc>
        <w:tc>
          <w:tcPr>
            <w:tcW w:w="3119" w:type="dxa"/>
            <w:vMerge/>
            <w:vAlign w:val="center"/>
          </w:tcPr>
          <w:p w:rsidR="00FE4980" w:rsidRPr="00422183" w:rsidRDefault="00FE4980" w:rsidP="00D42A61">
            <w:pPr>
              <w:jc w:val="both"/>
              <w:rPr>
                <w:rFonts w:ascii="Rockwell" w:eastAsiaTheme="minorHAnsi" w:hAnsi="Rockwell"/>
              </w:rPr>
            </w:pPr>
          </w:p>
        </w:tc>
        <w:tc>
          <w:tcPr>
            <w:tcW w:w="4926" w:type="dxa"/>
            <w:vAlign w:val="center"/>
          </w:tcPr>
          <w:p w:rsidR="00FE4980" w:rsidRPr="00422183" w:rsidRDefault="00FE4980" w:rsidP="00FE4980">
            <w:pPr>
              <w:rPr>
                <w:rFonts w:ascii="Rockwell" w:hAnsi="Rockwell"/>
                <w:sz w:val="18"/>
                <w:szCs w:val="18"/>
              </w:rPr>
            </w:pPr>
            <w:r w:rsidRPr="00422183">
              <w:rPr>
                <w:rFonts w:ascii="Rockwell" w:hAnsi="Rockwell"/>
                <w:sz w:val="18"/>
                <w:szCs w:val="18"/>
              </w:rPr>
              <w:t>EA 3. La défense est renforcée</w:t>
            </w:r>
          </w:p>
        </w:tc>
      </w:tr>
      <w:tr w:rsidR="00D42A61" w:rsidRPr="00422183" w:rsidTr="00D42A61">
        <w:trPr>
          <w:trHeight w:val="151"/>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FE4980" w:rsidP="00D42A61">
            <w:r w:rsidRPr="00422183">
              <w:rPr>
                <w:rFonts w:ascii="Rockwell" w:hAnsi="Rockwell"/>
                <w:sz w:val="18"/>
                <w:szCs w:val="18"/>
              </w:rPr>
              <w:t>EA 4</w:t>
            </w:r>
            <w:r w:rsidR="00D42A61" w:rsidRPr="00422183">
              <w:rPr>
                <w:rFonts w:ascii="Rockwell" w:hAnsi="Rockwell"/>
                <w:sz w:val="18"/>
                <w:szCs w:val="18"/>
              </w:rPr>
              <w:t xml:space="preserve">. L'accès à l'information juste est assuré pour tous </w:t>
            </w:r>
          </w:p>
        </w:tc>
      </w:tr>
      <w:tr w:rsidR="00D42A61" w:rsidRPr="00422183" w:rsidTr="00D42A61">
        <w:trPr>
          <w:trHeight w:val="33"/>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FE4980" w:rsidP="00D42A61">
            <w:r w:rsidRPr="00422183">
              <w:rPr>
                <w:rFonts w:ascii="Rockwell" w:hAnsi="Rockwell"/>
                <w:sz w:val="18"/>
                <w:szCs w:val="18"/>
              </w:rPr>
              <w:t>EA 5</w:t>
            </w:r>
            <w:r w:rsidR="00D42A61" w:rsidRPr="00422183">
              <w:rPr>
                <w:rFonts w:ascii="Rockwell" w:hAnsi="Rockwell"/>
                <w:sz w:val="18"/>
                <w:szCs w:val="18"/>
              </w:rPr>
              <w:t>. Les coopérations régionale et internationale sont améliorées</w:t>
            </w:r>
          </w:p>
        </w:tc>
      </w:tr>
      <w:tr w:rsidR="00D42A61" w:rsidRPr="00422183" w:rsidTr="00D42A61">
        <w:trPr>
          <w:trHeight w:val="189"/>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FE4980" w:rsidP="00D42A61">
            <w:r w:rsidRPr="00422183">
              <w:rPr>
                <w:rFonts w:ascii="Rockwell" w:hAnsi="Rockwell"/>
                <w:sz w:val="18"/>
                <w:szCs w:val="18"/>
              </w:rPr>
              <w:t>EA  6</w:t>
            </w:r>
            <w:r w:rsidR="00D42A61" w:rsidRPr="00422183">
              <w:rPr>
                <w:rFonts w:ascii="Rockwell" w:hAnsi="Rockwell"/>
                <w:sz w:val="18"/>
                <w:szCs w:val="18"/>
              </w:rPr>
              <w:t>. L’administration publique est efficace et efficiente</w:t>
            </w:r>
          </w:p>
        </w:tc>
      </w:tr>
      <w:tr w:rsidR="00D42A61" w:rsidRPr="00422183" w:rsidTr="00D42A61">
        <w:trPr>
          <w:trHeight w:val="263"/>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FE4980" w:rsidP="00D42A61">
            <w:pPr>
              <w:jc w:val="both"/>
              <w:rPr>
                <w:rFonts w:ascii="Rockwell" w:hAnsi="Rockwell"/>
              </w:rPr>
            </w:pPr>
            <w:r w:rsidRPr="00422183">
              <w:rPr>
                <w:rFonts w:ascii="Rockwell" w:hAnsi="Rockwell"/>
                <w:sz w:val="18"/>
                <w:szCs w:val="18"/>
              </w:rPr>
              <w:t>EA  7</w:t>
            </w:r>
            <w:r w:rsidR="00D42A61" w:rsidRPr="00422183">
              <w:rPr>
                <w:rFonts w:ascii="Rockwell" w:hAnsi="Rockwell"/>
                <w:sz w:val="18"/>
                <w:szCs w:val="18"/>
              </w:rPr>
              <w:t>. le système de redevabilité est développé à tous les niveaux</w:t>
            </w:r>
          </w:p>
        </w:tc>
      </w:tr>
      <w:tr w:rsidR="00D42A61" w:rsidRPr="00422183" w:rsidTr="00D42A61">
        <w:trPr>
          <w:trHeight w:val="387"/>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OS12. </w:t>
            </w:r>
            <w:r w:rsidRPr="00422183">
              <w:rPr>
                <w:rFonts w:ascii="Rockwell" w:hAnsi="Rockwell"/>
                <w:b/>
                <w:sz w:val="18"/>
                <w:szCs w:val="18"/>
              </w:rPr>
              <w:t>Promouvoir la bonne gouvernance économique</w:t>
            </w:r>
          </w:p>
        </w:tc>
        <w:tc>
          <w:tcPr>
            <w:tcW w:w="4926" w:type="dxa"/>
            <w:vAlign w:val="center"/>
          </w:tcPr>
          <w:p w:rsidR="00D42A61" w:rsidRPr="00422183" w:rsidRDefault="00D42A61" w:rsidP="00D42A61">
            <w:pPr>
              <w:jc w:val="both"/>
              <w:rPr>
                <w:rFonts w:ascii="Rockwell" w:eastAsiaTheme="minorHAnsi" w:hAnsi="Rockwell"/>
              </w:rPr>
            </w:pPr>
            <w:r w:rsidRPr="00422183">
              <w:rPr>
                <w:rFonts w:ascii="Rockwell" w:hAnsi="Rockwell"/>
              </w:rPr>
              <w:t>EA</w:t>
            </w:r>
            <w:r w:rsidR="00FE4980" w:rsidRPr="00422183">
              <w:rPr>
                <w:rFonts w:ascii="Rockwell" w:hAnsi="Rockwell"/>
              </w:rPr>
              <w:t xml:space="preserve"> 8</w:t>
            </w:r>
            <w:r w:rsidRPr="00422183">
              <w:rPr>
                <w:rFonts w:ascii="Rockwell" w:hAnsi="Rockwell"/>
              </w:rPr>
              <w:t xml:space="preserve">. </w:t>
            </w:r>
            <w:r w:rsidRPr="00422183">
              <w:rPr>
                <w:rFonts w:ascii="Rockwell" w:hAnsi="Rockwell"/>
                <w:sz w:val="18"/>
                <w:szCs w:val="18"/>
              </w:rPr>
              <w:t>La planification, la gestion et le financement du processus de développement sont efficaces</w:t>
            </w:r>
          </w:p>
        </w:tc>
      </w:tr>
      <w:tr w:rsidR="00D42A61" w:rsidRPr="00422183" w:rsidTr="00D42A61">
        <w:trPr>
          <w:trHeight w:val="33"/>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FE4980">
            <w:r w:rsidRPr="00422183">
              <w:rPr>
                <w:rFonts w:ascii="Rockwell" w:hAnsi="Rockwell"/>
                <w:sz w:val="18"/>
                <w:szCs w:val="18"/>
              </w:rPr>
              <w:t>EA .</w:t>
            </w:r>
            <w:r w:rsidR="00FE4980" w:rsidRPr="00422183">
              <w:rPr>
                <w:rFonts w:ascii="Rockwell" w:hAnsi="Rockwell"/>
                <w:sz w:val="18"/>
                <w:szCs w:val="18"/>
              </w:rPr>
              <w:t>9</w:t>
            </w:r>
            <w:r w:rsidRPr="00422183">
              <w:rPr>
                <w:rFonts w:ascii="Rockwell" w:hAnsi="Rockwell"/>
                <w:sz w:val="18"/>
                <w:szCs w:val="18"/>
              </w:rPr>
              <w:t> : l’environnement des affaires est plus incitatif et le secteur privé renforcé dans ses capacités d’initiatives et de gestion</w:t>
            </w:r>
          </w:p>
        </w:tc>
      </w:tr>
      <w:tr w:rsidR="00D42A61" w:rsidRPr="00422183" w:rsidTr="00D42A61">
        <w:trPr>
          <w:trHeight w:val="642"/>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OS13. </w:t>
            </w:r>
            <w:r w:rsidRPr="00422183">
              <w:rPr>
                <w:rFonts w:ascii="Rockwell" w:hAnsi="Rockwell"/>
                <w:b/>
                <w:sz w:val="18"/>
                <w:szCs w:val="18"/>
              </w:rPr>
              <w:t>Renforcer la décentralisation, la gouvernance locale et le développement régional</w:t>
            </w:r>
          </w:p>
        </w:tc>
        <w:tc>
          <w:tcPr>
            <w:tcW w:w="4926" w:type="dxa"/>
            <w:vAlign w:val="center"/>
          </w:tcPr>
          <w:p w:rsidR="00D42A61" w:rsidRPr="00422183" w:rsidRDefault="00D42A61" w:rsidP="00FE4980">
            <w:r w:rsidRPr="00422183">
              <w:rPr>
                <w:rFonts w:ascii="Rockwell" w:hAnsi="Rockwell"/>
              </w:rPr>
              <w:t xml:space="preserve">EA </w:t>
            </w:r>
            <w:r w:rsidR="00FE4980" w:rsidRPr="00422183">
              <w:rPr>
                <w:rFonts w:ascii="Rockwell" w:hAnsi="Rockwell"/>
              </w:rPr>
              <w:t>10</w:t>
            </w:r>
            <w:r w:rsidRPr="00422183">
              <w:rPr>
                <w:rFonts w:ascii="Rockwell" w:hAnsi="Rockwell"/>
              </w:rPr>
              <w:t xml:space="preserve">. </w:t>
            </w:r>
            <w:r w:rsidRPr="00422183">
              <w:rPr>
                <w:rFonts w:ascii="Rockwell" w:hAnsi="Rockwell"/>
                <w:sz w:val="18"/>
                <w:szCs w:val="18"/>
              </w:rPr>
              <w:t xml:space="preserve">L'efficacité de la décentralisation et </w:t>
            </w:r>
            <w:r w:rsidR="00FE4980" w:rsidRPr="00422183">
              <w:rPr>
                <w:rFonts w:ascii="Rockwell" w:hAnsi="Rockwell"/>
                <w:sz w:val="18"/>
                <w:szCs w:val="18"/>
              </w:rPr>
              <w:t xml:space="preserve">de </w:t>
            </w:r>
            <w:r w:rsidRPr="00422183">
              <w:rPr>
                <w:rFonts w:ascii="Rockwell" w:hAnsi="Rockwell"/>
                <w:sz w:val="18"/>
                <w:szCs w:val="18"/>
              </w:rPr>
              <w:t xml:space="preserve">la gouvernance locale </w:t>
            </w:r>
            <w:r w:rsidR="00FE4980" w:rsidRPr="00422183">
              <w:rPr>
                <w:rFonts w:ascii="Rockwell" w:hAnsi="Rockwell"/>
                <w:sz w:val="18"/>
                <w:szCs w:val="18"/>
              </w:rPr>
              <w:t>est</w:t>
            </w:r>
            <w:r w:rsidRPr="00422183">
              <w:rPr>
                <w:rFonts w:ascii="Rockwell" w:hAnsi="Rockwell"/>
                <w:sz w:val="18"/>
                <w:szCs w:val="18"/>
              </w:rPr>
              <w:t xml:space="preserve"> améliorée</w:t>
            </w:r>
          </w:p>
        </w:tc>
      </w:tr>
      <w:tr w:rsidR="00D42A61" w:rsidRPr="00422183" w:rsidTr="00D42A61">
        <w:trPr>
          <w:trHeight w:val="276"/>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pPr>
              <w:jc w:val="both"/>
              <w:rPr>
                <w:rFonts w:ascii="Rockwell" w:hAnsi="Rockwell"/>
              </w:rPr>
            </w:pPr>
            <w:r w:rsidRPr="00422183">
              <w:rPr>
                <w:rFonts w:ascii="Rockwell" w:hAnsi="Rockwell"/>
              </w:rPr>
              <w:t>EA</w:t>
            </w:r>
            <w:r w:rsidR="00FE4980" w:rsidRPr="00422183">
              <w:rPr>
                <w:rFonts w:ascii="Rockwell" w:hAnsi="Rockwell"/>
              </w:rPr>
              <w:t xml:space="preserve"> 11</w:t>
            </w:r>
            <w:r w:rsidRPr="00422183">
              <w:rPr>
                <w:rFonts w:ascii="Rockwell" w:hAnsi="Rockwell"/>
              </w:rPr>
              <w:t xml:space="preserve">. </w:t>
            </w:r>
            <w:r w:rsidRPr="00422183">
              <w:rPr>
                <w:rFonts w:ascii="Rockwell" w:hAnsi="Rockwell"/>
                <w:sz w:val="18"/>
                <w:szCs w:val="18"/>
              </w:rPr>
              <w:t>Les économies locales sont dynamisées et les disparités régionales sont réduites notamment à travers un aménagement du territoire efficace </w:t>
            </w:r>
            <w:r w:rsidRPr="00422183">
              <w:rPr>
                <w:rFonts w:ascii="Rockwell" w:hAnsi="Rockwell"/>
              </w:rPr>
              <w:t> </w:t>
            </w:r>
          </w:p>
        </w:tc>
      </w:tr>
      <w:tr w:rsidR="00D42A61" w:rsidRPr="00422183" w:rsidTr="00D42A61">
        <w:trPr>
          <w:trHeight w:val="347"/>
        </w:trPr>
        <w:tc>
          <w:tcPr>
            <w:tcW w:w="2268"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i/>
              </w:rPr>
              <w:t>Axe 2 : Développer le capital humain</w:t>
            </w:r>
          </w:p>
        </w:tc>
        <w:tc>
          <w:tcPr>
            <w:tcW w:w="3119" w:type="dxa"/>
            <w:vMerge w:val="restart"/>
            <w:vAlign w:val="center"/>
          </w:tcPr>
          <w:p w:rsidR="00D42A61" w:rsidRPr="00422183" w:rsidRDefault="00D42A61" w:rsidP="00FE4980">
            <w:pPr>
              <w:jc w:val="both"/>
              <w:rPr>
                <w:rFonts w:ascii="Rockwell" w:eastAsiaTheme="minorHAnsi" w:hAnsi="Rockwell"/>
              </w:rPr>
            </w:pPr>
            <w:r w:rsidRPr="00422183">
              <w:rPr>
                <w:rFonts w:ascii="Rockwell" w:eastAsiaTheme="minorHAnsi" w:hAnsi="Rockwell"/>
              </w:rPr>
              <w:t>OS21.</w:t>
            </w:r>
            <w:r w:rsidRPr="00422183">
              <w:rPr>
                <w:rFonts w:ascii="Rockwell" w:hAnsi="Rockwell"/>
                <w:b/>
                <w:sz w:val="18"/>
                <w:szCs w:val="18"/>
              </w:rPr>
              <w:t xml:space="preserve">: Promouvoir la santé des populations et </w:t>
            </w:r>
            <w:r w:rsidR="00FE4980" w:rsidRPr="00422183">
              <w:rPr>
                <w:rFonts w:ascii="Rockwell" w:hAnsi="Rockwell"/>
                <w:b/>
                <w:sz w:val="18"/>
                <w:szCs w:val="18"/>
              </w:rPr>
              <w:t>accélérer</w:t>
            </w:r>
            <w:r w:rsidRPr="00422183">
              <w:rPr>
                <w:rFonts w:ascii="Rockwell" w:hAnsi="Rockwell"/>
                <w:b/>
                <w:sz w:val="18"/>
                <w:szCs w:val="18"/>
              </w:rPr>
              <w:t xml:space="preserve"> la transition démographique</w:t>
            </w:r>
          </w:p>
        </w:tc>
        <w:tc>
          <w:tcPr>
            <w:tcW w:w="4926" w:type="dxa"/>
            <w:vAlign w:val="center"/>
          </w:tcPr>
          <w:p w:rsidR="00D42A61" w:rsidRPr="00422183" w:rsidRDefault="00D42A61" w:rsidP="00FE4980">
            <w:r w:rsidRPr="00422183">
              <w:rPr>
                <w:rFonts w:ascii="Rockwell" w:hAnsi="Rockwell"/>
              </w:rPr>
              <w:t>EA 1</w:t>
            </w:r>
            <w:r w:rsidR="00FE4980" w:rsidRPr="00422183">
              <w:rPr>
                <w:rFonts w:ascii="Rockwell" w:hAnsi="Rockwell"/>
              </w:rPr>
              <w:t>2</w:t>
            </w:r>
            <w:r w:rsidRPr="00422183">
              <w:rPr>
                <w:rFonts w:ascii="Rockwell" w:hAnsi="Rockwell"/>
              </w:rPr>
              <w:t xml:space="preserve">. </w:t>
            </w:r>
            <w:r w:rsidRPr="00422183">
              <w:rPr>
                <w:rFonts w:ascii="Rockwell" w:hAnsi="Rockwell"/>
                <w:sz w:val="18"/>
                <w:szCs w:val="18"/>
              </w:rPr>
              <w:t xml:space="preserve">L'accès aux services de santé de qualité est garanti à tous </w:t>
            </w:r>
          </w:p>
        </w:tc>
      </w:tr>
      <w:tr w:rsidR="00D42A61" w:rsidRPr="00422183" w:rsidTr="00D42A61">
        <w:trPr>
          <w:trHeight w:val="347"/>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r w:rsidRPr="00422183">
              <w:rPr>
                <w:rFonts w:ascii="Rockwell" w:hAnsi="Rockwell"/>
                <w:sz w:val="18"/>
                <w:szCs w:val="18"/>
              </w:rPr>
              <w:t xml:space="preserve">EA </w:t>
            </w:r>
            <w:r w:rsidR="00FE4980" w:rsidRPr="00422183">
              <w:rPr>
                <w:rFonts w:ascii="Rockwell" w:hAnsi="Rockwell"/>
                <w:sz w:val="18"/>
                <w:szCs w:val="18"/>
              </w:rPr>
              <w:t>13</w:t>
            </w:r>
            <w:r w:rsidRPr="00422183">
              <w:rPr>
                <w:rFonts w:ascii="Rockwell" w:hAnsi="Rockwell"/>
                <w:sz w:val="18"/>
                <w:szCs w:val="18"/>
              </w:rPr>
              <w:t xml:space="preserve">.  L’état nutritionnel de la population en particulier les femmes et les enfants est amélioré </w:t>
            </w:r>
          </w:p>
        </w:tc>
      </w:tr>
      <w:tr w:rsidR="00D42A61" w:rsidRPr="00422183" w:rsidTr="00D42A61">
        <w:trPr>
          <w:trHeight w:val="347"/>
        </w:trPr>
        <w:tc>
          <w:tcPr>
            <w:tcW w:w="2268" w:type="dxa"/>
            <w:vMerge/>
            <w:vAlign w:val="center"/>
          </w:tcPr>
          <w:p w:rsidR="00D42A61" w:rsidRPr="00422183" w:rsidRDefault="00D42A61" w:rsidP="00D42A61">
            <w:pPr>
              <w:jc w:val="both"/>
              <w:rPr>
                <w:rFonts w:ascii="Rockwell" w:eastAsiaTheme="minorHAnsi" w:hAnsi="Rockwell"/>
                <w:i/>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FE4980">
            <w:r w:rsidRPr="00422183">
              <w:rPr>
                <w:rFonts w:ascii="Rockwell" w:hAnsi="Rockwell"/>
                <w:sz w:val="18"/>
                <w:szCs w:val="18"/>
              </w:rPr>
              <w:t>EA 1</w:t>
            </w:r>
            <w:r w:rsidR="00FE4980" w:rsidRPr="00422183">
              <w:rPr>
                <w:rFonts w:ascii="Rockwell" w:hAnsi="Rockwell"/>
                <w:sz w:val="18"/>
                <w:szCs w:val="18"/>
              </w:rPr>
              <w:t>4</w:t>
            </w:r>
            <w:r w:rsidRPr="00422183">
              <w:rPr>
                <w:rFonts w:ascii="Rockwell" w:hAnsi="Rockwell"/>
                <w:sz w:val="18"/>
                <w:szCs w:val="18"/>
              </w:rPr>
              <w:t xml:space="preserve">. Le processus d’accélération de la transition démographique est réellement mis en mouvement </w:t>
            </w:r>
          </w:p>
        </w:tc>
      </w:tr>
      <w:tr w:rsidR="00D42A61" w:rsidRPr="00422183" w:rsidTr="00D42A61">
        <w:trPr>
          <w:trHeight w:val="207"/>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OS22. </w:t>
            </w:r>
            <w:r w:rsidRPr="00422183">
              <w:rPr>
                <w:rFonts w:ascii="Rockwell" w:hAnsi="Rockwell"/>
                <w:b/>
                <w:sz w:val="18"/>
                <w:szCs w:val="18"/>
              </w:rPr>
              <w:t>Accroitre l’offre et améliorer la qualité de l’éducation, de l’enseignement supérieur et de la formation en adéquation avec les besoins de l’économie</w:t>
            </w:r>
          </w:p>
        </w:tc>
        <w:tc>
          <w:tcPr>
            <w:tcW w:w="4926" w:type="dxa"/>
            <w:vAlign w:val="center"/>
          </w:tcPr>
          <w:p w:rsidR="00D42A61" w:rsidRPr="00422183" w:rsidRDefault="00D42A61" w:rsidP="00FE4980">
            <w:pPr>
              <w:jc w:val="both"/>
            </w:pPr>
            <w:r w:rsidRPr="00422183">
              <w:rPr>
                <w:rFonts w:ascii="Rockwell" w:hAnsi="Rockwell"/>
                <w:sz w:val="18"/>
                <w:szCs w:val="18"/>
              </w:rPr>
              <w:t>EA </w:t>
            </w:r>
            <w:r w:rsidR="00FE4980" w:rsidRPr="00422183">
              <w:rPr>
                <w:rFonts w:ascii="Rockwell" w:hAnsi="Rockwell"/>
                <w:sz w:val="18"/>
                <w:szCs w:val="18"/>
              </w:rPr>
              <w:t>15</w:t>
            </w:r>
            <w:r w:rsidRPr="00422183">
              <w:rPr>
                <w:rFonts w:ascii="Rockwell" w:hAnsi="Rockwell"/>
                <w:sz w:val="18"/>
                <w:szCs w:val="18"/>
              </w:rPr>
              <w:t xml:space="preserve">. l’accès </w:t>
            </w:r>
            <w:r w:rsidR="00FE4980" w:rsidRPr="00422183">
              <w:rPr>
                <w:rFonts w:ascii="Rockwell" w:hAnsi="Rockwell"/>
                <w:sz w:val="18"/>
                <w:szCs w:val="18"/>
              </w:rPr>
              <w:t>de</w:t>
            </w:r>
            <w:r w:rsidRPr="00422183">
              <w:rPr>
                <w:rFonts w:ascii="Rockwell" w:hAnsi="Rockwell"/>
                <w:sz w:val="18"/>
                <w:szCs w:val="18"/>
              </w:rPr>
              <w:t xml:space="preserve"> tous à une éducation de qualité est amélioré </w:t>
            </w:r>
          </w:p>
        </w:tc>
      </w:tr>
      <w:tr w:rsidR="00D42A61" w:rsidRPr="00422183" w:rsidTr="00D42A61">
        <w:trPr>
          <w:trHeight w:val="347"/>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r w:rsidRPr="00422183">
              <w:rPr>
                <w:rFonts w:ascii="Rockwell" w:hAnsi="Rockwell"/>
                <w:sz w:val="18"/>
                <w:szCs w:val="18"/>
              </w:rPr>
              <w:t xml:space="preserve">EA </w:t>
            </w:r>
            <w:r w:rsidR="00FE4980" w:rsidRPr="00422183">
              <w:rPr>
                <w:rFonts w:ascii="Rockwell" w:hAnsi="Rockwell"/>
                <w:sz w:val="18"/>
                <w:szCs w:val="18"/>
              </w:rPr>
              <w:t>16</w:t>
            </w:r>
            <w:r w:rsidRPr="00422183">
              <w:rPr>
                <w:rFonts w:ascii="Rockwell" w:hAnsi="Rockwell"/>
                <w:sz w:val="18"/>
                <w:szCs w:val="18"/>
              </w:rPr>
              <w:t>.  La disponibilité et l'employabilité des ressources humaines sont améliorées</w:t>
            </w:r>
          </w:p>
        </w:tc>
      </w:tr>
      <w:tr w:rsidR="00D42A61" w:rsidRPr="00422183" w:rsidTr="00D42A61">
        <w:trPr>
          <w:trHeight w:val="340"/>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r w:rsidRPr="00422183">
              <w:rPr>
                <w:rFonts w:ascii="Rockwell" w:hAnsi="Rockwell"/>
                <w:sz w:val="18"/>
                <w:szCs w:val="18"/>
              </w:rPr>
              <w:t xml:space="preserve">EA </w:t>
            </w:r>
            <w:r w:rsidR="00FE4980" w:rsidRPr="00422183">
              <w:rPr>
                <w:rFonts w:ascii="Rockwell" w:hAnsi="Rockwell"/>
                <w:sz w:val="18"/>
                <w:szCs w:val="18"/>
              </w:rPr>
              <w:t>17</w:t>
            </w:r>
            <w:r w:rsidRPr="00422183">
              <w:rPr>
                <w:rFonts w:ascii="Rockwell" w:hAnsi="Rockwell"/>
                <w:sz w:val="18"/>
                <w:szCs w:val="18"/>
              </w:rPr>
              <w:t>. L’accès à un enseignement supérieur de qualité adapté aux besoins de la transformation structurelle de l'économie est assuré</w:t>
            </w:r>
          </w:p>
        </w:tc>
      </w:tr>
      <w:tr w:rsidR="00D42A61" w:rsidRPr="00422183" w:rsidTr="00D42A61">
        <w:trPr>
          <w:trHeight w:val="523"/>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OS23. </w:t>
            </w:r>
            <w:r w:rsidRPr="00422183">
              <w:rPr>
                <w:rFonts w:ascii="Rockwell" w:hAnsi="Rockwell"/>
                <w:b/>
                <w:sz w:val="18"/>
                <w:szCs w:val="18"/>
              </w:rPr>
              <w:t>Promouvoir la recherche et l'innovation au service de la transformation structurelle de l'économie</w:t>
            </w:r>
          </w:p>
        </w:tc>
        <w:tc>
          <w:tcPr>
            <w:tcW w:w="4926" w:type="dxa"/>
            <w:vAlign w:val="center"/>
          </w:tcPr>
          <w:p w:rsidR="00D42A61" w:rsidRPr="00422183" w:rsidRDefault="00D42A61" w:rsidP="00D42A61">
            <w:pPr>
              <w:jc w:val="both"/>
              <w:rPr>
                <w:rFonts w:ascii="Rockwell" w:eastAsiaTheme="minorHAnsi" w:hAnsi="Rockwell"/>
              </w:rPr>
            </w:pPr>
            <w:r w:rsidRPr="00422183">
              <w:rPr>
                <w:rFonts w:ascii="Rockwell" w:hAnsi="Rockwell"/>
              </w:rPr>
              <w:t>EA</w:t>
            </w:r>
            <w:r w:rsidR="00FE4980" w:rsidRPr="00422183">
              <w:rPr>
                <w:rFonts w:ascii="Rockwell" w:hAnsi="Rockwell"/>
              </w:rPr>
              <w:t xml:space="preserve"> 18</w:t>
            </w:r>
            <w:r w:rsidRPr="00422183">
              <w:rPr>
                <w:rFonts w:ascii="Rockwell" w:hAnsi="Rockwell"/>
              </w:rPr>
              <w:t xml:space="preserve">. </w:t>
            </w:r>
            <w:r w:rsidRPr="00422183">
              <w:rPr>
                <w:rFonts w:ascii="Rockwell" w:hAnsi="Rockwell"/>
                <w:sz w:val="18"/>
                <w:szCs w:val="18"/>
              </w:rPr>
              <w:t>La recherche et l'innovation sont davantage au service de la transformation structurelle de l'économie</w:t>
            </w:r>
          </w:p>
        </w:tc>
      </w:tr>
      <w:tr w:rsidR="00D42A61" w:rsidRPr="00422183" w:rsidTr="00D42A61">
        <w:trPr>
          <w:trHeight w:val="298"/>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OS24. </w:t>
            </w:r>
            <w:r w:rsidRPr="00422183">
              <w:rPr>
                <w:rFonts w:ascii="Rockwell" w:hAnsi="Rockwell"/>
                <w:b/>
                <w:sz w:val="18"/>
                <w:szCs w:val="18"/>
              </w:rPr>
              <w:t>Promouvoir l'emploi décent et la protection sociale pour tous</w:t>
            </w:r>
            <w:r w:rsidR="00FE4980" w:rsidRPr="00422183">
              <w:rPr>
                <w:rFonts w:ascii="Rockwell" w:hAnsi="Rockwell"/>
                <w:b/>
                <w:sz w:val="18"/>
                <w:szCs w:val="18"/>
              </w:rPr>
              <w:t xml:space="preserve"> y compris les jeunes et les femmes</w:t>
            </w:r>
          </w:p>
        </w:tc>
        <w:tc>
          <w:tcPr>
            <w:tcW w:w="4926" w:type="dxa"/>
            <w:vAlign w:val="center"/>
          </w:tcPr>
          <w:p w:rsidR="00D42A61" w:rsidRPr="00422183" w:rsidRDefault="00D42A61" w:rsidP="00FE4980">
            <w:r w:rsidRPr="00422183">
              <w:rPr>
                <w:rFonts w:ascii="Rockwell" w:hAnsi="Rockwell"/>
                <w:sz w:val="18"/>
                <w:szCs w:val="18"/>
              </w:rPr>
              <w:t>EA 1</w:t>
            </w:r>
            <w:r w:rsidR="00FE4980" w:rsidRPr="00422183">
              <w:rPr>
                <w:rFonts w:ascii="Rockwell" w:hAnsi="Rockwell"/>
                <w:sz w:val="18"/>
                <w:szCs w:val="18"/>
              </w:rPr>
              <w:t>9</w:t>
            </w:r>
            <w:r w:rsidRPr="00422183">
              <w:rPr>
                <w:rFonts w:ascii="Rockwell" w:hAnsi="Rockwell"/>
                <w:sz w:val="18"/>
                <w:szCs w:val="18"/>
              </w:rPr>
              <w:t xml:space="preserve">. L'emploi décent et la protection </w:t>
            </w:r>
            <w:r w:rsidR="001405D7" w:rsidRPr="00422183">
              <w:rPr>
                <w:rFonts w:ascii="Rockwell" w:hAnsi="Rockwell"/>
                <w:sz w:val="18"/>
                <w:szCs w:val="18"/>
              </w:rPr>
              <w:t xml:space="preserve">sociale </w:t>
            </w:r>
            <w:r w:rsidRPr="00422183">
              <w:rPr>
                <w:rFonts w:ascii="Rockwell" w:hAnsi="Rockwell"/>
                <w:sz w:val="18"/>
                <w:szCs w:val="18"/>
              </w:rPr>
              <w:t>sont garantis à tous</w:t>
            </w:r>
          </w:p>
        </w:tc>
      </w:tr>
      <w:tr w:rsidR="00D42A61" w:rsidRPr="00422183" w:rsidTr="00D42A61">
        <w:trPr>
          <w:trHeight w:val="497"/>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1405D7">
            <w:r w:rsidRPr="00422183">
              <w:rPr>
                <w:rFonts w:ascii="Rockwell" w:hAnsi="Rockwell"/>
                <w:sz w:val="18"/>
                <w:szCs w:val="18"/>
              </w:rPr>
              <w:t xml:space="preserve">EA </w:t>
            </w:r>
            <w:r w:rsidR="001405D7" w:rsidRPr="00422183">
              <w:rPr>
                <w:rFonts w:ascii="Rockwell" w:hAnsi="Rockwell"/>
                <w:sz w:val="18"/>
                <w:szCs w:val="18"/>
              </w:rPr>
              <w:t xml:space="preserve">20. </w:t>
            </w:r>
            <w:r w:rsidRPr="00422183">
              <w:rPr>
                <w:rFonts w:ascii="Rockwell" w:hAnsi="Rockwell"/>
                <w:sz w:val="18"/>
                <w:szCs w:val="18"/>
              </w:rPr>
              <w:t xml:space="preserve">Les inégalités sociales et de genre sont réduites </w:t>
            </w:r>
            <w:r w:rsidR="001405D7" w:rsidRPr="00422183">
              <w:rPr>
                <w:rFonts w:ascii="Rockwell" w:hAnsi="Rockwell"/>
                <w:sz w:val="18"/>
                <w:szCs w:val="18"/>
              </w:rPr>
              <w:t>et la femme est promue comme acteur dynamique de développement</w:t>
            </w:r>
          </w:p>
        </w:tc>
      </w:tr>
      <w:tr w:rsidR="00D42A61" w:rsidRPr="00422183" w:rsidTr="00D42A61">
        <w:trPr>
          <w:trHeight w:val="591"/>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OS25. </w:t>
            </w:r>
            <w:r w:rsidRPr="00422183">
              <w:rPr>
                <w:rFonts w:ascii="Rockwell" w:hAnsi="Rockwell"/>
                <w:b/>
                <w:sz w:val="18"/>
                <w:szCs w:val="18"/>
              </w:rPr>
              <w:t xml:space="preserve">Améliorer le cadre de vie, l'accès à l'eau, </w:t>
            </w:r>
            <w:r w:rsidR="001405D7" w:rsidRPr="00422183">
              <w:rPr>
                <w:rFonts w:ascii="Rockwell" w:hAnsi="Rockwell"/>
                <w:b/>
                <w:sz w:val="18"/>
                <w:szCs w:val="18"/>
              </w:rPr>
              <w:t xml:space="preserve">à </w:t>
            </w:r>
            <w:r w:rsidRPr="00422183">
              <w:rPr>
                <w:rFonts w:ascii="Rockwell" w:hAnsi="Rockwell"/>
                <w:b/>
                <w:sz w:val="18"/>
                <w:szCs w:val="18"/>
              </w:rPr>
              <w:t>l'assainissement et aux services énergétiques de qualité</w:t>
            </w:r>
          </w:p>
        </w:tc>
        <w:tc>
          <w:tcPr>
            <w:tcW w:w="4926" w:type="dxa"/>
            <w:vAlign w:val="center"/>
          </w:tcPr>
          <w:p w:rsidR="00D42A61" w:rsidRPr="00422183" w:rsidRDefault="00D42A61" w:rsidP="001405D7">
            <w:r w:rsidRPr="00422183">
              <w:rPr>
                <w:rFonts w:ascii="Rockwell" w:hAnsi="Rockwell"/>
                <w:sz w:val="18"/>
                <w:szCs w:val="18"/>
              </w:rPr>
              <w:t>EA 2</w:t>
            </w:r>
            <w:r w:rsidR="001405D7" w:rsidRPr="00422183">
              <w:rPr>
                <w:rFonts w:ascii="Rockwell" w:hAnsi="Rockwell"/>
                <w:sz w:val="18"/>
                <w:szCs w:val="18"/>
              </w:rPr>
              <w:t>1</w:t>
            </w:r>
            <w:r w:rsidRPr="00422183">
              <w:rPr>
                <w:rFonts w:ascii="Rockwell" w:hAnsi="Rockwell"/>
                <w:sz w:val="18"/>
                <w:szCs w:val="18"/>
              </w:rPr>
              <w:t>. L'accès de tous à un cadre de vie décent, à l'eau et à l'assainissement de qualité est garanti</w:t>
            </w:r>
          </w:p>
        </w:tc>
      </w:tr>
      <w:tr w:rsidR="00D42A61" w:rsidRPr="00422183" w:rsidTr="00D42A61">
        <w:trPr>
          <w:trHeight w:val="129"/>
        </w:trPr>
        <w:tc>
          <w:tcPr>
            <w:tcW w:w="2268" w:type="dxa"/>
            <w:vMerge/>
            <w:tcBorders>
              <w:bottom w:val="single" w:sz="12" w:space="0" w:color="000000"/>
            </w:tcBorders>
            <w:vAlign w:val="center"/>
          </w:tcPr>
          <w:p w:rsidR="00D42A61" w:rsidRPr="00422183" w:rsidRDefault="00D42A61" w:rsidP="00D42A61">
            <w:pPr>
              <w:jc w:val="both"/>
              <w:rPr>
                <w:rFonts w:ascii="Rockwell" w:eastAsiaTheme="minorHAnsi" w:hAnsi="Rockwell"/>
                <w:b/>
              </w:rPr>
            </w:pPr>
          </w:p>
        </w:tc>
        <w:tc>
          <w:tcPr>
            <w:tcW w:w="3119" w:type="dxa"/>
            <w:vMerge/>
            <w:tcBorders>
              <w:bottom w:val="single" w:sz="12" w:space="0" w:color="000000"/>
            </w:tcBorders>
            <w:vAlign w:val="center"/>
          </w:tcPr>
          <w:p w:rsidR="00D42A61" w:rsidRPr="00422183" w:rsidRDefault="00D42A61" w:rsidP="00D42A61">
            <w:pPr>
              <w:jc w:val="both"/>
              <w:rPr>
                <w:rFonts w:ascii="Rockwell" w:eastAsiaTheme="minorHAnsi" w:hAnsi="Rockwell"/>
              </w:rPr>
            </w:pPr>
          </w:p>
        </w:tc>
        <w:tc>
          <w:tcPr>
            <w:tcW w:w="4926" w:type="dxa"/>
            <w:tcBorders>
              <w:bottom w:val="single" w:sz="12" w:space="0" w:color="000000"/>
            </w:tcBorders>
            <w:vAlign w:val="center"/>
          </w:tcPr>
          <w:p w:rsidR="00D42A61" w:rsidRPr="00422183" w:rsidRDefault="001405D7" w:rsidP="00D42A61">
            <w:r w:rsidRPr="00422183">
              <w:rPr>
                <w:rFonts w:ascii="Rockwell" w:hAnsi="Rockwell"/>
                <w:sz w:val="18"/>
                <w:szCs w:val="18"/>
              </w:rPr>
              <w:t>EA 22</w:t>
            </w:r>
            <w:r w:rsidR="00D42A61" w:rsidRPr="00422183">
              <w:rPr>
                <w:rFonts w:ascii="Rockwell" w:hAnsi="Rockwell"/>
                <w:sz w:val="18"/>
                <w:szCs w:val="18"/>
              </w:rPr>
              <w:t>. L'accès aux services énergétiques de qualité est garanti</w:t>
            </w:r>
          </w:p>
        </w:tc>
      </w:tr>
      <w:tr w:rsidR="00D42A61" w:rsidRPr="00422183" w:rsidTr="00D42A61">
        <w:trPr>
          <w:trHeight w:val="111"/>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1405D7" w:rsidP="00D42A61">
            <w:r w:rsidRPr="00422183">
              <w:rPr>
                <w:rFonts w:ascii="Rockwell" w:hAnsi="Rockwell"/>
                <w:sz w:val="18"/>
                <w:szCs w:val="18"/>
              </w:rPr>
              <w:t>EA 23</w:t>
            </w:r>
            <w:r w:rsidR="00D42A61" w:rsidRPr="00422183">
              <w:rPr>
                <w:rFonts w:ascii="Rockwell" w:hAnsi="Rockwell"/>
                <w:sz w:val="18"/>
                <w:szCs w:val="18"/>
              </w:rPr>
              <w:t>. la croissance urbaine est planifiée et maitrisée</w:t>
            </w:r>
          </w:p>
        </w:tc>
      </w:tr>
      <w:tr w:rsidR="00D42A61" w:rsidRPr="00422183" w:rsidTr="00D42A61">
        <w:trPr>
          <w:trHeight w:val="591"/>
        </w:trPr>
        <w:tc>
          <w:tcPr>
            <w:tcW w:w="2268" w:type="dxa"/>
            <w:vMerge/>
            <w:vAlign w:val="center"/>
          </w:tcPr>
          <w:p w:rsidR="00D42A61" w:rsidRPr="00422183" w:rsidRDefault="00D42A61" w:rsidP="00D42A61">
            <w:pPr>
              <w:jc w:val="both"/>
              <w:rPr>
                <w:rFonts w:ascii="Rockwell" w:eastAsiaTheme="minorHAnsi" w:hAnsi="Rockwell"/>
                <w:b/>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1405D7" w:rsidP="00D42A61">
            <w:pPr>
              <w:rPr>
                <w:rFonts w:ascii="Rockwell" w:hAnsi="Rockwell"/>
                <w:sz w:val="18"/>
                <w:szCs w:val="18"/>
              </w:rPr>
            </w:pPr>
            <w:r w:rsidRPr="00422183">
              <w:rPr>
                <w:rFonts w:ascii="Rockwell" w:hAnsi="Rockwell"/>
                <w:sz w:val="18"/>
                <w:szCs w:val="18"/>
              </w:rPr>
              <w:t>EA 24</w:t>
            </w:r>
            <w:r w:rsidR="00D42A61" w:rsidRPr="00422183">
              <w:rPr>
                <w:rFonts w:ascii="Rockwell" w:hAnsi="Rockwell"/>
                <w:sz w:val="18"/>
                <w:szCs w:val="18"/>
              </w:rPr>
              <w:t>. L'accès à des logements décents et aux bâtiments publics est assuré pour tous</w:t>
            </w:r>
          </w:p>
        </w:tc>
      </w:tr>
      <w:tr w:rsidR="00D42A61" w:rsidRPr="00422183" w:rsidTr="00D42A61">
        <w:trPr>
          <w:trHeight w:val="1335"/>
        </w:trPr>
        <w:tc>
          <w:tcPr>
            <w:tcW w:w="2268" w:type="dxa"/>
            <w:vMerge w:val="restart"/>
            <w:vAlign w:val="center"/>
          </w:tcPr>
          <w:p w:rsidR="00D42A61" w:rsidRPr="00422183" w:rsidRDefault="00D42A61" w:rsidP="00D42A61">
            <w:pPr>
              <w:jc w:val="both"/>
              <w:rPr>
                <w:rFonts w:ascii="Rockwell" w:eastAsiaTheme="minorHAnsi" w:hAnsi="Rockwell"/>
                <w:i/>
              </w:rPr>
            </w:pPr>
            <w:r w:rsidRPr="00422183">
              <w:rPr>
                <w:rFonts w:ascii="Rockwell" w:eastAsiaTheme="minorHAnsi" w:hAnsi="Rockwell"/>
                <w:i/>
              </w:rPr>
              <w:t>Axe 3 : Dynamiser les secteurs porteurs pour l'économie et l'emploi</w:t>
            </w:r>
          </w:p>
        </w:tc>
        <w:tc>
          <w:tcPr>
            <w:tcW w:w="3119" w:type="dxa"/>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OS31. </w:t>
            </w:r>
            <w:r w:rsidRPr="00422183">
              <w:rPr>
                <w:rFonts w:ascii="Rockwell" w:hAnsi="Rockwell"/>
                <w:b/>
                <w:sz w:val="18"/>
                <w:szCs w:val="18"/>
              </w:rPr>
              <w:t>Développer un secteur agro-sylvo-pastoral, faunique et halieutique productif</w:t>
            </w:r>
            <w:r w:rsidR="001405D7" w:rsidRPr="00422183">
              <w:rPr>
                <w:rFonts w:ascii="Rockwell" w:hAnsi="Rockwell"/>
                <w:b/>
                <w:sz w:val="18"/>
                <w:szCs w:val="18"/>
              </w:rPr>
              <w:t xml:space="preserve"> et résilient</w:t>
            </w:r>
            <w:r w:rsidRPr="00422183">
              <w:rPr>
                <w:rFonts w:ascii="Rockwell" w:hAnsi="Rockwell"/>
                <w:b/>
                <w:sz w:val="18"/>
                <w:szCs w:val="18"/>
              </w:rPr>
              <w:t>, davantage orienté vers le marché et basé sur les principes de développement durable</w:t>
            </w:r>
          </w:p>
        </w:tc>
        <w:tc>
          <w:tcPr>
            <w:tcW w:w="4926" w:type="dxa"/>
            <w:vAlign w:val="center"/>
          </w:tcPr>
          <w:p w:rsidR="00D42A61" w:rsidRPr="00422183" w:rsidRDefault="00D42A61" w:rsidP="001405D7">
            <w:pPr>
              <w:jc w:val="both"/>
              <w:rPr>
                <w:rFonts w:ascii="Rockwell" w:eastAsiaTheme="minorHAnsi" w:hAnsi="Rockwell"/>
              </w:rPr>
            </w:pPr>
            <w:r w:rsidRPr="00422183">
              <w:rPr>
                <w:rFonts w:ascii="Rockwell" w:hAnsi="Rockwell"/>
              </w:rPr>
              <w:t>EA 2</w:t>
            </w:r>
            <w:r w:rsidR="001405D7" w:rsidRPr="00422183">
              <w:rPr>
                <w:rFonts w:ascii="Rockwell" w:hAnsi="Rockwell"/>
              </w:rPr>
              <w:t>5</w:t>
            </w:r>
            <w:r w:rsidRPr="00422183">
              <w:rPr>
                <w:rFonts w:ascii="Rockwell" w:hAnsi="Rockwell"/>
              </w:rPr>
              <w:t xml:space="preserve">. </w:t>
            </w:r>
            <w:r w:rsidRPr="00422183">
              <w:rPr>
                <w:rFonts w:ascii="Rockwell" w:hAnsi="Rockwell"/>
                <w:sz w:val="18"/>
                <w:szCs w:val="18"/>
              </w:rPr>
              <w:t>Le secteur primaire contribue à la sécurité alimentaire,</w:t>
            </w:r>
            <w:r w:rsidR="001405D7" w:rsidRPr="00422183">
              <w:rPr>
                <w:rFonts w:ascii="Rockwell" w:hAnsi="Rockwell"/>
                <w:sz w:val="18"/>
                <w:szCs w:val="18"/>
              </w:rPr>
              <w:t xml:space="preserve"> à</w:t>
            </w:r>
            <w:r w:rsidRPr="00422183">
              <w:rPr>
                <w:rFonts w:ascii="Rockwell" w:hAnsi="Rockwell"/>
                <w:sz w:val="18"/>
                <w:szCs w:val="18"/>
              </w:rPr>
              <w:t xml:space="preserve"> l'emploi productif </w:t>
            </w:r>
            <w:r w:rsidR="001405D7" w:rsidRPr="00422183">
              <w:rPr>
                <w:rFonts w:ascii="Rockwell" w:hAnsi="Rockwell"/>
                <w:sz w:val="18"/>
                <w:szCs w:val="18"/>
              </w:rPr>
              <w:t xml:space="preserve">et à </w:t>
            </w:r>
            <w:r w:rsidRPr="00422183">
              <w:rPr>
                <w:rFonts w:ascii="Rockwell" w:hAnsi="Rockwell"/>
                <w:sz w:val="18"/>
                <w:szCs w:val="18"/>
              </w:rPr>
              <w:t>l'approvisionnement de l'agro-industrie locale</w:t>
            </w:r>
            <w:r w:rsidR="001405D7" w:rsidRPr="00422183">
              <w:rPr>
                <w:rFonts w:ascii="Rockwell" w:hAnsi="Rockwell"/>
                <w:sz w:val="18"/>
                <w:szCs w:val="18"/>
              </w:rPr>
              <w:t>,</w:t>
            </w:r>
            <w:r w:rsidRPr="00422183">
              <w:rPr>
                <w:rFonts w:ascii="Rockwell" w:hAnsi="Rockwell"/>
                <w:sz w:val="18"/>
                <w:szCs w:val="18"/>
              </w:rPr>
              <w:t xml:space="preserve"> et est respectueux des principes de développement durable</w:t>
            </w:r>
          </w:p>
        </w:tc>
      </w:tr>
      <w:tr w:rsidR="00D42A61" w:rsidRPr="00422183" w:rsidTr="00D42A61">
        <w:trPr>
          <w:trHeight w:val="594"/>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OS32. </w:t>
            </w:r>
            <w:r w:rsidRPr="00422183">
              <w:rPr>
                <w:rFonts w:ascii="Rockwell" w:hAnsi="Rockwell"/>
                <w:b/>
                <w:sz w:val="18"/>
                <w:szCs w:val="18"/>
              </w:rPr>
              <w:t>Développer un secteur industriel et artisanal compétitif, à forte valeur ajoutée et créateur d'emplois décents.</w:t>
            </w:r>
          </w:p>
        </w:tc>
        <w:tc>
          <w:tcPr>
            <w:tcW w:w="4926" w:type="dxa"/>
            <w:vAlign w:val="center"/>
          </w:tcPr>
          <w:p w:rsidR="00D42A61" w:rsidRPr="00422183" w:rsidRDefault="00D42A61" w:rsidP="00D42A61">
            <w:pPr>
              <w:jc w:val="both"/>
            </w:pPr>
            <w:r w:rsidRPr="00422183">
              <w:rPr>
                <w:rFonts w:ascii="Rockwell" w:hAnsi="Rockwell"/>
              </w:rPr>
              <w:t>EA</w:t>
            </w:r>
            <w:r w:rsidR="001405D7" w:rsidRPr="00422183">
              <w:rPr>
                <w:rFonts w:ascii="Rockwell" w:hAnsi="Rockwell"/>
              </w:rPr>
              <w:t xml:space="preserve"> 26</w:t>
            </w:r>
            <w:r w:rsidRPr="00422183">
              <w:rPr>
                <w:rFonts w:ascii="Rockwell" w:hAnsi="Rockwell"/>
              </w:rPr>
              <w:t xml:space="preserve">. </w:t>
            </w:r>
            <w:r w:rsidRPr="00422183">
              <w:rPr>
                <w:rFonts w:ascii="Rockwell" w:hAnsi="Rockwell"/>
                <w:sz w:val="18"/>
                <w:szCs w:val="18"/>
              </w:rPr>
              <w:t>Le secteur industriel et artisanal est davantage dynamique en matière de création de richesse, d’emplois et d’exportation.</w:t>
            </w:r>
          </w:p>
        </w:tc>
      </w:tr>
      <w:tr w:rsidR="00D42A61" w:rsidRPr="00422183" w:rsidTr="00D42A61">
        <w:trPr>
          <w:trHeight w:val="141"/>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1405D7" w:rsidP="00D42A61">
            <w:r w:rsidRPr="00422183">
              <w:rPr>
                <w:rFonts w:ascii="Rockwell" w:hAnsi="Rockwell"/>
                <w:sz w:val="18"/>
                <w:szCs w:val="18"/>
              </w:rPr>
              <w:t>EA 27</w:t>
            </w:r>
            <w:r w:rsidR="00D42A61" w:rsidRPr="00422183">
              <w:rPr>
                <w:rFonts w:ascii="Rockwell" w:hAnsi="Rockwell"/>
                <w:sz w:val="18"/>
                <w:szCs w:val="18"/>
              </w:rPr>
              <w:t>. La contribution des industries culturelle, touristique et sportive à l’économie est améliorée</w:t>
            </w:r>
          </w:p>
        </w:tc>
      </w:tr>
      <w:tr w:rsidR="00D42A61" w:rsidRPr="00422183" w:rsidTr="00D42A61">
        <w:trPr>
          <w:trHeight w:val="280"/>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r w:rsidRPr="00422183">
              <w:rPr>
                <w:rFonts w:ascii="Rockwell" w:hAnsi="Rockwell"/>
                <w:sz w:val="18"/>
                <w:szCs w:val="18"/>
              </w:rPr>
              <w:t xml:space="preserve">EA </w:t>
            </w:r>
            <w:r w:rsidR="001405D7" w:rsidRPr="00422183">
              <w:rPr>
                <w:rFonts w:ascii="Rockwell" w:hAnsi="Rockwell"/>
                <w:sz w:val="18"/>
                <w:szCs w:val="18"/>
              </w:rPr>
              <w:t>28</w:t>
            </w:r>
            <w:r w:rsidRPr="00422183">
              <w:rPr>
                <w:rFonts w:ascii="Rockwell" w:hAnsi="Rockwell"/>
                <w:sz w:val="18"/>
                <w:szCs w:val="18"/>
              </w:rPr>
              <w:t>. L’impact du secteur minier sur le reste de l’économie est accru</w:t>
            </w:r>
          </w:p>
        </w:tc>
      </w:tr>
      <w:tr w:rsidR="00D42A61" w:rsidRPr="00422183" w:rsidTr="00D42A61">
        <w:trPr>
          <w:trHeight w:val="545"/>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OS33. </w:t>
            </w:r>
            <w:r w:rsidRPr="00422183">
              <w:rPr>
                <w:rFonts w:ascii="Rockwell" w:hAnsi="Rockwell"/>
                <w:b/>
                <w:sz w:val="18"/>
                <w:szCs w:val="18"/>
              </w:rPr>
              <w:t>Promouvoir l'expansion des industries de services à forte valeur ajoutée et créatrices d'emplois décents.</w:t>
            </w:r>
          </w:p>
        </w:tc>
        <w:tc>
          <w:tcPr>
            <w:tcW w:w="4926" w:type="dxa"/>
            <w:vAlign w:val="center"/>
          </w:tcPr>
          <w:p w:rsidR="00D42A61" w:rsidRPr="00422183" w:rsidRDefault="00D42A61" w:rsidP="00D42A61">
            <w:pPr>
              <w:jc w:val="both"/>
            </w:pPr>
            <w:r w:rsidRPr="00422183">
              <w:rPr>
                <w:rFonts w:ascii="Rockwell" w:hAnsi="Rockwell"/>
              </w:rPr>
              <w:t>EA</w:t>
            </w:r>
            <w:r w:rsidR="001405D7" w:rsidRPr="00422183">
              <w:rPr>
                <w:rFonts w:ascii="Rockwell" w:hAnsi="Rockwell"/>
              </w:rPr>
              <w:t xml:space="preserve"> 27</w:t>
            </w:r>
            <w:r w:rsidRPr="00422183">
              <w:rPr>
                <w:rFonts w:ascii="Rockwell" w:hAnsi="Rockwell"/>
              </w:rPr>
              <w:t xml:space="preserve">. </w:t>
            </w:r>
            <w:r w:rsidRPr="00422183">
              <w:rPr>
                <w:rFonts w:ascii="Rockwell" w:hAnsi="Rockwell"/>
                <w:sz w:val="18"/>
                <w:szCs w:val="18"/>
              </w:rPr>
              <w:t>Le secteur tertiaire se formalise et est davantage dynamique et créateur d'emplois décents</w:t>
            </w:r>
          </w:p>
        </w:tc>
      </w:tr>
      <w:tr w:rsidR="00D42A61" w:rsidRPr="00422183" w:rsidTr="00D42A61">
        <w:trPr>
          <w:trHeight w:val="178"/>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1405D7">
            <w:r w:rsidRPr="00422183">
              <w:rPr>
                <w:rFonts w:ascii="Rockwell" w:hAnsi="Rockwell"/>
                <w:sz w:val="18"/>
                <w:szCs w:val="18"/>
              </w:rPr>
              <w:t>EA </w:t>
            </w:r>
            <w:r w:rsidR="001405D7" w:rsidRPr="00422183">
              <w:rPr>
                <w:rFonts w:ascii="Rockwell" w:hAnsi="Rockwell"/>
                <w:sz w:val="18"/>
                <w:szCs w:val="18"/>
              </w:rPr>
              <w:t>30</w:t>
            </w:r>
            <w:r w:rsidRPr="00422183">
              <w:rPr>
                <w:rFonts w:ascii="Rockwell" w:hAnsi="Rockwell"/>
                <w:sz w:val="18"/>
                <w:szCs w:val="18"/>
              </w:rPr>
              <w:t xml:space="preserve">. La mise en marché des produits nationaux est renforcée </w:t>
            </w:r>
          </w:p>
        </w:tc>
      </w:tr>
      <w:tr w:rsidR="00D42A61" w:rsidRPr="00422183" w:rsidTr="00D42A61">
        <w:trPr>
          <w:trHeight w:val="681"/>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eastAsiaTheme="minorHAnsi" w:hAnsi="Rockwell"/>
              </w:rPr>
              <w:t xml:space="preserve">OS34. </w:t>
            </w:r>
            <w:r w:rsidRPr="00422183">
              <w:rPr>
                <w:rFonts w:ascii="Rockwell" w:hAnsi="Rockwell"/>
                <w:b/>
                <w:sz w:val="18"/>
                <w:szCs w:val="18"/>
              </w:rPr>
              <w:t>développer des infrastructures de qualité et résilientes pour favoriser la transformation structurelle de l’économie</w:t>
            </w:r>
          </w:p>
        </w:tc>
        <w:tc>
          <w:tcPr>
            <w:tcW w:w="4926" w:type="dxa"/>
            <w:vAlign w:val="center"/>
          </w:tcPr>
          <w:p w:rsidR="00D42A61" w:rsidRPr="00422183" w:rsidRDefault="00D42A61" w:rsidP="00D42A61">
            <w:pPr>
              <w:jc w:val="both"/>
            </w:pPr>
            <w:r w:rsidRPr="00422183">
              <w:rPr>
                <w:rFonts w:ascii="Rockwell" w:hAnsi="Rockwell"/>
              </w:rPr>
              <w:t>EA</w:t>
            </w:r>
            <w:r w:rsidR="001405D7" w:rsidRPr="00422183">
              <w:rPr>
                <w:rFonts w:ascii="Rockwell" w:hAnsi="Rockwell"/>
              </w:rPr>
              <w:t xml:space="preserve"> 31</w:t>
            </w:r>
            <w:r w:rsidRPr="00422183">
              <w:rPr>
                <w:rFonts w:ascii="Rockwell" w:hAnsi="Rockwell"/>
              </w:rPr>
              <w:t xml:space="preserve">. </w:t>
            </w:r>
            <w:r w:rsidRPr="00422183">
              <w:rPr>
                <w:rFonts w:ascii="Rockwell" w:hAnsi="Rockwell"/>
                <w:sz w:val="18"/>
                <w:szCs w:val="18"/>
              </w:rPr>
              <w:t>La qualité, la fiabilité et l'accessibilité des infrastructures sont accrues pour faciliter la transformation structurelle de l’économie</w:t>
            </w:r>
          </w:p>
        </w:tc>
      </w:tr>
      <w:tr w:rsidR="00D42A61" w:rsidRPr="00422183" w:rsidTr="00D42A61">
        <w:trPr>
          <w:trHeight w:val="466"/>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ign w:val="center"/>
          </w:tcPr>
          <w:p w:rsidR="00D42A61" w:rsidRPr="00422183" w:rsidRDefault="00D42A61" w:rsidP="00D42A61">
            <w:pPr>
              <w:jc w:val="both"/>
              <w:rPr>
                <w:rFonts w:ascii="Rockwell" w:eastAsiaTheme="minorHAnsi" w:hAnsi="Rockwell"/>
              </w:rPr>
            </w:pPr>
          </w:p>
        </w:tc>
        <w:tc>
          <w:tcPr>
            <w:tcW w:w="4926" w:type="dxa"/>
            <w:vAlign w:val="center"/>
          </w:tcPr>
          <w:p w:rsidR="00D42A61" w:rsidRPr="00422183" w:rsidRDefault="00D42A61" w:rsidP="00D42A61">
            <w:r w:rsidRPr="00422183">
              <w:rPr>
                <w:rFonts w:ascii="Rockwell" w:hAnsi="Rockwell"/>
                <w:sz w:val="18"/>
                <w:szCs w:val="18"/>
              </w:rPr>
              <w:t xml:space="preserve">EA </w:t>
            </w:r>
            <w:r w:rsidR="001405D7" w:rsidRPr="00422183">
              <w:rPr>
                <w:rFonts w:ascii="Rockwell" w:hAnsi="Rockwell"/>
                <w:sz w:val="18"/>
                <w:szCs w:val="18"/>
              </w:rPr>
              <w:t>32</w:t>
            </w:r>
            <w:r w:rsidRPr="00422183">
              <w:rPr>
                <w:rFonts w:ascii="Rockwell" w:hAnsi="Rockwell"/>
                <w:sz w:val="18"/>
                <w:szCs w:val="18"/>
              </w:rPr>
              <w:t>. La contribution des Pôles de croissance (Agro pôles, technopoles, Zones d’économie spéciales) dans l’économie est accrue</w:t>
            </w:r>
          </w:p>
        </w:tc>
      </w:tr>
      <w:tr w:rsidR="00D42A61" w:rsidRPr="00422183" w:rsidTr="00D42A61">
        <w:trPr>
          <w:trHeight w:val="353"/>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restart"/>
            <w:vAlign w:val="center"/>
          </w:tcPr>
          <w:p w:rsidR="00D42A61" w:rsidRPr="00422183" w:rsidRDefault="00D42A61" w:rsidP="00D42A61">
            <w:pPr>
              <w:jc w:val="both"/>
              <w:rPr>
                <w:rFonts w:ascii="Rockwell" w:eastAsiaTheme="minorHAnsi" w:hAnsi="Rockwell"/>
              </w:rPr>
            </w:pPr>
            <w:r w:rsidRPr="00422183">
              <w:rPr>
                <w:rFonts w:ascii="Rockwell" w:hAnsi="Rockwell"/>
              </w:rPr>
              <w:t xml:space="preserve">OS35. </w:t>
            </w:r>
            <w:r w:rsidRPr="00422183">
              <w:rPr>
                <w:rFonts w:ascii="Rockwell" w:hAnsi="Rockwell"/>
                <w:b/>
                <w:sz w:val="18"/>
                <w:szCs w:val="18"/>
              </w:rPr>
              <w:t>Inverser la tendance de la dégradation de l'environnement et assurer durablement la gestion des ressources naturelles</w:t>
            </w:r>
          </w:p>
        </w:tc>
        <w:tc>
          <w:tcPr>
            <w:tcW w:w="4926" w:type="dxa"/>
            <w:vAlign w:val="center"/>
          </w:tcPr>
          <w:p w:rsidR="00D42A61" w:rsidRPr="00422183" w:rsidRDefault="00D42A61" w:rsidP="0070199B">
            <w:r w:rsidRPr="00422183">
              <w:rPr>
                <w:rFonts w:ascii="Rockwell" w:hAnsi="Rockwell"/>
                <w:sz w:val="18"/>
                <w:szCs w:val="18"/>
              </w:rPr>
              <w:t xml:space="preserve">EA </w:t>
            </w:r>
            <w:r w:rsidR="001405D7" w:rsidRPr="00422183">
              <w:rPr>
                <w:rFonts w:ascii="Rockwell" w:hAnsi="Rockwell"/>
                <w:sz w:val="18"/>
                <w:szCs w:val="18"/>
              </w:rPr>
              <w:t>33</w:t>
            </w:r>
            <w:r w:rsidRPr="00422183">
              <w:rPr>
                <w:rFonts w:ascii="Rockwell" w:hAnsi="Rockwell"/>
                <w:sz w:val="18"/>
                <w:szCs w:val="18"/>
              </w:rPr>
              <w:t>.</w:t>
            </w:r>
            <w:r w:rsidR="0070199B" w:rsidRPr="00422183">
              <w:rPr>
                <w:rFonts w:ascii="Rockwell" w:hAnsi="Rockwell"/>
                <w:sz w:val="18"/>
                <w:szCs w:val="18"/>
              </w:rPr>
              <w:t xml:space="preserve"> L'environnement et les ressources naturelles sont gérés </w:t>
            </w:r>
            <w:r w:rsidRPr="00422183">
              <w:rPr>
                <w:rFonts w:ascii="Rockwell" w:hAnsi="Rockwell"/>
                <w:sz w:val="18"/>
                <w:szCs w:val="18"/>
              </w:rPr>
              <w:t xml:space="preserve">durablement </w:t>
            </w:r>
          </w:p>
        </w:tc>
      </w:tr>
      <w:tr w:rsidR="00D42A61" w:rsidRPr="00422183" w:rsidTr="00D42A61">
        <w:trPr>
          <w:trHeight w:val="156"/>
        </w:trPr>
        <w:tc>
          <w:tcPr>
            <w:tcW w:w="2268" w:type="dxa"/>
            <w:vMerge/>
            <w:vAlign w:val="center"/>
          </w:tcPr>
          <w:p w:rsidR="00D42A61" w:rsidRPr="00422183" w:rsidRDefault="00D42A61" w:rsidP="00D42A61">
            <w:pPr>
              <w:ind w:left="360"/>
              <w:jc w:val="both"/>
              <w:rPr>
                <w:rFonts w:ascii="Rockwell" w:eastAsiaTheme="minorHAnsi" w:hAnsi="Rockwell"/>
              </w:rPr>
            </w:pPr>
          </w:p>
        </w:tc>
        <w:tc>
          <w:tcPr>
            <w:tcW w:w="3119" w:type="dxa"/>
            <w:vMerge/>
            <w:vAlign w:val="center"/>
          </w:tcPr>
          <w:p w:rsidR="00D42A61" w:rsidRPr="00422183" w:rsidRDefault="00D42A61" w:rsidP="00D42A61">
            <w:pPr>
              <w:jc w:val="both"/>
              <w:rPr>
                <w:rFonts w:ascii="Rockwell" w:hAnsi="Rockwell"/>
              </w:rPr>
            </w:pPr>
          </w:p>
        </w:tc>
        <w:tc>
          <w:tcPr>
            <w:tcW w:w="4926" w:type="dxa"/>
            <w:vAlign w:val="center"/>
          </w:tcPr>
          <w:p w:rsidR="00D42A61" w:rsidRPr="00422183" w:rsidRDefault="00D42A61" w:rsidP="001405D7">
            <w:r w:rsidRPr="00422183">
              <w:rPr>
                <w:rFonts w:ascii="Rockwell" w:hAnsi="Rockwell"/>
                <w:sz w:val="18"/>
                <w:szCs w:val="18"/>
              </w:rPr>
              <w:t>EA 3</w:t>
            </w:r>
            <w:r w:rsidR="001405D7" w:rsidRPr="00422183">
              <w:rPr>
                <w:rFonts w:ascii="Rockwell" w:hAnsi="Rockwell"/>
                <w:sz w:val="18"/>
                <w:szCs w:val="18"/>
              </w:rPr>
              <w:t>4</w:t>
            </w:r>
            <w:r w:rsidRPr="00422183">
              <w:rPr>
                <w:rFonts w:ascii="Rockwell" w:hAnsi="Rockwell"/>
                <w:sz w:val="18"/>
                <w:szCs w:val="18"/>
              </w:rPr>
              <w:t>. Les capacités d’atténuation et d’adaptation aux effets</w:t>
            </w:r>
            <w:r w:rsidR="0070199B" w:rsidRPr="00422183">
              <w:rPr>
                <w:rFonts w:ascii="Rockwell" w:hAnsi="Rockwell"/>
                <w:sz w:val="18"/>
                <w:szCs w:val="18"/>
              </w:rPr>
              <w:t xml:space="preserve"> néfastes</w:t>
            </w:r>
            <w:r w:rsidRPr="00422183">
              <w:rPr>
                <w:rFonts w:ascii="Rockwell" w:hAnsi="Rockwell"/>
                <w:sz w:val="18"/>
                <w:szCs w:val="18"/>
              </w:rPr>
              <w:t xml:space="preserve"> du changement climatique sont renforcées </w:t>
            </w:r>
            <w:r w:rsidR="0070199B" w:rsidRPr="00422183">
              <w:rPr>
                <w:rFonts w:ascii="Rockwell" w:hAnsi="Rockwell"/>
                <w:sz w:val="18"/>
                <w:szCs w:val="18"/>
              </w:rPr>
              <w:t>dans une optique de transition vers l'économie verte</w:t>
            </w:r>
          </w:p>
        </w:tc>
      </w:tr>
    </w:tbl>
    <w:p w:rsidR="000C1297" w:rsidRPr="00422183" w:rsidRDefault="000C1297" w:rsidP="00516FB0">
      <w:pPr>
        <w:spacing w:after="0" w:line="240" w:lineRule="auto"/>
        <w:jc w:val="both"/>
        <w:rPr>
          <w:rFonts w:ascii="Rockwell" w:hAnsi="Rockwell" w:cs="Times New Roman"/>
          <w:bCs/>
          <w:sz w:val="24"/>
          <w:szCs w:val="24"/>
        </w:rPr>
      </w:pPr>
    </w:p>
    <w:p w:rsidR="00294E1D" w:rsidRPr="00422183" w:rsidRDefault="00294E1D" w:rsidP="00516FB0">
      <w:pPr>
        <w:spacing w:after="0" w:line="240" w:lineRule="auto"/>
        <w:jc w:val="both"/>
        <w:rPr>
          <w:rFonts w:ascii="Rockwell" w:hAnsi="Rockwell" w:cs="Times New Roman"/>
          <w:bCs/>
          <w:sz w:val="24"/>
          <w:szCs w:val="24"/>
        </w:rPr>
      </w:pPr>
    </w:p>
    <w:p w:rsidR="00357CA0" w:rsidRPr="00422183" w:rsidRDefault="00357CA0" w:rsidP="003A0820">
      <w:pPr>
        <w:pStyle w:val="PNDES2"/>
      </w:pPr>
      <w:bookmarkStart w:id="341" w:name="_Toc452994202"/>
      <w:bookmarkStart w:id="342" w:name="_Toc452994650"/>
      <w:bookmarkStart w:id="343" w:name="_Toc452995090"/>
      <w:bookmarkStart w:id="344" w:name="_Toc453160793"/>
      <w:bookmarkStart w:id="345" w:name="_Toc455079237"/>
      <w:bookmarkStart w:id="346" w:name="_Toc455132779"/>
      <w:r w:rsidRPr="00422183">
        <w:t>Matrice de réformes stratégiques et d'investissements structurants</w:t>
      </w:r>
      <w:bookmarkEnd w:id="341"/>
      <w:bookmarkEnd w:id="342"/>
      <w:bookmarkEnd w:id="343"/>
      <w:bookmarkEnd w:id="344"/>
      <w:bookmarkEnd w:id="345"/>
      <w:bookmarkEnd w:id="346"/>
    </w:p>
    <w:p w:rsidR="00010EAF" w:rsidRPr="00422183" w:rsidRDefault="00010EAF" w:rsidP="003A0820">
      <w:pPr>
        <w:spacing w:after="0" w:line="240" w:lineRule="auto"/>
        <w:jc w:val="both"/>
        <w:rPr>
          <w:rFonts w:ascii="Rockwell" w:hAnsi="Rockwell" w:cs="Times New Roman"/>
          <w:bCs/>
          <w:sz w:val="24"/>
          <w:szCs w:val="24"/>
        </w:rPr>
      </w:pPr>
    </w:p>
    <w:p w:rsidR="00063A0A" w:rsidRPr="00422183" w:rsidRDefault="00063A0A" w:rsidP="003A0820">
      <w:pPr>
        <w:spacing w:after="0" w:line="240" w:lineRule="auto"/>
        <w:contextualSpacing/>
        <w:jc w:val="both"/>
        <w:rPr>
          <w:rFonts w:ascii="Rockwell" w:hAnsi="Rockwell" w:cs="Times New Roman"/>
          <w:bCs/>
          <w:sz w:val="24"/>
          <w:szCs w:val="24"/>
        </w:rPr>
      </w:pPr>
      <w:r w:rsidRPr="00422183">
        <w:rPr>
          <w:rFonts w:ascii="Rockwell" w:hAnsi="Rockwell" w:cs="Times New Roman"/>
          <w:bCs/>
          <w:sz w:val="24"/>
          <w:szCs w:val="24"/>
        </w:rPr>
        <w:t xml:space="preserve">L'établissement d'une matrice de réformes stratégiques et d'investissements structurants </w:t>
      </w:r>
      <w:r w:rsidR="006F170E" w:rsidRPr="00422183">
        <w:rPr>
          <w:rFonts w:ascii="Rockwell" w:hAnsi="Rockwell" w:cs="Times New Roman"/>
          <w:bCs/>
          <w:sz w:val="24"/>
          <w:szCs w:val="24"/>
        </w:rPr>
        <w:t xml:space="preserve">(Annexe </w:t>
      </w:r>
      <w:r w:rsidR="00D47F87" w:rsidRPr="00422183">
        <w:rPr>
          <w:rFonts w:ascii="Rockwell" w:hAnsi="Rockwell" w:cs="Times New Roman"/>
          <w:bCs/>
          <w:sz w:val="24"/>
          <w:szCs w:val="24"/>
        </w:rPr>
        <w:t xml:space="preserve">8) </w:t>
      </w:r>
      <w:r w:rsidRPr="00422183">
        <w:rPr>
          <w:rFonts w:ascii="Rockwell" w:hAnsi="Rockwell" w:cs="Times New Roman"/>
          <w:bCs/>
          <w:sz w:val="24"/>
          <w:szCs w:val="24"/>
        </w:rPr>
        <w:t xml:space="preserve">vise à identifier les réformes et investissements dont la réalisation pleine et entière, dans les temps prévus, influencerait le plus l'atteinte des objectifs du PNDES. Elle a également </w:t>
      </w:r>
      <w:r w:rsidR="00E84EEC" w:rsidRPr="00422183">
        <w:rPr>
          <w:rFonts w:ascii="Rockwell" w:hAnsi="Rockwell" w:cs="Times New Roman"/>
          <w:bCs/>
          <w:sz w:val="24"/>
          <w:szCs w:val="24"/>
        </w:rPr>
        <w:t xml:space="preserve">pour </w:t>
      </w:r>
      <w:r w:rsidRPr="00422183">
        <w:rPr>
          <w:rFonts w:ascii="Rockwell" w:hAnsi="Rockwell" w:cs="Times New Roman"/>
          <w:bCs/>
          <w:sz w:val="24"/>
          <w:szCs w:val="24"/>
        </w:rPr>
        <w:t xml:space="preserve">vocation </w:t>
      </w:r>
      <w:r w:rsidR="006F170E" w:rsidRPr="00422183">
        <w:rPr>
          <w:rFonts w:ascii="Rockwell" w:hAnsi="Rockwell" w:cs="Times New Roman"/>
          <w:bCs/>
          <w:sz w:val="24"/>
          <w:szCs w:val="24"/>
        </w:rPr>
        <w:t>à</w:t>
      </w:r>
      <w:r w:rsidR="00662708" w:rsidRPr="00422183">
        <w:rPr>
          <w:rFonts w:ascii="Rockwell" w:hAnsi="Rockwell" w:cs="Times New Roman"/>
          <w:bCs/>
          <w:sz w:val="24"/>
          <w:szCs w:val="24"/>
        </w:rPr>
        <w:t xml:space="preserve"> </w:t>
      </w:r>
      <w:r w:rsidRPr="00422183">
        <w:rPr>
          <w:rFonts w:ascii="Rockwell" w:hAnsi="Rockwell" w:cs="Times New Roman"/>
          <w:bCs/>
          <w:sz w:val="24"/>
          <w:szCs w:val="24"/>
        </w:rPr>
        <w:t>renforcer l'exécution du PNDES et le lien entre la planification et la budgétisation, dans la mesure où les réformes et investissements retenus devraient être "incompressibles" et budgétisés en priorité. En outre, elle servira de base pour l'élaboration des instruments de suivi et d'évaluation de la mise en œuvre du PNDES.</w:t>
      </w:r>
    </w:p>
    <w:p w:rsidR="00063A0A" w:rsidRPr="00422183" w:rsidRDefault="00063A0A" w:rsidP="003A0820">
      <w:pPr>
        <w:spacing w:after="0" w:line="240" w:lineRule="auto"/>
        <w:contextualSpacing/>
        <w:jc w:val="both"/>
        <w:rPr>
          <w:rFonts w:ascii="Rockwell" w:hAnsi="Rockwell" w:cs="Times New Roman"/>
          <w:bCs/>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 xml:space="preserve">Cette matrice permet de disposer d'un ensemble de réformes et d'un portefeuille d'investissements à réaliser impérativement au cours de la période quinquennale. Il ne s'agit pas de la totalité des réformes et des investissements du PNDES mais, des réformes et investissements nécessaires à la construction des </w:t>
      </w:r>
      <w:r w:rsidR="00662708" w:rsidRPr="00422183">
        <w:rPr>
          <w:rFonts w:ascii="Rockwell" w:hAnsi="Rockwell"/>
          <w:sz w:val="24"/>
          <w:szCs w:val="24"/>
        </w:rPr>
        <w:t xml:space="preserve">bases </w:t>
      </w:r>
      <w:r w:rsidRPr="00422183">
        <w:rPr>
          <w:rFonts w:ascii="Rockwell" w:hAnsi="Rockwell"/>
          <w:sz w:val="24"/>
          <w:szCs w:val="24"/>
        </w:rPr>
        <w:t>de la transformation structurelle de l'économie burkinabè.</w:t>
      </w:r>
    </w:p>
    <w:p w:rsidR="006F170E" w:rsidRPr="00422183" w:rsidRDefault="006F170E" w:rsidP="003A0820">
      <w:pPr>
        <w:spacing w:after="0" w:line="240" w:lineRule="auto"/>
        <w:jc w:val="both"/>
        <w:rPr>
          <w:rFonts w:ascii="Rockwell" w:hAnsi="Rockwell"/>
          <w:sz w:val="24"/>
          <w:szCs w:val="24"/>
        </w:rPr>
      </w:pPr>
    </w:p>
    <w:p w:rsidR="0090049C" w:rsidRPr="00422183" w:rsidRDefault="0090049C" w:rsidP="003A0820">
      <w:pPr>
        <w:spacing w:after="0" w:line="240" w:lineRule="auto"/>
        <w:jc w:val="both"/>
        <w:rPr>
          <w:rFonts w:ascii="Rockwell" w:hAnsi="Rockwell"/>
          <w:sz w:val="24"/>
          <w:szCs w:val="24"/>
        </w:rPr>
      </w:pPr>
    </w:p>
    <w:p w:rsidR="00662708" w:rsidRPr="00422183" w:rsidRDefault="00662708" w:rsidP="003A0820">
      <w:pPr>
        <w:pStyle w:val="PNDES3"/>
        <w:rPr>
          <w:rFonts w:ascii="Rockwell" w:hAnsi="Rockwell"/>
        </w:rPr>
      </w:pPr>
      <w:bookmarkStart w:id="347" w:name="_Toc452994203"/>
      <w:bookmarkStart w:id="348" w:name="_Toc452994651"/>
      <w:bookmarkStart w:id="349" w:name="_Toc452995091"/>
      <w:bookmarkStart w:id="350" w:name="_Toc452996333"/>
      <w:bookmarkStart w:id="351" w:name="_Toc452994204"/>
      <w:bookmarkStart w:id="352" w:name="_Toc452994652"/>
      <w:bookmarkStart w:id="353" w:name="_Toc452995092"/>
      <w:bookmarkStart w:id="354" w:name="_Toc453160794"/>
      <w:bookmarkStart w:id="355" w:name="_Toc455132780"/>
      <w:bookmarkEnd w:id="347"/>
      <w:bookmarkEnd w:id="348"/>
      <w:bookmarkEnd w:id="349"/>
      <w:bookmarkEnd w:id="350"/>
      <w:r w:rsidRPr="00422183">
        <w:rPr>
          <w:rFonts w:ascii="Rockwell" w:hAnsi="Rockwell"/>
        </w:rPr>
        <w:t>Critères de choix</w:t>
      </w:r>
      <w:bookmarkStart w:id="356" w:name="_Toc452994205"/>
      <w:bookmarkStart w:id="357" w:name="_Toc452994653"/>
      <w:bookmarkStart w:id="358" w:name="_Toc452995093"/>
      <w:bookmarkEnd w:id="351"/>
      <w:bookmarkEnd w:id="352"/>
      <w:bookmarkEnd w:id="353"/>
      <w:bookmarkEnd w:id="354"/>
      <w:bookmarkEnd w:id="355"/>
      <w:bookmarkEnd w:id="356"/>
      <w:bookmarkEnd w:id="357"/>
      <w:bookmarkEnd w:id="358"/>
    </w:p>
    <w:p w:rsidR="006F170E" w:rsidRPr="00422183" w:rsidRDefault="006F170E"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 xml:space="preserve">Le principal critère de </w:t>
      </w:r>
      <w:r w:rsidR="00E84EEC" w:rsidRPr="00422183">
        <w:rPr>
          <w:rFonts w:ascii="Rockwell" w:hAnsi="Rockwell"/>
          <w:sz w:val="24"/>
          <w:szCs w:val="24"/>
        </w:rPr>
        <w:t>sélection</w:t>
      </w:r>
      <w:r w:rsidRPr="00422183">
        <w:rPr>
          <w:rFonts w:ascii="Rockwell" w:hAnsi="Rockwell"/>
          <w:sz w:val="24"/>
          <w:szCs w:val="24"/>
        </w:rPr>
        <w:t xml:space="preserve"> de ces r</w:t>
      </w:r>
      <w:r w:rsidR="00D47F87" w:rsidRPr="00422183">
        <w:rPr>
          <w:rFonts w:ascii="Rockwell" w:hAnsi="Rockwell"/>
          <w:sz w:val="24"/>
          <w:szCs w:val="24"/>
        </w:rPr>
        <w:t>é</w:t>
      </w:r>
      <w:r w:rsidR="00E84EEC" w:rsidRPr="00422183">
        <w:rPr>
          <w:rFonts w:ascii="Rockwell" w:hAnsi="Rockwell"/>
          <w:sz w:val="24"/>
          <w:szCs w:val="24"/>
        </w:rPr>
        <w:t xml:space="preserve">formes stratégiques et </w:t>
      </w:r>
      <w:r w:rsidRPr="00422183">
        <w:rPr>
          <w:rFonts w:ascii="Rockwell" w:hAnsi="Rockwell"/>
          <w:sz w:val="24"/>
          <w:szCs w:val="24"/>
        </w:rPr>
        <w:t>investissements structurants se fonde sur leur contribution à la transformation structurelle de l</w:t>
      </w:r>
      <w:r w:rsidR="006C72DE" w:rsidRPr="00422183">
        <w:rPr>
          <w:rFonts w:ascii="Rockwell" w:hAnsi="Rockwell"/>
          <w:sz w:val="24"/>
          <w:szCs w:val="24"/>
        </w:rPr>
        <w:t>'</w:t>
      </w:r>
      <w:r w:rsidR="00D47F87" w:rsidRPr="00422183">
        <w:rPr>
          <w:rFonts w:ascii="Rockwell" w:hAnsi="Rockwell"/>
          <w:sz w:val="24"/>
          <w:szCs w:val="24"/>
        </w:rPr>
        <w:t>é</w:t>
      </w:r>
      <w:r w:rsidRPr="00422183">
        <w:rPr>
          <w:rFonts w:ascii="Rockwell" w:hAnsi="Rockwell"/>
          <w:sz w:val="24"/>
          <w:szCs w:val="24"/>
        </w:rPr>
        <w:t>conomie.</w:t>
      </w:r>
    </w:p>
    <w:p w:rsidR="00D47F87" w:rsidRPr="00422183" w:rsidRDefault="00D47F87" w:rsidP="003A0820">
      <w:pPr>
        <w:spacing w:after="0" w:line="240" w:lineRule="auto"/>
        <w:jc w:val="both"/>
        <w:rPr>
          <w:rFonts w:ascii="Rockwell" w:hAnsi="Rockwell"/>
          <w:sz w:val="24"/>
          <w:szCs w:val="24"/>
        </w:rPr>
      </w:pPr>
    </w:p>
    <w:p w:rsidR="00063A0A" w:rsidRPr="00422183" w:rsidRDefault="00B4557F" w:rsidP="003A0820">
      <w:pPr>
        <w:spacing w:after="0" w:line="240" w:lineRule="auto"/>
        <w:jc w:val="both"/>
        <w:rPr>
          <w:rFonts w:ascii="Rockwell" w:hAnsi="Rockwell"/>
          <w:sz w:val="24"/>
          <w:szCs w:val="24"/>
        </w:rPr>
      </w:pPr>
      <w:r w:rsidRPr="00422183">
        <w:rPr>
          <w:rFonts w:ascii="Rockwell" w:hAnsi="Rockwell"/>
          <w:sz w:val="24"/>
          <w:szCs w:val="24"/>
        </w:rPr>
        <w:t xml:space="preserve">Le choix des </w:t>
      </w:r>
      <w:r w:rsidR="00063A0A" w:rsidRPr="00422183">
        <w:rPr>
          <w:rFonts w:ascii="Rockwell" w:hAnsi="Rockwell"/>
          <w:sz w:val="24"/>
          <w:szCs w:val="24"/>
        </w:rPr>
        <w:t>investissements tient compte</w:t>
      </w:r>
      <w:r w:rsidR="00E84EEC" w:rsidRPr="00422183">
        <w:rPr>
          <w:rFonts w:ascii="Rockwell" w:hAnsi="Rockwell"/>
          <w:sz w:val="24"/>
          <w:szCs w:val="24"/>
        </w:rPr>
        <w:t xml:space="preserve"> de leurs effets d’entrainement, </w:t>
      </w:r>
      <w:r w:rsidR="00063A0A" w:rsidRPr="00422183">
        <w:rPr>
          <w:rFonts w:ascii="Rockwell" w:hAnsi="Rockwell"/>
          <w:sz w:val="24"/>
          <w:szCs w:val="24"/>
        </w:rPr>
        <w:t>de la structure de l</w:t>
      </w:r>
      <w:r w:rsidR="006C72DE" w:rsidRPr="00422183">
        <w:rPr>
          <w:rFonts w:ascii="Rockwell" w:hAnsi="Rockwell"/>
          <w:sz w:val="24"/>
          <w:szCs w:val="24"/>
        </w:rPr>
        <w:t>'</w:t>
      </w:r>
      <w:r w:rsidR="00063A0A" w:rsidRPr="00422183">
        <w:rPr>
          <w:rFonts w:ascii="Rockwell" w:hAnsi="Rockwell"/>
          <w:sz w:val="24"/>
          <w:szCs w:val="24"/>
        </w:rPr>
        <w:t xml:space="preserve">économie nationale et des principaux avantages comparatifs que le Burkina Faso pourrait tirer dans leur mise en œuvre au niveau </w:t>
      </w:r>
      <w:r w:rsidR="006B4F3A" w:rsidRPr="00422183">
        <w:rPr>
          <w:rFonts w:ascii="Rockwell" w:hAnsi="Rockwell"/>
          <w:sz w:val="24"/>
          <w:szCs w:val="24"/>
        </w:rPr>
        <w:t>sous régional</w:t>
      </w:r>
      <w:r w:rsidR="00063A0A" w:rsidRPr="00422183">
        <w:rPr>
          <w:rFonts w:ascii="Rockwell" w:hAnsi="Rockwell"/>
          <w:sz w:val="24"/>
          <w:szCs w:val="24"/>
        </w:rPr>
        <w:t xml:space="preserve">. Aussi, </w:t>
      </w:r>
      <w:r w:rsidR="00E84EEC" w:rsidRPr="00422183">
        <w:rPr>
          <w:rFonts w:ascii="Rockwell" w:hAnsi="Rockwell"/>
          <w:sz w:val="24"/>
          <w:szCs w:val="24"/>
        </w:rPr>
        <w:t>l</w:t>
      </w:r>
      <w:r w:rsidR="00063A0A" w:rsidRPr="00422183">
        <w:rPr>
          <w:rFonts w:ascii="Rockwell" w:hAnsi="Rockwell"/>
          <w:sz w:val="24"/>
          <w:szCs w:val="24"/>
        </w:rPr>
        <w:t xml:space="preserve">es orientations fortes du programme présidentiel, de la Déclaration de politique générale (DPG) du Premier </w:t>
      </w:r>
      <w:r w:rsidR="00D47F87" w:rsidRPr="00422183">
        <w:rPr>
          <w:rFonts w:ascii="Rockwell" w:hAnsi="Rockwell"/>
          <w:sz w:val="24"/>
          <w:szCs w:val="24"/>
        </w:rPr>
        <w:t>m</w:t>
      </w:r>
      <w:r w:rsidR="00063A0A" w:rsidRPr="00422183">
        <w:rPr>
          <w:rFonts w:ascii="Rockwell" w:hAnsi="Rockwell"/>
          <w:sz w:val="24"/>
          <w:szCs w:val="24"/>
        </w:rPr>
        <w:t>inistre, des Programmes et projets d</w:t>
      </w:r>
      <w:r w:rsidR="006C72DE" w:rsidRPr="00422183">
        <w:rPr>
          <w:rFonts w:ascii="Rockwell" w:hAnsi="Rockwell"/>
          <w:sz w:val="24"/>
          <w:szCs w:val="24"/>
        </w:rPr>
        <w:t>'</w:t>
      </w:r>
      <w:r w:rsidR="00063A0A" w:rsidRPr="00422183">
        <w:rPr>
          <w:rFonts w:ascii="Rockwell" w:hAnsi="Rockwell"/>
          <w:sz w:val="24"/>
          <w:szCs w:val="24"/>
        </w:rPr>
        <w:t>investissements publics (PPIP)</w:t>
      </w:r>
      <w:r w:rsidR="00D47F87" w:rsidRPr="00422183">
        <w:rPr>
          <w:rFonts w:ascii="Rockwell" w:hAnsi="Rockwell"/>
          <w:sz w:val="24"/>
          <w:szCs w:val="24"/>
        </w:rPr>
        <w:t>,</w:t>
      </w:r>
      <w:r w:rsidR="00063A0A" w:rsidRPr="00422183">
        <w:rPr>
          <w:rFonts w:ascii="Rockwell" w:hAnsi="Rockwell"/>
          <w:sz w:val="24"/>
          <w:szCs w:val="24"/>
        </w:rPr>
        <w:t xml:space="preserve"> ainsi que </w:t>
      </w:r>
      <w:r w:rsidR="00D47F87" w:rsidRPr="00422183">
        <w:rPr>
          <w:rFonts w:ascii="Rockwell" w:hAnsi="Rockwell"/>
          <w:sz w:val="24"/>
          <w:szCs w:val="24"/>
        </w:rPr>
        <w:t>d</w:t>
      </w:r>
      <w:r w:rsidR="00063A0A" w:rsidRPr="00422183">
        <w:rPr>
          <w:rFonts w:ascii="Rockwell" w:hAnsi="Rockwell"/>
          <w:sz w:val="24"/>
          <w:szCs w:val="24"/>
        </w:rPr>
        <w:t>es proje</w:t>
      </w:r>
      <w:r w:rsidR="00E84EEC" w:rsidRPr="00422183">
        <w:rPr>
          <w:rFonts w:ascii="Rockwell" w:hAnsi="Rockwell"/>
          <w:sz w:val="24"/>
          <w:szCs w:val="24"/>
        </w:rPr>
        <w:t>ts entrant dans le cadre du PPP, ont influencé cette sélection.</w:t>
      </w:r>
      <w:r w:rsidRPr="00422183">
        <w:rPr>
          <w:rFonts w:ascii="Rockwell" w:hAnsi="Rockwell"/>
          <w:sz w:val="24"/>
          <w:szCs w:val="24"/>
        </w:rPr>
        <w:t xml:space="preserve"> L'investissement sera d'autant plus structurant que ses effets et impacts potentiels seront transversaux, en ce sens que sa réalisation permettrait l'atteinte de plus d'un objectif du PNDES.</w:t>
      </w:r>
    </w:p>
    <w:p w:rsidR="00D47F87" w:rsidRPr="00422183" w:rsidRDefault="00D47F87" w:rsidP="003A0820">
      <w:pPr>
        <w:spacing w:after="0" w:line="240" w:lineRule="auto"/>
        <w:jc w:val="both"/>
        <w:rPr>
          <w:rFonts w:ascii="Rockwell" w:hAnsi="Rockwell"/>
          <w:sz w:val="24"/>
          <w:szCs w:val="24"/>
        </w:rPr>
      </w:pPr>
    </w:p>
    <w:p w:rsidR="00D47F87"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 xml:space="preserve">Le choix d'une réforme stratégique est fondé principalement sur sa contribution à la création d'un environnement juridique adéquat pour l'investissement durable, </w:t>
      </w:r>
      <w:r w:rsidR="00B4557F" w:rsidRPr="00422183">
        <w:rPr>
          <w:rFonts w:ascii="Rockwell" w:hAnsi="Rockwell"/>
          <w:sz w:val="24"/>
          <w:szCs w:val="24"/>
        </w:rPr>
        <w:t xml:space="preserve">au renforcement de la cohésion sociale et à la stabilité socio-politique gage d'un climat de paix favorable à l'investissement, </w:t>
      </w:r>
      <w:r w:rsidRPr="00422183">
        <w:rPr>
          <w:rFonts w:ascii="Rockwell" w:hAnsi="Rockwell"/>
          <w:sz w:val="24"/>
          <w:szCs w:val="24"/>
        </w:rPr>
        <w:t>à l'amélioration de l'absorption des ressources mobilisées, à l'efficacité de la gestion budgétaire, au respect de la déontologie administrative et à</w:t>
      </w:r>
      <w:r w:rsidR="00B4557F" w:rsidRPr="00422183">
        <w:rPr>
          <w:rFonts w:ascii="Rockwell" w:hAnsi="Rockwell"/>
          <w:sz w:val="24"/>
          <w:szCs w:val="24"/>
        </w:rPr>
        <w:t xml:space="preserve"> la lutte contre la corruption.</w:t>
      </w:r>
    </w:p>
    <w:p w:rsidR="00D47F87" w:rsidRPr="00422183" w:rsidRDefault="00D47F87" w:rsidP="003A0820">
      <w:pPr>
        <w:spacing w:after="0" w:line="240" w:lineRule="auto"/>
        <w:jc w:val="both"/>
        <w:rPr>
          <w:rFonts w:ascii="Rockwell" w:hAnsi="Rockwell"/>
          <w:sz w:val="24"/>
          <w:szCs w:val="24"/>
        </w:rPr>
      </w:pPr>
    </w:p>
    <w:p w:rsidR="00D47F87" w:rsidRPr="00422183" w:rsidRDefault="00D47F87" w:rsidP="003A0820">
      <w:pPr>
        <w:spacing w:after="0" w:line="240" w:lineRule="auto"/>
        <w:jc w:val="both"/>
        <w:rPr>
          <w:rFonts w:ascii="Rockwell" w:hAnsi="Rockwell"/>
          <w:sz w:val="24"/>
          <w:szCs w:val="24"/>
        </w:rPr>
      </w:pPr>
    </w:p>
    <w:p w:rsidR="00662708" w:rsidRPr="00422183" w:rsidRDefault="00662708" w:rsidP="003A0820">
      <w:pPr>
        <w:pStyle w:val="PNDES3"/>
        <w:rPr>
          <w:rFonts w:ascii="Rockwell" w:hAnsi="Rockwell"/>
        </w:rPr>
      </w:pPr>
      <w:bookmarkStart w:id="359" w:name="_Toc452994206"/>
      <w:bookmarkStart w:id="360" w:name="_Toc452994654"/>
      <w:bookmarkStart w:id="361" w:name="_Toc452995094"/>
      <w:bookmarkStart w:id="362" w:name="_Toc452996336"/>
      <w:bookmarkStart w:id="363" w:name="_Toc452994207"/>
      <w:bookmarkStart w:id="364" w:name="_Toc452994655"/>
      <w:bookmarkStart w:id="365" w:name="_Toc452995095"/>
      <w:bookmarkStart w:id="366" w:name="_Toc453160795"/>
      <w:bookmarkStart w:id="367" w:name="_Toc455132781"/>
      <w:bookmarkEnd w:id="359"/>
      <w:bookmarkEnd w:id="360"/>
      <w:bookmarkEnd w:id="361"/>
      <w:bookmarkEnd w:id="362"/>
      <w:r w:rsidRPr="00422183">
        <w:rPr>
          <w:rFonts w:ascii="Rockwell" w:hAnsi="Rockwell"/>
        </w:rPr>
        <w:t>Présentation de la matrice</w:t>
      </w:r>
      <w:bookmarkStart w:id="368" w:name="_Toc452994208"/>
      <w:bookmarkStart w:id="369" w:name="_Toc452994656"/>
      <w:bookmarkStart w:id="370" w:name="_Toc452995096"/>
      <w:bookmarkEnd w:id="363"/>
      <w:bookmarkEnd w:id="364"/>
      <w:bookmarkEnd w:id="365"/>
      <w:bookmarkEnd w:id="366"/>
      <w:bookmarkEnd w:id="367"/>
      <w:bookmarkEnd w:id="368"/>
      <w:bookmarkEnd w:id="369"/>
      <w:bookmarkEnd w:id="370"/>
    </w:p>
    <w:p w:rsidR="00D47F87" w:rsidRPr="00422183" w:rsidRDefault="00D47F87"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La matrice de réformes stratégiques et d'investissements structurants pour la mise en œuvre du PNDES, sur la période 2016-2020</w:t>
      </w:r>
      <w:r w:rsidR="00D47F87" w:rsidRPr="00422183">
        <w:rPr>
          <w:rFonts w:ascii="Rockwell" w:hAnsi="Rockwell"/>
          <w:sz w:val="24"/>
          <w:szCs w:val="24"/>
        </w:rPr>
        <w:t>,</w:t>
      </w:r>
      <w:r w:rsidRPr="00422183">
        <w:rPr>
          <w:rFonts w:ascii="Rockwell" w:hAnsi="Rockwell"/>
          <w:sz w:val="24"/>
          <w:szCs w:val="24"/>
        </w:rPr>
        <w:t xml:space="preserve"> fait ressortir la nature </w:t>
      </w:r>
      <w:r w:rsidR="00D47F87" w:rsidRPr="00422183">
        <w:rPr>
          <w:rFonts w:ascii="Rockwell" w:hAnsi="Rockwell"/>
          <w:sz w:val="24"/>
          <w:szCs w:val="24"/>
        </w:rPr>
        <w:t xml:space="preserve">des réformes et </w:t>
      </w:r>
      <w:r w:rsidRPr="00422183">
        <w:rPr>
          <w:rFonts w:ascii="Rockwell" w:hAnsi="Rockwell"/>
          <w:sz w:val="24"/>
          <w:szCs w:val="24"/>
        </w:rPr>
        <w:t>des investissements, les indicateurs objectivement vérifiables, les coûts estimatifs, les structures responsables de la mise en œuvre ainsi que la programmation physique. Ces réformes et investissements structurants sont organisés par axe stratégique et effets attendus.</w:t>
      </w:r>
    </w:p>
    <w:p w:rsidR="00D47F87" w:rsidRPr="00422183" w:rsidRDefault="00D47F87"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Les indicateurs retenus permettent de s</w:t>
      </w:r>
      <w:r w:rsidR="006C72DE" w:rsidRPr="00422183">
        <w:rPr>
          <w:rFonts w:ascii="Rockwell" w:hAnsi="Rockwell"/>
          <w:sz w:val="24"/>
          <w:szCs w:val="24"/>
        </w:rPr>
        <w:t>'</w:t>
      </w:r>
      <w:r w:rsidRPr="00422183">
        <w:rPr>
          <w:rFonts w:ascii="Rockwell" w:hAnsi="Rockwell"/>
          <w:sz w:val="24"/>
          <w:szCs w:val="24"/>
        </w:rPr>
        <w:t>assurer de l</w:t>
      </w:r>
      <w:r w:rsidR="006C72DE" w:rsidRPr="00422183">
        <w:rPr>
          <w:rFonts w:ascii="Rockwell" w:hAnsi="Rockwell"/>
          <w:sz w:val="24"/>
          <w:szCs w:val="24"/>
        </w:rPr>
        <w:t>'</w:t>
      </w:r>
      <w:r w:rsidRPr="00422183">
        <w:rPr>
          <w:rFonts w:ascii="Rockwell" w:hAnsi="Rockwell"/>
          <w:sz w:val="24"/>
          <w:szCs w:val="24"/>
        </w:rPr>
        <w:t>atteinte des résultats dans la réalisation des r</w:t>
      </w:r>
      <w:r w:rsidR="00D47F87" w:rsidRPr="00422183">
        <w:rPr>
          <w:rFonts w:ascii="Rockwell" w:hAnsi="Rockwell"/>
          <w:sz w:val="24"/>
          <w:szCs w:val="24"/>
        </w:rPr>
        <w:t>é</w:t>
      </w:r>
      <w:r w:rsidRPr="00422183">
        <w:rPr>
          <w:rFonts w:ascii="Rockwell" w:hAnsi="Rockwell"/>
          <w:sz w:val="24"/>
          <w:szCs w:val="24"/>
        </w:rPr>
        <w:t>formes et investissements structurants et de faciliter le suivi et l</w:t>
      </w:r>
      <w:r w:rsidR="006C72DE" w:rsidRPr="00422183">
        <w:rPr>
          <w:rFonts w:ascii="Rockwell" w:hAnsi="Rockwell"/>
          <w:sz w:val="24"/>
          <w:szCs w:val="24"/>
        </w:rPr>
        <w:t>'</w:t>
      </w:r>
      <w:r w:rsidRPr="00422183">
        <w:rPr>
          <w:rFonts w:ascii="Rockwell" w:hAnsi="Rockwell"/>
          <w:sz w:val="24"/>
          <w:szCs w:val="24"/>
        </w:rPr>
        <w:t xml:space="preserve">évaluation de leur mise œuvre conformément à la </w:t>
      </w:r>
      <w:r w:rsidR="00D47F87" w:rsidRPr="00422183">
        <w:rPr>
          <w:rFonts w:ascii="Rockwell" w:hAnsi="Rockwell"/>
          <w:sz w:val="24"/>
          <w:szCs w:val="24"/>
        </w:rPr>
        <w:t>GAR</w:t>
      </w:r>
      <w:r w:rsidRPr="00422183">
        <w:rPr>
          <w:rFonts w:ascii="Rockwell" w:hAnsi="Rockwell"/>
          <w:sz w:val="24"/>
          <w:szCs w:val="24"/>
        </w:rPr>
        <w:t>.</w:t>
      </w:r>
    </w:p>
    <w:p w:rsidR="00D47F87" w:rsidRPr="00422183" w:rsidRDefault="00D47F87"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L</w:t>
      </w:r>
      <w:r w:rsidR="006C72DE" w:rsidRPr="00422183">
        <w:rPr>
          <w:rFonts w:ascii="Rockwell" w:hAnsi="Rockwell"/>
          <w:sz w:val="24"/>
          <w:szCs w:val="24"/>
        </w:rPr>
        <w:t>'</w:t>
      </w:r>
      <w:r w:rsidRPr="00422183">
        <w:rPr>
          <w:rFonts w:ascii="Rockwell" w:hAnsi="Rockwell"/>
          <w:sz w:val="24"/>
          <w:szCs w:val="24"/>
        </w:rPr>
        <w:t>estimation des coûts provient des propositions sectorielles issues des projets et programmes sectoriels et du Programme d</w:t>
      </w:r>
      <w:r w:rsidR="006C72DE" w:rsidRPr="00422183">
        <w:rPr>
          <w:rFonts w:ascii="Rockwell" w:hAnsi="Rockwell"/>
          <w:sz w:val="24"/>
          <w:szCs w:val="24"/>
        </w:rPr>
        <w:t>'</w:t>
      </w:r>
      <w:r w:rsidRPr="00422183">
        <w:rPr>
          <w:rFonts w:ascii="Rockwell" w:hAnsi="Rockwell"/>
          <w:sz w:val="24"/>
          <w:szCs w:val="24"/>
        </w:rPr>
        <w:t>investissement</w:t>
      </w:r>
      <w:r w:rsidR="00B4557F" w:rsidRPr="00422183">
        <w:rPr>
          <w:rFonts w:ascii="Rockwell" w:hAnsi="Rockwell"/>
          <w:sz w:val="24"/>
          <w:szCs w:val="24"/>
        </w:rPr>
        <w:t>s</w:t>
      </w:r>
      <w:r w:rsidRPr="00422183">
        <w:rPr>
          <w:rFonts w:ascii="Rockwell" w:hAnsi="Rockwell"/>
          <w:sz w:val="24"/>
          <w:szCs w:val="24"/>
        </w:rPr>
        <w:t xml:space="preserve"> prioritaire</w:t>
      </w:r>
      <w:r w:rsidR="00B4557F" w:rsidRPr="00422183">
        <w:rPr>
          <w:rFonts w:ascii="Rockwell" w:hAnsi="Rockwell"/>
          <w:sz w:val="24"/>
          <w:szCs w:val="24"/>
        </w:rPr>
        <w:t>s</w:t>
      </w:r>
      <w:r w:rsidRPr="00422183">
        <w:rPr>
          <w:rFonts w:ascii="Rockwell" w:hAnsi="Rockwell"/>
          <w:sz w:val="24"/>
          <w:szCs w:val="24"/>
        </w:rPr>
        <w:t xml:space="preserve"> (PIP)</w:t>
      </w:r>
      <w:r w:rsidR="00D47F87" w:rsidRPr="00422183">
        <w:rPr>
          <w:rFonts w:ascii="Rockwell" w:hAnsi="Rockwell"/>
          <w:sz w:val="24"/>
          <w:szCs w:val="24"/>
        </w:rPr>
        <w:t>,</w:t>
      </w:r>
      <w:r w:rsidRPr="00422183">
        <w:rPr>
          <w:rFonts w:ascii="Rockwell" w:hAnsi="Rockwell"/>
          <w:sz w:val="24"/>
          <w:szCs w:val="24"/>
        </w:rPr>
        <w:t xml:space="preserve"> av</w:t>
      </w:r>
      <w:r w:rsidR="00D47F87" w:rsidRPr="00422183">
        <w:rPr>
          <w:rFonts w:ascii="Rockwell" w:hAnsi="Rockwell"/>
          <w:sz w:val="24"/>
          <w:szCs w:val="24"/>
        </w:rPr>
        <w:t>ec un niveau de maturité élevé.</w:t>
      </w:r>
    </w:p>
    <w:p w:rsidR="00D47F87" w:rsidRPr="00422183" w:rsidRDefault="00D47F87"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 xml:space="preserve">La mise en œuvre des </w:t>
      </w:r>
      <w:r w:rsidR="00D47F87" w:rsidRPr="00422183">
        <w:rPr>
          <w:rFonts w:ascii="Rockwell" w:hAnsi="Rockwell"/>
          <w:sz w:val="24"/>
          <w:szCs w:val="24"/>
        </w:rPr>
        <w:t xml:space="preserve">réformes stratégiques et </w:t>
      </w:r>
      <w:r w:rsidRPr="00422183">
        <w:rPr>
          <w:rFonts w:ascii="Rockwell" w:hAnsi="Rockwell"/>
          <w:sz w:val="24"/>
          <w:szCs w:val="24"/>
        </w:rPr>
        <w:t>investissements structurants sera assurée par les départements ministériels chacun en ce qui le concerne. Il s</w:t>
      </w:r>
      <w:r w:rsidR="006C72DE" w:rsidRPr="00422183">
        <w:rPr>
          <w:rFonts w:ascii="Rockwell" w:hAnsi="Rockwell"/>
          <w:sz w:val="24"/>
          <w:szCs w:val="24"/>
        </w:rPr>
        <w:t>'</w:t>
      </w:r>
      <w:r w:rsidRPr="00422183">
        <w:rPr>
          <w:rFonts w:ascii="Rockwell" w:hAnsi="Rockwell"/>
          <w:sz w:val="24"/>
          <w:szCs w:val="24"/>
        </w:rPr>
        <w:t>agira au niveau sectoriel, d</w:t>
      </w:r>
      <w:r w:rsidR="006C72DE" w:rsidRPr="00422183">
        <w:rPr>
          <w:rFonts w:ascii="Rockwell" w:hAnsi="Rockwell"/>
          <w:sz w:val="24"/>
          <w:szCs w:val="24"/>
        </w:rPr>
        <w:t>'</w:t>
      </w:r>
      <w:r w:rsidRPr="00422183">
        <w:rPr>
          <w:rFonts w:ascii="Rockwell" w:hAnsi="Rockwell"/>
          <w:sz w:val="24"/>
          <w:szCs w:val="24"/>
        </w:rPr>
        <w:t>assurer la réalisation effective de ces réformes et investissements, base d</w:t>
      </w:r>
      <w:r w:rsidR="006C72DE" w:rsidRPr="00422183">
        <w:rPr>
          <w:rFonts w:ascii="Rockwell" w:hAnsi="Rockwell"/>
          <w:sz w:val="24"/>
          <w:szCs w:val="24"/>
        </w:rPr>
        <w:t>'</w:t>
      </w:r>
      <w:r w:rsidRPr="00422183">
        <w:rPr>
          <w:rFonts w:ascii="Rockwell" w:hAnsi="Rockwell"/>
          <w:sz w:val="24"/>
          <w:szCs w:val="24"/>
        </w:rPr>
        <w:t>une transformation structurelle de l</w:t>
      </w:r>
      <w:r w:rsidR="006C72DE" w:rsidRPr="00422183">
        <w:rPr>
          <w:rFonts w:ascii="Rockwell" w:hAnsi="Rockwell"/>
          <w:sz w:val="24"/>
          <w:szCs w:val="24"/>
        </w:rPr>
        <w:t>'</w:t>
      </w:r>
      <w:r w:rsidRPr="00422183">
        <w:rPr>
          <w:rFonts w:ascii="Rockwell" w:hAnsi="Rockwell"/>
          <w:sz w:val="24"/>
          <w:szCs w:val="24"/>
        </w:rPr>
        <w:t>économie</w:t>
      </w:r>
      <w:r w:rsidR="00D47F87" w:rsidRPr="00422183">
        <w:rPr>
          <w:rFonts w:ascii="Rockwell" w:hAnsi="Rockwell"/>
          <w:sz w:val="24"/>
          <w:szCs w:val="24"/>
        </w:rPr>
        <w:t>,</w:t>
      </w:r>
      <w:r w:rsidRPr="00422183">
        <w:rPr>
          <w:rFonts w:ascii="Rockwell" w:hAnsi="Rockwell"/>
          <w:sz w:val="24"/>
          <w:szCs w:val="24"/>
        </w:rPr>
        <w:t xml:space="preserve"> en vue de parvenir à l</w:t>
      </w:r>
      <w:r w:rsidR="006C72DE" w:rsidRPr="00422183">
        <w:rPr>
          <w:rFonts w:ascii="Rockwell" w:hAnsi="Rockwell"/>
          <w:sz w:val="24"/>
          <w:szCs w:val="24"/>
        </w:rPr>
        <w:t>'</w:t>
      </w:r>
      <w:r w:rsidRPr="00422183">
        <w:rPr>
          <w:rFonts w:ascii="Rockwell" w:hAnsi="Rockwell"/>
          <w:sz w:val="24"/>
          <w:szCs w:val="24"/>
        </w:rPr>
        <w:t>atteinte des résultats attendus à l</w:t>
      </w:r>
      <w:r w:rsidR="006C72DE" w:rsidRPr="00422183">
        <w:rPr>
          <w:rFonts w:ascii="Rockwell" w:hAnsi="Rockwell"/>
          <w:sz w:val="24"/>
          <w:szCs w:val="24"/>
        </w:rPr>
        <w:t>'</w:t>
      </w:r>
      <w:r w:rsidRPr="00422183">
        <w:rPr>
          <w:rFonts w:ascii="Rockwell" w:hAnsi="Rockwell"/>
          <w:sz w:val="24"/>
          <w:szCs w:val="24"/>
        </w:rPr>
        <w:t>horizon 2020. Le suivi global du PNDES s</w:t>
      </w:r>
      <w:r w:rsidR="006C72DE" w:rsidRPr="00422183">
        <w:rPr>
          <w:rFonts w:ascii="Rockwell" w:hAnsi="Rockwell"/>
          <w:sz w:val="24"/>
          <w:szCs w:val="24"/>
        </w:rPr>
        <w:t>'</w:t>
      </w:r>
      <w:r w:rsidRPr="00422183">
        <w:rPr>
          <w:rFonts w:ascii="Rockwell" w:hAnsi="Rockwell"/>
          <w:sz w:val="24"/>
          <w:szCs w:val="24"/>
        </w:rPr>
        <w:t>appuiera sur ces investissements et r</w:t>
      </w:r>
      <w:r w:rsidR="00D47F87" w:rsidRPr="00422183">
        <w:rPr>
          <w:rFonts w:ascii="Rockwell" w:hAnsi="Rockwell"/>
          <w:sz w:val="24"/>
          <w:szCs w:val="24"/>
        </w:rPr>
        <w:t>é</w:t>
      </w:r>
      <w:r w:rsidRPr="00422183">
        <w:rPr>
          <w:rFonts w:ascii="Rockwell" w:hAnsi="Rockwell"/>
          <w:sz w:val="24"/>
          <w:szCs w:val="24"/>
        </w:rPr>
        <w:t xml:space="preserve">formes structurants contenus dans la matrice. Le financement de ces </w:t>
      </w:r>
      <w:r w:rsidR="00D47F87" w:rsidRPr="00422183">
        <w:rPr>
          <w:rFonts w:ascii="Rockwell" w:hAnsi="Rockwell"/>
          <w:sz w:val="24"/>
          <w:szCs w:val="24"/>
        </w:rPr>
        <w:t xml:space="preserve">réformes et </w:t>
      </w:r>
      <w:r w:rsidRPr="00422183">
        <w:rPr>
          <w:rFonts w:ascii="Rockwell" w:hAnsi="Rockwell"/>
          <w:sz w:val="24"/>
          <w:szCs w:val="24"/>
        </w:rPr>
        <w:t>investissements sera assuré par le budget de l</w:t>
      </w:r>
      <w:r w:rsidR="006C72DE" w:rsidRPr="00422183">
        <w:rPr>
          <w:rFonts w:ascii="Rockwell" w:hAnsi="Rockwell"/>
          <w:sz w:val="24"/>
          <w:szCs w:val="24"/>
        </w:rPr>
        <w:t>'</w:t>
      </w:r>
      <w:r w:rsidR="00D47F87" w:rsidRPr="00422183">
        <w:rPr>
          <w:rFonts w:ascii="Rockwell" w:hAnsi="Rockwell"/>
          <w:sz w:val="24"/>
          <w:szCs w:val="24"/>
        </w:rPr>
        <w:t>État,</w:t>
      </w:r>
      <w:r w:rsidRPr="00422183">
        <w:rPr>
          <w:rFonts w:ascii="Rockwell" w:hAnsi="Rockwell"/>
          <w:sz w:val="24"/>
          <w:szCs w:val="24"/>
        </w:rPr>
        <w:t xml:space="preserve"> au titre 5</w:t>
      </w:r>
      <w:r w:rsidR="00D47F87" w:rsidRPr="00422183">
        <w:rPr>
          <w:rFonts w:ascii="Rockwell" w:hAnsi="Rockwell"/>
          <w:sz w:val="24"/>
          <w:szCs w:val="24"/>
        </w:rPr>
        <w:t xml:space="preserve"> et avec l'appui d'autres ressources</w:t>
      </w:r>
      <w:r w:rsidRPr="00422183">
        <w:rPr>
          <w:rFonts w:ascii="Rockwell" w:hAnsi="Rockwell"/>
          <w:sz w:val="24"/>
          <w:szCs w:val="24"/>
        </w:rPr>
        <w:t>.</w:t>
      </w:r>
    </w:p>
    <w:p w:rsidR="00660A8D" w:rsidRPr="00422183" w:rsidRDefault="00660A8D" w:rsidP="003A0820">
      <w:pPr>
        <w:spacing w:after="0" w:line="240" w:lineRule="auto"/>
        <w:jc w:val="both"/>
        <w:rPr>
          <w:rFonts w:ascii="Rockwell" w:hAnsi="Rockwell"/>
          <w:sz w:val="24"/>
          <w:szCs w:val="24"/>
        </w:rPr>
      </w:pPr>
    </w:p>
    <w:p w:rsidR="00660A8D" w:rsidRPr="00422183" w:rsidRDefault="00660A8D" w:rsidP="003A0820">
      <w:pPr>
        <w:spacing w:after="0" w:line="240" w:lineRule="auto"/>
        <w:jc w:val="both"/>
        <w:rPr>
          <w:rFonts w:ascii="Rockwell" w:hAnsi="Rockwell"/>
          <w:sz w:val="24"/>
          <w:szCs w:val="24"/>
        </w:rPr>
      </w:pPr>
      <w:r w:rsidRPr="00422183">
        <w:rPr>
          <w:rFonts w:ascii="Rockwell" w:hAnsi="Rockwell"/>
          <w:sz w:val="24"/>
          <w:szCs w:val="24"/>
        </w:rPr>
        <w:t xml:space="preserve">Le coût total des investissements structurants et des reformes stratégiques est estimé à </w:t>
      </w:r>
      <w:r w:rsidR="00552413" w:rsidRPr="00422183">
        <w:rPr>
          <w:rFonts w:ascii="Rockwell" w:hAnsi="Rockwell"/>
          <w:sz w:val="24"/>
          <w:szCs w:val="24"/>
        </w:rPr>
        <w:t xml:space="preserve">7 635,0 milliards de </w:t>
      </w:r>
      <w:r w:rsidRPr="00422183">
        <w:rPr>
          <w:rFonts w:ascii="Rockwell" w:hAnsi="Rockwell"/>
          <w:sz w:val="24"/>
          <w:szCs w:val="24"/>
        </w:rPr>
        <w:t xml:space="preserve">F CFA dont </w:t>
      </w:r>
      <w:r w:rsidR="00552413" w:rsidRPr="00422183">
        <w:rPr>
          <w:rFonts w:ascii="Rockwell" w:hAnsi="Rockwell"/>
          <w:sz w:val="24"/>
          <w:szCs w:val="24"/>
        </w:rPr>
        <w:t>0,4</w:t>
      </w:r>
      <w:r w:rsidRPr="00422183">
        <w:rPr>
          <w:rFonts w:ascii="Rockwell" w:hAnsi="Rockwell"/>
          <w:sz w:val="24"/>
          <w:szCs w:val="24"/>
        </w:rPr>
        <w:t xml:space="preserve">% pour l’axe 1, </w:t>
      </w:r>
      <w:r w:rsidR="00552413" w:rsidRPr="00422183">
        <w:rPr>
          <w:rFonts w:ascii="Rockwell" w:hAnsi="Rockwell"/>
          <w:sz w:val="24"/>
          <w:szCs w:val="24"/>
        </w:rPr>
        <w:t xml:space="preserve">23,1 </w:t>
      </w:r>
      <w:r w:rsidRPr="00422183">
        <w:rPr>
          <w:rFonts w:ascii="Rockwell" w:hAnsi="Rockwell"/>
          <w:sz w:val="24"/>
          <w:szCs w:val="24"/>
        </w:rPr>
        <w:t xml:space="preserve">% pour l’axe 2 et </w:t>
      </w:r>
      <w:r w:rsidR="00552413" w:rsidRPr="00422183">
        <w:rPr>
          <w:rFonts w:ascii="Rockwell" w:hAnsi="Rockwell"/>
          <w:sz w:val="24"/>
          <w:szCs w:val="24"/>
        </w:rPr>
        <w:t>76,5%</w:t>
      </w:r>
      <w:r w:rsidRPr="00422183">
        <w:rPr>
          <w:rFonts w:ascii="Rockwell" w:hAnsi="Rockwell"/>
          <w:sz w:val="24"/>
          <w:szCs w:val="24"/>
        </w:rPr>
        <w:t xml:space="preserve">% pour l’axe 3. Cette </w:t>
      </w:r>
      <w:r w:rsidR="00552413" w:rsidRPr="00422183">
        <w:rPr>
          <w:rFonts w:ascii="Rockwell" w:hAnsi="Rockwell"/>
          <w:sz w:val="24"/>
          <w:szCs w:val="24"/>
        </w:rPr>
        <w:t xml:space="preserve">répartition </w:t>
      </w:r>
      <w:r w:rsidRPr="00422183">
        <w:rPr>
          <w:rFonts w:ascii="Rockwell" w:hAnsi="Rockwell"/>
          <w:sz w:val="24"/>
          <w:szCs w:val="24"/>
        </w:rPr>
        <w:t>est conforme au schéma de transformation structurelle envisagée</w:t>
      </w:r>
      <w:r w:rsidR="00552413" w:rsidRPr="00422183">
        <w:rPr>
          <w:rFonts w:ascii="Rockwell" w:hAnsi="Rockwell"/>
          <w:sz w:val="24"/>
          <w:szCs w:val="24"/>
        </w:rPr>
        <w:t xml:space="preserve"> à l’horizon 2020</w:t>
      </w:r>
      <w:r w:rsidRPr="00422183">
        <w:rPr>
          <w:rFonts w:ascii="Rockwell" w:hAnsi="Rockwell"/>
          <w:sz w:val="24"/>
          <w:szCs w:val="24"/>
        </w:rPr>
        <w:t>.</w:t>
      </w:r>
    </w:p>
    <w:p w:rsidR="009D0167" w:rsidRPr="00422183" w:rsidRDefault="009D0167" w:rsidP="003A0820">
      <w:pPr>
        <w:spacing w:after="0" w:line="240" w:lineRule="auto"/>
        <w:jc w:val="both"/>
        <w:rPr>
          <w:rFonts w:ascii="Rockwell" w:hAnsi="Rockwell"/>
          <w:sz w:val="24"/>
          <w:szCs w:val="24"/>
        </w:rPr>
      </w:pPr>
    </w:p>
    <w:p w:rsidR="009D0167" w:rsidRPr="00422183" w:rsidRDefault="00552413" w:rsidP="00552413">
      <w:pPr>
        <w:pStyle w:val="Lgende"/>
        <w:rPr>
          <w:color w:val="auto"/>
          <w:sz w:val="24"/>
          <w:szCs w:val="24"/>
        </w:rPr>
      </w:pPr>
      <w:bookmarkStart w:id="371" w:name="_Toc455079257"/>
      <w:r w:rsidRPr="00422183">
        <w:rPr>
          <w:color w:val="auto"/>
        </w:rPr>
        <w:t xml:space="preserve">Tableau </w:t>
      </w:r>
      <w:r w:rsidR="00491B03" w:rsidRPr="00422183">
        <w:rPr>
          <w:color w:val="auto"/>
        </w:rPr>
        <w:fldChar w:fldCharType="begin"/>
      </w:r>
      <w:r w:rsidRPr="00422183">
        <w:rPr>
          <w:color w:val="auto"/>
        </w:rPr>
        <w:instrText xml:space="preserve"> SEQ Tableau \* ARABIC </w:instrText>
      </w:r>
      <w:r w:rsidR="00491B03" w:rsidRPr="00422183">
        <w:rPr>
          <w:color w:val="auto"/>
        </w:rPr>
        <w:fldChar w:fldCharType="separate"/>
      </w:r>
      <w:r w:rsidRPr="00422183">
        <w:rPr>
          <w:noProof/>
          <w:color w:val="auto"/>
        </w:rPr>
        <w:t>6</w:t>
      </w:r>
      <w:r w:rsidR="00491B03" w:rsidRPr="00422183">
        <w:rPr>
          <w:color w:val="auto"/>
        </w:rPr>
        <w:fldChar w:fldCharType="end"/>
      </w:r>
      <w:r w:rsidRPr="00422183">
        <w:rPr>
          <w:color w:val="auto"/>
        </w:rPr>
        <w:t xml:space="preserve"> : </w:t>
      </w:r>
      <w:r w:rsidRPr="00422183">
        <w:rPr>
          <w:color w:val="auto"/>
          <w:sz w:val="24"/>
          <w:szCs w:val="24"/>
        </w:rPr>
        <w:t>Coût des investissements structurants et réformes stratégiques</w:t>
      </w:r>
      <w:bookmarkEnd w:id="371"/>
      <w:r w:rsidRPr="00422183">
        <w:rPr>
          <w:color w:val="auto"/>
          <w:sz w:val="24"/>
          <w:szCs w:val="24"/>
        </w:rPr>
        <w:t xml:space="preserve"> </w:t>
      </w:r>
    </w:p>
    <w:tbl>
      <w:tblPr>
        <w:tblW w:w="10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100"/>
        <w:gridCol w:w="1200"/>
        <w:gridCol w:w="1200"/>
      </w:tblGrid>
      <w:tr w:rsidR="00422183" w:rsidRPr="00422183" w:rsidTr="002F18E4">
        <w:trPr>
          <w:trHeight w:val="315"/>
          <w:tblHeader/>
        </w:trPr>
        <w:tc>
          <w:tcPr>
            <w:tcW w:w="8100" w:type="dxa"/>
            <w:shd w:val="clear" w:color="auto" w:fill="FBD4B4" w:themeFill="accent6" w:themeFillTint="66"/>
            <w:vAlign w:val="center"/>
          </w:tcPr>
          <w:p w:rsidR="009D0167" w:rsidRPr="009D0167" w:rsidRDefault="00552413" w:rsidP="009D0167">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Axes et objectifs du PNDES</w:t>
            </w:r>
          </w:p>
        </w:tc>
        <w:tc>
          <w:tcPr>
            <w:tcW w:w="1200" w:type="dxa"/>
            <w:shd w:val="clear" w:color="auto" w:fill="FBD4B4" w:themeFill="accent6" w:themeFillTint="66"/>
            <w:noWrap/>
            <w:vAlign w:val="bottom"/>
          </w:tcPr>
          <w:p w:rsidR="009D0167" w:rsidRPr="009D0167" w:rsidRDefault="00552413" w:rsidP="00552413">
            <w:pPr>
              <w:spacing w:after="0" w:line="240" w:lineRule="auto"/>
              <w:jc w:val="center"/>
              <w:rPr>
                <w:rFonts w:ascii="Calibri" w:eastAsia="Times New Roman" w:hAnsi="Calibri" w:cs="Times New Roman"/>
                <w:b/>
              </w:rPr>
            </w:pPr>
            <w:r w:rsidRPr="00422183">
              <w:rPr>
                <w:rFonts w:ascii="Calibri" w:eastAsia="Times New Roman" w:hAnsi="Calibri" w:cs="Times New Roman"/>
                <w:b/>
              </w:rPr>
              <w:t>Coûts</w:t>
            </w:r>
          </w:p>
        </w:tc>
        <w:tc>
          <w:tcPr>
            <w:tcW w:w="1200" w:type="dxa"/>
            <w:shd w:val="clear" w:color="auto" w:fill="FBD4B4" w:themeFill="accent6" w:themeFillTint="66"/>
            <w:vAlign w:val="center"/>
          </w:tcPr>
          <w:p w:rsidR="009D0167" w:rsidRPr="009D0167" w:rsidRDefault="00552413" w:rsidP="009D0167">
            <w:pPr>
              <w:spacing w:after="0" w:line="240" w:lineRule="auto"/>
              <w:jc w:val="right"/>
              <w:rPr>
                <w:rFonts w:ascii="Calibri" w:eastAsia="Times New Roman" w:hAnsi="Calibri" w:cs="Times New Roman"/>
                <w:b/>
              </w:rPr>
            </w:pPr>
            <w:r w:rsidRPr="00422183">
              <w:rPr>
                <w:rFonts w:ascii="Calibri" w:eastAsia="Times New Roman" w:hAnsi="Calibri" w:cs="Times New Roman"/>
                <w:b/>
              </w:rPr>
              <w:t xml:space="preserve">Parts </w:t>
            </w:r>
          </w:p>
        </w:tc>
      </w:tr>
      <w:tr w:rsidR="00422183" w:rsidRPr="00422183" w:rsidTr="002F18E4">
        <w:trPr>
          <w:trHeight w:val="315"/>
        </w:trPr>
        <w:tc>
          <w:tcPr>
            <w:tcW w:w="8100" w:type="dxa"/>
            <w:shd w:val="clear" w:color="000000" w:fill="E2EFDA"/>
            <w:vAlign w:val="center"/>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Axe stratégique 1 : réformer les institutions et moderniser l'administration</w:t>
            </w:r>
          </w:p>
        </w:tc>
        <w:tc>
          <w:tcPr>
            <w:tcW w:w="1200" w:type="dxa"/>
            <w:shd w:val="clear" w:color="000000" w:fill="E2EFDA"/>
            <w:noWrap/>
            <w:vAlign w:val="center"/>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31,0</w:t>
            </w:r>
          </w:p>
        </w:tc>
        <w:tc>
          <w:tcPr>
            <w:tcW w:w="1200" w:type="dxa"/>
            <w:shd w:val="clear" w:color="000000" w:fill="E2EFDA"/>
            <w:vAlign w:val="center"/>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0,4%</w:t>
            </w:r>
          </w:p>
        </w:tc>
      </w:tr>
      <w:tr w:rsidR="00422183" w:rsidRPr="009D0167" w:rsidTr="002F18E4">
        <w:trPr>
          <w:trHeight w:val="31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1.1 : Promouvoir la bonne gouvernance politique et administrative</w:t>
            </w:r>
          </w:p>
        </w:tc>
        <w:tc>
          <w:tcPr>
            <w:tcW w:w="1200" w:type="dxa"/>
            <w:shd w:val="clear" w:color="000000" w:fill="BDD7EE"/>
            <w:noWrap/>
            <w:vAlign w:val="center"/>
            <w:hideMark/>
          </w:tcPr>
          <w:p w:rsidR="00552413" w:rsidRPr="009D0167" w:rsidRDefault="00552413" w:rsidP="002F18E4">
            <w:pPr>
              <w:spacing w:after="0" w:line="240" w:lineRule="auto"/>
              <w:jc w:val="center"/>
              <w:rPr>
                <w:rFonts w:ascii="Rockwell" w:eastAsia="Times New Roman" w:hAnsi="Rockwell" w:cs="Times New Roman"/>
              </w:rPr>
            </w:pPr>
            <w:r w:rsidRPr="009D0167">
              <w:rPr>
                <w:rFonts w:ascii="Rockwell" w:eastAsia="Times New Roman" w:hAnsi="Rockwell" w:cs="Times New Roman"/>
              </w:rPr>
              <w:t>-</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0,0%</w:t>
            </w:r>
          </w:p>
        </w:tc>
      </w:tr>
      <w:tr w:rsidR="00422183" w:rsidRPr="009D0167" w:rsidTr="002F18E4">
        <w:trPr>
          <w:trHeight w:val="31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stratégique1. 2. Promouvoir la bonne gouvernance économique</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31,0</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0,4%</w:t>
            </w:r>
          </w:p>
        </w:tc>
      </w:tr>
      <w:tr w:rsidR="00422183" w:rsidRPr="009D0167" w:rsidTr="002F18E4">
        <w:trPr>
          <w:trHeight w:val="49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stratégique1. 3. Renforcer la décentralisation, la gouvernance locale et le développement régional</w:t>
            </w:r>
          </w:p>
        </w:tc>
        <w:tc>
          <w:tcPr>
            <w:tcW w:w="1200" w:type="dxa"/>
            <w:shd w:val="clear" w:color="000000" w:fill="BDD7EE"/>
            <w:noWrap/>
            <w:vAlign w:val="center"/>
            <w:hideMark/>
          </w:tcPr>
          <w:p w:rsidR="00552413" w:rsidRPr="009D0167" w:rsidRDefault="00552413" w:rsidP="002F18E4">
            <w:pPr>
              <w:spacing w:after="0" w:line="240" w:lineRule="auto"/>
              <w:jc w:val="center"/>
              <w:rPr>
                <w:rFonts w:ascii="Rockwell" w:eastAsia="Times New Roman" w:hAnsi="Rockwell" w:cs="Times New Roman"/>
              </w:rPr>
            </w:pPr>
            <w:r w:rsidRPr="009D0167">
              <w:rPr>
                <w:rFonts w:ascii="Rockwell" w:eastAsia="Times New Roman" w:hAnsi="Rockwell" w:cs="Times New Roman"/>
              </w:rPr>
              <w:t>-</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0,0%</w:t>
            </w:r>
          </w:p>
        </w:tc>
      </w:tr>
      <w:tr w:rsidR="00422183" w:rsidRPr="009D0167" w:rsidTr="002F18E4">
        <w:trPr>
          <w:trHeight w:val="315"/>
        </w:trPr>
        <w:tc>
          <w:tcPr>
            <w:tcW w:w="8100" w:type="dxa"/>
            <w:shd w:val="clear" w:color="000000" w:fill="E2EFDA"/>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Axe stratégique 2 : développer le capital humain</w:t>
            </w:r>
          </w:p>
        </w:tc>
        <w:tc>
          <w:tcPr>
            <w:tcW w:w="1200" w:type="dxa"/>
            <w:shd w:val="clear" w:color="000000" w:fill="E2EFDA"/>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1 766,0</w:t>
            </w:r>
          </w:p>
        </w:tc>
        <w:tc>
          <w:tcPr>
            <w:tcW w:w="1200" w:type="dxa"/>
            <w:shd w:val="clear" w:color="000000" w:fill="E2EFDA"/>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23,1%</w:t>
            </w:r>
          </w:p>
        </w:tc>
      </w:tr>
      <w:tr w:rsidR="00422183" w:rsidRPr="009D0167" w:rsidTr="002F18E4">
        <w:trPr>
          <w:trHeight w:val="49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2.1 : Promouvoir la santé des populations et accélérer la transition démographique</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106,7</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1,4%</w:t>
            </w:r>
          </w:p>
        </w:tc>
      </w:tr>
      <w:tr w:rsidR="00422183" w:rsidRPr="009D0167" w:rsidTr="002F18E4">
        <w:trPr>
          <w:trHeight w:val="73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2.2 : Accroitre l’offre et améliorer la qualité de l’éducation, de l’enseignement supérieur et de la formation en adéquation avec les besoins de l’économie</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979,3</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12,8%</w:t>
            </w:r>
          </w:p>
        </w:tc>
      </w:tr>
      <w:tr w:rsidR="00422183" w:rsidRPr="009D0167" w:rsidTr="002F18E4">
        <w:trPr>
          <w:trHeight w:val="52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2.3 Promouvoir la recherche et l'innovation au service de la transformation structurelle de l'économie</w:t>
            </w:r>
            <w:r w:rsidRPr="009D0167">
              <w:rPr>
                <w:rFonts w:ascii="Rockwell" w:eastAsia="Times New Roman" w:hAnsi="Rockwell" w:cs="Times New Roman"/>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0,0%</w:t>
            </w:r>
          </w:p>
        </w:tc>
      </w:tr>
      <w:tr w:rsidR="00422183" w:rsidRPr="009D0167" w:rsidTr="002F18E4">
        <w:trPr>
          <w:trHeight w:val="31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310,8</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4,1%</w:t>
            </w:r>
          </w:p>
        </w:tc>
      </w:tr>
      <w:tr w:rsidR="00422183" w:rsidRPr="009D0167" w:rsidTr="002F18E4">
        <w:trPr>
          <w:trHeight w:val="480"/>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2.4  Promouvoir l'emploi décent et la protection sociale pour tous y compris les jeunes et les femmes</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0,0%</w:t>
            </w:r>
          </w:p>
        </w:tc>
      </w:tr>
      <w:tr w:rsidR="00422183" w:rsidRPr="009D0167" w:rsidTr="002F18E4">
        <w:trPr>
          <w:trHeight w:val="31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187,0</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2,4%</w:t>
            </w:r>
          </w:p>
        </w:tc>
      </w:tr>
      <w:tr w:rsidR="00422183" w:rsidRPr="009D0167" w:rsidTr="002F18E4">
        <w:trPr>
          <w:trHeight w:val="540"/>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2.5 : Améliorer le cadre de vie, l'accès à l'eau, à l'assainissement et aux services énergétiques de qualité</w:t>
            </w:r>
            <w:r w:rsidRPr="009D0167">
              <w:rPr>
                <w:rFonts w:ascii="Rockwell" w:eastAsia="Times New Roman" w:hAnsi="Rockwell" w:cs="Times New Roman"/>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182,1</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2,4%</w:t>
            </w:r>
          </w:p>
        </w:tc>
      </w:tr>
      <w:tr w:rsidR="00422183" w:rsidRPr="009D0167" w:rsidTr="002F18E4">
        <w:trPr>
          <w:trHeight w:val="315"/>
        </w:trPr>
        <w:tc>
          <w:tcPr>
            <w:tcW w:w="8100" w:type="dxa"/>
            <w:shd w:val="clear" w:color="000000" w:fill="E2EFDA"/>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Axe stratégique 3 : Dynamiser les secteurs porteurs pour l'économie et l'emploi</w:t>
            </w:r>
          </w:p>
        </w:tc>
        <w:tc>
          <w:tcPr>
            <w:tcW w:w="1200" w:type="dxa"/>
            <w:shd w:val="clear" w:color="000000" w:fill="E2EFDA"/>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5 838,0</w:t>
            </w:r>
          </w:p>
        </w:tc>
        <w:tc>
          <w:tcPr>
            <w:tcW w:w="1200" w:type="dxa"/>
            <w:shd w:val="clear" w:color="000000" w:fill="E2EFDA"/>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76,5%</w:t>
            </w:r>
          </w:p>
        </w:tc>
      </w:tr>
      <w:tr w:rsidR="00422183" w:rsidRPr="009D0167" w:rsidTr="002F18E4">
        <w:trPr>
          <w:trHeight w:val="735"/>
        </w:trPr>
        <w:tc>
          <w:tcPr>
            <w:tcW w:w="8100" w:type="dxa"/>
            <w:shd w:val="clear" w:color="000000" w:fill="BDD7EE"/>
            <w:vAlign w:val="center"/>
            <w:hideMark/>
          </w:tcPr>
          <w:p w:rsidR="00552413" w:rsidRPr="009D0167" w:rsidRDefault="00552413" w:rsidP="002F18E4">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 xml:space="preserve">Objectif stratégique 3.1. Développer un secteur agro-sylvo-pastoral, fauniques et halieutiques productif </w:t>
            </w:r>
            <w:r w:rsidR="002F18E4" w:rsidRPr="00422183">
              <w:rPr>
                <w:rFonts w:ascii="Rockwell" w:eastAsia="Times New Roman" w:hAnsi="Rockwell" w:cs="Times New Roman"/>
                <w:b/>
                <w:bCs/>
                <w:sz w:val="18"/>
                <w:szCs w:val="18"/>
              </w:rPr>
              <w:t>et</w:t>
            </w:r>
            <w:r w:rsidRPr="009D0167">
              <w:rPr>
                <w:rFonts w:ascii="Rockwell" w:eastAsia="Times New Roman" w:hAnsi="Rockwell" w:cs="Times New Roman"/>
                <w:b/>
                <w:bCs/>
                <w:sz w:val="18"/>
                <w:szCs w:val="18"/>
              </w:rPr>
              <w:t xml:space="preserve"> résilient, davantage orienté vers le marché et basé sur les principes de développement durable</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624,5</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8,2%</w:t>
            </w:r>
          </w:p>
        </w:tc>
      </w:tr>
      <w:tr w:rsidR="00422183" w:rsidRPr="009D0167" w:rsidTr="002F18E4">
        <w:trPr>
          <w:trHeight w:val="49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3.2. Développer un secteur industriel et artisanal compétitif, à forte valeur ajoutée et créateur d'emplois décents.</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60,8</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0,8%</w:t>
            </w:r>
          </w:p>
        </w:tc>
      </w:tr>
      <w:tr w:rsidR="00422183" w:rsidRPr="009D0167" w:rsidTr="002F18E4">
        <w:trPr>
          <w:trHeight w:val="540"/>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3.3. Promouvoir l'expansion des industries de services à forte valeur ajoutée et créatrices d'emplois décents.</w:t>
            </w:r>
            <w:r w:rsidRPr="009D0167">
              <w:rPr>
                <w:rFonts w:ascii="Rockwell" w:eastAsia="Times New Roman" w:hAnsi="Rockwell" w:cs="Times New Roman"/>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669,6</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8,8%</w:t>
            </w:r>
          </w:p>
        </w:tc>
      </w:tr>
      <w:tr w:rsidR="00422183" w:rsidRPr="009D0167" w:rsidTr="002F18E4">
        <w:trPr>
          <w:trHeight w:val="540"/>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3.4: développer des infrastructures de qualité et résilientes pour favoriser la transformation structurelle de l’économie</w:t>
            </w:r>
            <w:r w:rsidRPr="009D0167">
              <w:rPr>
                <w:rFonts w:ascii="Rockwell" w:eastAsia="Times New Roman" w:hAnsi="Rockwell" w:cs="Times New Roman"/>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4 367,9</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57,2%</w:t>
            </w:r>
          </w:p>
        </w:tc>
      </w:tr>
      <w:tr w:rsidR="00422183" w:rsidRPr="009D0167" w:rsidTr="002F18E4">
        <w:trPr>
          <w:trHeight w:val="555"/>
        </w:trPr>
        <w:tc>
          <w:tcPr>
            <w:tcW w:w="8100" w:type="dxa"/>
            <w:shd w:val="clear" w:color="000000" w:fill="BDD7EE"/>
            <w:vAlign w:val="center"/>
            <w:hideMark/>
          </w:tcPr>
          <w:p w:rsidR="00552413" w:rsidRPr="009D0167" w:rsidRDefault="00552413" w:rsidP="00552413">
            <w:pPr>
              <w:spacing w:after="0" w:line="240" w:lineRule="auto"/>
              <w:rPr>
                <w:rFonts w:ascii="Rockwell" w:eastAsia="Times New Roman" w:hAnsi="Rockwell" w:cs="Times New Roman"/>
                <w:b/>
                <w:bCs/>
                <w:sz w:val="18"/>
                <w:szCs w:val="18"/>
              </w:rPr>
            </w:pPr>
            <w:r w:rsidRPr="009D0167">
              <w:rPr>
                <w:rFonts w:ascii="Rockwell" w:eastAsia="Times New Roman" w:hAnsi="Rockwell" w:cs="Times New Roman"/>
                <w:b/>
                <w:bCs/>
                <w:sz w:val="18"/>
                <w:szCs w:val="18"/>
              </w:rPr>
              <w:t>Objectif stratégique 3.5 : Inverser la tendance de la dégradation de l'environnement et assurer durablement la gestion des ressources naturelles</w:t>
            </w:r>
            <w:r w:rsidRPr="009D0167">
              <w:rPr>
                <w:rFonts w:ascii="Rockwell" w:eastAsia="Times New Roman" w:hAnsi="Rockwell" w:cs="Times New Roman"/>
                <w:b/>
                <w:bCs/>
              </w:rPr>
              <w:t> </w:t>
            </w:r>
          </w:p>
        </w:tc>
        <w:tc>
          <w:tcPr>
            <w:tcW w:w="1200" w:type="dxa"/>
            <w:shd w:val="clear" w:color="000000" w:fill="BDD7EE"/>
            <w:noWrap/>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115,2</w:t>
            </w:r>
          </w:p>
        </w:tc>
        <w:tc>
          <w:tcPr>
            <w:tcW w:w="1200" w:type="dxa"/>
            <w:shd w:val="clear" w:color="000000" w:fill="BDD7EE"/>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1,5%</w:t>
            </w:r>
          </w:p>
        </w:tc>
      </w:tr>
      <w:tr w:rsidR="00422183" w:rsidRPr="009D0167" w:rsidTr="002F18E4">
        <w:trPr>
          <w:trHeight w:val="315"/>
        </w:trPr>
        <w:tc>
          <w:tcPr>
            <w:tcW w:w="8100" w:type="dxa"/>
            <w:shd w:val="clear" w:color="000000" w:fill="FFD966"/>
            <w:vAlign w:val="center"/>
            <w:hideMark/>
          </w:tcPr>
          <w:p w:rsidR="00552413" w:rsidRPr="009D0167" w:rsidRDefault="00552413" w:rsidP="00552413">
            <w:pPr>
              <w:spacing w:after="0" w:line="240" w:lineRule="auto"/>
              <w:rPr>
                <w:rFonts w:ascii="Rockwell" w:eastAsia="Times New Roman" w:hAnsi="Rockwell" w:cs="Times New Roman"/>
                <w:b/>
                <w:bCs/>
              </w:rPr>
            </w:pPr>
            <w:r w:rsidRPr="009D0167">
              <w:rPr>
                <w:rFonts w:ascii="Rockwell" w:eastAsia="Times New Roman" w:hAnsi="Rockwell" w:cs="Times New Roman"/>
                <w:b/>
                <w:bCs/>
              </w:rPr>
              <w:t>Total</w:t>
            </w:r>
          </w:p>
        </w:tc>
        <w:tc>
          <w:tcPr>
            <w:tcW w:w="1200" w:type="dxa"/>
            <w:shd w:val="clear" w:color="000000" w:fill="FFD966"/>
            <w:noWrap/>
            <w:vAlign w:val="center"/>
            <w:hideMark/>
          </w:tcPr>
          <w:p w:rsidR="00552413" w:rsidRPr="009D0167" w:rsidRDefault="00552413" w:rsidP="002F18E4">
            <w:pPr>
              <w:spacing w:after="0" w:line="240" w:lineRule="auto"/>
              <w:jc w:val="center"/>
              <w:rPr>
                <w:rFonts w:ascii="Calibri" w:eastAsia="Times New Roman" w:hAnsi="Calibri" w:cs="Times New Roman"/>
                <w:b/>
                <w:bCs/>
              </w:rPr>
            </w:pPr>
            <w:r w:rsidRPr="009D0167">
              <w:rPr>
                <w:rFonts w:ascii="Calibri" w:eastAsia="Times New Roman" w:hAnsi="Calibri" w:cs="Times New Roman"/>
                <w:b/>
                <w:bCs/>
              </w:rPr>
              <w:t>7 635,0</w:t>
            </w:r>
          </w:p>
        </w:tc>
        <w:tc>
          <w:tcPr>
            <w:tcW w:w="1200" w:type="dxa"/>
            <w:shd w:val="clear" w:color="000000" w:fill="FFD966"/>
            <w:vAlign w:val="center"/>
            <w:hideMark/>
          </w:tcPr>
          <w:p w:rsidR="00552413" w:rsidRPr="009D0167" w:rsidRDefault="00552413" w:rsidP="002F18E4">
            <w:pPr>
              <w:spacing w:after="0" w:line="240" w:lineRule="auto"/>
              <w:jc w:val="center"/>
              <w:rPr>
                <w:rFonts w:ascii="Calibri" w:eastAsia="Times New Roman" w:hAnsi="Calibri" w:cs="Times New Roman"/>
              </w:rPr>
            </w:pPr>
            <w:r w:rsidRPr="009D0167">
              <w:rPr>
                <w:rFonts w:ascii="Calibri" w:eastAsia="Times New Roman" w:hAnsi="Calibri" w:cs="Times New Roman"/>
              </w:rPr>
              <w:t>100,0%</w:t>
            </w:r>
          </w:p>
        </w:tc>
      </w:tr>
    </w:tbl>
    <w:p w:rsidR="009D0167" w:rsidRPr="00422183" w:rsidRDefault="009D0167" w:rsidP="003A0820">
      <w:pPr>
        <w:spacing w:after="0" w:line="240" w:lineRule="auto"/>
        <w:jc w:val="both"/>
        <w:rPr>
          <w:rFonts w:ascii="Rockwell" w:hAnsi="Rockwell"/>
          <w:sz w:val="24"/>
          <w:szCs w:val="24"/>
        </w:rPr>
      </w:pPr>
    </w:p>
    <w:p w:rsidR="00D47F87" w:rsidRPr="00422183" w:rsidRDefault="00D47F87" w:rsidP="003A0820">
      <w:pPr>
        <w:spacing w:after="0" w:line="240" w:lineRule="auto"/>
        <w:jc w:val="both"/>
        <w:rPr>
          <w:rFonts w:ascii="Rockwell" w:hAnsi="Rockwell"/>
          <w:sz w:val="24"/>
          <w:szCs w:val="24"/>
        </w:rPr>
      </w:pPr>
    </w:p>
    <w:p w:rsidR="00063A0A" w:rsidRPr="00422183" w:rsidRDefault="00B33E82" w:rsidP="003A0820">
      <w:pPr>
        <w:pStyle w:val="PNDES3"/>
        <w:rPr>
          <w:rFonts w:ascii="Rockwell" w:hAnsi="Rockwell"/>
        </w:rPr>
      </w:pPr>
      <w:bookmarkStart w:id="372" w:name="_Toc452994209"/>
      <w:bookmarkStart w:id="373" w:name="_Toc452994657"/>
      <w:bookmarkStart w:id="374" w:name="_Toc452995097"/>
      <w:bookmarkStart w:id="375" w:name="_Toc453160796"/>
      <w:bookmarkStart w:id="376" w:name="_Toc455132782"/>
      <w:r w:rsidRPr="00422183">
        <w:rPr>
          <w:rFonts w:ascii="Rockwell" w:hAnsi="Rockwell"/>
        </w:rPr>
        <w:t xml:space="preserve">Conditions de </w:t>
      </w:r>
      <w:r w:rsidR="0046676C" w:rsidRPr="00422183">
        <w:rPr>
          <w:rFonts w:ascii="Rockwell" w:hAnsi="Rockwell"/>
        </w:rPr>
        <w:t>réussite</w:t>
      </w:r>
      <w:r w:rsidR="00712F86" w:rsidRPr="00422183">
        <w:rPr>
          <w:rFonts w:ascii="Rockwell" w:hAnsi="Rockwell"/>
        </w:rPr>
        <w:t xml:space="preserve"> des investissements</w:t>
      </w:r>
      <w:bookmarkEnd w:id="372"/>
      <w:bookmarkEnd w:id="373"/>
      <w:bookmarkEnd w:id="374"/>
      <w:bookmarkEnd w:id="375"/>
      <w:bookmarkEnd w:id="376"/>
    </w:p>
    <w:p w:rsidR="00836AAD" w:rsidRPr="00422183" w:rsidRDefault="00836AAD" w:rsidP="003A0820">
      <w:pPr>
        <w:spacing w:after="0" w:line="240" w:lineRule="auto"/>
        <w:jc w:val="both"/>
        <w:rPr>
          <w:rFonts w:ascii="Rockwell" w:hAnsi="Rockwell"/>
          <w:sz w:val="24"/>
          <w:szCs w:val="24"/>
        </w:rPr>
      </w:pPr>
    </w:p>
    <w:p w:rsidR="00063A0A" w:rsidRPr="00422183" w:rsidRDefault="00063A0A" w:rsidP="003A0820">
      <w:pPr>
        <w:spacing w:after="0" w:line="240" w:lineRule="auto"/>
        <w:jc w:val="both"/>
        <w:rPr>
          <w:rFonts w:ascii="Rockwell" w:hAnsi="Rockwell"/>
          <w:sz w:val="24"/>
          <w:szCs w:val="24"/>
        </w:rPr>
      </w:pPr>
      <w:r w:rsidRPr="00422183">
        <w:rPr>
          <w:rFonts w:ascii="Rockwell" w:hAnsi="Rockwell"/>
          <w:sz w:val="24"/>
          <w:szCs w:val="24"/>
        </w:rPr>
        <w:t>Pour que cet instrument apporte l'effet escompté, il importe que le chantier de la rationalisation des projets et programmes d'investissement soit bouclé au plus tard en 2017 et que les dispositions appropriées soient prises dans le même délai, pour l'amélioration de leur capacité d'absorption.</w:t>
      </w:r>
    </w:p>
    <w:p w:rsidR="00836AAD" w:rsidRPr="00422183" w:rsidRDefault="00836AAD" w:rsidP="003A0820">
      <w:pPr>
        <w:spacing w:after="0" w:line="240" w:lineRule="auto"/>
        <w:jc w:val="both"/>
        <w:rPr>
          <w:rFonts w:ascii="Rockwell" w:hAnsi="Rockwell"/>
          <w:b/>
          <w:sz w:val="24"/>
          <w:szCs w:val="24"/>
        </w:rPr>
      </w:pPr>
    </w:p>
    <w:p w:rsidR="00063A0A" w:rsidRPr="00422183" w:rsidRDefault="00063A0A" w:rsidP="004102F5">
      <w:pPr>
        <w:pStyle w:val="Paragraphedeliste"/>
        <w:numPr>
          <w:ilvl w:val="0"/>
          <w:numId w:val="11"/>
        </w:numPr>
        <w:spacing w:after="0" w:line="240" w:lineRule="auto"/>
        <w:jc w:val="both"/>
        <w:rPr>
          <w:rFonts w:ascii="Rockwell" w:hAnsi="Rockwell" w:cs="Times New Roman"/>
          <w:b/>
          <w:sz w:val="24"/>
          <w:szCs w:val="24"/>
        </w:rPr>
      </w:pPr>
      <w:bookmarkStart w:id="377" w:name="_Toc452994210"/>
      <w:bookmarkStart w:id="378" w:name="_Toc452994211"/>
      <w:bookmarkEnd w:id="377"/>
      <w:r w:rsidRPr="00422183">
        <w:rPr>
          <w:rFonts w:ascii="Rockwell" w:hAnsi="Rockwell" w:cs="Times New Roman"/>
          <w:b/>
          <w:sz w:val="24"/>
          <w:szCs w:val="24"/>
        </w:rPr>
        <w:t>Rationalisation des projets et programmes d'investissement</w:t>
      </w:r>
      <w:bookmarkEnd w:id="378"/>
    </w:p>
    <w:p w:rsidR="00836AAD" w:rsidRPr="00422183" w:rsidRDefault="00836AAD" w:rsidP="003A0820">
      <w:pPr>
        <w:spacing w:after="0" w:line="240" w:lineRule="auto"/>
        <w:jc w:val="both"/>
        <w:rPr>
          <w:rFonts w:ascii="Rockwell" w:hAnsi="Rockwell" w:cs="Times New Roman"/>
          <w:sz w:val="24"/>
          <w:szCs w:val="24"/>
        </w:rPr>
      </w:pPr>
    </w:p>
    <w:p w:rsidR="00063A0A" w:rsidRPr="00422183" w:rsidRDefault="00063A0A"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La rationalisation </w:t>
      </w:r>
      <w:r w:rsidRPr="00422183">
        <w:rPr>
          <w:rFonts w:ascii="Rockwell" w:hAnsi="Rockwell" w:cs="ArialNarrow"/>
          <w:sz w:val="24"/>
          <w:szCs w:val="24"/>
        </w:rPr>
        <w:t>des projets</w:t>
      </w:r>
      <w:r w:rsidRPr="00422183">
        <w:rPr>
          <w:rFonts w:ascii="Rockwell" w:hAnsi="Rockwell"/>
          <w:sz w:val="24"/>
          <w:szCs w:val="24"/>
        </w:rPr>
        <w:t xml:space="preserve"> et programmes d'investissement</w:t>
      </w:r>
      <w:r w:rsidRPr="00422183">
        <w:rPr>
          <w:rFonts w:ascii="Rockwell" w:hAnsi="Rockwell" w:cs="Times New Roman"/>
          <w:sz w:val="24"/>
          <w:szCs w:val="24"/>
        </w:rPr>
        <w:t xml:space="preserve"> devra être entreprise à l'effet d'aboutir à : (i) la réduction du nombre d'unités de gestion de projets par la création de grands projets ou programmes par nature et par objectif, (ii) la création d'une synergie d'actions au sein des projets et programmes d'un même département ministériel et domaines d'activités, ce qui permettra de favoriser la capitalisation des acquis des projets après leur exécution, (iii) une meilleure reddition des comptes, l</w:t>
      </w:r>
      <w:r w:rsidR="006C72DE" w:rsidRPr="00422183">
        <w:rPr>
          <w:rFonts w:ascii="Rockwell" w:hAnsi="Rockwell" w:cs="Times New Roman"/>
          <w:sz w:val="24"/>
          <w:szCs w:val="24"/>
        </w:rPr>
        <w:t>'</w:t>
      </w:r>
      <w:r w:rsidRPr="00422183">
        <w:rPr>
          <w:rFonts w:ascii="Rockwell" w:hAnsi="Rockwell" w:cs="Times New Roman"/>
          <w:sz w:val="24"/>
          <w:szCs w:val="24"/>
        </w:rPr>
        <w:t>amélioration de la coordination, du suivi et de l'évaluation des projets et programmes, (iv) l'affectation conséquente des ressources aux investissements structurants, (v) la réalisation d'économies sur les charges de fonctionnement, du personnel et d'équipement des projets et programmes, (vi) la réduction considérable des délais de démarrage des projets et programmes par la suppression de certaines conditionnalités de premier décaissement.</w:t>
      </w:r>
    </w:p>
    <w:p w:rsidR="00063A0A" w:rsidRPr="00422183" w:rsidRDefault="00063A0A" w:rsidP="003A0820">
      <w:pPr>
        <w:spacing w:after="0" w:line="240" w:lineRule="auto"/>
        <w:jc w:val="both"/>
        <w:rPr>
          <w:rFonts w:ascii="Rockwell" w:hAnsi="Rockwell" w:cs="Times New Roman"/>
          <w:sz w:val="24"/>
          <w:szCs w:val="24"/>
        </w:rPr>
      </w:pPr>
    </w:p>
    <w:p w:rsidR="00063A0A" w:rsidRPr="00422183" w:rsidRDefault="00063A0A"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Le processus de rationalisation pourrait se dérouler selon les étapes suivantes : (i) la sensibilisation de tous les acteurs notamment les </w:t>
      </w:r>
      <w:r w:rsidR="00A7176F" w:rsidRPr="00422183">
        <w:rPr>
          <w:rFonts w:ascii="Rockwell" w:hAnsi="Rockwell" w:cs="Times New Roman"/>
          <w:sz w:val="24"/>
          <w:szCs w:val="24"/>
        </w:rPr>
        <w:t>PTF,</w:t>
      </w:r>
      <w:r w:rsidRPr="00422183">
        <w:rPr>
          <w:rFonts w:ascii="Rockwell" w:hAnsi="Rockwell" w:cs="Times New Roman"/>
          <w:sz w:val="24"/>
          <w:szCs w:val="24"/>
        </w:rPr>
        <w:t xml:space="preserve"> (ii) l</w:t>
      </w:r>
      <w:r w:rsidR="006C72DE" w:rsidRPr="00422183">
        <w:rPr>
          <w:rFonts w:ascii="Rockwell" w:hAnsi="Rockwell" w:cs="Times New Roman"/>
          <w:sz w:val="24"/>
          <w:szCs w:val="24"/>
        </w:rPr>
        <w:t>'</w:t>
      </w:r>
      <w:r w:rsidRPr="00422183">
        <w:rPr>
          <w:rFonts w:ascii="Rockwell" w:hAnsi="Rockwell" w:cs="Times New Roman"/>
          <w:sz w:val="24"/>
          <w:szCs w:val="24"/>
        </w:rPr>
        <w:t>établissement de la liste des projets et programmes sans distinction de leur degré de maturité à regrouper, (iii) le regroupement des projets et programmes suivant leur secteur d'intervention, leur domaine d'activités et, leurs objectifs, (iv) la mise en place des unités de gestion des projets et programmes.</w:t>
      </w:r>
    </w:p>
    <w:p w:rsidR="00063A0A" w:rsidRPr="00422183" w:rsidRDefault="00063A0A" w:rsidP="003A0820">
      <w:pPr>
        <w:spacing w:after="0" w:line="240" w:lineRule="auto"/>
        <w:jc w:val="both"/>
        <w:rPr>
          <w:rFonts w:ascii="Rockwell" w:hAnsi="Rockwell" w:cs="Times New Roman"/>
          <w:sz w:val="24"/>
          <w:szCs w:val="24"/>
        </w:rPr>
      </w:pPr>
    </w:p>
    <w:p w:rsidR="00063A0A" w:rsidRPr="00422183" w:rsidRDefault="00063A0A"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De ce fait, tout projet qui viendrait à être créé devra être systématiquement rattaché à une unité de gestion déjà existante. Les départements ministériels seront chargés de conduire le processus en leur sein, en collaboration avec le Ministère en charge de l'économie et du développement. Des textes viendront préciser les modalités d'opérationnalisation du processus.</w:t>
      </w:r>
    </w:p>
    <w:p w:rsidR="00063A0A" w:rsidRPr="00422183" w:rsidRDefault="00063A0A"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Ce processus requiert l'adhésion entière de l'ensemble des départements ministériels et des </w:t>
      </w:r>
      <w:r w:rsidR="00B4557F" w:rsidRPr="00422183">
        <w:rPr>
          <w:rFonts w:ascii="Rockwell" w:hAnsi="Rockwell" w:cs="Times New Roman"/>
          <w:sz w:val="24"/>
          <w:szCs w:val="24"/>
        </w:rPr>
        <w:t>partenaires techniques et financiers</w:t>
      </w:r>
      <w:r w:rsidRPr="00422183">
        <w:rPr>
          <w:rFonts w:ascii="Rockwell" w:hAnsi="Rockwell" w:cs="Times New Roman"/>
          <w:sz w:val="24"/>
          <w:szCs w:val="24"/>
        </w:rPr>
        <w:t>.</w:t>
      </w:r>
    </w:p>
    <w:p w:rsidR="00063A0A" w:rsidRPr="00422183" w:rsidRDefault="00063A0A" w:rsidP="003A0820">
      <w:pPr>
        <w:spacing w:after="0" w:line="240" w:lineRule="auto"/>
        <w:jc w:val="both"/>
        <w:rPr>
          <w:rFonts w:ascii="Rockwell" w:hAnsi="Rockwell" w:cs="Times New Roman"/>
          <w:sz w:val="24"/>
          <w:szCs w:val="24"/>
        </w:rPr>
      </w:pPr>
    </w:p>
    <w:p w:rsidR="00063A0A" w:rsidRPr="00422183" w:rsidRDefault="00063A0A" w:rsidP="004102F5">
      <w:pPr>
        <w:pStyle w:val="Paragraphedeliste"/>
        <w:numPr>
          <w:ilvl w:val="0"/>
          <w:numId w:val="11"/>
        </w:numPr>
        <w:spacing w:after="0" w:line="240" w:lineRule="auto"/>
        <w:jc w:val="both"/>
        <w:rPr>
          <w:rFonts w:ascii="Rockwell" w:hAnsi="Rockwell" w:cs="Times New Roman"/>
          <w:b/>
          <w:sz w:val="24"/>
          <w:szCs w:val="24"/>
        </w:rPr>
      </w:pPr>
      <w:bookmarkStart w:id="379" w:name="_Toc452994212"/>
      <w:r w:rsidRPr="00422183">
        <w:rPr>
          <w:rFonts w:ascii="Rockwell" w:hAnsi="Rockwell" w:cs="Times New Roman"/>
          <w:b/>
          <w:sz w:val="24"/>
          <w:szCs w:val="24"/>
        </w:rPr>
        <w:t>Amélioration de la capacité d'absorption des projets et programmes d'investissement</w:t>
      </w:r>
      <w:bookmarkEnd w:id="379"/>
    </w:p>
    <w:p w:rsidR="00836AAD" w:rsidRPr="00422183" w:rsidRDefault="00836AAD" w:rsidP="003A0820">
      <w:pPr>
        <w:spacing w:after="0" w:line="240" w:lineRule="auto"/>
        <w:jc w:val="both"/>
        <w:rPr>
          <w:rFonts w:ascii="Rockwell" w:hAnsi="Rockwell" w:cs="Times New Roman"/>
          <w:sz w:val="24"/>
          <w:szCs w:val="24"/>
        </w:rPr>
      </w:pPr>
    </w:p>
    <w:p w:rsidR="00063A0A" w:rsidRPr="00422183" w:rsidRDefault="00063A0A"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Les orientations suivantes sont formulées pour être concrétisées sans délai, dans le but de contribuer substantiellement à l'amélioration de la capacité d'absorption des projets et programmes d'investissement : (i) œuvrer à l'allègement de la procédure de ratification des accords de financement, à la faveur de la relecture de la constitution, (ii) alléger les procédures de passation des marchés publics, en rationnalisant le nombre d'acteurs et en réduisant les délais, (iii) œuvrer auprès des PTF, à la réduction des délais de délivrance des avis de non objection, (iv) appliquer rigoureusement les sanctions prévues par les textes aux entreprises défaillantes, (iv) renforcer les capacités opérationnelles des acteurs dans leurs domaines de compétences, (v) s'approprier les règles et procédures de l'État et des PTF en matière de passation de marchés, (vi) être proactif et anticiper sur la préparation des dossiers d'acquisition, (vii) planifier rigoureusement les activités à réaliser dans l'année et effectuer un suivi permanent de leur exécution, (viii) exercer un suivi rapproché des dossiers introduits dans le circuit administratif, (ix) s'aligner sur les procédures nationales, (x) définir avec les PTF, les délais de traitement des dossiers.</w:t>
      </w:r>
    </w:p>
    <w:p w:rsidR="00B33E82" w:rsidRPr="00422183" w:rsidRDefault="00B33E82" w:rsidP="003A0820">
      <w:pPr>
        <w:spacing w:after="0" w:line="240" w:lineRule="auto"/>
        <w:jc w:val="both"/>
        <w:rPr>
          <w:rFonts w:ascii="Rockwell" w:hAnsi="Rockwell" w:cs="Times New Roman"/>
          <w:sz w:val="24"/>
          <w:szCs w:val="24"/>
        </w:rPr>
      </w:pPr>
    </w:p>
    <w:p w:rsidR="00B33E82" w:rsidRPr="00422183" w:rsidRDefault="00B33E82" w:rsidP="003A0820">
      <w:pPr>
        <w:spacing w:after="0" w:line="240" w:lineRule="auto"/>
        <w:jc w:val="both"/>
        <w:rPr>
          <w:rFonts w:ascii="Rockwell" w:hAnsi="Rockwell" w:cs="Times New Roman"/>
          <w:sz w:val="24"/>
          <w:szCs w:val="24"/>
        </w:rPr>
      </w:pPr>
    </w:p>
    <w:p w:rsidR="00712F86" w:rsidRPr="00422183" w:rsidRDefault="00712F86"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br w:type="page"/>
      </w:r>
    </w:p>
    <w:p w:rsidR="00E05663" w:rsidRPr="00422183" w:rsidRDefault="00D73B80" w:rsidP="003A0820">
      <w:pPr>
        <w:pStyle w:val="PNDES1"/>
      </w:pPr>
      <w:bookmarkStart w:id="380" w:name="_Toc452994213"/>
      <w:bookmarkStart w:id="381" w:name="_Toc452994658"/>
      <w:bookmarkStart w:id="382" w:name="_Toc452995098"/>
      <w:bookmarkStart w:id="383" w:name="_Toc453158158"/>
      <w:bookmarkStart w:id="384" w:name="_Toc453160798"/>
      <w:bookmarkStart w:id="385" w:name="_Toc453160941"/>
      <w:bookmarkStart w:id="386" w:name="_Toc455079238"/>
      <w:bookmarkStart w:id="387" w:name="_Toc455132783"/>
      <w:r w:rsidRPr="00422183">
        <w:t>DISPOSITIONS DE MISE EN ŒUVRE, DE SUIVI ET D'ÉVALUATION</w:t>
      </w:r>
      <w:bookmarkEnd w:id="380"/>
      <w:bookmarkEnd w:id="381"/>
      <w:bookmarkEnd w:id="382"/>
      <w:bookmarkEnd w:id="383"/>
      <w:bookmarkEnd w:id="384"/>
      <w:bookmarkEnd w:id="385"/>
      <w:bookmarkEnd w:id="386"/>
      <w:bookmarkEnd w:id="387"/>
    </w:p>
    <w:p w:rsidR="00DB35EE" w:rsidRPr="00422183" w:rsidRDefault="00DB35EE" w:rsidP="003A0820">
      <w:pPr>
        <w:spacing w:after="0" w:line="240" w:lineRule="auto"/>
        <w:jc w:val="both"/>
        <w:rPr>
          <w:rFonts w:ascii="Rockwell" w:hAnsi="Rockwell"/>
        </w:rPr>
      </w:pPr>
    </w:p>
    <w:p w:rsidR="00DB35EE" w:rsidRPr="00422183" w:rsidRDefault="00DB35EE" w:rsidP="00516FB0">
      <w:pPr>
        <w:pStyle w:val="PNDES2"/>
        <w:spacing w:before="40" w:line="259" w:lineRule="auto"/>
      </w:pPr>
      <w:bookmarkStart w:id="388" w:name="_Toc455079239"/>
      <w:bookmarkStart w:id="389" w:name="_Toc455132784"/>
      <w:bookmarkStart w:id="390" w:name="_Toc454705710"/>
      <w:r w:rsidRPr="00422183">
        <w:t>D</w:t>
      </w:r>
      <w:r w:rsidR="00D558FB" w:rsidRPr="00422183">
        <w:t>ispositif de mise en œuvre</w:t>
      </w:r>
      <w:bookmarkEnd w:id="388"/>
      <w:bookmarkEnd w:id="389"/>
      <w:r w:rsidR="00D558FB" w:rsidRPr="00422183">
        <w:t xml:space="preserve"> </w:t>
      </w:r>
      <w:bookmarkEnd w:id="390"/>
    </w:p>
    <w:p w:rsidR="00DB35EE" w:rsidRPr="00422183" w:rsidRDefault="00DB35EE" w:rsidP="00516FB0">
      <w:pPr>
        <w:pStyle w:val="PNDES3"/>
      </w:pPr>
      <w:bookmarkStart w:id="391" w:name="_Toc455132785"/>
      <w:r w:rsidRPr="00422183">
        <w:t>Instruments de mise en œuvre</w:t>
      </w:r>
      <w:bookmarkEnd w:id="391"/>
    </w:p>
    <w:p w:rsidR="00DB35EE" w:rsidRPr="00422183" w:rsidRDefault="00DB35EE" w:rsidP="003A0820">
      <w:pPr>
        <w:spacing w:after="0" w:line="240" w:lineRule="auto"/>
        <w:jc w:val="both"/>
        <w:rPr>
          <w:rFonts w:ascii="Rockwell" w:hAnsi="Rockwell"/>
        </w:rPr>
      </w:pPr>
    </w:p>
    <w:p w:rsidR="00DB35EE" w:rsidRPr="00422183" w:rsidRDefault="00DB35EE" w:rsidP="00516FB0">
      <w:pPr>
        <w:pStyle w:val="PNDES4"/>
      </w:pPr>
      <w:bookmarkStart w:id="392" w:name="_Toc455132786"/>
      <w:r w:rsidRPr="00422183">
        <w:t>Les politiques sectorielles</w:t>
      </w:r>
      <w:bookmarkEnd w:id="392"/>
    </w:p>
    <w:p w:rsidR="00DB35EE" w:rsidRPr="00422183" w:rsidRDefault="00DB35EE" w:rsidP="00516FB0">
      <w:pPr>
        <w:spacing w:after="0" w:line="240" w:lineRule="auto"/>
        <w:contextualSpacing/>
        <w:jc w:val="both"/>
        <w:rPr>
          <w:rFonts w:ascii="Rockwell" w:hAnsi="Rockwell"/>
          <w:sz w:val="24"/>
          <w:szCs w:val="24"/>
        </w:rPr>
      </w:pPr>
    </w:p>
    <w:p w:rsidR="00DB35EE" w:rsidRPr="00422183" w:rsidRDefault="00DB35EE" w:rsidP="003A0820">
      <w:pPr>
        <w:spacing w:after="0" w:line="240" w:lineRule="auto"/>
        <w:contextualSpacing/>
        <w:jc w:val="both"/>
        <w:rPr>
          <w:rFonts w:ascii="Rockwell" w:hAnsi="Rockwell"/>
          <w:sz w:val="24"/>
          <w:szCs w:val="24"/>
        </w:rPr>
      </w:pPr>
      <w:r w:rsidRPr="00422183">
        <w:rPr>
          <w:rFonts w:ascii="Rockwell" w:hAnsi="Rockwell"/>
          <w:sz w:val="24"/>
          <w:szCs w:val="24"/>
        </w:rPr>
        <w:t>Le PNDES a identifié les grandes orientations de développement à l'horizon 2020. Les différentes politiques devront être en adéquation avec le PNDES et assurer la traduction concrète des priorités. Ces politiques sectorielles devront être traduites en programmes opérationnels assortis de plans d'actions triennaux glissants par secteur. En outre, annuellement des plans de travail comportant les actions et les activités seront élaborés au sein de chaque ministère, conformément au canevas présenté en Annexe 7. Ce processus se déroulera conformément aux orientations du budget-programme de l'État. Pour ce faire, une relecture des politiques sectorielles pour les conformer aux secteurs de planification doit être faite.</w:t>
      </w:r>
    </w:p>
    <w:p w:rsidR="00DB35EE" w:rsidRPr="00422183" w:rsidRDefault="00DB35EE" w:rsidP="003A0820">
      <w:pPr>
        <w:spacing w:after="0" w:line="240" w:lineRule="auto"/>
        <w:contextualSpacing/>
        <w:jc w:val="both"/>
        <w:rPr>
          <w:rFonts w:ascii="Rockwell" w:hAnsi="Rockwell"/>
          <w:sz w:val="24"/>
          <w:szCs w:val="24"/>
        </w:rPr>
      </w:pPr>
    </w:p>
    <w:p w:rsidR="00DB35EE" w:rsidRPr="00422183" w:rsidRDefault="00DB35EE" w:rsidP="003A0820">
      <w:pPr>
        <w:pStyle w:val="PNDES4"/>
      </w:pPr>
      <w:bookmarkStart w:id="393" w:name="_Toc455132787"/>
      <w:r w:rsidRPr="00422183">
        <w:t>Les plans locaux de développement</w:t>
      </w:r>
      <w:bookmarkEnd w:id="393"/>
    </w:p>
    <w:p w:rsidR="00DB35EE" w:rsidRPr="00422183" w:rsidRDefault="00DB35EE" w:rsidP="003A0820">
      <w:pPr>
        <w:spacing w:after="0" w:line="240" w:lineRule="auto"/>
        <w:contextualSpacing/>
        <w:jc w:val="both"/>
        <w:rPr>
          <w:rFonts w:ascii="Rockwell" w:hAnsi="Rockwell"/>
          <w:sz w:val="24"/>
          <w:szCs w:val="24"/>
        </w:rPr>
      </w:pPr>
    </w:p>
    <w:p w:rsidR="00DB35EE" w:rsidRPr="00422183" w:rsidRDefault="00DB35EE" w:rsidP="003A0820">
      <w:pPr>
        <w:spacing w:after="0" w:line="240" w:lineRule="auto"/>
        <w:contextualSpacing/>
        <w:jc w:val="both"/>
        <w:rPr>
          <w:rFonts w:ascii="Rockwell" w:hAnsi="Rockwell"/>
          <w:sz w:val="24"/>
          <w:szCs w:val="24"/>
        </w:rPr>
      </w:pPr>
      <w:r w:rsidRPr="00422183">
        <w:rPr>
          <w:rFonts w:ascii="Rockwell" w:hAnsi="Rockwell"/>
          <w:sz w:val="24"/>
          <w:szCs w:val="24"/>
        </w:rPr>
        <w:t>Au niveau local, le PNDES sera opérationnalisé à travers les plans locaux de développement. L'élaboration et la mise en œuvre des PRD et PCD seront axées sur les priorités locales de développement en cohérence avec les orientations du PNDES.</w:t>
      </w:r>
    </w:p>
    <w:p w:rsidR="00DB35EE" w:rsidRPr="00422183" w:rsidRDefault="00DB35EE" w:rsidP="003A0820">
      <w:pPr>
        <w:spacing w:after="0" w:line="240" w:lineRule="auto"/>
        <w:contextualSpacing/>
        <w:jc w:val="both"/>
        <w:rPr>
          <w:rFonts w:ascii="Rockwell" w:hAnsi="Rockwell"/>
          <w:sz w:val="24"/>
          <w:szCs w:val="24"/>
        </w:rPr>
      </w:pPr>
    </w:p>
    <w:p w:rsidR="00DB35EE" w:rsidRPr="00422183" w:rsidRDefault="00DB35EE" w:rsidP="003A0820">
      <w:pPr>
        <w:pStyle w:val="PNDES3"/>
      </w:pPr>
      <w:bookmarkStart w:id="394" w:name="_Toc455132788"/>
      <w:r w:rsidRPr="00422183">
        <w:t>Les acteurs de mise en œuvre</w:t>
      </w:r>
      <w:bookmarkEnd w:id="394"/>
    </w:p>
    <w:p w:rsidR="00DB35EE" w:rsidRPr="00422183" w:rsidRDefault="00DB35EE" w:rsidP="003A0820">
      <w:pPr>
        <w:spacing w:after="0" w:line="240" w:lineRule="auto"/>
        <w:contextualSpacing/>
        <w:jc w:val="both"/>
        <w:rPr>
          <w:rFonts w:ascii="Rockwell" w:hAnsi="Rockwell"/>
          <w:sz w:val="24"/>
          <w:szCs w:val="24"/>
        </w:rPr>
      </w:pPr>
    </w:p>
    <w:p w:rsidR="00DB35EE" w:rsidRPr="00422183" w:rsidRDefault="00DB35EE" w:rsidP="003A0820">
      <w:pPr>
        <w:pStyle w:val="PNDES4"/>
      </w:pPr>
      <w:bookmarkStart w:id="395" w:name="_Toc455132789"/>
      <w:r w:rsidRPr="00422183">
        <w:t>L'État</w:t>
      </w:r>
      <w:bookmarkEnd w:id="395"/>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r w:rsidRPr="00422183">
        <w:rPr>
          <w:rFonts w:ascii="Rockwell" w:hAnsi="Rockwell" w:cs="Calibri"/>
          <w:sz w:val="24"/>
          <w:szCs w:val="24"/>
        </w:rPr>
        <w:t>L'État assumera ses fonctions régaliennes, lesquelles portent essentiellement sur la création des conditions favorables aux activités des acteurs publics et privés.</w:t>
      </w: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r w:rsidRPr="00422183">
        <w:rPr>
          <w:rFonts w:ascii="Rockwell" w:hAnsi="Rockwell" w:cs="Calibri"/>
          <w:sz w:val="24"/>
          <w:szCs w:val="24"/>
        </w:rPr>
        <w:t>De façon spécifique, il est attendu de l'État, l'élaboration ou l'actualisation des politiques sectorielles, l'organisation de la concertation avec les différents acteurs, la création d'un environnement favorable à la mise en œuvre du PNDES, la mobilisation des ressources (financières, matérielles et humaines) nécessaires à la réalisation des réformes stratégiques et des investissements structurants, l'animation du dispositif de suivi et d'évaluation de la mise en œuvre.</w:t>
      </w: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pStyle w:val="PNDES4"/>
      </w:pPr>
      <w:bookmarkStart w:id="396" w:name="_Toc455132790"/>
      <w:r w:rsidRPr="00422183">
        <w:t>Les collectivités territoriales</w:t>
      </w:r>
      <w:bookmarkEnd w:id="396"/>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spacing w:after="0" w:line="240" w:lineRule="auto"/>
        <w:jc w:val="both"/>
        <w:rPr>
          <w:rFonts w:ascii="Rockwell" w:hAnsi="Rockwell" w:cs="Calibri"/>
          <w:sz w:val="24"/>
          <w:szCs w:val="24"/>
        </w:rPr>
      </w:pPr>
      <w:r w:rsidRPr="00422183">
        <w:rPr>
          <w:rFonts w:ascii="Rockwell" w:hAnsi="Rockwell" w:cs="Calibri"/>
          <w:sz w:val="24"/>
          <w:szCs w:val="24"/>
        </w:rPr>
        <w:t>Dans le cadre de la mise en œuvre du PNDES, les rôles des collectivités territoriales devront être axés sur la participation à l'élaboration et à la mise en œuvre des plans locaux de développement, l'animation des cadres de concertation au niveau local avec les différents acteurs, la participation au processus de suivi et d'évaluation au niveau local.</w:t>
      </w:r>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pStyle w:val="PNDES4"/>
      </w:pPr>
      <w:bookmarkStart w:id="397" w:name="_Toc455132791"/>
      <w:r w:rsidRPr="00422183">
        <w:t>Le secteur privé</w:t>
      </w:r>
      <w:bookmarkEnd w:id="397"/>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r w:rsidRPr="00422183">
        <w:rPr>
          <w:rFonts w:ascii="Rockwell" w:hAnsi="Rockwell" w:cs="Calibri"/>
          <w:sz w:val="24"/>
          <w:szCs w:val="24"/>
        </w:rPr>
        <w:t>Le secteur privé jouera un rôle prépondérant dans la production, la transformation, la commercialisation des produits locaux et la création d'emplois. Par le biais des PPP, il cofinancera la réalisation de certains investissements structurants, aux cadres de concertation, au suivi et à l'évaluation et la mise en œuvre.</w:t>
      </w: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L'objectif de cette démarche du PPP vise à optimiser les performances respectives des secteurs public et privé et de réaliser dans les meilleurs délais et conditions des projets à vocation sociale ou de développement d'infrastructures et de services publics. Cette approche doit également permettre de dégager des économies pour le budget de l'État et d'assurer une meilleure allocation des ressources publiques et de rendre le secteur privé plus performant.</w:t>
      </w:r>
    </w:p>
    <w:p w:rsidR="00DB35EE" w:rsidRPr="00422183" w:rsidRDefault="00DB35EE" w:rsidP="003A0820">
      <w:pPr>
        <w:autoSpaceDE w:val="0"/>
        <w:autoSpaceDN w:val="0"/>
        <w:adjustRightInd w:val="0"/>
        <w:spacing w:after="0" w:line="240" w:lineRule="auto"/>
        <w:jc w:val="both"/>
        <w:rPr>
          <w:rFonts w:ascii="Rockwell" w:hAnsi="Rockwell" w:cs="Calibri"/>
          <w:sz w:val="24"/>
          <w:szCs w:val="24"/>
        </w:rPr>
      </w:pPr>
    </w:p>
    <w:p w:rsidR="00DB35EE" w:rsidRPr="00422183" w:rsidRDefault="00DB35EE" w:rsidP="003A0820">
      <w:pPr>
        <w:pStyle w:val="PNDES4"/>
      </w:pPr>
      <w:bookmarkStart w:id="398" w:name="_Toc455132792"/>
      <w:r w:rsidRPr="00422183">
        <w:t>Les organisations de la société civile</w:t>
      </w:r>
      <w:bookmarkEnd w:id="398"/>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spacing w:after="0" w:line="240" w:lineRule="auto"/>
        <w:jc w:val="both"/>
        <w:rPr>
          <w:rFonts w:ascii="Rockwell" w:hAnsi="Rockwell" w:cs="Calibri"/>
          <w:sz w:val="24"/>
          <w:szCs w:val="24"/>
        </w:rPr>
      </w:pPr>
      <w:r w:rsidRPr="00422183">
        <w:rPr>
          <w:rFonts w:ascii="Rockwell" w:hAnsi="Rockwell" w:cs="Calibri"/>
          <w:sz w:val="24"/>
          <w:szCs w:val="24"/>
        </w:rPr>
        <w:t>Le rôle de ce groupe d'acteurs dans la mise œuvre du PNDES devra porter sur la participation à l'élaboration et à la mise en œuvre des politiques sectorielles et des plans locaux de développement, au financement et à l'exécution des projets et programmes, à la formation et à l'appui-conseil des différents acteurs, aux cadres de concertation, au suivi et à l'évaluation de la mise en œuvre.</w:t>
      </w:r>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pStyle w:val="PNDES4"/>
      </w:pPr>
      <w:bookmarkStart w:id="399" w:name="_Toc455132793"/>
      <w:r w:rsidRPr="00422183">
        <w:t>Les P</w:t>
      </w:r>
      <w:r w:rsidR="00312C30" w:rsidRPr="00422183">
        <w:t>artenaires techniques et financiers</w:t>
      </w:r>
      <w:bookmarkEnd w:id="399"/>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spacing w:after="0" w:line="240" w:lineRule="auto"/>
        <w:jc w:val="both"/>
        <w:rPr>
          <w:rFonts w:ascii="Rockwell" w:hAnsi="Rockwell" w:cs="Calibri"/>
          <w:sz w:val="24"/>
          <w:szCs w:val="24"/>
        </w:rPr>
      </w:pPr>
      <w:r w:rsidRPr="00422183">
        <w:rPr>
          <w:rFonts w:ascii="Rockwell" w:hAnsi="Rockwell" w:cs="Calibri"/>
          <w:sz w:val="24"/>
          <w:szCs w:val="24"/>
        </w:rPr>
        <w:t>Le rôle des PTF devra porter sur la participation aux cadres de concertation, l'appui à l'élaboration et à la mise en œuvre des politiques sectorielles, ainsi qu'à celle des plans locaux de développement, le renforcement des capacités institutionnelles et opérationnelles, la mobilisation des ressources nécessaires pour la mise en œuvre, le suivi et l'évaluation du PNDES, la participation au suivi et à l'évaluation de la mise en œuvre.</w:t>
      </w:r>
    </w:p>
    <w:p w:rsidR="00DB35EE" w:rsidRPr="00422183" w:rsidRDefault="00DB35EE" w:rsidP="003A0820">
      <w:pPr>
        <w:spacing w:after="0" w:line="240" w:lineRule="auto"/>
        <w:jc w:val="both"/>
        <w:rPr>
          <w:rFonts w:ascii="Rockwell" w:hAnsi="Rockwell" w:cs="Calibri"/>
          <w:sz w:val="24"/>
          <w:szCs w:val="24"/>
        </w:rPr>
      </w:pPr>
    </w:p>
    <w:p w:rsidR="00DB35EE" w:rsidRPr="00422183" w:rsidRDefault="00DB35EE" w:rsidP="003A0820">
      <w:pPr>
        <w:pStyle w:val="PNDES4"/>
      </w:pPr>
      <w:bookmarkStart w:id="400" w:name="_Toc455132794"/>
      <w:r w:rsidRPr="00422183">
        <w:t>Les Burkinabè de l'extérieur</w:t>
      </w:r>
      <w:bookmarkEnd w:id="400"/>
    </w:p>
    <w:p w:rsidR="00DB35EE" w:rsidRPr="00422183" w:rsidRDefault="00DB35EE" w:rsidP="003A0820">
      <w:pPr>
        <w:spacing w:after="0" w:line="240" w:lineRule="auto"/>
        <w:jc w:val="both"/>
        <w:rPr>
          <w:rFonts w:ascii="Rockwell" w:hAnsi="Rockwell"/>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Les Burkinabè de l'extérieur auront un rôle important dans la mise en œuvre du PNDES. Ainsi, ils seront appelés à mettre à profit leur savoir-faire capitalisé dans leur pays de résidence. En outre, la diaspora aura une place importante dans la mobilisation des ressources et des compétences afin de proposer des solutions innovantes aux préoccupations du peuple burkinabè dans les domaines économique et social. Elle sera également sollicitée pour sa participation à la réalisation des investissements structurants, au renforcement de l'entreprenariat et de l'innovation, surtout dans le domaine des TIC.</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bCs/>
          <w:sz w:val="24"/>
          <w:szCs w:val="24"/>
        </w:rPr>
      </w:pPr>
    </w:p>
    <w:p w:rsidR="00DB35EE" w:rsidRPr="00422183" w:rsidRDefault="00DB35EE" w:rsidP="00516FB0">
      <w:pPr>
        <w:pStyle w:val="PNDES3"/>
        <w:rPr>
          <w:bCs/>
        </w:rPr>
      </w:pPr>
      <w:bookmarkStart w:id="401" w:name="_Toc455132795"/>
      <w:r w:rsidRPr="00422183">
        <w:t>Le cadre organisationnel</w:t>
      </w:r>
      <w:bookmarkEnd w:id="401"/>
    </w:p>
    <w:p w:rsidR="00DB35EE" w:rsidRPr="00422183" w:rsidRDefault="00DB35EE" w:rsidP="00516FB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 cadre organisationnel de mise en œuvre du PNDES est constitué des organes chargés de l'animation des cadres de dialogue entre les différents acteurs de développement et des instances de décision.</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4"/>
      </w:pPr>
      <w:bookmarkStart w:id="402" w:name="_Toc455132796"/>
      <w:r w:rsidRPr="00422183">
        <w:t>Les organes</w:t>
      </w:r>
      <w:bookmarkEnd w:id="402"/>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Les organes chargés de l'animation des cadres de dialogue sont : (i) le Comité national de pilotage du PNDES (CNP/PNDES), (ii) le Secrétariat permanent du PNDES (SP/PNDES), (iii) les Cadres sectoriels de dialogue (CSD) et (iv) les Cadres régionaux de dialogue (CRD).</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4"/>
      </w:pPr>
      <w:bookmarkStart w:id="403" w:name="_Toc455132797"/>
      <w:r w:rsidRPr="00422183">
        <w:t xml:space="preserve">Le </w:t>
      </w:r>
      <w:r w:rsidR="008944F4" w:rsidRPr="00422183">
        <w:rPr>
          <w:rFonts w:ascii="Rockwell" w:hAnsi="Rockwell" w:cs="Times New Roman"/>
        </w:rPr>
        <w:t>Comité national de pilotage du PNDES</w:t>
      </w:r>
      <w:bookmarkEnd w:id="403"/>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 CNP/PNDES a pour mission</w:t>
      </w:r>
      <w:r w:rsidR="008944F4" w:rsidRPr="00422183">
        <w:rPr>
          <w:rFonts w:ascii="Rockwell" w:hAnsi="Rockwell" w:cs="Times New Roman"/>
          <w:sz w:val="24"/>
          <w:szCs w:val="24"/>
        </w:rPr>
        <w:t>s</w:t>
      </w:r>
      <w:r w:rsidRPr="00422183">
        <w:rPr>
          <w:rFonts w:ascii="Rockwell" w:hAnsi="Rockwell" w:cs="Times New Roman"/>
          <w:sz w:val="24"/>
          <w:szCs w:val="24"/>
        </w:rPr>
        <w:t> : (i) de superviser la mise en œuvre du PNDES, à travers le suivi et l'évaluation des actions retenues dans les différents secteurs de planification, (ii) de donner les directives aux différents acteurs, notamment aux secteurs de planification et aux régions, pour la conduite des actions qui leur incombent et la production des différents rapports nécessaires pour en apprécier l'impact, (iii) de décider de la réalisation des études à caractère général ou spécifique nécessaires à l'approfondissement des éléments du plan et (iv) de veiller au bon déroulement de l'ensemble du processus de suivi et d'évaluation du PNDES.</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Il regroupe l'ensemble des acteurs du développement que sont le gouvernement, les collectivités territoriales, les OSC, le secteur privé et les PTF, sous la présidence du Premier ministre.</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4"/>
      </w:pPr>
      <w:bookmarkStart w:id="404" w:name="_Toc455132798"/>
      <w:r w:rsidRPr="00422183">
        <w:t xml:space="preserve">Le </w:t>
      </w:r>
      <w:r w:rsidR="008944F4" w:rsidRPr="00422183">
        <w:rPr>
          <w:rFonts w:ascii="Rockwell" w:hAnsi="Rockwell" w:cs="Times New Roman"/>
        </w:rPr>
        <w:t>Secrétariat permanent du PNDES</w:t>
      </w:r>
      <w:bookmarkEnd w:id="404"/>
      <w:r w:rsidR="008944F4" w:rsidRPr="00422183">
        <w:rPr>
          <w:rFonts w:ascii="Rockwell" w:hAnsi="Rockwell" w:cs="Times New Roman"/>
        </w:rPr>
        <w:t xml:space="preserve"> </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La structuration et la nature du SP/PNDES seront définies dans le sens de la concrétisation de l'orientation du programme présidentiel indiquant que "</w:t>
      </w:r>
      <w:r w:rsidRPr="00422183">
        <w:rPr>
          <w:rFonts w:ascii="Rockwell" w:hAnsi="Rockwell" w:cs="Times New Roman"/>
          <w:i/>
          <w:sz w:val="24"/>
          <w:szCs w:val="24"/>
        </w:rPr>
        <w:t>pour assurer le pilotage du nouveau dispositif, une instance technique de coordination et d'impulsion des réformes sera mise en place avec un ancrage politique fort. Cette instance sera assistée d'une unité chargée du suivi et de l'évaluation des politiques publiques.</w:t>
      </w:r>
      <w:r w:rsidRPr="00422183">
        <w:rPr>
          <w:rFonts w:ascii="Rockwell" w:hAnsi="Rockwell" w:cs="Times New Roman"/>
          <w:sz w:val="24"/>
          <w:szCs w:val="24"/>
        </w:rPr>
        <w:t>"</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Cette </w:t>
      </w:r>
      <w:r w:rsidR="00312C30" w:rsidRPr="00422183">
        <w:rPr>
          <w:rFonts w:ascii="Rockwell" w:hAnsi="Rockwell" w:cs="Times New Roman"/>
          <w:sz w:val="24"/>
          <w:szCs w:val="24"/>
        </w:rPr>
        <w:t>orientation</w:t>
      </w:r>
      <w:r w:rsidRPr="00422183">
        <w:rPr>
          <w:rFonts w:ascii="Rockwell" w:hAnsi="Rockwell" w:cs="Times New Roman"/>
          <w:sz w:val="24"/>
          <w:szCs w:val="24"/>
        </w:rPr>
        <w:t xml:space="preserve"> devra entraîner des changements en matière d'attributions de structures étatiques et de leur ancrage institutionnel au niveau du Premier ministère, du ministère en charge du développement et des autres départements ministériels. Dans le sens de la cohérence et de l'efficacité des politiques publiques, il devrait être envisagé que les structures et projets n'étant pas portés directement au soutien de la coordination de l'action gouvernementale, voient leur ancrage institutionnel ramené au niveau des départements ministériels. Le positionnement et le dimensionnement du SP/PNDES seront opérés en fonction de cette préoccupation.</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4"/>
      </w:pPr>
      <w:bookmarkStart w:id="405" w:name="_Toc455132799"/>
      <w:r w:rsidRPr="00422183">
        <w:t>Les Cadres sectoriels de dialogue</w:t>
      </w:r>
      <w:bookmarkEnd w:id="405"/>
      <w:r w:rsidRPr="00422183">
        <w:t xml:space="preserve"> </w:t>
      </w:r>
    </w:p>
    <w:p w:rsidR="00DB35EE" w:rsidRPr="00422183" w:rsidRDefault="00DB35EE" w:rsidP="003A0820">
      <w:pPr>
        <w:spacing w:after="0" w:line="240" w:lineRule="auto"/>
        <w:jc w:val="both"/>
        <w:rPr>
          <w:rFonts w:ascii="Rockwell" w:hAnsi="Rockwell"/>
        </w:rPr>
      </w:pPr>
    </w:p>
    <w:p w:rsidR="00DB35EE" w:rsidRPr="00422183" w:rsidRDefault="00DB35EE" w:rsidP="00516FB0">
      <w:pPr>
        <w:spacing w:after="0" w:line="240" w:lineRule="auto"/>
        <w:jc w:val="both"/>
        <w:rPr>
          <w:rFonts w:ascii="Rockwell" w:hAnsi="Rockwell" w:cs="Times New Roman"/>
          <w:sz w:val="24"/>
          <w:szCs w:val="24"/>
        </w:rPr>
      </w:pPr>
      <w:r w:rsidRPr="00422183">
        <w:rPr>
          <w:rFonts w:ascii="Rockwell" w:hAnsi="Rockwell" w:cs="Times New Roman"/>
          <w:sz w:val="24"/>
          <w:szCs w:val="24"/>
        </w:rPr>
        <w:t>Les Cadres sectoriels de dialogue (CSD) correspondent aux secteurs de planification. Ils regroupent l'ensemble des acteurs intervenant dans un secteur donné (administration centrale et déconcentrée, secteur privé, société civile, PTF) sous la présidence de Ministres chefs de file des secteurs. Ils assurent la supervision de la mise en œuvre des politiques sectorielles.</w:t>
      </w:r>
    </w:p>
    <w:p w:rsidR="00DB35EE" w:rsidRPr="00422183" w:rsidRDefault="00DB35EE" w:rsidP="00516FB0">
      <w:pPr>
        <w:spacing w:after="0" w:line="240" w:lineRule="auto"/>
        <w:jc w:val="both"/>
        <w:rPr>
          <w:rFonts w:ascii="Rockwell" w:hAnsi="Rockwell" w:cs="Times New Roman"/>
          <w:sz w:val="24"/>
          <w:szCs w:val="24"/>
        </w:rPr>
      </w:pPr>
    </w:p>
    <w:p w:rsidR="00DB35EE" w:rsidRPr="00422183" w:rsidRDefault="00DB35EE" w:rsidP="003A0820">
      <w:pPr>
        <w:pStyle w:val="PNDES4"/>
      </w:pPr>
      <w:bookmarkStart w:id="406" w:name="_Toc455132800"/>
      <w:r w:rsidRPr="00422183">
        <w:t>Les Cadres régionaux de dialogue</w:t>
      </w:r>
      <w:bookmarkEnd w:id="406"/>
      <w:r w:rsidRPr="00422183">
        <w:t xml:space="preserve"> </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Les Cadres régionaux de dialogue correspondent aux Cadres de concertation régionaux (CCR) élargis aux communes. Ils apprécient la pertinence des actions programmées par les acteurs locaux, leur cohérence avec les objectifs du PNDES et évaluent leurs performances au cours d'une période donnée. Ils regroupent l'ensemble des acteurs de la région sous la présidence des Gouverneurs et la vice-présidence par les Présidents des Conseils Régionaux.</w:t>
      </w:r>
    </w:p>
    <w:p w:rsidR="00DB35EE" w:rsidRPr="00422183" w:rsidRDefault="00DB35EE" w:rsidP="003A0820">
      <w:pPr>
        <w:spacing w:after="0" w:line="240" w:lineRule="auto"/>
        <w:jc w:val="both"/>
        <w:rPr>
          <w:rFonts w:ascii="Rockwell" w:hAnsi="Rockwell"/>
        </w:rPr>
      </w:pPr>
    </w:p>
    <w:p w:rsidR="00DB35EE" w:rsidRPr="00422183" w:rsidRDefault="00DB35EE" w:rsidP="003A0820">
      <w:pPr>
        <w:pStyle w:val="PNDES4"/>
      </w:pPr>
      <w:bookmarkStart w:id="407" w:name="_Toc455132801"/>
      <w:r w:rsidRPr="00422183">
        <w:t>Les instances de décision</w:t>
      </w:r>
      <w:bookmarkEnd w:id="407"/>
    </w:p>
    <w:p w:rsidR="00DB35EE" w:rsidRPr="00422183" w:rsidRDefault="00DB35EE" w:rsidP="003A0820">
      <w:pPr>
        <w:tabs>
          <w:tab w:val="left" w:pos="1560"/>
        </w:tabs>
        <w:spacing w:after="0" w:line="240" w:lineRule="auto"/>
        <w:jc w:val="both"/>
        <w:rPr>
          <w:rFonts w:ascii="Rockwell" w:hAnsi="Rockwell" w:cs="Times New Roman"/>
          <w:sz w:val="24"/>
          <w:szCs w:val="24"/>
        </w:rPr>
      </w:pPr>
    </w:p>
    <w:p w:rsidR="00DB35EE" w:rsidRPr="00422183" w:rsidRDefault="00DB35EE" w:rsidP="003A0820">
      <w:pPr>
        <w:tabs>
          <w:tab w:val="left" w:pos="1560"/>
        </w:tabs>
        <w:spacing w:after="0" w:line="240" w:lineRule="auto"/>
        <w:jc w:val="both"/>
        <w:rPr>
          <w:rFonts w:ascii="Rockwell" w:hAnsi="Rockwell" w:cs="Times New Roman"/>
          <w:sz w:val="24"/>
          <w:szCs w:val="24"/>
        </w:rPr>
      </w:pPr>
      <w:r w:rsidRPr="00422183">
        <w:rPr>
          <w:rFonts w:ascii="Rockwell" w:hAnsi="Rockwell" w:cs="Times New Roman"/>
          <w:sz w:val="24"/>
          <w:szCs w:val="24"/>
        </w:rPr>
        <w:t>Les principales instances de décision du PNDES sont : (i) la revue annuelle du PNDES, (ii) les revues sectorielles et (iii) les revues régionales.</w:t>
      </w:r>
    </w:p>
    <w:p w:rsidR="00DB35EE" w:rsidRPr="00422183" w:rsidRDefault="00DB35EE" w:rsidP="003A0820">
      <w:pPr>
        <w:tabs>
          <w:tab w:val="left" w:pos="1560"/>
        </w:tabs>
        <w:spacing w:after="0" w:line="240" w:lineRule="auto"/>
        <w:jc w:val="both"/>
        <w:rPr>
          <w:rFonts w:ascii="Rockwell" w:hAnsi="Rockwell" w:cs="Times New Roman"/>
          <w:sz w:val="24"/>
          <w:szCs w:val="24"/>
        </w:rPr>
      </w:pPr>
    </w:p>
    <w:p w:rsidR="00DB35EE" w:rsidRPr="00422183" w:rsidRDefault="00DB35EE" w:rsidP="004102F5">
      <w:pPr>
        <w:pStyle w:val="Paragraphedeliste"/>
        <w:numPr>
          <w:ilvl w:val="0"/>
          <w:numId w:val="7"/>
        </w:numPr>
        <w:tabs>
          <w:tab w:val="left" w:pos="1560"/>
        </w:tabs>
        <w:spacing w:after="0" w:line="240" w:lineRule="auto"/>
        <w:jc w:val="both"/>
        <w:rPr>
          <w:rFonts w:ascii="Rockwell" w:hAnsi="Rockwell"/>
          <w:b/>
          <w:i/>
          <w:sz w:val="26"/>
          <w:szCs w:val="26"/>
        </w:rPr>
      </w:pPr>
      <w:r w:rsidRPr="00422183">
        <w:rPr>
          <w:rFonts w:ascii="Rockwell" w:hAnsi="Rockwell"/>
          <w:b/>
          <w:i/>
          <w:sz w:val="26"/>
          <w:szCs w:val="26"/>
        </w:rPr>
        <w:t xml:space="preserve">La revue annuelle du PNDES </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La revue annuelle du PNDES tient lieu de session ordinaire du CNP/PNDES. Au cours de cette revue annuelle, le CNP/PNDES examine et valide les projets de rapport annuel de performance de la mise en œuvre du PNDES de l'année n-1, ainsi que les programmations des années suivantes. Elle est précédée d'une revue technique qui permet de préparer les produits pour la revue annuelle.</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4102F5">
      <w:pPr>
        <w:pStyle w:val="Paragraphedeliste"/>
        <w:numPr>
          <w:ilvl w:val="0"/>
          <w:numId w:val="7"/>
        </w:numPr>
        <w:tabs>
          <w:tab w:val="left" w:pos="1560"/>
        </w:tabs>
        <w:spacing w:after="0" w:line="240" w:lineRule="auto"/>
        <w:jc w:val="both"/>
        <w:rPr>
          <w:rFonts w:ascii="Rockwell" w:hAnsi="Rockwell"/>
          <w:b/>
          <w:i/>
          <w:sz w:val="26"/>
          <w:szCs w:val="26"/>
        </w:rPr>
      </w:pPr>
      <w:r w:rsidRPr="00422183">
        <w:rPr>
          <w:rFonts w:ascii="Rockwell" w:hAnsi="Rockwell"/>
          <w:b/>
          <w:i/>
          <w:sz w:val="26"/>
          <w:szCs w:val="26"/>
        </w:rPr>
        <w:t>Les revues sectorielles</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Les revues sectorielles tiennent lieu de sessions des CSD. Elles ont lieu deux fois dans l'année et leurs rapports alimentent la revue annuelle et la revue technique du PNDES. Elles comprennent une revue sectorielle à mi-parcours et une revue sectorielle annuelle.</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sz w:val="24"/>
          <w:szCs w:val="24"/>
        </w:rPr>
        <w:t>Au cours de la revue sectorielle à mi-parcours, le CSD examine le bilan à mi-parcours de l'année n et les actions à entreprendre pour corriger les insuffisances constatées dans la mise en œuvre du plan de travail.</w:t>
      </w:r>
      <w:r w:rsidR="00317D2A" w:rsidRPr="00422183">
        <w:rPr>
          <w:rFonts w:ascii="Rockwell" w:hAnsi="Rockwell" w:cs="Times New Roman"/>
          <w:sz w:val="24"/>
          <w:szCs w:val="24"/>
        </w:rPr>
        <w:t xml:space="preserve"> </w:t>
      </w:r>
      <w:r w:rsidRPr="00422183">
        <w:rPr>
          <w:rFonts w:ascii="Rockwell" w:hAnsi="Rockwell" w:cs="Times New Roman"/>
          <w:sz w:val="24"/>
          <w:szCs w:val="24"/>
        </w:rPr>
        <w:t>Au cours de la revue sectorielle annuelle, le CSD examine le bilan de l'année n-1 et les perspectives.</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4102F5">
      <w:pPr>
        <w:pStyle w:val="Paragraphedeliste"/>
        <w:numPr>
          <w:ilvl w:val="0"/>
          <w:numId w:val="7"/>
        </w:numPr>
        <w:tabs>
          <w:tab w:val="left" w:pos="1560"/>
        </w:tabs>
        <w:spacing w:after="0" w:line="240" w:lineRule="auto"/>
        <w:jc w:val="both"/>
        <w:rPr>
          <w:rFonts w:ascii="Rockwell" w:hAnsi="Rockwell"/>
          <w:b/>
          <w:i/>
          <w:sz w:val="26"/>
          <w:szCs w:val="26"/>
        </w:rPr>
      </w:pPr>
      <w:r w:rsidRPr="00422183">
        <w:rPr>
          <w:rFonts w:ascii="Rockwell" w:hAnsi="Rockwell"/>
          <w:b/>
          <w:i/>
          <w:sz w:val="26"/>
          <w:szCs w:val="26"/>
        </w:rPr>
        <w:t>Les revues régionales</w:t>
      </w:r>
    </w:p>
    <w:p w:rsidR="00DB35EE" w:rsidRPr="00422183" w:rsidRDefault="00DB35EE" w:rsidP="003A0820">
      <w:pPr>
        <w:tabs>
          <w:tab w:val="left" w:pos="991"/>
        </w:tabs>
        <w:spacing w:after="0" w:line="240" w:lineRule="auto"/>
        <w:jc w:val="both"/>
        <w:rPr>
          <w:rFonts w:ascii="Rockwell" w:hAnsi="Rockwell" w:cs="Times New Roman"/>
          <w:sz w:val="24"/>
          <w:szCs w:val="24"/>
        </w:rPr>
      </w:pPr>
    </w:p>
    <w:p w:rsidR="00DB35EE" w:rsidRPr="00422183" w:rsidRDefault="00DB35EE" w:rsidP="003A0820">
      <w:pPr>
        <w:tabs>
          <w:tab w:val="left" w:pos="991"/>
        </w:tabs>
        <w:spacing w:after="0" w:line="240" w:lineRule="auto"/>
        <w:jc w:val="both"/>
        <w:rPr>
          <w:rFonts w:ascii="Rockwell" w:hAnsi="Rockwell" w:cs="Times New Roman"/>
          <w:sz w:val="24"/>
          <w:szCs w:val="24"/>
        </w:rPr>
      </w:pPr>
      <w:r w:rsidRPr="00422183">
        <w:rPr>
          <w:rFonts w:ascii="Rockwell" w:hAnsi="Rockwell" w:cs="Times New Roman"/>
          <w:sz w:val="24"/>
          <w:szCs w:val="24"/>
        </w:rPr>
        <w:t>Les sessions des CRD tiennent lieu de revues régionales. Elles servent à valider les actions des PRD en cohérence avec les priorités du PNDES et à faire le bilan de leur mise en œuvre. À l'image des revues sectorielles, deux sessions se tiennent dans l'année et leurs rapports validés alimentent la revue annuelle et la revue technique du PNDES.</w:t>
      </w:r>
    </w:p>
    <w:p w:rsidR="00DB35EE" w:rsidRPr="00422183" w:rsidRDefault="00DB35EE" w:rsidP="003A0820">
      <w:pPr>
        <w:tabs>
          <w:tab w:val="left" w:pos="991"/>
        </w:tabs>
        <w:spacing w:after="0" w:line="240" w:lineRule="auto"/>
        <w:jc w:val="both"/>
        <w:rPr>
          <w:rFonts w:ascii="Rockwell" w:hAnsi="Rockwell" w:cs="Times New Roman"/>
          <w:sz w:val="24"/>
          <w:szCs w:val="24"/>
        </w:rPr>
      </w:pPr>
    </w:p>
    <w:p w:rsidR="00DB35EE" w:rsidRPr="00422183" w:rsidRDefault="00DB35EE" w:rsidP="00317D2A">
      <w:pPr>
        <w:tabs>
          <w:tab w:val="left" w:pos="1786"/>
        </w:tabs>
        <w:spacing w:after="0" w:line="240" w:lineRule="auto"/>
        <w:jc w:val="both"/>
        <w:rPr>
          <w:rFonts w:ascii="Rockwell" w:hAnsi="Rockwell" w:cs="Times New Roman"/>
          <w:sz w:val="24"/>
          <w:szCs w:val="24"/>
        </w:rPr>
      </w:pPr>
      <w:r w:rsidRPr="00422183">
        <w:rPr>
          <w:rFonts w:ascii="Rockwell" w:hAnsi="Rockwell" w:cs="Times New Roman"/>
          <w:sz w:val="24"/>
          <w:szCs w:val="24"/>
        </w:rPr>
        <w:t>Au cours de la session à mi-parcours, le CRD examine le bilan à mi-parcours de l'année n et les actions à entreprendre pour corriger les insuffisances constatées dans la mise en œuvre du plan d'actions régional.</w:t>
      </w:r>
      <w:r w:rsidR="00317D2A" w:rsidRPr="00422183">
        <w:rPr>
          <w:rFonts w:ascii="Rockwell" w:hAnsi="Rockwell" w:cs="Times New Roman"/>
          <w:sz w:val="24"/>
          <w:szCs w:val="24"/>
        </w:rPr>
        <w:t xml:space="preserve"> </w:t>
      </w:r>
      <w:r w:rsidRPr="00422183">
        <w:rPr>
          <w:rFonts w:ascii="Rockwell" w:hAnsi="Rockwell" w:cs="Times New Roman"/>
          <w:sz w:val="24"/>
          <w:szCs w:val="24"/>
        </w:rPr>
        <w:t>Le CRD examine, au cours de sa session annuelle, le bilan de l'année n-1 et les perspectives.</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2"/>
        <w:spacing w:before="40" w:line="259" w:lineRule="auto"/>
      </w:pPr>
      <w:bookmarkStart w:id="408" w:name="_Toc454705711"/>
      <w:bookmarkStart w:id="409" w:name="_Toc455079240"/>
      <w:bookmarkStart w:id="410" w:name="_Toc455132802"/>
      <w:r w:rsidRPr="00422183">
        <w:t>Le suivi et l'évaluation du PNDES</w:t>
      </w:r>
      <w:bookmarkEnd w:id="408"/>
      <w:bookmarkEnd w:id="409"/>
      <w:bookmarkEnd w:id="410"/>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3"/>
      </w:pPr>
      <w:bookmarkStart w:id="411" w:name="_Toc455132803"/>
      <w:r w:rsidRPr="00422183">
        <w:t>Le mécanisme de suivi et d’évaluation</w:t>
      </w:r>
      <w:bookmarkEnd w:id="411"/>
    </w:p>
    <w:p w:rsidR="00DB35EE" w:rsidRPr="00422183" w:rsidRDefault="00DB35EE" w:rsidP="003A0820">
      <w:pPr>
        <w:spacing w:after="0" w:line="240" w:lineRule="auto"/>
        <w:jc w:val="both"/>
        <w:rPr>
          <w:rFonts w:ascii="Rockwell" w:hAnsi="Rockwell" w:cs="Times New Roman"/>
          <w:bCs/>
          <w:sz w:val="24"/>
          <w:szCs w:val="24"/>
        </w:rPr>
      </w:pPr>
    </w:p>
    <w:p w:rsidR="00DB35EE" w:rsidRPr="00422183" w:rsidRDefault="00DB35EE" w:rsidP="003A0820">
      <w:pPr>
        <w:spacing w:after="0" w:line="240" w:lineRule="auto"/>
        <w:jc w:val="both"/>
        <w:rPr>
          <w:rFonts w:ascii="Rockwell" w:hAnsi="Rockwell" w:cs="Times New Roman"/>
          <w:sz w:val="24"/>
          <w:szCs w:val="24"/>
        </w:rPr>
      </w:pPr>
      <w:r w:rsidRPr="00422183">
        <w:rPr>
          <w:rFonts w:ascii="Rockwell" w:hAnsi="Rockwell" w:cs="Times New Roman"/>
          <w:bCs/>
          <w:sz w:val="24"/>
          <w:szCs w:val="24"/>
        </w:rPr>
        <w:t xml:space="preserve">Conformément aux exigences de la GAR, le mécanisme </w:t>
      </w:r>
      <w:r w:rsidRPr="00422183">
        <w:rPr>
          <w:rFonts w:ascii="Rockwell" w:hAnsi="Rockwell" w:cs="Times New Roman"/>
          <w:sz w:val="24"/>
          <w:szCs w:val="24"/>
        </w:rPr>
        <w:t>de suivi et d'évaluation du PNDES comprend une composante technique de suivi et une composante technique d'évaluation.</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La composante technique de suivi vise à collecter et à analyser des données pour fournir des éléments d'appréciation sur : (i) l'utilisation des ressources, (ii) les progrès réalisés dans la mise en œuvre des réformes et des programmes et (iii) les objectifs atteints. Cette composante permet d'assurer un suivi continu de la mise en œuvre du PNDES, à travers les quatre phases suivantes :</w:t>
      </w:r>
    </w:p>
    <w:p w:rsidR="00DB35EE" w:rsidRPr="00422183" w:rsidRDefault="00DB35EE" w:rsidP="003A0820">
      <w:pPr>
        <w:spacing w:after="0" w:line="240" w:lineRule="auto"/>
        <w:jc w:val="both"/>
        <w:rPr>
          <w:rFonts w:ascii="Rockwell" w:hAnsi="Rockwell"/>
          <w:sz w:val="24"/>
          <w:szCs w:val="24"/>
        </w:rPr>
      </w:pP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le contrôle des dépenses : il s'agit de suivre mensuellement l'évolution des dépenses par rapport aux prévisions, de s'assurer de la disponibilité des ressources et du respect des délais de décaissements. Au niveau ministériel, chaque unité de gestion de programme est responsable de ce contrôle. Elle remonte les informations au niveau du secrétariat technique de son CSD. Pour ce qui est des collectivités territoriales, les structures régionales habilitées du ministère en charge des finances sont chargées de ce contrôle. Elles assurent la remontée des informations aux secrétariats techniques des CRD dont elles sont membres.</w:t>
      </w:r>
    </w:p>
    <w:p w:rsidR="00DB35EE" w:rsidRPr="00422183" w:rsidRDefault="00DB35EE" w:rsidP="003A0820">
      <w:pPr>
        <w:pStyle w:val="Paragraphedeliste"/>
        <w:spacing w:after="0" w:line="240" w:lineRule="auto"/>
        <w:jc w:val="both"/>
        <w:rPr>
          <w:rFonts w:ascii="Rockwell" w:hAnsi="Rockwell"/>
          <w:sz w:val="24"/>
          <w:szCs w:val="24"/>
        </w:rPr>
      </w:pP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 xml:space="preserve">le suivi de l'exécution financière des programmes : il s'agit de veiller à une bonne utilisation des ressources pour la mise en œuvre des activités des programmes, de s'assurer que les moyens ont été mis à la disposition des programmes et que ces moyens ont effectivement été utilisés pour réaliser les activités pour lesquelles ils étaient destinés. Au niveau ministériel, chaque unité de gestion de programme est responsable de ce </w:t>
      </w:r>
      <w:r w:rsidR="00317D2A" w:rsidRPr="00422183">
        <w:rPr>
          <w:rFonts w:ascii="Rockwell" w:hAnsi="Rockwell"/>
          <w:sz w:val="24"/>
          <w:szCs w:val="24"/>
        </w:rPr>
        <w:t>suivi</w:t>
      </w:r>
      <w:r w:rsidRPr="00422183">
        <w:rPr>
          <w:rFonts w:ascii="Rockwell" w:hAnsi="Rockwell"/>
          <w:sz w:val="24"/>
          <w:szCs w:val="24"/>
        </w:rPr>
        <w:t>. Elle remonte les informations au niveau du secrétariat technique de son CSD. Pour ce qui est des collectivités territoriales, les structures régionales habilitées du ministère en charge des finances sont chargées de ce contrôle. Elles assurent la remontée des informations aux secrétariats techniques des CRD dont elles sont membres.</w:t>
      </w:r>
    </w:p>
    <w:p w:rsidR="00DB35EE" w:rsidRPr="00422183" w:rsidRDefault="00DB35EE" w:rsidP="003A0820">
      <w:pPr>
        <w:spacing w:after="0" w:line="240" w:lineRule="auto"/>
        <w:jc w:val="both"/>
        <w:rPr>
          <w:rFonts w:ascii="Rockwell" w:hAnsi="Rockwell"/>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Le contrôle des dépenses et le suivi de l'exécution financière des programmes seront sanctionnés par un rapport trimestriel qui sera transmis au SP/PNDES.</w:t>
      </w:r>
    </w:p>
    <w:p w:rsidR="00DB35EE" w:rsidRPr="00422183" w:rsidRDefault="00DB35EE" w:rsidP="003A0820">
      <w:pPr>
        <w:spacing w:after="0" w:line="240" w:lineRule="auto"/>
        <w:jc w:val="both"/>
        <w:rPr>
          <w:rFonts w:ascii="Rockwell" w:hAnsi="Rockwell"/>
          <w:sz w:val="24"/>
          <w:szCs w:val="24"/>
        </w:rPr>
      </w:pP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 xml:space="preserve">le suivi de l'exécution technique des programmes : il s'agit de veiller à la bonne exécution des activités des programmes, de s'assurer que : (i) les activités devant être achevées le sont effectivement, (ii) les produits escomptés de ces activités sont disponibles et (iii) le niveau d'exécution des activités en cours évolue </w:t>
      </w:r>
      <w:r w:rsidR="00317D2A" w:rsidRPr="00422183">
        <w:rPr>
          <w:rFonts w:ascii="Rockwell" w:hAnsi="Rockwell"/>
          <w:sz w:val="24"/>
          <w:szCs w:val="24"/>
        </w:rPr>
        <w:t>convenablement</w:t>
      </w:r>
      <w:r w:rsidRPr="00422183">
        <w:rPr>
          <w:rFonts w:ascii="Rockwell" w:hAnsi="Rockwell"/>
          <w:sz w:val="24"/>
          <w:szCs w:val="24"/>
        </w:rPr>
        <w:t xml:space="preserve">. Au niveau ministériel, chaque unité de gestion de programme est responsable de ce contrôle et fournit ces informations aux directions générales des études et des statistiques sectorielles (DGESS). Les DGESS produisent des rapports trimestriels de suivi qui sont transmis au niveau du secrétariat technique de leur CSD. Les secrétariats des CSD produisent des rapports trimestriels qui sont transmis au SP/PNDES. Pour ce qui est des collectivités territoriales, les structures régionales habilitées du ministère en charge des finances sont chargées de ce contrôle. Elles assurent la remontée des informations aux secrétariats techniques des CRD dont elles sont membres. </w:t>
      </w:r>
    </w:p>
    <w:p w:rsidR="00DB35EE" w:rsidRPr="00422183" w:rsidRDefault="00DB35EE" w:rsidP="00516FB0">
      <w:pPr>
        <w:pStyle w:val="Paragraphedeliste"/>
        <w:spacing w:after="0" w:line="240" w:lineRule="auto"/>
        <w:jc w:val="both"/>
        <w:rPr>
          <w:rFonts w:ascii="Rockwell" w:hAnsi="Rockwell"/>
          <w:sz w:val="24"/>
          <w:szCs w:val="24"/>
        </w:rPr>
      </w:pP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 xml:space="preserve">le suivi des effets du </w:t>
      </w:r>
      <w:r w:rsidR="006B4F3A" w:rsidRPr="00422183">
        <w:rPr>
          <w:rFonts w:ascii="Rockwell" w:hAnsi="Rockwell"/>
          <w:sz w:val="24"/>
          <w:szCs w:val="24"/>
        </w:rPr>
        <w:t>PNDES :</w:t>
      </w:r>
      <w:r w:rsidRPr="00422183">
        <w:rPr>
          <w:rFonts w:ascii="Rockwell" w:hAnsi="Rockwell"/>
          <w:sz w:val="24"/>
          <w:szCs w:val="24"/>
        </w:rPr>
        <w:t xml:space="preserve"> il s'agit de s'assurer que les activités exécutées et les produits obtenus permettent d'accomplir des progrès dans l'atteinte des effets escomptés. Le SP/PNDES est responsable de ce suivi en collaboration avec les secrétariats techniques des cadres de concertation. Il produit à cet effet des rapports semestriels qui sont alimentés par les contributions des cadres de dialogue et qui sont soumis au Conseil national de pilotage du PNDES. Pour ce faire, les secrétariats techniques des cadres de dialogue doivent produire un rapport semestriel de suivi des effets. Ces rapports mettent en exergue : (i) le niveau d'exécution, (ii) le niveau d’atteinte des effets, (iii) les difficultés ou entraves et (iv) les recommandations pour lever les entraves.</w:t>
      </w:r>
    </w:p>
    <w:p w:rsidR="00DB35EE" w:rsidRPr="00422183" w:rsidRDefault="00DB35EE" w:rsidP="003A0820">
      <w:pPr>
        <w:spacing w:after="0" w:line="240" w:lineRule="auto"/>
        <w:jc w:val="both"/>
        <w:rPr>
          <w:rFonts w:ascii="Rockwell" w:hAnsi="Rockwell"/>
          <w:sz w:val="24"/>
          <w:szCs w:val="24"/>
        </w:rPr>
      </w:pPr>
    </w:p>
    <w:p w:rsidR="00DB35EE" w:rsidRPr="00422183" w:rsidRDefault="00DB35EE" w:rsidP="00516FB0">
      <w:pPr>
        <w:spacing w:after="0" w:line="240" w:lineRule="auto"/>
        <w:jc w:val="both"/>
        <w:rPr>
          <w:rFonts w:ascii="Rockwell" w:hAnsi="Rockwell"/>
          <w:sz w:val="24"/>
          <w:szCs w:val="24"/>
        </w:rPr>
      </w:pPr>
      <w:r w:rsidRPr="00422183">
        <w:rPr>
          <w:rFonts w:ascii="Rockwell" w:hAnsi="Rockwell"/>
          <w:sz w:val="24"/>
          <w:szCs w:val="24"/>
        </w:rPr>
        <w:t>La composante technique de l'évaluation vise à faire une appréciation périodique (annuelle et à mi-parcours du PNDES) et objective des réformes et des programmes notamment leur conception, leur mise en œuvre et leurs résultats obtenus. Elle comprend : (i) l'audit financier, (ii) l'évaluation de l'exécution des activités, (iii) l'évaluation des performances atteintes et (iv) l'évaluation des impacts du PNDES.</w:t>
      </w:r>
    </w:p>
    <w:p w:rsidR="00DB35EE" w:rsidRPr="00422183" w:rsidRDefault="00DB35EE" w:rsidP="00516FB0">
      <w:pPr>
        <w:spacing w:after="0" w:line="240" w:lineRule="auto"/>
        <w:jc w:val="both"/>
        <w:rPr>
          <w:rFonts w:ascii="Rockwell" w:hAnsi="Rockwell"/>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Chaque année, une revue annuelle est faite par le SP/PNDES et un audit financier par l'inspection générale des finances. Le SP/PNDES en collaboration avec les cadres de dialogue produit annuellement des rapports de performance et d'audit financier. Par ailleurs, une évaluation à mi-parcours de la mise en œuvre du PNDES sera faite en 2018 par une expertise indépendante.</w:t>
      </w:r>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pStyle w:val="PNDES3"/>
      </w:pPr>
      <w:bookmarkStart w:id="412" w:name="_Toc455132804"/>
      <w:r w:rsidRPr="00422183">
        <w:t>Les outils de mise en œuvre, de suivi et d’évaluation</w:t>
      </w:r>
      <w:bookmarkEnd w:id="412"/>
    </w:p>
    <w:p w:rsidR="00DB35EE" w:rsidRPr="00422183" w:rsidRDefault="00DB35EE" w:rsidP="003A0820">
      <w:pPr>
        <w:spacing w:after="0" w:line="240" w:lineRule="auto"/>
        <w:jc w:val="both"/>
        <w:rPr>
          <w:rFonts w:ascii="Rockwell" w:hAnsi="Rockwell" w:cs="Times New Roman"/>
          <w:sz w:val="24"/>
          <w:szCs w:val="24"/>
        </w:rPr>
      </w:pPr>
    </w:p>
    <w:p w:rsidR="00DB35EE" w:rsidRPr="00422183" w:rsidRDefault="00DB35EE"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Les outils de mise en œuvre sont composés des outils de suivi et d’évaluation, et </w:t>
      </w:r>
      <w:r w:rsidR="00317D2A" w:rsidRPr="00422183">
        <w:rPr>
          <w:rFonts w:ascii="Rockwell" w:hAnsi="Rockwell" w:cs="Times New Roman"/>
          <w:bCs/>
          <w:sz w:val="24"/>
          <w:szCs w:val="24"/>
        </w:rPr>
        <w:t>des instruments de mobilisation</w:t>
      </w:r>
      <w:r w:rsidRPr="00422183">
        <w:rPr>
          <w:rFonts w:ascii="Rockwell" w:hAnsi="Rockwell" w:cs="Times New Roman"/>
          <w:bCs/>
          <w:sz w:val="24"/>
          <w:szCs w:val="24"/>
        </w:rPr>
        <w:t xml:space="preserve"> des acteurs et des ressources.</w:t>
      </w:r>
    </w:p>
    <w:p w:rsidR="00DB35EE" w:rsidRPr="00422183" w:rsidRDefault="00DB35EE"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 </w:t>
      </w:r>
    </w:p>
    <w:p w:rsidR="006B4F3A" w:rsidRPr="00422183" w:rsidRDefault="00DB35EE"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Pour un suivi et une évaluation efficaces du PNDES, il sera développé : (i) un cadre de mesure de performance</w:t>
      </w:r>
      <w:r w:rsidR="00317D2A" w:rsidRPr="00422183">
        <w:rPr>
          <w:rFonts w:ascii="Rockwell" w:hAnsi="Rockwell" w:cs="Times New Roman"/>
          <w:bCs/>
          <w:sz w:val="24"/>
          <w:szCs w:val="24"/>
        </w:rPr>
        <w:t>s</w:t>
      </w:r>
      <w:r w:rsidRPr="00422183">
        <w:rPr>
          <w:rFonts w:ascii="Rockwell" w:hAnsi="Rockwell" w:cs="Times New Roman"/>
          <w:bCs/>
          <w:sz w:val="24"/>
          <w:szCs w:val="24"/>
        </w:rPr>
        <w:t xml:space="preserve"> du PNDES adossé à la matrice de réformes stratégiques et d'investissements structurants , (ii) des cadres sectoriels de mesure de performance</w:t>
      </w:r>
      <w:r w:rsidR="00317D2A" w:rsidRPr="00422183">
        <w:rPr>
          <w:rFonts w:ascii="Rockwell" w:hAnsi="Rockwell" w:cs="Times New Roman"/>
          <w:bCs/>
          <w:sz w:val="24"/>
          <w:szCs w:val="24"/>
        </w:rPr>
        <w:t>s</w:t>
      </w:r>
      <w:r w:rsidRPr="00422183">
        <w:rPr>
          <w:rFonts w:ascii="Rockwell" w:hAnsi="Rockwell" w:cs="Times New Roman"/>
          <w:bCs/>
          <w:sz w:val="24"/>
          <w:szCs w:val="24"/>
        </w:rPr>
        <w:t xml:space="preserve"> s'appuyant sur les politiques sectorielles, (iii) des cadres régionaux de mesure de performance</w:t>
      </w:r>
      <w:r w:rsidR="00317D2A" w:rsidRPr="00422183">
        <w:rPr>
          <w:rFonts w:ascii="Rockwell" w:hAnsi="Rockwell" w:cs="Times New Roman"/>
          <w:bCs/>
          <w:sz w:val="24"/>
          <w:szCs w:val="24"/>
        </w:rPr>
        <w:t>s</w:t>
      </w:r>
      <w:r w:rsidRPr="00422183">
        <w:rPr>
          <w:rFonts w:ascii="Rockwell" w:hAnsi="Rockwell" w:cs="Times New Roman"/>
          <w:bCs/>
          <w:sz w:val="24"/>
          <w:szCs w:val="24"/>
        </w:rPr>
        <w:t xml:space="preserve"> élaborés à partir des Plans locaux de développement (PLD), (iv) des plans de travail et de budget annuel (PTBA) ministériel et (v) des plans annu</w:t>
      </w:r>
      <w:r w:rsidR="006B4F3A" w:rsidRPr="00422183">
        <w:rPr>
          <w:rFonts w:ascii="Rockwell" w:hAnsi="Rockwell" w:cs="Times New Roman"/>
          <w:bCs/>
          <w:sz w:val="24"/>
          <w:szCs w:val="24"/>
        </w:rPr>
        <w:t>els d'investissement régionaux.</w:t>
      </w:r>
    </w:p>
    <w:p w:rsidR="008944F4" w:rsidRPr="00422183" w:rsidRDefault="008944F4" w:rsidP="003A0820">
      <w:pPr>
        <w:spacing w:after="0" w:line="240" w:lineRule="auto"/>
        <w:jc w:val="both"/>
        <w:rPr>
          <w:rFonts w:ascii="Rockwell" w:hAnsi="Rockwell" w:cs="Times New Roman"/>
          <w:bCs/>
          <w:sz w:val="24"/>
          <w:szCs w:val="24"/>
        </w:rPr>
      </w:pPr>
    </w:p>
    <w:p w:rsidR="00DB35EE" w:rsidRPr="00422183" w:rsidRDefault="00DB35EE"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t xml:space="preserve">En phase avec ces instruments, il sera produit : (i) des rapports trimestriels globaux de suivi de la mise en œuvre, (i) un rapport semestriel de suivi des </w:t>
      </w:r>
      <w:r w:rsidR="006B4F3A" w:rsidRPr="00422183">
        <w:rPr>
          <w:rFonts w:ascii="Rockwell" w:hAnsi="Rockwell" w:cs="Times New Roman"/>
          <w:bCs/>
          <w:sz w:val="24"/>
          <w:szCs w:val="24"/>
        </w:rPr>
        <w:t>effets,</w:t>
      </w:r>
      <w:r w:rsidRPr="00422183">
        <w:rPr>
          <w:rFonts w:ascii="Rockwell" w:hAnsi="Rockwell" w:cs="Times New Roman"/>
          <w:bCs/>
          <w:sz w:val="24"/>
          <w:szCs w:val="24"/>
        </w:rPr>
        <w:t xml:space="preserve"> (ii) un rapport annuel global de performance</w:t>
      </w:r>
      <w:r w:rsidR="00317D2A" w:rsidRPr="00422183">
        <w:rPr>
          <w:rFonts w:ascii="Rockwell" w:hAnsi="Rockwell" w:cs="Times New Roman"/>
          <w:bCs/>
          <w:sz w:val="24"/>
          <w:szCs w:val="24"/>
        </w:rPr>
        <w:t>s</w:t>
      </w:r>
      <w:r w:rsidRPr="00422183">
        <w:rPr>
          <w:rFonts w:ascii="Rockwell" w:hAnsi="Rockwell" w:cs="Times New Roman"/>
          <w:bCs/>
          <w:sz w:val="24"/>
          <w:szCs w:val="24"/>
        </w:rPr>
        <w:t xml:space="preserve"> de la mise en œuvre du PNDES, (iii) des rapports sectoriels trimestriels, semestriels et annuels de suivi de la mise en œuvre du PNDES, (iv) des rapports régionaux trimestriels, semestriels et annuels de suivi de la mise en œuvre des plans locaux de développement.</w:t>
      </w:r>
    </w:p>
    <w:p w:rsidR="00DB35EE" w:rsidRPr="00422183" w:rsidRDefault="00DB35EE" w:rsidP="003A0820">
      <w:pPr>
        <w:autoSpaceDE w:val="0"/>
        <w:autoSpaceDN w:val="0"/>
        <w:adjustRightInd w:val="0"/>
        <w:spacing w:after="0" w:line="240" w:lineRule="auto"/>
        <w:jc w:val="both"/>
        <w:rPr>
          <w:rFonts w:ascii="Rockwell" w:hAnsi="Rockwell" w:cs="Times New Roman"/>
          <w:sz w:val="24"/>
          <w:szCs w:val="24"/>
        </w:rPr>
      </w:pPr>
      <w:r w:rsidRPr="00422183">
        <w:rPr>
          <w:rFonts w:ascii="Rockwell" w:hAnsi="Rockwell" w:cs="Times New Roman"/>
          <w:sz w:val="24"/>
          <w:szCs w:val="24"/>
        </w:rPr>
        <w:t>Des canevas-types pour l'élaboration de ces différents instruments sont présentés en annexes.</w:t>
      </w:r>
      <w:r w:rsidR="00317D2A" w:rsidRPr="00422183">
        <w:rPr>
          <w:rFonts w:ascii="Rockwell" w:hAnsi="Rockwell" w:cs="Times New Roman"/>
          <w:sz w:val="24"/>
          <w:szCs w:val="24"/>
        </w:rPr>
        <w:t xml:space="preserve"> </w:t>
      </w:r>
    </w:p>
    <w:p w:rsidR="00DB35EE" w:rsidRPr="00422183" w:rsidRDefault="00DB35EE" w:rsidP="003A0820">
      <w:pPr>
        <w:autoSpaceDE w:val="0"/>
        <w:autoSpaceDN w:val="0"/>
        <w:adjustRightInd w:val="0"/>
        <w:spacing w:after="0" w:line="240" w:lineRule="auto"/>
        <w:jc w:val="both"/>
        <w:rPr>
          <w:rFonts w:ascii="Rockwell" w:hAnsi="Rockwell" w:cs="Times New Roman"/>
          <w:sz w:val="24"/>
          <w:szCs w:val="24"/>
        </w:rPr>
      </w:pPr>
      <w:r w:rsidRPr="00422183">
        <w:rPr>
          <w:rFonts w:ascii="Rockwell" w:hAnsi="Rockwell" w:cs="Times New Roman"/>
          <w:sz w:val="24"/>
          <w:szCs w:val="24"/>
        </w:rPr>
        <w:t xml:space="preserve">Les instruments de mobilisation des acteurs et des ressources sont la stratégie de mobilisation des ressources, la stratégie de communication et le rapport d’évaluation environnementale stratégique. Ces différents instruments seront élaborés après l’adoption du Plan national de développement économique et social (PNDES) 2016-2020 </w:t>
      </w:r>
    </w:p>
    <w:p w:rsidR="00DB35EE" w:rsidRPr="00422183" w:rsidRDefault="00DB35EE" w:rsidP="003A0820">
      <w:pPr>
        <w:autoSpaceDE w:val="0"/>
        <w:autoSpaceDN w:val="0"/>
        <w:adjustRightInd w:val="0"/>
        <w:spacing w:after="0" w:line="240" w:lineRule="auto"/>
        <w:jc w:val="both"/>
        <w:rPr>
          <w:rFonts w:ascii="Rockwell" w:hAnsi="Rockwell" w:cs="Times New Roman"/>
          <w:sz w:val="24"/>
          <w:szCs w:val="24"/>
        </w:rPr>
      </w:pPr>
    </w:p>
    <w:p w:rsidR="00AA43D4" w:rsidRPr="00422183" w:rsidRDefault="00AA43D4" w:rsidP="003A0820">
      <w:pPr>
        <w:jc w:val="both"/>
        <w:rPr>
          <w:rFonts w:ascii="Rockwell" w:hAnsi="Rockwell" w:cs="Times New Roman"/>
          <w:sz w:val="24"/>
          <w:szCs w:val="24"/>
        </w:rPr>
      </w:pPr>
      <w:r w:rsidRPr="00422183">
        <w:rPr>
          <w:rFonts w:ascii="Rockwell" w:hAnsi="Rockwell" w:cs="Times New Roman"/>
          <w:sz w:val="24"/>
          <w:szCs w:val="24"/>
        </w:rPr>
        <w:br w:type="page"/>
      </w:r>
    </w:p>
    <w:p w:rsidR="00AA43D4" w:rsidRPr="00422183" w:rsidRDefault="00AA43D4" w:rsidP="003A0820">
      <w:pPr>
        <w:autoSpaceDE w:val="0"/>
        <w:autoSpaceDN w:val="0"/>
        <w:adjustRightInd w:val="0"/>
        <w:spacing w:after="0" w:line="240" w:lineRule="auto"/>
        <w:jc w:val="both"/>
        <w:rPr>
          <w:rFonts w:ascii="Rockwell" w:hAnsi="Rockwell" w:cs="Times New Roman"/>
          <w:sz w:val="24"/>
          <w:szCs w:val="24"/>
        </w:rPr>
        <w:sectPr w:rsidR="00AA43D4" w:rsidRPr="00422183" w:rsidSect="00E10F67">
          <w:footerReference w:type="default" r:id="rId13"/>
          <w:pgSz w:w="11906" w:h="16838" w:code="9"/>
          <w:pgMar w:top="1134" w:right="1134" w:bottom="1134" w:left="1134" w:header="709" w:footer="709" w:gutter="0"/>
          <w:pgBorders w:display="firstPage" w:offsetFrom="page">
            <w:top w:val="single" w:sz="24" w:space="24" w:color="auto" w:shadow="1"/>
            <w:left w:val="single" w:sz="24" w:space="24" w:color="auto" w:shadow="1"/>
            <w:bottom w:val="single" w:sz="24" w:space="24" w:color="auto" w:shadow="1"/>
            <w:right w:val="single" w:sz="24" w:space="24" w:color="auto" w:shadow="1"/>
          </w:pgBorders>
          <w:cols w:space="708"/>
          <w:titlePg/>
          <w:docGrid w:linePitch="360"/>
        </w:sectPr>
      </w:pPr>
    </w:p>
    <w:p w:rsidR="00AA43D4" w:rsidRPr="00422183" w:rsidRDefault="00AA43D4" w:rsidP="003A0820">
      <w:pPr>
        <w:autoSpaceDE w:val="0"/>
        <w:autoSpaceDN w:val="0"/>
        <w:adjustRightInd w:val="0"/>
        <w:spacing w:after="0" w:line="240" w:lineRule="auto"/>
        <w:jc w:val="both"/>
        <w:rPr>
          <w:rFonts w:ascii="Rockwell" w:hAnsi="Rockwell" w:cs="Times New Roman"/>
          <w:sz w:val="24"/>
          <w:szCs w:val="24"/>
        </w:rPr>
      </w:pPr>
    </w:p>
    <w:p w:rsidR="00AA43D4" w:rsidRPr="00422183" w:rsidRDefault="001866BA" w:rsidP="003A0820">
      <w:pPr>
        <w:pStyle w:val="Lgende"/>
        <w:rPr>
          <w:color w:val="auto"/>
          <w:sz w:val="24"/>
          <w:szCs w:val="24"/>
        </w:rPr>
      </w:pPr>
      <w:bookmarkStart w:id="413" w:name="_Toc455079263"/>
      <w:r w:rsidRPr="00422183">
        <w:rPr>
          <w:color w:val="auto"/>
          <w:sz w:val="24"/>
          <w:szCs w:val="24"/>
        </w:rPr>
        <w:t xml:space="preserve">Graphique </w:t>
      </w:r>
      <w:r w:rsidR="00491B03" w:rsidRPr="00422183">
        <w:rPr>
          <w:color w:val="auto"/>
          <w:sz w:val="24"/>
          <w:szCs w:val="24"/>
        </w:rPr>
        <w:fldChar w:fldCharType="begin"/>
      </w:r>
      <w:r w:rsidRPr="00422183">
        <w:rPr>
          <w:color w:val="auto"/>
          <w:sz w:val="24"/>
          <w:szCs w:val="24"/>
        </w:rPr>
        <w:instrText xml:space="preserve"> SEQ Graphique \* ARABIC </w:instrText>
      </w:r>
      <w:r w:rsidR="00491B03" w:rsidRPr="00422183">
        <w:rPr>
          <w:color w:val="auto"/>
          <w:sz w:val="24"/>
          <w:szCs w:val="24"/>
        </w:rPr>
        <w:fldChar w:fldCharType="separate"/>
      </w:r>
      <w:r w:rsidR="00516FB0" w:rsidRPr="00422183">
        <w:rPr>
          <w:noProof/>
          <w:color w:val="auto"/>
          <w:sz w:val="24"/>
          <w:szCs w:val="24"/>
        </w:rPr>
        <w:t>4</w:t>
      </w:r>
      <w:r w:rsidR="00491B03" w:rsidRPr="00422183">
        <w:rPr>
          <w:color w:val="auto"/>
          <w:sz w:val="24"/>
          <w:szCs w:val="24"/>
        </w:rPr>
        <w:fldChar w:fldCharType="end"/>
      </w:r>
      <w:r w:rsidRPr="00422183">
        <w:rPr>
          <w:color w:val="auto"/>
          <w:sz w:val="24"/>
          <w:szCs w:val="24"/>
        </w:rPr>
        <w:t xml:space="preserve"> : </w:t>
      </w:r>
      <w:r w:rsidR="00AA43D4" w:rsidRPr="00422183">
        <w:rPr>
          <w:color w:val="auto"/>
          <w:sz w:val="24"/>
          <w:szCs w:val="24"/>
        </w:rPr>
        <w:t>Schéma fonctionnel du dispositif institutionnel de mise en œuvre du PNDES</w:t>
      </w:r>
      <w:bookmarkEnd w:id="413"/>
    </w:p>
    <w:p w:rsidR="00AA43D4" w:rsidRPr="00422183" w:rsidRDefault="00DD31E1" w:rsidP="00516FB0">
      <w:pPr>
        <w:autoSpaceDE w:val="0"/>
        <w:autoSpaceDN w:val="0"/>
        <w:adjustRightInd w:val="0"/>
        <w:spacing w:after="0" w:line="240" w:lineRule="auto"/>
        <w:jc w:val="both"/>
        <w:rPr>
          <w:rFonts w:ascii="Rockwell" w:hAnsi="Rockwell"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-167005</wp:posOffset>
                </wp:positionH>
                <wp:positionV relativeFrom="paragraph">
                  <wp:posOffset>55880</wp:posOffset>
                </wp:positionV>
                <wp:extent cx="9547860" cy="5697855"/>
                <wp:effectExtent l="5715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7860" cy="5697855"/>
                          <a:chOff x="0" y="0"/>
                          <a:chExt cx="9922673" cy="6078423"/>
                        </a:xfrm>
                      </wpg:grpSpPr>
                      <wpg:grpSp>
                        <wpg:cNvPr id="7" name="Groupe 7"/>
                        <wpg:cNvGrpSpPr/>
                        <wpg:grpSpPr>
                          <a:xfrm>
                            <a:off x="0" y="180754"/>
                            <a:ext cx="7459897" cy="5585322"/>
                            <a:chOff x="0" y="0"/>
                            <a:chExt cx="7459897" cy="5585322"/>
                          </a:xfrm>
                        </wpg:grpSpPr>
                        <wpg:grpSp>
                          <wpg:cNvPr id="8" name="Groupe 8"/>
                          <wpg:cNvGrpSpPr/>
                          <wpg:grpSpPr>
                            <a:xfrm>
                              <a:off x="2067339" y="0"/>
                              <a:ext cx="3029585" cy="1120659"/>
                              <a:chOff x="0" y="0"/>
                              <a:chExt cx="3029585" cy="1120659"/>
                            </a:xfrm>
                          </wpg:grpSpPr>
                          <wps:wsp>
                            <wps:cNvPr id="9" name="Organigramme : Processus 9"/>
                            <wps:cNvSpPr/>
                            <wps:spPr>
                              <a:xfrm>
                                <a:off x="0" y="0"/>
                                <a:ext cx="3029585" cy="5883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794641" w:rsidRPr="00342A52" w:rsidRDefault="00794641" w:rsidP="00AA43D4">
                                  <w:pPr>
                                    <w:spacing w:after="0" w:line="240" w:lineRule="auto"/>
                                    <w:jc w:val="center"/>
                                    <w:rPr>
                                      <w:b/>
                                      <w:sz w:val="24"/>
                                      <w:szCs w:val="24"/>
                                    </w:rPr>
                                  </w:pPr>
                                  <w:r w:rsidRPr="00342A52">
                                    <w:rPr>
                                      <w:b/>
                                      <w:sz w:val="24"/>
                                      <w:szCs w:val="24"/>
                                    </w:rPr>
                                    <w:t>Comité national de pilotage du PNDES (CNP/PNDES)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rganigramme : Alternative 10"/>
                            <wps:cNvSpPr/>
                            <wps:spPr>
                              <a:xfrm>
                                <a:off x="524786" y="588397"/>
                                <a:ext cx="2040340" cy="532262"/>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rsidR="00794641" w:rsidRPr="00342A52" w:rsidRDefault="00794641" w:rsidP="00AA43D4">
                                  <w:pPr>
                                    <w:spacing w:line="240" w:lineRule="auto"/>
                                    <w:jc w:val="center"/>
                                    <w:rPr>
                                      <w:b/>
                                      <w:sz w:val="24"/>
                                      <w:szCs w:val="24"/>
                                    </w:rPr>
                                  </w:pPr>
                                  <w:r w:rsidRPr="00342A52">
                                    <w:rPr>
                                      <w:b/>
                                      <w:sz w:val="24"/>
                                      <w:szCs w:val="24"/>
                                    </w:rPr>
                                    <w:t>Secrétariat permanent du PNDES (SP/PNDES)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e 11"/>
                          <wpg:cNvGrpSpPr/>
                          <wpg:grpSpPr>
                            <a:xfrm>
                              <a:off x="532737" y="2194560"/>
                              <a:ext cx="5685017" cy="508663"/>
                              <a:chOff x="0" y="0"/>
                              <a:chExt cx="5685017" cy="508663"/>
                            </a:xfrm>
                          </wpg:grpSpPr>
                          <wps:wsp>
                            <wps:cNvPr id="12" name="Organigramme : Processus 12"/>
                            <wps:cNvSpPr/>
                            <wps:spPr>
                              <a:xfrm>
                                <a:off x="0" y="15903"/>
                                <a:ext cx="1796415" cy="49276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794641" w:rsidRPr="00342A52" w:rsidRDefault="00794641" w:rsidP="008944F4">
                                  <w:pPr>
                                    <w:spacing w:line="240" w:lineRule="auto"/>
                                    <w:jc w:val="center"/>
                                    <w:rPr>
                                      <w:b/>
                                      <w:sz w:val="24"/>
                                      <w:szCs w:val="24"/>
                                    </w:rPr>
                                  </w:pPr>
                                  <w:r w:rsidRPr="00342A52">
                                    <w:rPr>
                                      <w:b/>
                                      <w:sz w:val="24"/>
                                      <w:szCs w:val="24"/>
                                    </w:rPr>
                                    <w:t>Cadres sectoriels de dialogue (CSD)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rganigramme : Processus 13"/>
                            <wps:cNvSpPr/>
                            <wps:spPr>
                              <a:xfrm>
                                <a:off x="3760967" y="0"/>
                                <a:ext cx="1924050" cy="48450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794641" w:rsidRPr="00342A52" w:rsidRDefault="00794641" w:rsidP="008944F4">
                                  <w:pPr>
                                    <w:spacing w:line="240" w:lineRule="auto"/>
                                    <w:jc w:val="center"/>
                                    <w:rPr>
                                      <w:b/>
                                      <w:sz w:val="24"/>
                                      <w:szCs w:val="24"/>
                                    </w:rPr>
                                  </w:pPr>
                                  <w:r>
                                    <w:rPr>
                                      <w:b/>
                                      <w:sz w:val="24"/>
                                      <w:szCs w:val="24"/>
                                    </w:rPr>
                                    <w:t>Cadres</w:t>
                                  </w:r>
                                  <w:r w:rsidRPr="00342A52">
                                    <w:rPr>
                                      <w:b/>
                                      <w:sz w:val="24"/>
                                      <w:szCs w:val="24"/>
                                    </w:rPr>
                                    <w:t xml:space="preserve"> régionaux</w:t>
                                  </w:r>
                                  <w:r>
                                    <w:rPr>
                                      <w:b/>
                                      <w:sz w:val="24"/>
                                      <w:szCs w:val="24"/>
                                    </w:rPr>
                                    <w:t xml:space="preserve"> de</w:t>
                                  </w:r>
                                  <w:r w:rsidRPr="00342A52">
                                    <w:rPr>
                                      <w:b/>
                                      <w:sz w:val="24"/>
                                      <w:szCs w:val="24"/>
                                    </w:rPr>
                                    <w:t xml:space="preserve"> </w:t>
                                  </w:r>
                                  <w:r>
                                    <w:rPr>
                                      <w:b/>
                                      <w:sz w:val="24"/>
                                      <w:szCs w:val="24"/>
                                    </w:rPr>
                                    <w:t xml:space="preserve">dialogue </w:t>
                                  </w:r>
                                  <w:r w:rsidRPr="00342A52">
                                    <w:rPr>
                                      <w:b/>
                                      <w:sz w:val="24"/>
                                      <w:szCs w:val="24"/>
                                    </w:rPr>
                                    <w:t>(CR</w:t>
                                  </w:r>
                                  <w:r>
                                    <w:rPr>
                                      <w:b/>
                                      <w:sz w:val="24"/>
                                      <w:szCs w:val="24"/>
                                    </w:rPr>
                                    <w:t>D</w:t>
                                  </w:r>
                                  <w:r w:rsidRPr="00342A52">
                                    <w:rP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Organigramme : Processus 14"/>
                          <wps:cNvSpPr/>
                          <wps:spPr>
                            <a:xfrm>
                              <a:off x="55659" y="5224007"/>
                              <a:ext cx="7338695" cy="36131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jc w:val="center"/>
                                  <w:rPr>
                                    <w:b/>
                                    <w:sz w:val="24"/>
                                    <w:szCs w:val="24"/>
                                  </w:rPr>
                                </w:pPr>
                                <w:r w:rsidRPr="00342A52">
                                  <w:rPr>
                                    <w:b/>
                                    <w:sz w:val="24"/>
                                    <w:szCs w:val="24"/>
                                  </w:rPr>
                                  <w:t>Bénéficiaires/Populations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e 15"/>
                          <wpg:cNvGrpSpPr/>
                          <wpg:grpSpPr>
                            <a:xfrm>
                              <a:off x="71561" y="4015409"/>
                              <a:ext cx="7322820" cy="575310"/>
                              <a:chOff x="0" y="0"/>
                              <a:chExt cx="7323152" cy="575365"/>
                            </a:xfrm>
                          </wpg:grpSpPr>
                          <wps:wsp>
                            <wps:cNvPr id="16" name="Organigramme : Processus 16"/>
                            <wps:cNvSpPr/>
                            <wps:spPr>
                              <a:xfrm>
                                <a:off x="0" y="7951"/>
                                <a:ext cx="1049573" cy="538336"/>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1D11CD" w:rsidRDefault="00794641" w:rsidP="00AA43D4">
                                  <w:pPr>
                                    <w:spacing w:after="0" w:line="240" w:lineRule="auto"/>
                                    <w:jc w:val="center"/>
                                    <w:rPr>
                                      <w:b/>
                                      <w:szCs w:val="24"/>
                                    </w:rPr>
                                  </w:pPr>
                                  <w:r w:rsidRPr="001D11CD">
                                    <w:rPr>
                                      <w:b/>
                                      <w:szCs w:val="24"/>
                                    </w:rPr>
                                    <w:t>Ministères &amp; Instituions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rganigramme : Processus 17"/>
                            <wps:cNvSpPr/>
                            <wps:spPr>
                              <a:xfrm>
                                <a:off x="1932167" y="0"/>
                                <a:ext cx="707666" cy="54483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spacing w:after="0" w:line="240" w:lineRule="auto"/>
                                    <w:jc w:val="center"/>
                                    <w:rPr>
                                      <w:b/>
                                      <w:sz w:val="24"/>
                                      <w:szCs w:val="24"/>
                                    </w:rPr>
                                  </w:pPr>
                                  <w:r w:rsidRPr="00342A52">
                                    <w:rPr>
                                      <w:b/>
                                      <w:sz w:val="24"/>
                                      <w:szCs w:val="24"/>
                                    </w:rPr>
                                    <w:t>Société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rganigramme : Processus 18"/>
                            <wps:cNvSpPr/>
                            <wps:spPr>
                              <a:xfrm>
                                <a:off x="3069204" y="23854"/>
                                <a:ext cx="1080770" cy="54483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8944F4" w:rsidRDefault="00794641" w:rsidP="00AA43D4">
                                  <w:pPr>
                                    <w:spacing w:after="0" w:line="240" w:lineRule="auto"/>
                                    <w:jc w:val="center"/>
                                    <w:rPr>
                                      <w:b/>
                                      <w:szCs w:val="24"/>
                                    </w:rPr>
                                  </w:pPr>
                                  <w:r w:rsidRPr="008944F4">
                                    <w:rPr>
                                      <w:b/>
                                      <w:szCs w:val="24"/>
                                    </w:rPr>
                                    <w:t>Services déconcentrés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rganigramme : Processus 19"/>
                            <wps:cNvSpPr/>
                            <wps:spPr>
                              <a:xfrm>
                                <a:off x="1121134" y="7951"/>
                                <a:ext cx="739471" cy="53721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spacing w:after="0" w:line="240" w:lineRule="auto"/>
                                    <w:jc w:val="center"/>
                                    <w:rPr>
                                      <w:b/>
                                      <w:sz w:val="24"/>
                                      <w:szCs w:val="24"/>
                                    </w:rPr>
                                  </w:pPr>
                                  <w:r w:rsidRPr="00342A52">
                                    <w:rPr>
                                      <w:b/>
                                      <w:sz w:val="24"/>
                                      <w:szCs w:val="24"/>
                                    </w:rPr>
                                    <w:t>Secteur privé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rganigramme : Processus 20"/>
                            <wps:cNvSpPr/>
                            <wps:spPr>
                              <a:xfrm>
                                <a:off x="4269851" y="31805"/>
                                <a:ext cx="1033669" cy="53784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spacing w:after="0"/>
                                    <w:jc w:val="center"/>
                                    <w:rPr>
                                      <w:b/>
                                      <w:sz w:val="24"/>
                                      <w:szCs w:val="24"/>
                                    </w:rPr>
                                  </w:pPr>
                                  <w:r w:rsidRPr="00342A52">
                                    <w:rPr>
                                      <w:b/>
                                      <w:sz w:val="24"/>
                                      <w:szCs w:val="24"/>
                                    </w:rPr>
                                    <w:t>Collectivités locales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rganigramme : Processus 21"/>
                            <wps:cNvSpPr/>
                            <wps:spPr>
                              <a:xfrm>
                                <a:off x="5406887" y="31805"/>
                                <a:ext cx="866693" cy="54356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spacing w:after="0" w:line="240" w:lineRule="auto"/>
                                    <w:jc w:val="center"/>
                                    <w:rPr>
                                      <w:b/>
                                      <w:sz w:val="24"/>
                                      <w:szCs w:val="24"/>
                                    </w:rPr>
                                  </w:pPr>
                                  <w:r w:rsidRPr="00342A52">
                                    <w:rPr>
                                      <w:b/>
                                      <w:sz w:val="24"/>
                                      <w:szCs w:val="24"/>
                                    </w:rPr>
                                    <w:t>Secteur privé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rganigramme : Processus 22"/>
                            <wps:cNvSpPr/>
                            <wps:spPr>
                              <a:xfrm>
                                <a:off x="6368995" y="31805"/>
                                <a:ext cx="954157" cy="54356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794641" w:rsidRPr="00342A52" w:rsidRDefault="00794641" w:rsidP="00AA43D4">
                                  <w:pPr>
                                    <w:spacing w:after="0" w:line="240" w:lineRule="auto"/>
                                    <w:jc w:val="center"/>
                                    <w:rPr>
                                      <w:b/>
                                      <w:sz w:val="24"/>
                                      <w:szCs w:val="24"/>
                                    </w:rPr>
                                  </w:pPr>
                                  <w:r w:rsidRPr="00342A52">
                                    <w:rPr>
                                      <w:b/>
                                      <w:sz w:val="24"/>
                                      <w:szCs w:val="24"/>
                                    </w:rPr>
                                    <w:t>Société civile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Connecteur droit avec flèche 23"/>
                          <wps:cNvCnPr/>
                          <wps:spPr>
                            <a:xfrm flipH="1">
                              <a:off x="1622066" y="1121134"/>
                              <a:ext cx="881380" cy="1017270"/>
                            </a:xfrm>
                            <a:prstGeom prst="straightConnector1">
                              <a:avLst/>
                            </a:prstGeom>
                            <a:ln>
                              <a:headEnd type="triangle" w="med" len="med"/>
                              <a:tailEnd type="triangle" w="med" len="med"/>
                            </a:ln>
                          </wps:spPr>
                          <wps:style>
                            <a:lnRef idx="3">
                              <a:schemeClr val="accent6"/>
                            </a:lnRef>
                            <a:fillRef idx="0">
                              <a:schemeClr val="accent6"/>
                            </a:fillRef>
                            <a:effectRef idx="2">
                              <a:schemeClr val="accent6"/>
                            </a:effectRef>
                            <a:fontRef idx="minor">
                              <a:schemeClr val="tx1"/>
                            </a:fontRef>
                          </wps:style>
                          <wps:bodyPr/>
                        </wps:wsp>
                        <wps:wsp>
                          <wps:cNvPr id="24" name="Connecteur droit avec flèche 24"/>
                          <wps:cNvCnPr/>
                          <wps:spPr>
                            <a:xfrm>
                              <a:off x="4715123" y="1081378"/>
                              <a:ext cx="763270" cy="1056640"/>
                            </a:xfrm>
                            <a:prstGeom prst="straightConnector1">
                              <a:avLst/>
                            </a:prstGeom>
                            <a:ln>
                              <a:headEnd type="triangle" w="med" len="med"/>
                              <a:tailEnd type="triangle" w="med" len="med"/>
                            </a:ln>
                          </wps:spPr>
                          <wps:style>
                            <a:lnRef idx="3">
                              <a:schemeClr val="accent6"/>
                            </a:lnRef>
                            <a:fillRef idx="0">
                              <a:schemeClr val="accent6"/>
                            </a:fillRef>
                            <a:effectRef idx="2">
                              <a:schemeClr val="accent6"/>
                            </a:effectRef>
                            <a:fontRef idx="minor">
                              <a:schemeClr val="tx1"/>
                            </a:fontRef>
                          </wps:style>
                          <wps:bodyPr/>
                        </wps:wsp>
                        <wpg:grpSp>
                          <wpg:cNvPr id="25" name="Groupe 25"/>
                          <wpg:cNvGrpSpPr/>
                          <wpg:grpSpPr>
                            <a:xfrm>
                              <a:off x="0" y="3037399"/>
                              <a:ext cx="2797810" cy="867410"/>
                              <a:chOff x="0" y="0"/>
                              <a:chExt cx="2798045" cy="867916"/>
                            </a:xfrm>
                          </wpg:grpSpPr>
                          <wps:wsp>
                            <wps:cNvPr id="26" name="Accolade ouvrante 26"/>
                            <wps:cNvSpPr/>
                            <wps:spPr>
                              <a:xfrm rot="5400000">
                                <a:off x="1238367" y="-691763"/>
                                <a:ext cx="321312" cy="2798045"/>
                              </a:xfrm>
                              <a:prstGeom prst="leftBrac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onnecteur droit avec flèche 27"/>
                            <wps:cNvCnPr/>
                            <wps:spPr>
                              <a:xfrm>
                                <a:off x="1397393" y="0"/>
                                <a:ext cx="0" cy="635635"/>
                              </a:xfrm>
                              <a:prstGeom prst="straightConnector1">
                                <a:avLst/>
                              </a:prstGeom>
                              <a:ln w="3810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8" name="Groupe 28"/>
                          <wpg:cNvGrpSpPr/>
                          <wpg:grpSpPr>
                            <a:xfrm>
                              <a:off x="3061252" y="3013545"/>
                              <a:ext cx="4398645" cy="901065"/>
                              <a:chOff x="0" y="0"/>
                              <a:chExt cx="4399073" cy="901127"/>
                            </a:xfrm>
                          </wpg:grpSpPr>
                          <wps:wsp>
                            <wps:cNvPr id="29" name="Accolade ouvrante 29"/>
                            <wps:cNvSpPr/>
                            <wps:spPr>
                              <a:xfrm rot="5400000">
                                <a:off x="2038882" y="-1459065"/>
                                <a:ext cx="321310" cy="4399073"/>
                              </a:xfrm>
                              <a:prstGeom prst="leftBrac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necteur droit avec flèche 30"/>
                            <wps:cNvCnPr/>
                            <wps:spPr>
                              <a:xfrm>
                                <a:off x="2193932" y="0"/>
                                <a:ext cx="0" cy="635635"/>
                              </a:xfrm>
                              <a:prstGeom prst="straightConnector1">
                                <a:avLst/>
                              </a:prstGeom>
                              <a:ln w="3810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1" name="Rectangle à coins arrondis 31"/>
                          <wps:cNvSpPr/>
                          <wps:spPr>
                            <a:xfrm>
                              <a:off x="874643" y="2703444"/>
                              <a:ext cx="985520" cy="3180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4641" w:rsidRPr="002D0597" w:rsidRDefault="00794641" w:rsidP="00AA43D4">
                                <w:pPr>
                                  <w:jc w:val="center"/>
                                  <w:rPr>
                                    <w:b/>
                                  </w:rPr>
                                </w:pPr>
                                <w:r w:rsidRPr="002D0597">
                                  <w:rPr>
                                    <w:b/>
                                  </w:rPr>
                                  <w:t>ST/CSD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à coins arrondis 32"/>
                          <wps:cNvSpPr/>
                          <wps:spPr>
                            <a:xfrm>
                              <a:off x="4715123" y="2687541"/>
                              <a:ext cx="985520" cy="31805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4641" w:rsidRPr="002D0597" w:rsidRDefault="00794641" w:rsidP="00AA43D4">
                                <w:pPr>
                                  <w:jc w:val="center"/>
                                  <w:rPr>
                                    <w:b/>
                                  </w:rPr>
                                </w:pPr>
                                <w:r w:rsidRPr="002D0597">
                                  <w:rPr>
                                    <w:b/>
                                  </w:rPr>
                                  <w:t>ST/C</w:t>
                                </w:r>
                                <w:r>
                                  <w:rPr>
                                    <w:b/>
                                  </w:rPr>
                                  <w:t>R</w:t>
                                </w:r>
                                <w:r w:rsidRPr="002D0597">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e 33"/>
                          <wpg:cNvGrpSpPr/>
                          <wpg:grpSpPr>
                            <a:xfrm rot="10800000">
                              <a:off x="0" y="4611757"/>
                              <a:ext cx="7459704" cy="612250"/>
                              <a:chOff x="0" y="0"/>
                              <a:chExt cx="4399073" cy="901127"/>
                            </a:xfrm>
                          </wpg:grpSpPr>
                          <wps:wsp>
                            <wps:cNvPr id="34" name="Accolade ouvrante 34"/>
                            <wps:cNvSpPr/>
                            <wps:spPr>
                              <a:xfrm rot="5400000">
                                <a:off x="2038882" y="-1459065"/>
                                <a:ext cx="321310" cy="4399073"/>
                              </a:xfrm>
                              <a:prstGeom prst="leftBrace">
                                <a:avLst/>
                              </a:prstGeom>
                              <a:ln>
                                <a:solidFill>
                                  <a:srgbClr val="00B050"/>
                                </a:solidFill>
                              </a:ln>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onnecteur droit avec flèche 35"/>
                            <wps:cNvCnPr/>
                            <wps:spPr>
                              <a:xfrm>
                                <a:off x="2193932" y="0"/>
                                <a:ext cx="0" cy="635635"/>
                              </a:xfrm>
                              <a:prstGeom prst="straightConnector1">
                                <a:avLst/>
                              </a:prstGeom>
                              <a:ln w="38100">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36" name="Groupe 36"/>
                        <wpg:cNvGrpSpPr/>
                        <wpg:grpSpPr>
                          <a:xfrm>
                            <a:off x="7538484" y="0"/>
                            <a:ext cx="2384189" cy="6078423"/>
                            <a:chOff x="0" y="0"/>
                            <a:chExt cx="2384189" cy="6078423"/>
                          </a:xfrm>
                        </wpg:grpSpPr>
                        <wps:wsp>
                          <wps:cNvPr id="37" name="Zone de texte 37"/>
                          <wps:cNvSpPr txBox="1"/>
                          <wps:spPr>
                            <a:xfrm>
                              <a:off x="223284" y="1998921"/>
                              <a:ext cx="2160905" cy="157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641" w:rsidRDefault="00794641" w:rsidP="00AA43D4">
                                <w:pPr>
                                  <w:spacing w:after="0" w:line="240" w:lineRule="auto"/>
                                  <w:rPr>
                                    <w:b/>
                                  </w:rPr>
                                </w:pPr>
                                <w:r w:rsidRPr="006061E8">
                                  <w:rPr>
                                    <w:b/>
                                  </w:rPr>
                                  <w:t>Revue d</w:t>
                                </w:r>
                                <w:r>
                                  <w:rPr>
                                    <w:b/>
                                  </w:rPr>
                                  <w:t>e</w:t>
                                </w:r>
                                <w:r w:rsidRPr="006061E8">
                                  <w:rPr>
                                    <w:b/>
                                  </w:rPr>
                                  <w:t xml:space="preserve"> </w:t>
                                </w:r>
                                <w:r>
                                  <w:rPr>
                                    <w:b/>
                                  </w:rPr>
                                  <w:t>la Politique sectorielle</w:t>
                                </w:r>
                              </w:p>
                              <w:p w:rsidR="00794641" w:rsidRPr="001D11CD" w:rsidRDefault="00794641" w:rsidP="004102F5">
                                <w:pPr>
                                  <w:pStyle w:val="Paragraphedeliste"/>
                                  <w:numPr>
                                    <w:ilvl w:val="0"/>
                                    <w:numId w:val="17"/>
                                  </w:numPr>
                                  <w:spacing w:after="0" w:line="240" w:lineRule="auto"/>
                                  <w:ind w:left="284" w:hanging="218"/>
                                </w:pPr>
                                <w:r w:rsidRPr="001D11CD">
                                  <w:t xml:space="preserve">Rapport trimestriel de suivi </w:t>
                                </w:r>
                              </w:p>
                              <w:p w:rsidR="00794641" w:rsidRPr="001D11CD" w:rsidRDefault="00794641" w:rsidP="004102F5">
                                <w:pPr>
                                  <w:pStyle w:val="Paragraphedeliste"/>
                                  <w:numPr>
                                    <w:ilvl w:val="0"/>
                                    <w:numId w:val="17"/>
                                  </w:numPr>
                                  <w:spacing w:after="0" w:line="240" w:lineRule="auto"/>
                                  <w:ind w:left="284" w:hanging="218"/>
                                </w:pPr>
                                <w:r w:rsidRPr="001D11CD">
                                  <w:t>CMP/PS</w:t>
                                </w:r>
                              </w:p>
                              <w:p w:rsidR="00794641" w:rsidRPr="001D11CD" w:rsidRDefault="00794641" w:rsidP="004102F5">
                                <w:pPr>
                                  <w:pStyle w:val="Paragraphedeliste"/>
                                  <w:numPr>
                                    <w:ilvl w:val="0"/>
                                    <w:numId w:val="17"/>
                                  </w:numPr>
                                  <w:spacing w:after="0" w:line="240" w:lineRule="auto"/>
                                  <w:ind w:left="284" w:hanging="218"/>
                                </w:pPr>
                                <w:r w:rsidRPr="001D11CD">
                                  <w:t>RAP de la PS</w:t>
                                </w:r>
                              </w:p>
                              <w:p w:rsidR="00794641" w:rsidRDefault="00794641" w:rsidP="00AA43D4">
                                <w:pPr>
                                  <w:spacing w:after="0" w:line="240" w:lineRule="auto"/>
                                  <w:rPr>
                                    <w:b/>
                                  </w:rPr>
                                </w:pPr>
                                <w:r w:rsidRPr="006061E8">
                                  <w:rPr>
                                    <w:b/>
                                  </w:rPr>
                                  <w:t xml:space="preserve">Revue </w:t>
                                </w:r>
                                <w:r>
                                  <w:rPr>
                                    <w:b/>
                                  </w:rPr>
                                  <w:t>régionale des PLD</w:t>
                                </w:r>
                              </w:p>
                              <w:p w:rsidR="00794641" w:rsidRPr="001D11CD" w:rsidRDefault="00794641" w:rsidP="004102F5">
                                <w:pPr>
                                  <w:pStyle w:val="Paragraphedeliste"/>
                                  <w:numPr>
                                    <w:ilvl w:val="0"/>
                                    <w:numId w:val="17"/>
                                  </w:numPr>
                                  <w:spacing w:after="0" w:line="240" w:lineRule="auto"/>
                                  <w:ind w:left="284" w:hanging="218"/>
                                </w:pPr>
                                <w:r w:rsidRPr="001D11CD">
                                  <w:t xml:space="preserve">Rapport trimestriel de suivi </w:t>
                                </w:r>
                              </w:p>
                              <w:p w:rsidR="00794641" w:rsidRPr="001D11CD" w:rsidRDefault="00794641" w:rsidP="004102F5">
                                <w:pPr>
                                  <w:pStyle w:val="Paragraphedeliste"/>
                                  <w:numPr>
                                    <w:ilvl w:val="0"/>
                                    <w:numId w:val="17"/>
                                  </w:numPr>
                                  <w:spacing w:after="0" w:line="240" w:lineRule="auto"/>
                                  <w:ind w:left="284" w:hanging="218"/>
                                </w:pPr>
                                <w:r w:rsidRPr="001D11CD">
                                  <w:t>CMP/PLD</w:t>
                                </w:r>
                              </w:p>
                              <w:p w:rsidR="00794641" w:rsidRPr="001D11CD" w:rsidRDefault="00794641" w:rsidP="004102F5">
                                <w:pPr>
                                  <w:pStyle w:val="Paragraphedeliste"/>
                                  <w:numPr>
                                    <w:ilvl w:val="0"/>
                                    <w:numId w:val="17"/>
                                  </w:numPr>
                                  <w:spacing w:after="0" w:line="240" w:lineRule="auto"/>
                                  <w:ind w:left="284" w:hanging="218"/>
                                </w:pPr>
                                <w:r w:rsidRPr="001D11CD">
                                  <w:t>RAP du PLD</w:t>
                                </w:r>
                              </w:p>
                              <w:p w:rsidR="00794641" w:rsidRDefault="00794641" w:rsidP="00AA43D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 name="Groupe 38"/>
                          <wpg:cNvGrpSpPr/>
                          <wpg:grpSpPr>
                            <a:xfrm>
                              <a:off x="0" y="0"/>
                              <a:ext cx="2277863" cy="6078423"/>
                              <a:chOff x="0" y="0"/>
                              <a:chExt cx="2277863" cy="6078423"/>
                            </a:xfrm>
                          </wpg:grpSpPr>
                          <wps:wsp>
                            <wps:cNvPr id="39" name="Accolade ouvrante 39"/>
                            <wps:cNvSpPr/>
                            <wps:spPr>
                              <a:xfrm>
                                <a:off x="10633" y="0"/>
                                <a:ext cx="217120" cy="118816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794641" w:rsidRDefault="00794641" w:rsidP="00AA43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ccolade ouvrante 40"/>
                            <wps:cNvSpPr/>
                            <wps:spPr>
                              <a:xfrm>
                                <a:off x="31898" y="2073349"/>
                                <a:ext cx="216535" cy="140081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794641" w:rsidRDefault="00794641" w:rsidP="00AA43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Zone de texte 41"/>
                            <wps:cNvSpPr txBox="1"/>
                            <wps:spPr>
                              <a:xfrm>
                                <a:off x="265814" y="0"/>
                                <a:ext cx="1995054" cy="1188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641" w:rsidRDefault="00794641" w:rsidP="00AA43D4">
                                  <w:pPr>
                                    <w:spacing w:after="0" w:line="240" w:lineRule="auto"/>
                                    <w:rPr>
                                      <w:b/>
                                    </w:rPr>
                                  </w:pPr>
                                  <w:r w:rsidRPr="006061E8">
                                    <w:rPr>
                                      <w:b/>
                                    </w:rPr>
                                    <w:t xml:space="preserve">Revue annuelle du </w:t>
                                  </w:r>
                                  <w:r>
                                    <w:rPr>
                                      <w:b/>
                                    </w:rPr>
                                    <w:t>PNDES</w:t>
                                  </w:r>
                                </w:p>
                                <w:p w:rsidR="00794641" w:rsidRPr="001D11CD" w:rsidRDefault="00794641" w:rsidP="004102F5">
                                  <w:pPr>
                                    <w:pStyle w:val="Paragraphedeliste"/>
                                    <w:numPr>
                                      <w:ilvl w:val="0"/>
                                      <w:numId w:val="17"/>
                                    </w:numPr>
                                    <w:spacing w:after="0" w:line="240" w:lineRule="auto"/>
                                    <w:ind w:left="284" w:hanging="218"/>
                                  </w:pPr>
                                  <w:r w:rsidRPr="001D11CD">
                                    <w:t>C</w:t>
                                  </w:r>
                                  <w:r>
                                    <w:t>N</w:t>
                                  </w:r>
                                  <w:r w:rsidRPr="001D11CD">
                                    <w:t>P/PNDES</w:t>
                                  </w:r>
                                </w:p>
                                <w:p w:rsidR="00794641" w:rsidRPr="001D11CD" w:rsidRDefault="00794641" w:rsidP="004102F5">
                                  <w:pPr>
                                    <w:pStyle w:val="Paragraphedeliste"/>
                                    <w:numPr>
                                      <w:ilvl w:val="0"/>
                                      <w:numId w:val="17"/>
                                    </w:numPr>
                                    <w:spacing w:after="0" w:line="240" w:lineRule="auto"/>
                                    <w:ind w:left="284" w:hanging="218"/>
                                  </w:pPr>
                                  <w:r w:rsidRPr="001D11CD">
                                    <w:t>Matrices RSIS</w:t>
                                  </w:r>
                                </w:p>
                                <w:p w:rsidR="00794641" w:rsidRPr="001D11CD" w:rsidRDefault="00794641" w:rsidP="004102F5">
                                  <w:pPr>
                                    <w:pStyle w:val="Paragraphedeliste"/>
                                    <w:numPr>
                                      <w:ilvl w:val="0"/>
                                      <w:numId w:val="17"/>
                                    </w:numPr>
                                    <w:spacing w:after="0" w:line="240" w:lineRule="auto"/>
                                    <w:ind w:left="284" w:hanging="218"/>
                                  </w:pPr>
                                  <w:r w:rsidRPr="001D11CD">
                                    <w:t>Rapport annuel de performances (RAP)</w:t>
                                  </w:r>
                                </w:p>
                                <w:p w:rsidR="00794641" w:rsidRDefault="00794641" w:rsidP="00AA43D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42"/>
                            <wps:cNvSpPr txBox="1"/>
                            <wps:spPr>
                              <a:xfrm>
                                <a:off x="116958" y="3848987"/>
                                <a:ext cx="2160905" cy="157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641" w:rsidRDefault="00794641" w:rsidP="00AA43D4">
                                  <w:pPr>
                                    <w:spacing w:after="0" w:line="240" w:lineRule="auto"/>
                                    <w:rPr>
                                      <w:b/>
                                    </w:rPr>
                                  </w:pPr>
                                  <w:r>
                                    <w:rPr>
                                      <w:b/>
                                    </w:rPr>
                                    <w:t>Exécution et suivi des PTA</w:t>
                                  </w:r>
                                </w:p>
                                <w:p w:rsidR="00794641" w:rsidRPr="001D11CD" w:rsidRDefault="00794641" w:rsidP="004102F5">
                                  <w:pPr>
                                    <w:pStyle w:val="Paragraphedeliste"/>
                                    <w:numPr>
                                      <w:ilvl w:val="0"/>
                                      <w:numId w:val="17"/>
                                    </w:numPr>
                                    <w:spacing w:after="0" w:line="240" w:lineRule="auto"/>
                                    <w:ind w:left="284" w:hanging="218"/>
                                  </w:pPr>
                                  <w:r w:rsidRPr="001D11CD">
                                    <w:t>Plan de travail annuel (PTA)</w:t>
                                  </w:r>
                                </w:p>
                                <w:p w:rsidR="00794641" w:rsidRPr="001D11CD" w:rsidRDefault="00794641" w:rsidP="004102F5">
                                  <w:pPr>
                                    <w:pStyle w:val="Paragraphedeliste"/>
                                    <w:numPr>
                                      <w:ilvl w:val="0"/>
                                      <w:numId w:val="17"/>
                                    </w:numPr>
                                    <w:spacing w:after="0" w:line="240" w:lineRule="auto"/>
                                    <w:ind w:left="284" w:hanging="218"/>
                                  </w:pPr>
                                  <w:r w:rsidRPr="001D11CD">
                                    <w:t>Rapport trimestriel de suivi du PTA</w:t>
                                  </w:r>
                                </w:p>
                                <w:p w:rsidR="00794641" w:rsidRPr="001D11CD" w:rsidRDefault="00794641" w:rsidP="004102F5">
                                  <w:pPr>
                                    <w:pStyle w:val="Paragraphedeliste"/>
                                    <w:numPr>
                                      <w:ilvl w:val="0"/>
                                      <w:numId w:val="17"/>
                                    </w:numPr>
                                    <w:spacing w:after="0" w:line="240" w:lineRule="auto"/>
                                    <w:ind w:left="284" w:hanging="218"/>
                                  </w:pPr>
                                  <w:r w:rsidRPr="001D11CD">
                                    <w:t>Rapport annuel de suivi du PTA</w:t>
                                  </w:r>
                                </w:p>
                                <w:p w:rsidR="00794641" w:rsidRDefault="00794641" w:rsidP="00AA43D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Accolade ouvrante 43"/>
                            <wps:cNvSpPr/>
                            <wps:spPr>
                              <a:xfrm>
                                <a:off x="0" y="3774559"/>
                                <a:ext cx="216535" cy="1400810"/>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794641" w:rsidRDefault="00794641" w:rsidP="00AA43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265814" y="5295014"/>
                                <a:ext cx="1994535" cy="7834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641" w:rsidRPr="001D11CD" w:rsidRDefault="00794641" w:rsidP="00AA43D4">
                                  <w:pPr>
                                    <w:spacing w:after="0" w:line="240" w:lineRule="auto"/>
                                    <w:rPr>
                                      <w:b/>
                                    </w:rPr>
                                  </w:pPr>
                                  <w:r>
                                    <w:rPr>
                                      <w:b/>
                                    </w:rPr>
                                    <w:t xml:space="preserve">Adhésion et participation aux </w:t>
                                  </w:r>
                                  <w:r w:rsidRPr="001D11CD">
                                    <w:rPr>
                                      <w:b/>
                                    </w:rPr>
                                    <w:t>processus du PNDES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Accolade ouvrante 45"/>
                            <wps:cNvSpPr/>
                            <wps:spPr>
                              <a:xfrm>
                                <a:off x="21265" y="5231219"/>
                                <a:ext cx="216535" cy="629285"/>
                              </a:xfrm>
                              <a:prstGeom prst="leftBrace">
                                <a:avLst/>
                              </a:prstGeom>
                            </wps:spPr>
                            <wps:style>
                              <a:lnRef idx="1">
                                <a:schemeClr val="accent1"/>
                              </a:lnRef>
                              <a:fillRef idx="0">
                                <a:schemeClr val="accent1"/>
                              </a:fillRef>
                              <a:effectRef idx="0">
                                <a:schemeClr val="accent1"/>
                              </a:effectRef>
                              <a:fontRef idx="minor">
                                <a:schemeClr val="tx1"/>
                              </a:fontRef>
                            </wps:style>
                            <wps:txbx>
                              <w:txbxContent>
                                <w:p w:rsidR="00794641" w:rsidRDefault="00794641" w:rsidP="00AA43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e 6" o:spid="_x0000_s1026" style="position:absolute;left:0;text-align:left;margin-left:-13.15pt;margin-top:4.4pt;width:751.8pt;height:448.65pt;z-index:251659264;mso-width-relative:margin;mso-height-relative:margin" coordsize="99226,6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">
                <v:group id="Groupe 7" o:spid="_x0000_s1027" style="position:absolute;top:1807;width:74598;height:55853" coordsize="74598,5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e 8" o:spid="_x0000_s1028" style="position:absolute;left:20673;width:30296;height:11206" coordsize="30295,1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09" coordsize="21600,21600" o:spt="109" path="m,l,21600r21600,l21600,xe">
                      <v:stroke joinstyle="miter"/>
                      <v:path gradientshapeok="t" o:connecttype="rect"/>
                    </v:shapetype>
                    <v:shape id="Organigramme : Processus 9" o:spid="_x0000_s1029" type="#_x0000_t109" style="position:absolute;width:30295;height:5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cOMMA&#10;AADaAAAADwAAAGRycy9kb3ducmV2LnhtbESPS2vCQBSF90L/w3ALbopOdCFp6ihSFB9dNS1Cd5fM&#10;bRLM3AkzE43/3hEEl4fz+DjzZW8acSbna8sKJuMEBHFhdc2lgt+fzSgF4QOyxsYyKbiSh+XiZTDH&#10;TNsLf9M5D6WII+wzVFCF0GZS+qIig35sW+Lo/VtnMETpSqkdXuK4aeQ0SWbSYM2RUGFLnxUVp7wz&#10;kdtt39YH49Kvk12vym72l5rjXqnha7/6ABGoD8/wo73TCt7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RcOMMAAADaAAAADwAAAAAAAAAAAAAAAACYAgAAZHJzL2Rv&#10;d25yZXYueG1sUEsFBgAAAAAEAAQA9QAAAIgDAAAAAA==&#10;" fillcolor="white [3201]" strokecolor="#f79646 [3209]" strokeweight="2pt">
                      <v:textbox>
                        <w:txbxContent>
                          <w:p w:rsidR="00794641" w:rsidRPr="00342A52" w:rsidRDefault="00794641" w:rsidP="00AA43D4">
                            <w:pPr>
                              <w:spacing w:after="0" w:line="240" w:lineRule="auto"/>
                              <w:jc w:val="center"/>
                              <w:rPr>
                                <w:b/>
                                <w:sz w:val="24"/>
                                <w:szCs w:val="24"/>
                              </w:rPr>
                            </w:pPr>
                            <w:r w:rsidRPr="00342A52">
                              <w:rPr>
                                <w:b/>
                                <w:sz w:val="24"/>
                                <w:szCs w:val="24"/>
                              </w:rPr>
                              <w:t>Comité national de pilotage du PNDES (CNP/PNDES)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0" o:spid="_x0000_s1030" type="#_x0000_t176" style="position:absolute;left:5247;top:5883;width:20404;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Fj8MA&#10;AADbAAAADwAAAGRycy9kb3ducmV2LnhtbESPQUsDMRCF74L/IYzgzWar0MratJS2ioWCuOp92Iyb&#10;1c1kTeJ2++87B8HbDO/Ne98sVqPv1EAxtYENTCcFKOI62JYbA+9vjzf3oFJGttgFJgMnSrBaXl4s&#10;sLThyK80VLlREsKpRAMu577UOtWOPKZJ6IlF+wzRY5Y1NtpGPEq47/RtUcy0x5alwWFPG0f1d/Xr&#10;DcTh5RA/9nP8uttt3Q/mIqWnnTHXV+P6AVSmMf+b/66freALvfwiA+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EFj8MAAADbAAAADwAAAAAAAAAAAAAAAACYAgAAZHJzL2Rv&#10;d25yZXYueG1sUEsFBgAAAAAEAAQA9QAAAIgDAAAAAA==&#10;" fillcolor="white [3201]" strokecolor="#8064a2 [3207]" strokeweight="2pt">
                      <v:textbox>
                        <w:txbxContent>
                          <w:p w:rsidR="00794641" w:rsidRPr="00342A52" w:rsidRDefault="00794641" w:rsidP="00AA43D4">
                            <w:pPr>
                              <w:spacing w:line="240" w:lineRule="auto"/>
                              <w:jc w:val="center"/>
                              <w:rPr>
                                <w:b/>
                                <w:sz w:val="24"/>
                                <w:szCs w:val="24"/>
                              </w:rPr>
                            </w:pPr>
                            <w:r w:rsidRPr="00342A52">
                              <w:rPr>
                                <w:b/>
                                <w:sz w:val="24"/>
                                <w:szCs w:val="24"/>
                              </w:rPr>
                              <w:t>Secrétariat permanent du PNDES (SP/PNDES)</w:t>
                            </w:r>
                          </w:p>
                        </w:txbxContent>
                      </v:textbox>
                    </v:shape>
                  </v:group>
                  <v:group id="Groupe 11" o:spid="_x0000_s1031" style="position:absolute;left:5327;top:21945;width:56850;height:5087" coordsize="56850,5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Organigramme : Processus 12" o:spid="_x0000_s1032" type="#_x0000_t109" style="position:absolute;top:159;width:17964;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VaMIA&#10;AADbAAAADwAAAGRycy9kb3ducmV2LnhtbERP22oCMRB9L/gPYQRfimarILoaRVoLFkTwAr4Om3Gz&#10;uJlsk1TXv2+EQt/mcK4zX7a2FjfyoXKs4G2QgSAunK64VHA6fvYnIEJE1lg7JgUPCrBcdF7mmGt3&#10;5z3dDrEUKYRDjgpMjE0uZSgMWQwD1xAn7uK8xZigL6X2eE/htpbDLBtLixWnBoMNvRsqrocfq2A3&#10;fjX84bffl+mo/hqtH5vj6eyU6nXb1QxEpDb+i//cG53mD+H5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hVowgAAANsAAAAPAAAAAAAAAAAAAAAAAJgCAABkcnMvZG93&#10;bnJldi54bWxQSwUGAAAAAAQABAD1AAAAhwMAAAAA&#10;" fillcolor="white [3201]" strokecolor="#9bbb59 [3206]" strokeweight="2pt">
                      <v:textbox>
                        <w:txbxContent>
                          <w:p w:rsidR="00794641" w:rsidRPr="00342A52" w:rsidRDefault="00794641" w:rsidP="008944F4">
                            <w:pPr>
                              <w:spacing w:line="240" w:lineRule="auto"/>
                              <w:jc w:val="center"/>
                              <w:rPr>
                                <w:b/>
                                <w:sz w:val="24"/>
                                <w:szCs w:val="24"/>
                              </w:rPr>
                            </w:pPr>
                            <w:r w:rsidRPr="00342A52">
                              <w:rPr>
                                <w:b/>
                                <w:sz w:val="24"/>
                                <w:szCs w:val="24"/>
                              </w:rPr>
                              <w:t>Cadres sectoriels de dialogue (CSD)</w:t>
                            </w:r>
                          </w:p>
                        </w:txbxContent>
                      </v:textbox>
                    </v:shape>
                    <v:shape id="Organigramme : Processus 13" o:spid="_x0000_s1033" type="#_x0000_t109" style="position:absolute;left:37609;width:19241;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w88IA&#10;AADbAAAADwAAAGRycy9kb3ducmV2LnhtbERP22oCMRB9L/gPYQRfSs3qgrSrUcS2oFAEL9DXYTNu&#10;FjeTNUl1/XtTKPRtDuc6s0VnG3ElH2rHCkbDDARx6XTNlYLj4fPlFUSIyBobx6TgTgEW897TDAvt&#10;bryj6z5WIoVwKFCBibEtpAylIYth6FrixJ2ctxgT9JXUHm8p3DZynGUTabHm1GCwpZWh8rz/sQq2&#10;k2fD7/7rcnrLm03+cV8fjt9OqUG/W05BROriv/jPvdZpfg6/v6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rDzwgAAANsAAAAPAAAAAAAAAAAAAAAAAJgCAABkcnMvZG93&#10;bnJldi54bWxQSwUGAAAAAAQABAD1AAAAhwMAAAAA&#10;" fillcolor="white [3201]" strokecolor="#9bbb59 [3206]" strokeweight="2pt">
                      <v:textbox>
                        <w:txbxContent>
                          <w:p w:rsidR="00794641" w:rsidRPr="00342A52" w:rsidRDefault="00794641" w:rsidP="008944F4">
                            <w:pPr>
                              <w:spacing w:line="240" w:lineRule="auto"/>
                              <w:jc w:val="center"/>
                              <w:rPr>
                                <w:b/>
                                <w:sz w:val="24"/>
                                <w:szCs w:val="24"/>
                              </w:rPr>
                            </w:pPr>
                            <w:r>
                              <w:rPr>
                                <w:b/>
                                <w:sz w:val="24"/>
                                <w:szCs w:val="24"/>
                              </w:rPr>
                              <w:t>Cadres</w:t>
                            </w:r>
                            <w:r w:rsidRPr="00342A52">
                              <w:rPr>
                                <w:b/>
                                <w:sz w:val="24"/>
                                <w:szCs w:val="24"/>
                              </w:rPr>
                              <w:t xml:space="preserve"> régionaux</w:t>
                            </w:r>
                            <w:r>
                              <w:rPr>
                                <w:b/>
                                <w:sz w:val="24"/>
                                <w:szCs w:val="24"/>
                              </w:rPr>
                              <w:t xml:space="preserve"> de</w:t>
                            </w:r>
                            <w:r w:rsidRPr="00342A52">
                              <w:rPr>
                                <w:b/>
                                <w:sz w:val="24"/>
                                <w:szCs w:val="24"/>
                              </w:rPr>
                              <w:t xml:space="preserve"> </w:t>
                            </w:r>
                            <w:r>
                              <w:rPr>
                                <w:b/>
                                <w:sz w:val="24"/>
                                <w:szCs w:val="24"/>
                              </w:rPr>
                              <w:t xml:space="preserve">dialogue </w:t>
                            </w:r>
                            <w:r w:rsidRPr="00342A52">
                              <w:rPr>
                                <w:b/>
                                <w:sz w:val="24"/>
                                <w:szCs w:val="24"/>
                              </w:rPr>
                              <w:t>(CR</w:t>
                            </w:r>
                            <w:r>
                              <w:rPr>
                                <w:b/>
                                <w:sz w:val="24"/>
                                <w:szCs w:val="24"/>
                              </w:rPr>
                              <w:t>D</w:t>
                            </w:r>
                            <w:r w:rsidRPr="00342A52">
                              <w:rPr>
                                <w:b/>
                                <w:sz w:val="24"/>
                                <w:szCs w:val="24"/>
                              </w:rPr>
                              <w:t>)</w:t>
                            </w:r>
                          </w:p>
                        </w:txbxContent>
                      </v:textbox>
                    </v:shape>
                  </v:group>
                  <v:shape id="Organigramme : Processus 14" o:spid="_x0000_s1034" type="#_x0000_t109" style="position:absolute;left:556;top:52240;width:73387;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6OcAA&#10;AADbAAAADwAAAGRycy9kb3ducmV2LnhtbERP22oCMRB9L/gPYYS+1awXqqxGEaFQFKS1i8/DZtxd&#10;3EyWJNX490YQfJvDuc5iFU0rLuR8Y1nBcJCBIC6tbrhSUPx9fcxA+ICssbVMCm7kYbXsvS0w1/bK&#10;v3Q5hEqkEPY5KqhD6HIpfVmTQT+wHXHiTtYZDAm6SmqH1xRuWjnKsk9psOHUUGNHm5rK8+HfKLBF&#10;HMdyfOuOvojbn+F0uuO9U+q9H9dzEIFieImf7m+d5k/g8Us6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g6OcAAAADbAAAADwAAAAAAAAAAAAAAAACYAgAAZHJzL2Rvd25y&#10;ZXYueG1sUEsFBgAAAAAEAAQA9QAAAIUDAAAAAA==&#10;" fillcolor="white [3201]" strokecolor="#4bacc6 [3208]" strokeweight="2pt">
                    <v:textbox>
                      <w:txbxContent>
                        <w:p w:rsidR="00794641" w:rsidRPr="00342A52" w:rsidRDefault="00794641" w:rsidP="00AA43D4">
                          <w:pPr>
                            <w:jc w:val="center"/>
                            <w:rPr>
                              <w:b/>
                              <w:sz w:val="24"/>
                              <w:szCs w:val="24"/>
                            </w:rPr>
                          </w:pPr>
                          <w:r w:rsidRPr="00342A52">
                            <w:rPr>
                              <w:b/>
                              <w:sz w:val="24"/>
                              <w:szCs w:val="24"/>
                            </w:rPr>
                            <w:t>Bénéficiaires/Populations</w:t>
                          </w:r>
                        </w:p>
                      </w:txbxContent>
                    </v:textbox>
                  </v:shape>
                  <v:group id="Groupe 15" o:spid="_x0000_s1035" style="position:absolute;left:715;top:40154;width:73228;height:5753" coordsize="73231,5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rganigramme : Processus 16" o:spid="_x0000_s1036" type="#_x0000_t109" style="position:absolute;top:79;width:10495;height:5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B1b8A&#10;AADbAAAADwAAAGRycy9kb3ducmV2LnhtbERPTYvCMBC9L/gfwgje1lQFXapRRBBEYXHd4nloxrbY&#10;TEoSNf57syDsbR7vcxaraFpxJ+cbywpGwwwEcWl1w5WC4nf7+QXCB2SNrWVS8CQPq2XvY4G5tg/+&#10;ofspVCKFsM9RQR1Cl0vpy5oM+qHtiBN3sc5gSNBVUjt8pHDTynGWTaXBhlNDjR1taiqvp5tRYIs4&#10;ieXk2Z19EffH0Wx24G+n1KAf13MQgWL4F7/dO53mT+Hv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gHVvwAAANsAAAAPAAAAAAAAAAAAAAAAAJgCAABkcnMvZG93bnJl&#10;di54bWxQSwUGAAAAAAQABAD1AAAAhAMAAAAA&#10;" fillcolor="white [3201]" strokecolor="#4bacc6 [3208]" strokeweight="2pt">
                      <v:textbox>
                        <w:txbxContent>
                          <w:p w:rsidR="00794641" w:rsidRPr="001D11CD" w:rsidRDefault="00794641" w:rsidP="00AA43D4">
                            <w:pPr>
                              <w:spacing w:after="0" w:line="240" w:lineRule="auto"/>
                              <w:jc w:val="center"/>
                              <w:rPr>
                                <w:b/>
                                <w:szCs w:val="24"/>
                              </w:rPr>
                            </w:pPr>
                            <w:r w:rsidRPr="001D11CD">
                              <w:rPr>
                                <w:b/>
                                <w:szCs w:val="24"/>
                              </w:rPr>
                              <w:t>Ministères &amp; Instituions</w:t>
                            </w:r>
                          </w:p>
                        </w:txbxContent>
                      </v:textbox>
                    </v:shape>
                    <v:shape id="Organigramme : Processus 17" o:spid="_x0000_s1037" type="#_x0000_t109" style="position:absolute;left:19321;width:7077;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kTsAA&#10;AADbAAAADwAAAGRycy9kb3ducmV2LnhtbERP32vCMBB+H/g/hBN8m2knrNIZZQiCKMimxeejubVl&#10;zaUkWY3/vRkM9nYf389bbaLpxUjOd5YV5PMMBHFtdceNguqye16C8AFZY2+ZFNzJw2Y9eVphqe2N&#10;P2k8h0akEPYlKmhDGEopfd2SQT+3A3HivqwzGBJ0jdQObync9PIly16lwY5TQ4sDbVuqv88/RoGt&#10;4iLWi/tw9VU8fORFceSTU2o2je9vIALF8C/+c+91ml/A7y/p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qkTsAAAADbAAAADwAAAAAAAAAAAAAAAACYAgAAZHJzL2Rvd25y&#10;ZXYueG1sUEsFBgAAAAAEAAQA9QAAAIUDAAAAAA==&#10;" fillcolor="white [3201]" strokecolor="#4bacc6 [3208]" strokeweight="2pt">
                      <v:textbox>
                        <w:txbxContent>
                          <w:p w:rsidR="00794641" w:rsidRPr="00342A52" w:rsidRDefault="00794641" w:rsidP="00AA43D4">
                            <w:pPr>
                              <w:spacing w:after="0" w:line="240" w:lineRule="auto"/>
                              <w:jc w:val="center"/>
                              <w:rPr>
                                <w:b/>
                                <w:sz w:val="24"/>
                                <w:szCs w:val="24"/>
                              </w:rPr>
                            </w:pPr>
                            <w:r w:rsidRPr="00342A52">
                              <w:rPr>
                                <w:b/>
                                <w:sz w:val="24"/>
                                <w:szCs w:val="24"/>
                              </w:rPr>
                              <w:t>Société civile</w:t>
                            </w:r>
                          </w:p>
                        </w:txbxContent>
                      </v:textbox>
                    </v:shape>
                    <v:shape id="Organigramme : Processus 18" o:spid="_x0000_s1038" type="#_x0000_t109" style="position:absolute;left:30692;top:238;width:10807;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PMMA&#10;AADbAAAADwAAAGRycy9kb3ducmV2LnhtbESPQWsCMRCF7wX/QxjBW82qUMvWKCIIYqGoXXoeNtPd&#10;pZvJkkSN/75zKPQ2w3vz3jerTXa9ulGInWcDs2kBirj2tuPGQPW5f34FFROyxd4zGXhQhM169LTC&#10;0vo7n+l2SY2SEI4lGmhTGkqtY92Swzj1A7Fo3z44TLKGRtuAdwl3vZ4XxYt22LE0tDjQrqX653J1&#10;BnyVF7lePIavWOXjabZcvvNHMGYyzts3UIly+jf/XR+s4Aus/CID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wPMMAAADbAAAADwAAAAAAAAAAAAAAAACYAgAAZHJzL2Rv&#10;d25yZXYueG1sUEsFBgAAAAAEAAQA9QAAAIgDAAAAAA==&#10;" fillcolor="white [3201]" strokecolor="#4bacc6 [3208]" strokeweight="2pt">
                      <v:textbox>
                        <w:txbxContent>
                          <w:p w:rsidR="00794641" w:rsidRPr="008944F4" w:rsidRDefault="00794641" w:rsidP="00AA43D4">
                            <w:pPr>
                              <w:spacing w:after="0" w:line="240" w:lineRule="auto"/>
                              <w:jc w:val="center"/>
                              <w:rPr>
                                <w:b/>
                                <w:szCs w:val="24"/>
                              </w:rPr>
                            </w:pPr>
                            <w:r w:rsidRPr="008944F4">
                              <w:rPr>
                                <w:b/>
                                <w:szCs w:val="24"/>
                              </w:rPr>
                              <w:t>Services déconcentrés</w:t>
                            </w:r>
                          </w:p>
                        </w:txbxContent>
                      </v:textbox>
                    </v:shape>
                    <v:shape id="Organigramme : Processus 19" o:spid="_x0000_s1039" type="#_x0000_t109" style="position:absolute;left:11211;top:79;width:7395;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Vp8AA&#10;AADbAAAADwAAAGRycy9kb3ducmV2LnhtbERP22oCMRB9F/oPYQp906wVvKxGKYVCqVB0XXweNuPu&#10;4mayJKnGvzdCwbc5nOusNtF04kLOt5YVjEcZCOLK6pZrBeXhazgH4QOyxs4yKbiRh836ZbDCXNsr&#10;7+lShFqkEPY5KmhC6HMpfdWQQT+yPXHiTtYZDAm6WmqH1xRuOvmeZVNpsOXU0GBPnw1V5+LPKLBl&#10;nMRqcuuPvow/u/FstuVfp9Tba/xYgggUw1P87/7Waf4CHr+k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mVp8AAAADbAAAADwAAAAAAAAAAAAAAAACYAgAAZHJzL2Rvd25y&#10;ZXYueG1sUEsFBgAAAAAEAAQA9QAAAIUDAAAAAA==&#10;" fillcolor="white [3201]" strokecolor="#4bacc6 [3208]" strokeweight="2pt">
                      <v:textbox>
                        <w:txbxContent>
                          <w:p w:rsidR="00794641" w:rsidRPr="00342A52" w:rsidRDefault="00794641" w:rsidP="00AA43D4">
                            <w:pPr>
                              <w:spacing w:after="0" w:line="240" w:lineRule="auto"/>
                              <w:jc w:val="center"/>
                              <w:rPr>
                                <w:b/>
                                <w:sz w:val="24"/>
                                <w:szCs w:val="24"/>
                              </w:rPr>
                            </w:pPr>
                            <w:r w:rsidRPr="00342A52">
                              <w:rPr>
                                <w:b/>
                                <w:sz w:val="24"/>
                                <w:szCs w:val="24"/>
                              </w:rPr>
                              <w:t>Secteur privé</w:t>
                            </w:r>
                          </w:p>
                        </w:txbxContent>
                      </v:textbox>
                    </v:shape>
                    <v:shape id="Organigramme : Processus 20" o:spid="_x0000_s1040" type="#_x0000_t109" style="position:absolute;left:42698;top:318;width:10337;height:5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78A&#10;AADbAAAADwAAAGRycy9kb3ducmV2LnhtbERPTYvCMBC9C/sfwix401QFXbpGkYUFURCtZc9DM9sW&#10;m0lJosZ/bw6Cx8f7Xq6j6cSNnG8tK5iMMxDEldUt1wrK8+/oC4QPyBo7y6TgQR7Wq4/BEnNt73yi&#10;WxFqkULY56igCaHPpfRVQwb92PbEifu3zmBI0NVSO7yncNPJaZbNpcGWU0ODPf00VF2Kq1FgyziL&#10;1ezR//ky7o6TxWLPB6fU8DNuvkEEiuEtfrm3WsE0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7/aHvwAAANsAAAAPAAAAAAAAAAAAAAAAAJgCAABkcnMvZG93bnJl&#10;di54bWxQSwUGAAAAAAQABAD1AAAAhAMAAAAA&#10;" fillcolor="white [3201]" strokecolor="#4bacc6 [3208]" strokeweight="2pt">
                      <v:textbox>
                        <w:txbxContent>
                          <w:p w:rsidR="00794641" w:rsidRPr="00342A52" w:rsidRDefault="00794641" w:rsidP="00AA43D4">
                            <w:pPr>
                              <w:spacing w:after="0"/>
                              <w:jc w:val="center"/>
                              <w:rPr>
                                <w:b/>
                                <w:sz w:val="24"/>
                                <w:szCs w:val="24"/>
                              </w:rPr>
                            </w:pPr>
                            <w:r w:rsidRPr="00342A52">
                              <w:rPr>
                                <w:b/>
                                <w:sz w:val="24"/>
                                <w:szCs w:val="24"/>
                              </w:rPr>
                              <w:t>Collectivités locales</w:t>
                            </w:r>
                          </w:p>
                        </w:txbxContent>
                      </v:textbox>
                    </v:shape>
                    <v:shape id="Organigramme : Processus 21" o:spid="_x0000_s1041" type="#_x0000_t109" style="position:absolute;left:54068;top:318;width:8667;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THMIA&#10;AADbAAAADwAAAGRycy9kb3ducmV2LnhtbESPUWvCMBSF3wf7D+EO9jbTKqhUo4yBMDYQV4vPl+ba&#10;FpubkkSN/94Iwh4P55zvcJbraHpxIec7ywryUQaCuLa640ZBtd98zEH4gKyxt0wKbuRhvXp9WWKh&#10;7ZX/6FKGRiQI+wIVtCEMhZS+bsmgH9mBOHlH6wyGJF0jtcNrgptejrNsKg12nBZaHOirpfpUno0C&#10;W8VJrCe34eCr+LPLZ7Nf3jql3t/i5wJEoBj+w8/2t1Ywzu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1McwgAAANsAAAAPAAAAAAAAAAAAAAAAAJgCAABkcnMvZG93&#10;bnJldi54bWxQSwUGAAAAAAQABAD1AAAAhwMAAAAA&#10;" fillcolor="white [3201]" strokecolor="#4bacc6 [3208]" strokeweight="2pt">
                      <v:textbox>
                        <w:txbxContent>
                          <w:p w:rsidR="00794641" w:rsidRPr="00342A52" w:rsidRDefault="00794641" w:rsidP="00AA43D4">
                            <w:pPr>
                              <w:spacing w:after="0" w:line="240" w:lineRule="auto"/>
                              <w:jc w:val="center"/>
                              <w:rPr>
                                <w:b/>
                                <w:sz w:val="24"/>
                                <w:szCs w:val="24"/>
                              </w:rPr>
                            </w:pPr>
                            <w:r w:rsidRPr="00342A52">
                              <w:rPr>
                                <w:b/>
                                <w:sz w:val="24"/>
                                <w:szCs w:val="24"/>
                              </w:rPr>
                              <w:t>Secteur privé local</w:t>
                            </w:r>
                          </w:p>
                        </w:txbxContent>
                      </v:textbox>
                    </v:shape>
                    <v:shape id="Organigramme : Processus 22" o:spid="_x0000_s1042" type="#_x0000_t109" style="position:absolute;left:63689;top:318;width:9542;height:5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Na8IA&#10;AADbAAAADwAAAGRycy9kb3ducmV2LnhtbESPUWvCMBSF3wf7D+EO9jZTK6hUo4yBMDYQV4vPl+ba&#10;FpubkkSN/94Iwh4P55zvcJbraHpxIec7ywrGowwEcW11x42Car/5mIPwAVljb5kU3MjDevX6ssRC&#10;2yv/0aUMjUgQ9gUqaEMYCil93ZJBP7IDcfKO1hkMSbpGaofXBDe9zLNsKg12nBZaHOirpfpUno0C&#10;W8VJrCe34eCr+LMbz2a/vHVKvb/FzwWIQDH8h5/tb60g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c1rwgAAANsAAAAPAAAAAAAAAAAAAAAAAJgCAABkcnMvZG93&#10;bnJldi54bWxQSwUGAAAAAAQABAD1AAAAhwMAAAAA&#10;" fillcolor="white [3201]" strokecolor="#4bacc6 [3208]" strokeweight="2pt">
                      <v:textbox>
                        <w:txbxContent>
                          <w:p w:rsidR="00794641" w:rsidRPr="00342A52" w:rsidRDefault="00794641" w:rsidP="00AA43D4">
                            <w:pPr>
                              <w:spacing w:after="0" w:line="240" w:lineRule="auto"/>
                              <w:jc w:val="center"/>
                              <w:rPr>
                                <w:b/>
                                <w:sz w:val="24"/>
                                <w:szCs w:val="24"/>
                              </w:rPr>
                            </w:pPr>
                            <w:r w:rsidRPr="00342A52">
                              <w:rPr>
                                <w:b/>
                                <w:sz w:val="24"/>
                                <w:szCs w:val="24"/>
                              </w:rPr>
                              <w:t>Société civile locale</w:t>
                            </w:r>
                          </w:p>
                        </w:txbxContent>
                      </v:textbox>
                    </v:shape>
                  </v:group>
                  <v:shapetype id="_x0000_t32" coordsize="21600,21600" o:spt="32" o:oned="t" path="m,l21600,21600e" filled="f">
                    <v:path arrowok="t" fillok="f" o:connecttype="none"/>
                    <o:lock v:ext="edit" shapetype="t"/>
                  </v:shapetype>
                  <v:shape id="Connecteur droit avec flèche 23" o:spid="_x0000_s1043" type="#_x0000_t32" style="position:absolute;left:16220;top:11211;width:8814;height:101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6/gcEAAADbAAAADwAAAGRycy9kb3ducmV2LnhtbESPQYvCMBSE78L+h/CEvWmqCypdo4jr&#10;Lt7E6t4fzbMtNi8liW3990YQPA4z8w2zXPemFi05X1lWMBknIIhzqysuFJxPv6MFCB+QNdaWScGd&#10;PKxXH4Mlptp2fKQ2C4WIEPYpKihDaFIpfV6SQT+2DXH0LtYZDFG6QmqHXYSbWk6TZCYNVhwXSmxo&#10;W1J+zW5Gwfysd/bw//fTbjt78veJ32cuV+pz2G++QQTqwzv8au+1gukX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br+BwQAAANsAAAAPAAAAAAAAAAAAAAAA&#10;AKECAABkcnMvZG93bnJldi54bWxQSwUGAAAAAAQABAD5AAAAjwMAAAAA&#10;" strokecolor="#f79646 [3209]" strokeweight="3pt">
                    <v:stroke startarrow="block" endarrow="block"/>
                    <v:shadow on="t" color="black" opacity="22937f" origin=",.5" offset="0,.63889mm"/>
                  </v:shape>
                  <v:shape id="Connecteur droit avec flèche 24" o:spid="_x0000_s1044" type="#_x0000_t32" style="position:absolute;left:47151;top:10813;width:7632;height:10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NgMMAAADbAAAADwAAAGRycy9kb3ducmV2LnhtbESPQYvCMBSE7wv+h/AEb2uqyLJUo4ig&#10;eBHRdRVvj+bZVpuX0kRT//1GEPY4zMw3zGTWmko8qHGlZQWDfgKCOLO65FzB4Wf5+Q3CeWSNlWVS&#10;8CQHs2nnY4KptoF39Nj7XEQIuxQVFN7XqZQuK8ig69uaOHoX2xj0UTa51A2GCDeVHCbJlzRYclwo&#10;sKZFQdltfzcKznwI+bM6Xq7bkC1Pv+v56r4JSvW67XwMwlPr/8Pv9lorGI7g9SX+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4zYDDAAAA2wAAAA8AAAAAAAAAAAAA&#10;AAAAoQIAAGRycy9kb3ducmV2LnhtbFBLBQYAAAAABAAEAPkAAACRAwAAAAA=&#10;" strokecolor="#f79646 [3209]" strokeweight="3pt">
                    <v:stroke startarrow="block" endarrow="block"/>
                    <v:shadow on="t" color="black" opacity="22937f" origin=",.5" offset="0,.63889mm"/>
                  </v:shape>
                  <v:group id="Groupe 25" o:spid="_x0000_s1045" style="position:absolute;top:30373;width:27978;height:8675" coordsize="27980,8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6" o:spid="_x0000_s1046" type="#_x0000_t87" style="position:absolute;left:12383;top:-6917;width:3213;height:279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pjsIA&#10;AADbAAAADwAAAGRycy9kb3ducmV2LnhtbESPQYvCMBSE78L+h/AW9iKaqiC1GmUtLHjwYt0f8LZ5&#10;tmWbl5JEW/+9EQSPw8x8w2x2g2nFjZxvLCuYTRMQxKXVDVcKfs8/kxSED8gaW8uk4E4edtuP0QYz&#10;bXs+0a0IlYgQ9hkqqEPoMil9WZNBP7UdcfQu1hkMUbpKaod9hJtWzpNkKQ02HBdq7CivqfwvrkbB&#10;OC/uvRwvmnTl93l/XPx5njmlvj6H7zWIQEN4h1/tg1YwX8Lz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WmOwgAAANsAAAAPAAAAAAAAAAAAAAAAAJgCAABkcnMvZG93&#10;bnJldi54bWxQSwUGAAAAAAQABAD1AAAAhwMAAAAA&#10;" adj="207" strokecolor="#00b050" strokeweight="2pt">
                      <v:shadow on="t" color="black" opacity="24903f" origin=",.5" offset="0,.55556mm"/>
                    </v:shape>
                    <v:shape id="Connecteur droit avec flèche 27" o:spid="_x0000_s1047" type="#_x0000_t32" style="position:absolute;left:13973;width:0;height:6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qZsQAAADbAAAADwAAAGRycy9kb3ducmV2LnhtbESPMW/CMBSE90r9D9ar1K04MAAKGASo&#10;SB060LQL25P9iAPxc2q7Ifx7XKlSx9PdfadbrgfXip5CbDwrGI8KEMTam4ZrBV+f+5c5iJiQDbae&#10;ScGNIqxXjw9LLI2/8gf1VapFhnAsUYFNqSuljNqSwzjyHXH2Tj44TFmGWpqA1wx3rZwUxVQ6bDgv&#10;WOxoZ0lfqh+nYHvQ0/17/61fw+Au82NlzzvaKvX8NGwWIBIN6T/8134zCiYz+P2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GpmxAAAANsAAAAPAAAAAAAAAAAA&#10;AAAAAKECAABkcnMvZG93bnJldi54bWxQSwUGAAAAAAQABAD5AAAAkgMAAAAA&#10;" strokecolor="#00b050" strokeweight="3pt">
                      <v:stroke startarrow="block" endarrow="block"/>
                    </v:shape>
                  </v:group>
                  <v:group id="Groupe 28" o:spid="_x0000_s1048" style="position:absolute;left:30612;top:30135;width:43986;height:9011" coordsize="43990,9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ccolade ouvrante 29" o:spid="_x0000_s1049" type="#_x0000_t87" style="position:absolute;left:20388;top:-14590;width:3213;height:439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UsMA&#10;AADbAAAADwAAAGRycy9kb3ducmV2LnhtbESPwWrDMBBE74H+g9hAb4kcH0rjRjYhEGh6S9rkvFgb&#10;y9RaCUmN3X59VSjkOMzMG2bTTHYQNwqxd6xgtSxAELdO99wp+HjfL55BxISscXBMCr4pQlM/zDZY&#10;aTfykW6n1IkM4VihApOSr6SMrSGLcek8cfauLlhMWYZO6oBjhttBlkXxJC32nBcMetoZaj9PX1aB&#10;vJz94Vj6H2OCuY5vq/22PZyVepxP2xcQiaZ0D/+3X7WCcg1/X/IPk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PrUsMAAADbAAAADwAAAAAAAAAAAAAAAACYAgAAZHJzL2Rv&#10;d25yZXYueG1sUEsFBgAAAAAEAAQA9QAAAIgDAAAAAA==&#10;" adj="131" strokecolor="#00b050" strokeweight="2pt">
                      <v:shadow on="t" color="black" opacity="24903f" origin=",.5" offset="0,.55556mm"/>
                    </v:shape>
                    <v:shape id="Connecteur droit avec flèche 30" o:spid="_x0000_s1050" type="#_x0000_t32" style="position:absolute;left:21939;width:0;height:6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hkz8EAAADbAAAADwAAAGRycy9kb3ducmV2LnhtbERPPW/CMBDdK/U/WFeJrTgUCaEUgwCB&#10;xMDQpl26newjDsTnYLsh/Hs8VOr49L4Xq8G1oqcQG88KJuMCBLH2puFawffX/nUOIiZkg61nUnCn&#10;CKvl89MCS+Nv/El9lWqRQziWqMCm1JVSRm3JYRz7jjhzJx8cpgxDLU3AWw53rXwripl02HBusNjR&#10;1pK+VL9OweZDz/bH/qp3YXCX+U9lz1vaKDV6GdbvIBIN6V/85z4YBdO8Pn/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SGTPwQAAANsAAAAPAAAAAAAAAAAAAAAA&#10;AKECAABkcnMvZG93bnJldi54bWxQSwUGAAAAAAQABAD5AAAAjwMAAAAA&#10;" strokecolor="#00b050" strokeweight="3pt">
                      <v:stroke startarrow="block" endarrow="block"/>
                    </v:shape>
                  </v:group>
                  <v:roundrect id="Rectangle à coins arrondis 31" o:spid="_x0000_s1051" style="position:absolute;left:8746;top:27034;width:9855;height:3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iFMMA&#10;AADbAAAADwAAAGRycy9kb3ducmV2LnhtbESPS4sCMRCE74L/IbTgRTSjgsisUUQU3IU9+II9NpOe&#10;x+6kMyRRx39vFgSPRVV9RS1WranFjZyvLCsYjxIQxJnVFRcKzqfdcA7CB2SNtWVS8CAPq2W3s8BU&#10;2zsf6HYMhYgQ9ikqKENoUil9VpJBP7INcfRy6wyGKF0htcN7hJtaTpJkJg1WHBdKbGhTUvZ3vBoF&#10;29+fxH0WlW3yr4eV+fdl4GYXpfq9dv0BIlAb3uFXe68VTMf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3iFMMAAADbAAAADwAAAAAAAAAAAAAAAACYAgAAZHJzL2Rv&#10;d25yZXYueG1sUEsFBgAAAAAEAAQA9QAAAIgDAAAAAA==&#10;" fillcolor="white [3201]" strokecolor="black [3213]" strokeweight="2pt">
                    <v:textbox>
                      <w:txbxContent>
                        <w:p w:rsidR="00794641" w:rsidRPr="002D0597" w:rsidRDefault="00794641" w:rsidP="00AA43D4">
                          <w:pPr>
                            <w:jc w:val="center"/>
                            <w:rPr>
                              <w:b/>
                            </w:rPr>
                          </w:pPr>
                          <w:r w:rsidRPr="002D0597">
                            <w:rPr>
                              <w:b/>
                            </w:rPr>
                            <w:t>ST/CSD</w:t>
                          </w:r>
                        </w:p>
                      </w:txbxContent>
                    </v:textbox>
                  </v:roundrect>
                  <v:roundrect id="Rectangle à coins arrondis 32" o:spid="_x0000_s1052" style="position:absolute;left:47151;top:26875;width:9855;height:3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8Y8MA&#10;AADbAAAADwAAAGRycy9kb3ducmV2LnhtbESPS4sCMRCE74L/IbTgRTSzCiKzRhFZQQUP6wP22Ex6&#10;HruTzpBEHf+9ERY8FlX1FTVftqYWN3K+sqzgY5SAIM6srrhQcD5thjMQPiBrrC2Tggd5WC66nTmm&#10;2t75m27HUIgIYZ+igjKEJpXSZyUZ9CPbEEcvt85giNIVUju8R7ip5ThJptJgxXGhxIbWJWV/x6tR&#10;8PX7k7hdUdkm3z+szA+XgZtelOr32tUniEBteIf/21utYDKG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98Y8MAAADbAAAADwAAAAAAAAAAAAAAAACYAgAAZHJzL2Rv&#10;d25yZXYueG1sUEsFBgAAAAAEAAQA9QAAAIgDAAAAAA==&#10;" fillcolor="white [3201]" strokecolor="black [3213]" strokeweight="2pt">
                    <v:textbox>
                      <w:txbxContent>
                        <w:p w:rsidR="00794641" w:rsidRPr="002D0597" w:rsidRDefault="00794641" w:rsidP="00AA43D4">
                          <w:pPr>
                            <w:jc w:val="center"/>
                            <w:rPr>
                              <w:b/>
                            </w:rPr>
                          </w:pPr>
                          <w:r w:rsidRPr="002D0597">
                            <w:rPr>
                              <w:b/>
                            </w:rPr>
                            <w:t>ST/C</w:t>
                          </w:r>
                          <w:r>
                            <w:rPr>
                              <w:b/>
                            </w:rPr>
                            <w:t>R</w:t>
                          </w:r>
                          <w:r w:rsidRPr="002D0597">
                            <w:rPr>
                              <w:b/>
                            </w:rPr>
                            <w:t>D</w:t>
                          </w:r>
                        </w:p>
                      </w:txbxContent>
                    </v:textbox>
                  </v:roundrect>
                  <v:group id="Groupe 33" o:spid="_x0000_s1053" style="position:absolute;top:46117;width:74597;height:6123;rotation:180" coordsize="43990,9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nKzsIAAADbAAAADwAAAGRycy9kb3ducmV2LnhtbESPT2sCMRTE74LfITzB&#10;m2Z1a5HVKCIU91TwD/T62Dw3q5uXJUl1++2bQsHjMDO/Ydbb3rbiQT40jhXMphkI4srphmsFl/PH&#10;ZAkiRGSNrWNS8EMBtpvhYI2Fdk8+0uMUa5EgHApUYGLsCilDZchimLqOOHlX5y3GJH0ttcdngttW&#10;zrPsXVpsOC0Y7GhvqLqfvq0C/RbyC5Xlzs8/b+dFsziY+vql1HjU71YgIvXxFf5vl1pBnsPfl/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1pys7CAAAA2wAAAA8A&#10;AAAAAAAAAAAAAAAAqgIAAGRycy9kb3ducmV2LnhtbFBLBQYAAAAABAAEAPoAAACZAwAAAAA=&#10;">
                    <v:shape id="Accolade ouvrante 34" o:spid="_x0000_s1054" type="#_x0000_t87" style="position:absolute;left:20388;top:-14590;width:3213;height:439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SEcIA&#10;AADbAAAADwAAAGRycy9kb3ducmV2LnhtbESPQWsCMRSE74L/ITyhN81qpZTVKCIItTdt9fzYPDeL&#10;m5eQpO62v74RBI/DzHzDLNe9bcWNQmwcK5hOChDEldMN1wq+v3bjdxAxIWtsHZOCX4qwXg0HSyy1&#10;6/hAt2OqRYZwLFGBScmXUsbKkMU4cZ44excXLKYsQy11wC7DbStnRfEmLTacFwx62hqqrscfq0Ce&#10;T35/mPk/Y4K5dJ/T3aban5R6GfWbBYhEfXqGH+0PreB1Dvcv+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9IRwgAAANsAAAAPAAAAAAAAAAAAAAAAAJgCAABkcnMvZG93&#10;bnJldi54bWxQSwUGAAAAAAQABAD1AAAAhwMAAAAA&#10;" adj="131" strokecolor="#00b050" strokeweight="2pt">
                      <v:shadow on="t" color="black" opacity="24903f" origin=",.5" offset="0,.55556mm"/>
                    </v:shape>
                    <v:shape id="Connecteur droit avec flèche 35" o:spid="_x0000_s1055" type="#_x0000_t32" style="position:absolute;left:21939;width:0;height:6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V8QAAADbAAAADwAAAGRycy9kb3ducmV2LnhtbESPQWsCMRSE74X+h/AK3mq2FUVWo1Sp&#10;4MFDu+2lt0fy3GzdvGyTuK7/3hQKPQ4z8w2zXA+uFT2F2HhW8DQuQBBrbxquFXx+7B7nIGJCNth6&#10;JgVXirBe3d8tsTT+wu/UV6kWGcKxRAU2pa6UMmpLDuPYd8TZO/rgMGUZamkCXjLctfK5KGbSYcN5&#10;wWJHW0v6VJ2dgs2bnu0O/Y9+DYM7zb8q+72ljVKjh+FlASLRkP7Df+29UTCZwu+X/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8dXxAAAANsAAAAPAAAAAAAAAAAA&#10;AAAAAKECAABkcnMvZG93bnJldi54bWxQSwUGAAAAAAQABAD5AAAAkgMAAAAA&#10;" strokecolor="#00b050" strokeweight="3pt">
                      <v:stroke startarrow="block" endarrow="block"/>
                    </v:shape>
                  </v:group>
                </v:group>
                <v:group id="Groupe 36" o:spid="_x0000_s1056" style="position:absolute;left:75384;width:23842;height:60784" coordsize="23841,6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Zone de texte 37" o:spid="_x0000_s1057" type="#_x0000_t202" style="position:absolute;left:2232;top:19989;width:21609;height:1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794641" w:rsidRDefault="00794641" w:rsidP="00AA43D4">
                          <w:pPr>
                            <w:spacing w:after="0" w:line="240" w:lineRule="auto"/>
                            <w:rPr>
                              <w:b/>
                            </w:rPr>
                          </w:pPr>
                          <w:r w:rsidRPr="006061E8">
                            <w:rPr>
                              <w:b/>
                            </w:rPr>
                            <w:t>Revue d</w:t>
                          </w:r>
                          <w:r>
                            <w:rPr>
                              <w:b/>
                            </w:rPr>
                            <w:t>e</w:t>
                          </w:r>
                          <w:r w:rsidRPr="006061E8">
                            <w:rPr>
                              <w:b/>
                            </w:rPr>
                            <w:t xml:space="preserve"> </w:t>
                          </w:r>
                          <w:r>
                            <w:rPr>
                              <w:b/>
                            </w:rPr>
                            <w:t>la Politique sectorielle</w:t>
                          </w:r>
                        </w:p>
                        <w:p w:rsidR="00794641" w:rsidRPr="001D11CD" w:rsidRDefault="00794641" w:rsidP="004102F5">
                          <w:pPr>
                            <w:pStyle w:val="Paragraphedeliste"/>
                            <w:numPr>
                              <w:ilvl w:val="0"/>
                              <w:numId w:val="17"/>
                            </w:numPr>
                            <w:spacing w:after="0" w:line="240" w:lineRule="auto"/>
                            <w:ind w:left="284" w:hanging="218"/>
                          </w:pPr>
                          <w:r w:rsidRPr="001D11CD">
                            <w:t xml:space="preserve">Rapport trimestriel de suivi </w:t>
                          </w:r>
                        </w:p>
                        <w:p w:rsidR="00794641" w:rsidRPr="001D11CD" w:rsidRDefault="00794641" w:rsidP="004102F5">
                          <w:pPr>
                            <w:pStyle w:val="Paragraphedeliste"/>
                            <w:numPr>
                              <w:ilvl w:val="0"/>
                              <w:numId w:val="17"/>
                            </w:numPr>
                            <w:spacing w:after="0" w:line="240" w:lineRule="auto"/>
                            <w:ind w:left="284" w:hanging="218"/>
                          </w:pPr>
                          <w:r w:rsidRPr="001D11CD">
                            <w:t>CMP/PS</w:t>
                          </w:r>
                        </w:p>
                        <w:p w:rsidR="00794641" w:rsidRPr="001D11CD" w:rsidRDefault="00794641" w:rsidP="004102F5">
                          <w:pPr>
                            <w:pStyle w:val="Paragraphedeliste"/>
                            <w:numPr>
                              <w:ilvl w:val="0"/>
                              <w:numId w:val="17"/>
                            </w:numPr>
                            <w:spacing w:after="0" w:line="240" w:lineRule="auto"/>
                            <w:ind w:left="284" w:hanging="218"/>
                          </w:pPr>
                          <w:r w:rsidRPr="001D11CD">
                            <w:t>RAP de la PS</w:t>
                          </w:r>
                        </w:p>
                        <w:p w:rsidR="00794641" w:rsidRDefault="00794641" w:rsidP="00AA43D4">
                          <w:pPr>
                            <w:spacing w:after="0" w:line="240" w:lineRule="auto"/>
                            <w:rPr>
                              <w:b/>
                            </w:rPr>
                          </w:pPr>
                          <w:r w:rsidRPr="006061E8">
                            <w:rPr>
                              <w:b/>
                            </w:rPr>
                            <w:t xml:space="preserve">Revue </w:t>
                          </w:r>
                          <w:r>
                            <w:rPr>
                              <w:b/>
                            </w:rPr>
                            <w:t>régionale des PLD</w:t>
                          </w:r>
                        </w:p>
                        <w:p w:rsidR="00794641" w:rsidRPr="001D11CD" w:rsidRDefault="00794641" w:rsidP="004102F5">
                          <w:pPr>
                            <w:pStyle w:val="Paragraphedeliste"/>
                            <w:numPr>
                              <w:ilvl w:val="0"/>
                              <w:numId w:val="17"/>
                            </w:numPr>
                            <w:spacing w:after="0" w:line="240" w:lineRule="auto"/>
                            <w:ind w:left="284" w:hanging="218"/>
                          </w:pPr>
                          <w:r w:rsidRPr="001D11CD">
                            <w:t xml:space="preserve">Rapport trimestriel de suivi </w:t>
                          </w:r>
                        </w:p>
                        <w:p w:rsidR="00794641" w:rsidRPr="001D11CD" w:rsidRDefault="00794641" w:rsidP="004102F5">
                          <w:pPr>
                            <w:pStyle w:val="Paragraphedeliste"/>
                            <w:numPr>
                              <w:ilvl w:val="0"/>
                              <w:numId w:val="17"/>
                            </w:numPr>
                            <w:spacing w:after="0" w:line="240" w:lineRule="auto"/>
                            <w:ind w:left="284" w:hanging="218"/>
                          </w:pPr>
                          <w:r w:rsidRPr="001D11CD">
                            <w:t>CMP/PLD</w:t>
                          </w:r>
                        </w:p>
                        <w:p w:rsidR="00794641" w:rsidRPr="001D11CD" w:rsidRDefault="00794641" w:rsidP="004102F5">
                          <w:pPr>
                            <w:pStyle w:val="Paragraphedeliste"/>
                            <w:numPr>
                              <w:ilvl w:val="0"/>
                              <w:numId w:val="17"/>
                            </w:numPr>
                            <w:spacing w:after="0" w:line="240" w:lineRule="auto"/>
                            <w:ind w:left="284" w:hanging="218"/>
                          </w:pPr>
                          <w:r w:rsidRPr="001D11CD">
                            <w:t>RAP du PLD</w:t>
                          </w:r>
                        </w:p>
                        <w:p w:rsidR="00794641" w:rsidRDefault="00794641" w:rsidP="00AA43D4">
                          <w:pPr>
                            <w:spacing w:after="0" w:line="240" w:lineRule="auto"/>
                          </w:pPr>
                        </w:p>
                      </w:txbxContent>
                    </v:textbox>
                  </v:shape>
                  <v:group id="Groupe 38" o:spid="_x0000_s1058" style="position:absolute;width:22778;height:60784" coordsize="22778,60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ccolade ouvrante 39" o:spid="_x0000_s1059" type="#_x0000_t87" style="position:absolute;left:106;width:2171;height:11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LC8cA&#10;AADbAAAADwAAAGRycy9kb3ducmV2LnhtbESPW2vCQBSE3wX/w3IEX0rdeKG0qat4QSgUbWtL6eMx&#10;e0yC2bMhu9Hor3eFgo/DzHzDjKeNKcSRKpdbVtDvRSCIE6tzThX8fK8en0E4j6yxsEwKzuRgOmm3&#10;xhhre+IvOm59KgKEXYwKMu/LWEqXZGTQ9WxJHLy9rQz6IKtU6gpPAW4KOYiiJ2kw57CQYUmLjJLD&#10;tjYK6oO9jHbLaFj/us37ev7x9/C5sUp1O83sFYSnxt/D/+03rWD4Arcv4Qf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wCwvHAAAA2wAAAA8AAAAAAAAAAAAAAAAAmAIAAGRy&#10;cy9kb3ducmV2LnhtbFBLBQYAAAAABAAEAPUAAACMAwAAAAA=&#10;" adj="329" strokecolor="#4579b8 [3044]">
                      <v:textbox>
                        <w:txbxContent>
                          <w:p w:rsidR="00794641" w:rsidRDefault="00794641" w:rsidP="00AA43D4"/>
                        </w:txbxContent>
                      </v:textbox>
                    </v:shape>
                    <v:shape id="Accolade ouvrante 40" o:spid="_x0000_s1060" type="#_x0000_t87" style="position:absolute;left:318;top:20733;width:2166;height:1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SLMIA&#10;AADbAAAADwAAAGRycy9kb3ducmV2LnhtbERPTUsDMRC9C/6HMEIvYrNKkbI2LUUsSNuDW/XgbdhM&#10;N4ubyZJMt9t/3xwEj4/3vViNvlMDxdQGNvA4LUAR18G23Bj4+tw8zEElQbbYBSYDF0qwWt7eLLC0&#10;4cwVDQdpVA7hVKIBJ9KXWqfakcc0DT1x5o4hepQMY6NtxHMO951+Kopn7bHl3OCwp1dH9e/h5A3c&#10;i1RYxe3+ze3b6jj8fKTv3dqYyd24fgElNMq/+M/9bg3M8vr8Jf8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BIswgAAANsAAAAPAAAAAAAAAAAAAAAAAJgCAABkcnMvZG93&#10;bnJldi54bWxQSwUGAAAAAAQABAD1AAAAhwMAAAAA&#10;" adj="278" strokecolor="#4579b8 [3044]">
                      <v:textbox>
                        <w:txbxContent>
                          <w:p w:rsidR="00794641" w:rsidRDefault="00794641" w:rsidP="00AA43D4"/>
                        </w:txbxContent>
                      </v:textbox>
                    </v:shape>
                    <v:shape id="Zone de texte 41" o:spid="_x0000_s1061" type="#_x0000_t202" style="position:absolute;left:2658;width:1995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794641" w:rsidRDefault="00794641" w:rsidP="00AA43D4">
                            <w:pPr>
                              <w:spacing w:after="0" w:line="240" w:lineRule="auto"/>
                              <w:rPr>
                                <w:b/>
                              </w:rPr>
                            </w:pPr>
                            <w:r w:rsidRPr="006061E8">
                              <w:rPr>
                                <w:b/>
                              </w:rPr>
                              <w:t xml:space="preserve">Revue annuelle du </w:t>
                            </w:r>
                            <w:r>
                              <w:rPr>
                                <w:b/>
                              </w:rPr>
                              <w:t>PNDES</w:t>
                            </w:r>
                          </w:p>
                          <w:p w:rsidR="00794641" w:rsidRPr="001D11CD" w:rsidRDefault="00794641" w:rsidP="004102F5">
                            <w:pPr>
                              <w:pStyle w:val="Paragraphedeliste"/>
                              <w:numPr>
                                <w:ilvl w:val="0"/>
                                <w:numId w:val="17"/>
                              </w:numPr>
                              <w:spacing w:after="0" w:line="240" w:lineRule="auto"/>
                              <w:ind w:left="284" w:hanging="218"/>
                            </w:pPr>
                            <w:r w:rsidRPr="001D11CD">
                              <w:t>C</w:t>
                            </w:r>
                            <w:r>
                              <w:t>N</w:t>
                            </w:r>
                            <w:r w:rsidRPr="001D11CD">
                              <w:t>P/PNDES</w:t>
                            </w:r>
                          </w:p>
                          <w:p w:rsidR="00794641" w:rsidRPr="001D11CD" w:rsidRDefault="00794641" w:rsidP="004102F5">
                            <w:pPr>
                              <w:pStyle w:val="Paragraphedeliste"/>
                              <w:numPr>
                                <w:ilvl w:val="0"/>
                                <w:numId w:val="17"/>
                              </w:numPr>
                              <w:spacing w:after="0" w:line="240" w:lineRule="auto"/>
                              <w:ind w:left="284" w:hanging="218"/>
                            </w:pPr>
                            <w:r w:rsidRPr="001D11CD">
                              <w:t>Matrices RSIS</w:t>
                            </w:r>
                          </w:p>
                          <w:p w:rsidR="00794641" w:rsidRPr="001D11CD" w:rsidRDefault="00794641" w:rsidP="004102F5">
                            <w:pPr>
                              <w:pStyle w:val="Paragraphedeliste"/>
                              <w:numPr>
                                <w:ilvl w:val="0"/>
                                <w:numId w:val="17"/>
                              </w:numPr>
                              <w:spacing w:after="0" w:line="240" w:lineRule="auto"/>
                              <w:ind w:left="284" w:hanging="218"/>
                            </w:pPr>
                            <w:r w:rsidRPr="001D11CD">
                              <w:t>Rapport annuel de performances (RAP)</w:t>
                            </w:r>
                          </w:p>
                          <w:p w:rsidR="00794641" w:rsidRDefault="00794641" w:rsidP="00AA43D4">
                            <w:pPr>
                              <w:spacing w:after="0" w:line="240" w:lineRule="auto"/>
                            </w:pPr>
                          </w:p>
                        </w:txbxContent>
                      </v:textbox>
                    </v:shape>
                    <v:shape id="Zone de texte 42" o:spid="_x0000_s1062" type="#_x0000_t202" style="position:absolute;left:1169;top:38489;width:21609;height:15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794641" w:rsidRDefault="00794641" w:rsidP="00AA43D4">
                            <w:pPr>
                              <w:spacing w:after="0" w:line="240" w:lineRule="auto"/>
                              <w:rPr>
                                <w:b/>
                              </w:rPr>
                            </w:pPr>
                            <w:r>
                              <w:rPr>
                                <w:b/>
                              </w:rPr>
                              <w:t>Exécution et suivi des PTA</w:t>
                            </w:r>
                          </w:p>
                          <w:p w:rsidR="00794641" w:rsidRPr="001D11CD" w:rsidRDefault="00794641" w:rsidP="004102F5">
                            <w:pPr>
                              <w:pStyle w:val="Paragraphedeliste"/>
                              <w:numPr>
                                <w:ilvl w:val="0"/>
                                <w:numId w:val="17"/>
                              </w:numPr>
                              <w:spacing w:after="0" w:line="240" w:lineRule="auto"/>
                              <w:ind w:left="284" w:hanging="218"/>
                            </w:pPr>
                            <w:r w:rsidRPr="001D11CD">
                              <w:t>Plan de travail annuel (PTA)</w:t>
                            </w:r>
                          </w:p>
                          <w:p w:rsidR="00794641" w:rsidRPr="001D11CD" w:rsidRDefault="00794641" w:rsidP="004102F5">
                            <w:pPr>
                              <w:pStyle w:val="Paragraphedeliste"/>
                              <w:numPr>
                                <w:ilvl w:val="0"/>
                                <w:numId w:val="17"/>
                              </w:numPr>
                              <w:spacing w:after="0" w:line="240" w:lineRule="auto"/>
                              <w:ind w:left="284" w:hanging="218"/>
                            </w:pPr>
                            <w:r w:rsidRPr="001D11CD">
                              <w:t>Rapport trimestriel de suivi du PTA</w:t>
                            </w:r>
                          </w:p>
                          <w:p w:rsidR="00794641" w:rsidRPr="001D11CD" w:rsidRDefault="00794641" w:rsidP="004102F5">
                            <w:pPr>
                              <w:pStyle w:val="Paragraphedeliste"/>
                              <w:numPr>
                                <w:ilvl w:val="0"/>
                                <w:numId w:val="17"/>
                              </w:numPr>
                              <w:spacing w:after="0" w:line="240" w:lineRule="auto"/>
                              <w:ind w:left="284" w:hanging="218"/>
                            </w:pPr>
                            <w:r w:rsidRPr="001D11CD">
                              <w:t>Rapport annuel de suivi du PTA</w:t>
                            </w:r>
                          </w:p>
                          <w:p w:rsidR="00794641" w:rsidRDefault="00794641" w:rsidP="00AA43D4">
                            <w:pPr>
                              <w:spacing w:after="0" w:line="240" w:lineRule="auto"/>
                            </w:pPr>
                          </w:p>
                        </w:txbxContent>
                      </v:textbox>
                    </v:shape>
                    <v:shape id="Accolade ouvrante 43" o:spid="_x0000_s1063" type="#_x0000_t87" style="position:absolute;top:37745;width:2165;height:1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W8UA&#10;AADbAAAADwAAAGRycy9kb3ducmV2LnhtbESPT0sDMRTE70K/Q3gFL2Kz/kFkbVpKURDtoVvbg7fH&#10;5nWzdPOyJM/t+u2NIHgcZuY3zHw5+k4NFFMb2MDNrABFXAfbcmNg//Fy/QgqCbLFLjAZ+KYEy8Xk&#10;Yo6lDWeuaNhJozKEU4kGnEhfap1qRx7TLPTE2TuG6FGyjI22Ec8Z7jt9WxQP2mPLecFhT2tH9Wn3&#10;5Q1ciVRYxbfNs9u01XH43KbD+8qYy+m4egIlNMp/+K/9ag3c38Hvl/w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oxbxQAAANsAAAAPAAAAAAAAAAAAAAAAAJgCAABkcnMv&#10;ZG93bnJldi54bWxQSwUGAAAAAAQABAD1AAAAigMAAAAA&#10;" adj="278" strokecolor="#4579b8 [3044]">
                      <v:textbox>
                        <w:txbxContent>
                          <w:p w:rsidR="00794641" w:rsidRDefault="00794641" w:rsidP="00AA43D4"/>
                        </w:txbxContent>
                      </v:textbox>
                    </v:shape>
                    <v:shape id="Zone de texte 44" o:spid="_x0000_s1064" type="#_x0000_t202" style="position:absolute;left:2658;top:52950;width:19945;height:7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794641" w:rsidRPr="001D11CD" w:rsidRDefault="00794641" w:rsidP="00AA43D4">
                            <w:pPr>
                              <w:spacing w:after="0" w:line="240" w:lineRule="auto"/>
                              <w:rPr>
                                <w:b/>
                              </w:rPr>
                            </w:pPr>
                            <w:r>
                              <w:rPr>
                                <w:b/>
                              </w:rPr>
                              <w:t xml:space="preserve">Adhésion et participation aux </w:t>
                            </w:r>
                            <w:r w:rsidRPr="001D11CD">
                              <w:rPr>
                                <w:b/>
                              </w:rPr>
                              <w:t>processus du PNDES</w:t>
                            </w:r>
                          </w:p>
                        </w:txbxContent>
                      </v:textbox>
                    </v:shape>
                    <v:shape id="Accolade ouvrante 45" o:spid="_x0000_s1065" type="#_x0000_t87" style="position:absolute;left:212;top:52312;width:2166;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z2sUA&#10;AADbAAAADwAAAGRycy9kb3ducmV2LnhtbESPQWvCQBSE70L/w/IKvemmrSk1uoqUSvXgwZiLt0f2&#10;mQSzb0N2NbG/3hUEj8PMfMPMFr2pxYVaV1lW8D6KQBDnVldcKMj2q+E3COeRNdaWScGVHCzmL4MZ&#10;Jtp2vKNL6gsRIOwSVFB63yRSurwkg25kG+LgHW1r0AfZFlK32AW4qeVHFH1JgxWHhRIb+ikpP6Vn&#10;o+AvO2T/e/fpz9fjZNmtxptt/Bsr9fbaL6cgPPX+GX6011rBOIb7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nPaxQAAANsAAAAPAAAAAAAAAAAAAAAAAJgCAABkcnMv&#10;ZG93bnJldi54bWxQSwUGAAAAAAQABAD1AAAAigMAAAAA&#10;" adj="619" strokecolor="#4579b8 [3044]">
                      <v:textbox>
                        <w:txbxContent>
                          <w:p w:rsidR="00794641" w:rsidRDefault="00794641" w:rsidP="00AA43D4"/>
                        </w:txbxContent>
                      </v:textbox>
                    </v:shape>
                  </v:group>
                </v:group>
              </v:group>
            </w:pict>
          </mc:Fallback>
        </mc:AlternateContent>
      </w:r>
    </w:p>
    <w:p w:rsidR="00AA43D4" w:rsidRPr="00422183" w:rsidRDefault="00AA43D4" w:rsidP="00516FB0">
      <w:pPr>
        <w:autoSpaceDE w:val="0"/>
        <w:autoSpaceDN w:val="0"/>
        <w:adjustRightInd w:val="0"/>
        <w:spacing w:after="0" w:line="240" w:lineRule="auto"/>
        <w:jc w:val="both"/>
        <w:rPr>
          <w:rFonts w:ascii="Rockwell" w:hAnsi="Rockwell" w:cs="Times New Roman"/>
          <w:sz w:val="24"/>
          <w:szCs w:val="24"/>
        </w:rPr>
      </w:pPr>
    </w:p>
    <w:p w:rsidR="00AA43D4" w:rsidRPr="00422183" w:rsidRDefault="00AA43D4" w:rsidP="003A0820">
      <w:pPr>
        <w:autoSpaceDE w:val="0"/>
        <w:autoSpaceDN w:val="0"/>
        <w:adjustRightInd w:val="0"/>
        <w:spacing w:after="0" w:line="240" w:lineRule="auto"/>
        <w:jc w:val="both"/>
        <w:rPr>
          <w:rFonts w:ascii="Rockwell" w:hAnsi="Rockwell" w:cs="Times New Roman"/>
          <w:sz w:val="24"/>
          <w:szCs w:val="24"/>
        </w:rPr>
      </w:pPr>
    </w:p>
    <w:p w:rsidR="00AA43D4" w:rsidRPr="00422183" w:rsidRDefault="00AA43D4" w:rsidP="003A0820">
      <w:pPr>
        <w:jc w:val="both"/>
        <w:rPr>
          <w:rFonts w:ascii="Rockwell" w:hAnsi="Rockwell" w:cs="Times New Roman"/>
          <w:sz w:val="24"/>
          <w:szCs w:val="24"/>
        </w:rPr>
      </w:pPr>
      <w:r w:rsidRPr="00422183">
        <w:rPr>
          <w:rFonts w:ascii="Rockwell" w:hAnsi="Rockwell" w:cs="Times New Roman"/>
          <w:sz w:val="24"/>
          <w:szCs w:val="24"/>
        </w:rPr>
        <w:br w:type="page"/>
      </w:r>
    </w:p>
    <w:p w:rsidR="00AA43D4" w:rsidRPr="00422183" w:rsidRDefault="00AA43D4" w:rsidP="003A0820">
      <w:pPr>
        <w:autoSpaceDE w:val="0"/>
        <w:autoSpaceDN w:val="0"/>
        <w:adjustRightInd w:val="0"/>
        <w:spacing w:after="0" w:line="240" w:lineRule="auto"/>
        <w:jc w:val="both"/>
        <w:rPr>
          <w:rFonts w:ascii="Rockwell" w:hAnsi="Rockwell" w:cs="Times New Roman"/>
          <w:sz w:val="24"/>
          <w:szCs w:val="24"/>
        </w:rPr>
        <w:sectPr w:rsidR="00AA43D4" w:rsidRPr="00422183" w:rsidSect="00AA43D4">
          <w:pgSz w:w="16838" w:h="11906" w:orient="landscape" w:code="9"/>
          <w:pgMar w:top="1134" w:right="1134" w:bottom="1134" w:left="1134" w:header="709" w:footer="709" w:gutter="0"/>
          <w:pgBorders w:display="firstPage" w:offsetFrom="page">
            <w:top w:val="single" w:sz="24" w:space="24" w:color="auto" w:shadow="1"/>
            <w:left w:val="single" w:sz="24" w:space="24" w:color="auto" w:shadow="1"/>
            <w:bottom w:val="single" w:sz="24" w:space="24" w:color="auto" w:shadow="1"/>
            <w:right w:val="single" w:sz="24" w:space="24" w:color="auto" w:shadow="1"/>
          </w:pgBorders>
          <w:cols w:space="708"/>
          <w:titlePg/>
          <w:docGrid w:linePitch="360"/>
        </w:sectPr>
      </w:pPr>
    </w:p>
    <w:p w:rsidR="00AA43D4" w:rsidRPr="00422183" w:rsidRDefault="00AA43D4" w:rsidP="003A0820">
      <w:pPr>
        <w:autoSpaceDE w:val="0"/>
        <w:autoSpaceDN w:val="0"/>
        <w:adjustRightInd w:val="0"/>
        <w:spacing w:after="0" w:line="240" w:lineRule="auto"/>
        <w:jc w:val="both"/>
        <w:rPr>
          <w:rFonts w:ascii="Rockwell" w:hAnsi="Rockwell" w:cs="Times New Roman"/>
          <w:sz w:val="24"/>
          <w:szCs w:val="24"/>
        </w:rPr>
      </w:pPr>
    </w:p>
    <w:p w:rsidR="00DB35EE" w:rsidRPr="00422183" w:rsidRDefault="00DB35EE" w:rsidP="00CD3B87">
      <w:pPr>
        <w:pStyle w:val="PNDES3"/>
      </w:pPr>
      <w:bookmarkStart w:id="414" w:name="_Toc455132805"/>
      <w:r w:rsidRPr="00422183">
        <w:t>Les indicateurs de suivi et d’évaluation</w:t>
      </w:r>
      <w:bookmarkEnd w:id="414"/>
    </w:p>
    <w:p w:rsidR="00DB35EE" w:rsidRPr="00422183" w:rsidRDefault="00DB35EE" w:rsidP="003A0820">
      <w:pPr>
        <w:spacing w:after="0" w:line="240" w:lineRule="auto"/>
        <w:jc w:val="both"/>
        <w:rPr>
          <w:rFonts w:ascii="Rockwell" w:hAnsi="Rockwell"/>
          <w:sz w:val="24"/>
          <w:szCs w:val="24"/>
        </w:rPr>
      </w:pP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Les indicateurs du PNDES sont hiérarchisés en plusieurs catégories. On distingue :</w:t>
      </w: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les indicateurs d’impacts et d’effets qui sont définis dans le PNDES ;</w:t>
      </w:r>
    </w:p>
    <w:p w:rsidR="00DB35EE" w:rsidRPr="00422183" w:rsidRDefault="00DB35EE" w:rsidP="004102F5">
      <w:pPr>
        <w:pStyle w:val="Paragraphedeliste"/>
        <w:numPr>
          <w:ilvl w:val="0"/>
          <w:numId w:val="8"/>
        </w:numPr>
        <w:spacing w:after="0" w:line="240" w:lineRule="auto"/>
        <w:jc w:val="both"/>
        <w:rPr>
          <w:rFonts w:ascii="Rockwell" w:hAnsi="Rockwell"/>
          <w:sz w:val="24"/>
          <w:szCs w:val="24"/>
        </w:rPr>
      </w:pPr>
      <w:r w:rsidRPr="00422183">
        <w:rPr>
          <w:rFonts w:ascii="Rockwell" w:hAnsi="Rockwell"/>
          <w:sz w:val="24"/>
          <w:szCs w:val="24"/>
        </w:rPr>
        <w:t>les indicateurs de sous effets et des indicateurs de produits qui seront définis dans les cadres logiques des politiques sectorielles et des PLD.</w:t>
      </w:r>
    </w:p>
    <w:p w:rsidR="00DB35EE" w:rsidRPr="00422183" w:rsidRDefault="00DB35EE" w:rsidP="003A0820">
      <w:pPr>
        <w:spacing w:after="0" w:line="240" w:lineRule="auto"/>
        <w:jc w:val="both"/>
        <w:rPr>
          <w:rFonts w:ascii="Rockwell" w:hAnsi="Rockwell"/>
          <w:sz w:val="24"/>
          <w:szCs w:val="24"/>
        </w:rPr>
      </w:pPr>
      <w:r w:rsidRPr="00422183">
        <w:rPr>
          <w:rFonts w:ascii="Rockwell" w:hAnsi="Rockwell"/>
          <w:sz w:val="24"/>
          <w:szCs w:val="24"/>
        </w:rPr>
        <w:t>Pour assurer un meilleur suivi et évaluation de la mise en œuvre du PNDES, il faudra </w:t>
      </w:r>
      <w:r w:rsidR="006B4F3A" w:rsidRPr="00422183">
        <w:rPr>
          <w:rFonts w:ascii="Rockwell" w:hAnsi="Rockwell"/>
          <w:sz w:val="24"/>
          <w:szCs w:val="24"/>
        </w:rPr>
        <w:t>: (</w:t>
      </w:r>
      <w:r w:rsidRPr="00422183">
        <w:rPr>
          <w:rFonts w:ascii="Rockwell" w:hAnsi="Rockwell"/>
          <w:sz w:val="24"/>
          <w:szCs w:val="24"/>
        </w:rPr>
        <w:t xml:space="preserve">i) </w:t>
      </w:r>
      <w:r w:rsidR="00F23764" w:rsidRPr="00422183">
        <w:rPr>
          <w:rFonts w:ascii="Rockwell" w:hAnsi="Rockwell"/>
          <w:sz w:val="24"/>
          <w:szCs w:val="24"/>
        </w:rPr>
        <w:t>garantir</w:t>
      </w:r>
      <w:r w:rsidRPr="00422183">
        <w:rPr>
          <w:rFonts w:ascii="Rockwell" w:hAnsi="Rockwell"/>
          <w:sz w:val="24"/>
          <w:szCs w:val="24"/>
        </w:rPr>
        <w:t xml:space="preserve"> la disponibilité et la fiabilité des indicateurs identifiés, (ii) élaborer les nouveaux indicateurs nécessaires à l'élargissement du suivi et des évaluations des résultats à l'ensemble des axes du plan.</w:t>
      </w:r>
    </w:p>
    <w:p w:rsidR="00DB35EE" w:rsidRPr="00422183" w:rsidRDefault="00DB35EE" w:rsidP="003A0820">
      <w:pPr>
        <w:spacing w:after="0" w:line="240" w:lineRule="auto"/>
        <w:jc w:val="both"/>
        <w:rPr>
          <w:rFonts w:ascii="Rockwell" w:hAnsi="Rockwell"/>
          <w:sz w:val="24"/>
          <w:szCs w:val="24"/>
        </w:rPr>
      </w:pPr>
    </w:p>
    <w:p w:rsidR="00DB35EE" w:rsidRPr="00422183" w:rsidRDefault="00DB35EE" w:rsidP="003A0820">
      <w:pPr>
        <w:spacing w:after="0" w:line="240" w:lineRule="auto"/>
        <w:jc w:val="both"/>
        <w:rPr>
          <w:rFonts w:ascii="Rockwell" w:hAnsi="Rockwell"/>
          <w:bCs/>
          <w:sz w:val="24"/>
          <w:szCs w:val="24"/>
        </w:rPr>
      </w:pPr>
      <w:r w:rsidRPr="00422183">
        <w:rPr>
          <w:rFonts w:ascii="Rockwell" w:hAnsi="Rockwell"/>
          <w:sz w:val="24"/>
          <w:szCs w:val="24"/>
        </w:rPr>
        <w:t xml:space="preserve">À cet effet, l'amélioration du Système statistique national (SSN) sera poursuivie par la mise en œuvre du </w:t>
      </w:r>
      <w:r w:rsidRPr="00422183">
        <w:rPr>
          <w:rFonts w:ascii="Rockwell" w:hAnsi="Rockwell" w:cs="Times New Roman"/>
          <w:sz w:val="24"/>
          <w:szCs w:val="24"/>
        </w:rPr>
        <w:t>Schéma directeur de la statistique (SDS) 2016-2020</w:t>
      </w:r>
      <w:r w:rsidRPr="00422183">
        <w:rPr>
          <w:rFonts w:ascii="Rockwell" w:hAnsi="Rockwell"/>
          <w:sz w:val="24"/>
          <w:szCs w:val="24"/>
        </w:rPr>
        <w:t xml:space="preserve">. Les efforts à déployer viseront : (i) </w:t>
      </w:r>
      <w:r w:rsidRPr="00422183">
        <w:rPr>
          <w:rFonts w:ascii="Rockwell" w:hAnsi="Rockwell"/>
          <w:bCs/>
          <w:sz w:val="24"/>
          <w:szCs w:val="24"/>
        </w:rPr>
        <w:t>la rénovation et la consolidation du cadre législatif, institutionnel et organisationnel, (ii) l'amélioration de la production et de la qualité des données, (iii) le renforcement de la diffusion statistique et la promotion de l'utilisation des données et de la culture statistique</w:t>
      </w:r>
      <w:r w:rsidR="00F23764" w:rsidRPr="00422183">
        <w:rPr>
          <w:rFonts w:ascii="Rockwell" w:hAnsi="Rockwell"/>
          <w:bCs/>
          <w:sz w:val="24"/>
          <w:szCs w:val="24"/>
        </w:rPr>
        <w:t xml:space="preserve"> et</w:t>
      </w:r>
      <w:r w:rsidRPr="00422183">
        <w:rPr>
          <w:rFonts w:ascii="Rockwell" w:hAnsi="Rockwell"/>
          <w:bCs/>
          <w:sz w:val="24"/>
          <w:szCs w:val="24"/>
        </w:rPr>
        <w:t xml:space="preserve"> (iv) le renforcement des capacités humaines, matérielles et financières de production et de management du SSN</w:t>
      </w:r>
      <w:r w:rsidR="00F23764" w:rsidRPr="00422183">
        <w:rPr>
          <w:rFonts w:ascii="Rockwell" w:hAnsi="Rockwell"/>
          <w:bCs/>
          <w:sz w:val="24"/>
          <w:szCs w:val="24"/>
        </w:rPr>
        <w:t>.</w:t>
      </w:r>
      <w:r w:rsidRPr="00422183">
        <w:rPr>
          <w:rFonts w:ascii="Rockwell" w:hAnsi="Rockwell"/>
          <w:bCs/>
          <w:sz w:val="24"/>
          <w:szCs w:val="24"/>
        </w:rPr>
        <w:t xml:space="preserve"> </w:t>
      </w:r>
    </w:p>
    <w:p w:rsidR="00DB35EE" w:rsidRPr="00422183" w:rsidRDefault="00DB35EE" w:rsidP="003A0820">
      <w:pPr>
        <w:spacing w:after="0" w:line="240" w:lineRule="auto"/>
        <w:jc w:val="both"/>
        <w:rPr>
          <w:rFonts w:ascii="Rockwell" w:hAnsi="Rockwell" w:cs="Times New Roman"/>
          <w:bCs/>
          <w:sz w:val="24"/>
          <w:szCs w:val="24"/>
        </w:rPr>
      </w:pPr>
    </w:p>
    <w:p w:rsidR="009D1B42" w:rsidRPr="00422183" w:rsidRDefault="00A36DF1" w:rsidP="003A0820">
      <w:pPr>
        <w:pStyle w:val="PNDES2"/>
      </w:pPr>
      <w:bookmarkStart w:id="415" w:name="_Toc452991451"/>
      <w:bookmarkStart w:id="416" w:name="_Toc452991895"/>
      <w:bookmarkStart w:id="417" w:name="_Toc452992338"/>
      <w:bookmarkStart w:id="418" w:name="_Toc452992780"/>
      <w:bookmarkStart w:id="419" w:name="_Toc452993222"/>
      <w:bookmarkStart w:id="420" w:name="_Toc452993664"/>
      <w:bookmarkStart w:id="421" w:name="_Toc452994106"/>
      <w:bookmarkStart w:id="422" w:name="_Toc452994551"/>
      <w:bookmarkStart w:id="423" w:name="_Toc452994996"/>
      <w:bookmarkStart w:id="424" w:name="_Toc452995436"/>
      <w:bookmarkStart w:id="425" w:name="_Toc452996258"/>
      <w:bookmarkStart w:id="426" w:name="_Toc452996678"/>
      <w:bookmarkStart w:id="427" w:name="_Toc452997055"/>
      <w:bookmarkStart w:id="428" w:name="_Toc452997421"/>
      <w:bookmarkStart w:id="429" w:name="_Toc452991452"/>
      <w:bookmarkStart w:id="430" w:name="_Toc452991896"/>
      <w:bookmarkStart w:id="431" w:name="_Toc452992339"/>
      <w:bookmarkStart w:id="432" w:name="_Toc452992781"/>
      <w:bookmarkStart w:id="433" w:name="_Toc452993223"/>
      <w:bookmarkStart w:id="434" w:name="_Toc452993665"/>
      <w:bookmarkStart w:id="435" w:name="_Toc452994107"/>
      <w:bookmarkStart w:id="436" w:name="_Toc452994552"/>
      <w:bookmarkStart w:id="437" w:name="_Toc452994997"/>
      <w:bookmarkStart w:id="438" w:name="_Toc452995437"/>
      <w:bookmarkStart w:id="439" w:name="_Toc452996259"/>
      <w:bookmarkStart w:id="440" w:name="_Toc452996679"/>
      <w:bookmarkStart w:id="441" w:name="_Toc452997056"/>
      <w:bookmarkStart w:id="442" w:name="_Toc452997422"/>
      <w:bookmarkStart w:id="443" w:name="_Toc452991453"/>
      <w:bookmarkStart w:id="444" w:name="_Toc452991897"/>
      <w:bookmarkStart w:id="445" w:name="_Toc452992340"/>
      <w:bookmarkStart w:id="446" w:name="_Toc452992782"/>
      <w:bookmarkStart w:id="447" w:name="_Toc452993224"/>
      <w:bookmarkStart w:id="448" w:name="_Toc452993666"/>
      <w:bookmarkStart w:id="449" w:name="_Toc452994108"/>
      <w:bookmarkStart w:id="450" w:name="_Toc452994553"/>
      <w:bookmarkStart w:id="451" w:name="_Toc452994998"/>
      <w:bookmarkStart w:id="452" w:name="_Toc452995438"/>
      <w:bookmarkStart w:id="453" w:name="_Toc452996260"/>
      <w:bookmarkStart w:id="454" w:name="_Toc452996680"/>
      <w:bookmarkStart w:id="455" w:name="_Toc452997057"/>
      <w:bookmarkStart w:id="456" w:name="_Toc452997423"/>
      <w:bookmarkStart w:id="457" w:name="_Toc454721118"/>
      <w:bookmarkStart w:id="458" w:name="_Toc454721233"/>
      <w:bookmarkStart w:id="459" w:name="_Toc454722004"/>
      <w:bookmarkStart w:id="460" w:name="_Toc454722118"/>
      <w:bookmarkStart w:id="461" w:name="_Toc454722470"/>
      <w:bookmarkStart w:id="462" w:name="_Toc454723091"/>
      <w:bookmarkStart w:id="463" w:name="_Toc454723297"/>
      <w:bookmarkStart w:id="464" w:name="_Toc454721119"/>
      <w:bookmarkStart w:id="465" w:name="_Toc454721234"/>
      <w:bookmarkStart w:id="466" w:name="_Toc454722005"/>
      <w:bookmarkStart w:id="467" w:name="_Toc454722119"/>
      <w:bookmarkStart w:id="468" w:name="_Toc454722471"/>
      <w:bookmarkStart w:id="469" w:name="_Toc454723092"/>
      <w:bookmarkStart w:id="470" w:name="_Toc454723298"/>
      <w:bookmarkStart w:id="471" w:name="_Toc454721121"/>
      <w:bookmarkStart w:id="472" w:name="_Toc454721236"/>
      <w:bookmarkStart w:id="473" w:name="_Toc454722007"/>
      <w:bookmarkStart w:id="474" w:name="_Toc454722121"/>
      <w:bookmarkStart w:id="475" w:name="_Toc454722473"/>
      <w:bookmarkStart w:id="476" w:name="_Toc454723094"/>
      <w:bookmarkStart w:id="477" w:name="_Toc454723300"/>
      <w:bookmarkStart w:id="478" w:name="_Toc454721122"/>
      <w:bookmarkStart w:id="479" w:name="_Toc454721237"/>
      <w:bookmarkStart w:id="480" w:name="_Toc454722008"/>
      <w:bookmarkStart w:id="481" w:name="_Toc454722122"/>
      <w:bookmarkStart w:id="482" w:name="_Toc454722474"/>
      <w:bookmarkStart w:id="483" w:name="_Toc454723095"/>
      <w:bookmarkStart w:id="484" w:name="_Toc454723301"/>
      <w:bookmarkStart w:id="485" w:name="_Toc454721123"/>
      <w:bookmarkStart w:id="486" w:name="_Toc454721238"/>
      <w:bookmarkStart w:id="487" w:name="_Toc454722009"/>
      <w:bookmarkStart w:id="488" w:name="_Toc454722123"/>
      <w:bookmarkStart w:id="489" w:name="_Toc454722475"/>
      <w:bookmarkStart w:id="490" w:name="_Toc454723096"/>
      <w:bookmarkStart w:id="491" w:name="_Toc454723302"/>
      <w:bookmarkStart w:id="492" w:name="_Toc454721125"/>
      <w:bookmarkStart w:id="493" w:name="_Toc454721240"/>
      <w:bookmarkStart w:id="494" w:name="_Toc454722011"/>
      <w:bookmarkStart w:id="495" w:name="_Toc454722125"/>
      <w:bookmarkStart w:id="496" w:name="_Toc454722477"/>
      <w:bookmarkStart w:id="497" w:name="_Toc454723098"/>
      <w:bookmarkStart w:id="498" w:name="_Toc454723304"/>
      <w:bookmarkStart w:id="499" w:name="_Toc454721127"/>
      <w:bookmarkStart w:id="500" w:name="_Toc454721242"/>
      <w:bookmarkStart w:id="501" w:name="_Toc454722013"/>
      <w:bookmarkStart w:id="502" w:name="_Toc454722127"/>
      <w:bookmarkStart w:id="503" w:name="_Toc454722479"/>
      <w:bookmarkStart w:id="504" w:name="_Toc454723100"/>
      <w:bookmarkStart w:id="505" w:name="_Toc454723306"/>
      <w:bookmarkStart w:id="506" w:name="_Toc454721128"/>
      <w:bookmarkStart w:id="507" w:name="_Toc454721243"/>
      <w:bookmarkStart w:id="508" w:name="_Toc454722014"/>
      <w:bookmarkStart w:id="509" w:name="_Toc454722128"/>
      <w:bookmarkStart w:id="510" w:name="_Toc454722480"/>
      <w:bookmarkStart w:id="511" w:name="_Toc454723101"/>
      <w:bookmarkStart w:id="512" w:name="_Toc454723307"/>
      <w:bookmarkStart w:id="513" w:name="_Toc454721129"/>
      <w:bookmarkStart w:id="514" w:name="_Toc454721244"/>
      <w:bookmarkStart w:id="515" w:name="_Toc454722015"/>
      <w:bookmarkStart w:id="516" w:name="_Toc454722129"/>
      <w:bookmarkStart w:id="517" w:name="_Toc454722481"/>
      <w:bookmarkStart w:id="518" w:name="_Toc454723102"/>
      <w:bookmarkStart w:id="519" w:name="_Toc454723308"/>
      <w:bookmarkStart w:id="520" w:name="_Toc454721130"/>
      <w:bookmarkStart w:id="521" w:name="_Toc454721245"/>
      <w:bookmarkStart w:id="522" w:name="_Toc454722016"/>
      <w:bookmarkStart w:id="523" w:name="_Toc454722130"/>
      <w:bookmarkStart w:id="524" w:name="_Toc454722482"/>
      <w:bookmarkStart w:id="525" w:name="_Toc454723103"/>
      <w:bookmarkStart w:id="526" w:name="_Toc454723309"/>
      <w:bookmarkStart w:id="527" w:name="_Toc454721131"/>
      <w:bookmarkStart w:id="528" w:name="_Toc454721246"/>
      <w:bookmarkStart w:id="529" w:name="_Toc454722017"/>
      <w:bookmarkStart w:id="530" w:name="_Toc454722131"/>
      <w:bookmarkStart w:id="531" w:name="_Toc454722483"/>
      <w:bookmarkStart w:id="532" w:name="_Toc454723104"/>
      <w:bookmarkStart w:id="533" w:name="_Toc454723310"/>
      <w:bookmarkStart w:id="534" w:name="_Toc454721133"/>
      <w:bookmarkStart w:id="535" w:name="_Toc454721248"/>
      <w:bookmarkStart w:id="536" w:name="_Toc454722019"/>
      <w:bookmarkStart w:id="537" w:name="_Toc454722133"/>
      <w:bookmarkStart w:id="538" w:name="_Toc454722485"/>
      <w:bookmarkStart w:id="539" w:name="_Toc454723106"/>
      <w:bookmarkStart w:id="540" w:name="_Toc454723312"/>
      <w:bookmarkStart w:id="541" w:name="_Toc454721135"/>
      <w:bookmarkStart w:id="542" w:name="_Toc454721250"/>
      <w:bookmarkStart w:id="543" w:name="_Toc454722021"/>
      <w:bookmarkStart w:id="544" w:name="_Toc454722135"/>
      <w:bookmarkStart w:id="545" w:name="_Toc454722487"/>
      <w:bookmarkStart w:id="546" w:name="_Toc454723108"/>
      <w:bookmarkStart w:id="547" w:name="_Toc454723314"/>
      <w:bookmarkStart w:id="548" w:name="_Toc454721137"/>
      <w:bookmarkStart w:id="549" w:name="_Toc454721252"/>
      <w:bookmarkStart w:id="550" w:name="_Toc454722023"/>
      <w:bookmarkStart w:id="551" w:name="_Toc454722137"/>
      <w:bookmarkStart w:id="552" w:name="_Toc454722489"/>
      <w:bookmarkStart w:id="553" w:name="_Toc454723110"/>
      <w:bookmarkStart w:id="554" w:name="_Toc454723316"/>
      <w:bookmarkStart w:id="555" w:name="_Toc454721139"/>
      <w:bookmarkStart w:id="556" w:name="_Toc454721254"/>
      <w:bookmarkStart w:id="557" w:name="_Toc454722025"/>
      <w:bookmarkStart w:id="558" w:name="_Toc454722139"/>
      <w:bookmarkStart w:id="559" w:name="_Toc454722491"/>
      <w:bookmarkStart w:id="560" w:name="_Toc454723112"/>
      <w:bookmarkStart w:id="561" w:name="_Toc454723318"/>
      <w:bookmarkStart w:id="562" w:name="_Toc454721141"/>
      <w:bookmarkStart w:id="563" w:name="_Toc454721256"/>
      <w:bookmarkStart w:id="564" w:name="_Toc454722027"/>
      <w:bookmarkStart w:id="565" w:name="_Toc454722141"/>
      <w:bookmarkStart w:id="566" w:name="_Toc454722493"/>
      <w:bookmarkStart w:id="567" w:name="_Toc454723114"/>
      <w:bookmarkStart w:id="568" w:name="_Toc454723320"/>
      <w:bookmarkStart w:id="569" w:name="_Toc454721142"/>
      <w:bookmarkStart w:id="570" w:name="_Toc454721257"/>
      <w:bookmarkStart w:id="571" w:name="_Toc454722028"/>
      <w:bookmarkStart w:id="572" w:name="_Toc454722142"/>
      <w:bookmarkStart w:id="573" w:name="_Toc454722494"/>
      <w:bookmarkStart w:id="574" w:name="_Toc454723115"/>
      <w:bookmarkStart w:id="575" w:name="_Toc454723321"/>
      <w:bookmarkStart w:id="576" w:name="_Toc454721143"/>
      <w:bookmarkStart w:id="577" w:name="_Toc454721258"/>
      <w:bookmarkStart w:id="578" w:name="_Toc454722029"/>
      <w:bookmarkStart w:id="579" w:name="_Toc454722143"/>
      <w:bookmarkStart w:id="580" w:name="_Toc454722495"/>
      <w:bookmarkStart w:id="581" w:name="_Toc454723116"/>
      <w:bookmarkStart w:id="582" w:name="_Toc454723322"/>
      <w:bookmarkStart w:id="583" w:name="_Toc454721144"/>
      <w:bookmarkStart w:id="584" w:name="_Toc454721259"/>
      <w:bookmarkStart w:id="585" w:name="_Toc454722030"/>
      <w:bookmarkStart w:id="586" w:name="_Toc454722144"/>
      <w:bookmarkStart w:id="587" w:name="_Toc454722496"/>
      <w:bookmarkStart w:id="588" w:name="_Toc454723117"/>
      <w:bookmarkStart w:id="589" w:name="_Toc454723323"/>
      <w:bookmarkStart w:id="590" w:name="_Toc454721145"/>
      <w:bookmarkStart w:id="591" w:name="_Toc454721260"/>
      <w:bookmarkStart w:id="592" w:name="_Toc454722031"/>
      <w:bookmarkStart w:id="593" w:name="_Toc454722145"/>
      <w:bookmarkStart w:id="594" w:name="_Toc454722497"/>
      <w:bookmarkStart w:id="595" w:name="_Toc454723118"/>
      <w:bookmarkStart w:id="596" w:name="_Toc454723324"/>
      <w:bookmarkStart w:id="597" w:name="_Toc454721146"/>
      <w:bookmarkStart w:id="598" w:name="_Toc454721261"/>
      <w:bookmarkStart w:id="599" w:name="_Toc454722032"/>
      <w:bookmarkStart w:id="600" w:name="_Toc454722146"/>
      <w:bookmarkStart w:id="601" w:name="_Toc454722498"/>
      <w:bookmarkStart w:id="602" w:name="_Toc454723119"/>
      <w:bookmarkStart w:id="603" w:name="_Toc454723325"/>
      <w:bookmarkStart w:id="604" w:name="_Toc454721147"/>
      <w:bookmarkStart w:id="605" w:name="_Toc454721262"/>
      <w:bookmarkStart w:id="606" w:name="_Toc454722033"/>
      <w:bookmarkStart w:id="607" w:name="_Toc454722147"/>
      <w:bookmarkStart w:id="608" w:name="_Toc454722499"/>
      <w:bookmarkStart w:id="609" w:name="_Toc454723120"/>
      <w:bookmarkStart w:id="610" w:name="_Toc454723326"/>
      <w:bookmarkStart w:id="611" w:name="_Toc454721148"/>
      <w:bookmarkStart w:id="612" w:name="_Toc454721263"/>
      <w:bookmarkStart w:id="613" w:name="_Toc454722034"/>
      <w:bookmarkStart w:id="614" w:name="_Toc454722148"/>
      <w:bookmarkStart w:id="615" w:name="_Toc454722500"/>
      <w:bookmarkStart w:id="616" w:name="_Toc454723121"/>
      <w:bookmarkStart w:id="617" w:name="_Toc454723327"/>
      <w:bookmarkStart w:id="618" w:name="_Toc454721149"/>
      <w:bookmarkStart w:id="619" w:name="_Toc454721264"/>
      <w:bookmarkStart w:id="620" w:name="_Toc454722035"/>
      <w:bookmarkStart w:id="621" w:name="_Toc454722149"/>
      <w:bookmarkStart w:id="622" w:name="_Toc454722501"/>
      <w:bookmarkStart w:id="623" w:name="_Toc454723122"/>
      <w:bookmarkStart w:id="624" w:name="_Toc454723328"/>
      <w:bookmarkStart w:id="625" w:name="_Toc454721151"/>
      <w:bookmarkStart w:id="626" w:name="_Toc454721266"/>
      <w:bookmarkStart w:id="627" w:name="_Toc454722037"/>
      <w:bookmarkStart w:id="628" w:name="_Toc454722151"/>
      <w:bookmarkStart w:id="629" w:name="_Toc454722503"/>
      <w:bookmarkStart w:id="630" w:name="_Toc454723124"/>
      <w:bookmarkStart w:id="631" w:name="_Toc454723330"/>
      <w:bookmarkStart w:id="632" w:name="_Toc454721152"/>
      <w:bookmarkStart w:id="633" w:name="_Toc454721267"/>
      <w:bookmarkStart w:id="634" w:name="_Toc454722038"/>
      <w:bookmarkStart w:id="635" w:name="_Toc454722152"/>
      <w:bookmarkStart w:id="636" w:name="_Toc454722504"/>
      <w:bookmarkStart w:id="637" w:name="_Toc454723125"/>
      <w:bookmarkStart w:id="638" w:name="_Toc454723331"/>
      <w:bookmarkStart w:id="639" w:name="_Toc454721153"/>
      <w:bookmarkStart w:id="640" w:name="_Toc454721268"/>
      <w:bookmarkStart w:id="641" w:name="_Toc454722039"/>
      <w:bookmarkStart w:id="642" w:name="_Toc454722153"/>
      <w:bookmarkStart w:id="643" w:name="_Toc454722505"/>
      <w:bookmarkStart w:id="644" w:name="_Toc454723126"/>
      <w:bookmarkStart w:id="645" w:name="_Toc454723332"/>
      <w:bookmarkStart w:id="646" w:name="_Toc454721155"/>
      <w:bookmarkStart w:id="647" w:name="_Toc454721270"/>
      <w:bookmarkStart w:id="648" w:name="_Toc454722041"/>
      <w:bookmarkStart w:id="649" w:name="_Toc454722155"/>
      <w:bookmarkStart w:id="650" w:name="_Toc454722507"/>
      <w:bookmarkStart w:id="651" w:name="_Toc454723128"/>
      <w:bookmarkStart w:id="652" w:name="_Toc454723334"/>
      <w:bookmarkStart w:id="653" w:name="_Toc454721156"/>
      <w:bookmarkStart w:id="654" w:name="_Toc454721271"/>
      <w:bookmarkStart w:id="655" w:name="_Toc454722042"/>
      <w:bookmarkStart w:id="656" w:name="_Toc454722156"/>
      <w:bookmarkStart w:id="657" w:name="_Toc454722508"/>
      <w:bookmarkStart w:id="658" w:name="_Toc454723129"/>
      <w:bookmarkStart w:id="659" w:name="_Toc454723335"/>
      <w:bookmarkStart w:id="660" w:name="_Toc454721157"/>
      <w:bookmarkStart w:id="661" w:name="_Toc454721272"/>
      <w:bookmarkStart w:id="662" w:name="_Toc454722043"/>
      <w:bookmarkStart w:id="663" w:name="_Toc454722157"/>
      <w:bookmarkStart w:id="664" w:name="_Toc454722509"/>
      <w:bookmarkStart w:id="665" w:name="_Toc454723130"/>
      <w:bookmarkStart w:id="666" w:name="_Toc454723336"/>
      <w:bookmarkStart w:id="667" w:name="_Toc283825452"/>
      <w:bookmarkStart w:id="668" w:name="_Toc284490745"/>
      <w:bookmarkStart w:id="669" w:name="_Toc283825457"/>
      <w:bookmarkStart w:id="670" w:name="_Toc284490750"/>
      <w:bookmarkStart w:id="671" w:name="_Toc454721159"/>
      <w:bookmarkStart w:id="672" w:name="_Toc454721274"/>
      <w:bookmarkStart w:id="673" w:name="_Toc454722045"/>
      <w:bookmarkStart w:id="674" w:name="_Toc454722159"/>
      <w:bookmarkStart w:id="675" w:name="_Toc454722511"/>
      <w:bookmarkStart w:id="676" w:name="_Toc454723132"/>
      <w:bookmarkStart w:id="677" w:name="_Toc454723338"/>
      <w:bookmarkStart w:id="678" w:name="_Toc454721161"/>
      <w:bookmarkStart w:id="679" w:name="_Toc454721276"/>
      <w:bookmarkStart w:id="680" w:name="_Toc454722047"/>
      <w:bookmarkStart w:id="681" w:name="_Toc454722161"/>
      <w:bookmarkStart w:id="682" w:name="_Toc454722513"/>
      <w:bookmarkStart w:id="683" w:name="_Toc454723134"/>
      <w:bookmarkStart w:id="684" w:name="_Toc454723340"/>
      <w:bookmarkStart w:id="685" w:name="_Toc454721162"/>
      <w:bookmarkStart w:id="686" w:name="_Toc454721277"/>
      <w:bookmarkStart w:id="687" w:name="_Toc454722048"/>
      <w:bookmarkStart w:id="688" w:name="_Toc454722162"/>
      <w:bookmarkStart w:id="689" w:name="_Toc454722514"/>
      <w:bookmarkStart w:id="690" w:name="_Toc454723135"/>
      <w:bookmarkStart w:id="691" w:name="_Toc454723341"/>
      <w:bookmarkStart w:id="692" w:name="_Toc454721163"/>
      <w:bookmarkStart w:id="693" w:name="_Toc454721278"/>
      <w:bookmarkStart w:id="694" w:name="_Toc454722049"/>
      <w:bookmarkStart w:id="695" w:name="_Toc454722163"/>
      <w:bookmarkStart w:id="696" w:name="_Toc454722515"/>
      <w:bookmarkStart w:id="697" w:name="_Toc454723136"/>
      <w:bookmarkStart w:id="698" w:name="_Toc454723342"/>
      <w:bookmarkStart w:id="699" w:name="_Toc454721164"/>
      <w:bookmarkStart w:id="700" w:name="_Toc454721279"/>
      <w:bookmarkStart w:id="701" w:name="_Toc454722050"/>
      <w:bookmarkStart w:id="702" w:name="_Toc454722164"/>
      <w:bookmarkStart w:id="703" w:name="_Toc454722516"/>
      <w:bookmarkStart w:id="704" w:name="_Toc454723137"/>
      <w:bookmarkStart w:id="705" w:name="_Toc454723343"/>
      <w:bookmarkStart w:id="706" w:name="_Toc454721165"/>
      <w:bookmarkStart w:id="707" w:name="_Toc454721280"/>
      <w:bookmarkStart w:id="708" w:name="_Toc454722051"/>
      <w:bookmarkStart w:id="709" w:name="_Toc454722165"/>
      <w:bookmarkStart w:id="710" w:name="_Toc454722517"/>
      <w:bookmarkStart w:id="711" w:name="_Toc454723138"/>
      <w:bookmarkStart w:id="712" w:name="_Toc454723344"/>
      <w:bookmarkStart w:id="713" w:name="_Toc283825468"/>
      <w:bookmarkStart w:id="714" w:name="_Toc284490761"/>
      <w:bookmarkStart w:id="715" w:name="_Toc454721167"/>
      <w:bookmarkStart w:id="716" w:name="_Toc454721282"/>
      <w:bookmarkStart w:id="717" w:name="_Toc454722053"/>
      <w:bookmarkStart w:id="718" w:name="_Toc454722167"/>
      <w:bookmarkStart w:id="719" w:name="_Toc454722519"/>
      <w:bookmarkStart w:id="720" w:name="_Toc454723140"/>
      <w:bookmarkStart w:id="721" w:name="_Toc454723346"/>
      <w:bookmarkStart w:id="722" w:name="_Toc454721169"/>
      <w:bookmarkStart w:id="723" w:name="_Toc454721284"/>
      <w:bookmarkStart w:id="724" w:name="_Toc454722055"/>
      <w:bookmarkStart w:id="725" w:name="_Toc454722169"/>
      <w:bookmarkStart w:id="726" w:name="_Toc454722521"/>
      <w:bookmarkStart w:id="727" w:name="_Toc454723142"/>
      <w:bookmarkStart w:id="728" w:name="_Toc454723348"/>
      <w:bookmarkStart w:id="729" w:name="_Toc454721171"/>
      <w:bookmarkStart w:id="730" w:name="_Toc454721286"/>
      <w:bookmarkStart w:id="731" w:name="_Toc454722057"/>
      <w:bookmarkStart w:id="732" w:name="_Toc454722171"/>
      <w:bookmarkStart w:id="733" w:name="_Toc454722523"/>
      <w:bookmarkStart w:id="734" w:name="_Toc454723144"/>
      <w:bookmarkStart w:id="735" w:name="_Toc454723350"/>
      <w:bookmarkStart w:id="736" w:name="_Toc454721173"/>
      <w:bookmarkStart w:id="737" w:name="_Toc454721288"/>
      <w:bookmarkStart w:id="738" w:name="_Toc454722059"/>
      <w:bookmarkStart w:id="739" w:name="_Toc454722173"/>
      <w:bookmarkStart w:id="740" w:name="_Toc454722525"/>
      <w:bookmarkStart w:id="741" w:name="_Toc454723146"/>
      <w:bookmarkStart w:id="742" w:name="_Toc454723352"/>
      <w:bookmarkStart w:id="743" w:name="_Toc284490764"/>
      <w:bookmarkStart w:id="744" w:name="_Toc454721175"/>
      <w:bookmarkStart w:id="745" w:name="_Toc454721290"/>
      <w:bookmarkStart w:id="746" w:name="_Toc454722061"/>
      <w:bookmarkStart w:id="747" w:name="_Toc454722175"/>
      <w:bookmarkStart w:id="748" w:name="_Toc454722527"/>
      <w:bookmarkStart w:id="749" w:name="_Toc454723148"/>
      <w:bookmarkStart w:id="750" w:name="_Toc454723354"/>
      <w:bookmarkStart w:id="751" w:name="_Toc454721177"/>
      <w:bookmarkStart w:id="752" w:name="_Toc454721292"/>
      <w:bookmarkStart w:id="753" w:name="_Toc454722063"/>
      <w:bookmarkStart w:id="754" w:name="_Toc454722177"/>
      <w:bookmarkStart w:id="755" w:name="_Toc454722529"/>
      <w:bookmarkStart w:id="756" w:name="_Toc454723150"/>
      <w:bookmarkStart w:id="757" w:name="_Toc454723356"/>
      <w:bookmarkStart w:id="758" w:name="_Toc454721179"/>
      <w:bookmarkStart w:id="759" w:name="_Toc454721294"/>
      <w:bookmarkStart w:id="760" w:name="_Toc454722065"/>
      <w:bookmarkStart w:id="761" w:name="_Toc454722179"/>
      <w:bookmarkStart w:id="762" w:name="_Toc454722531"/>
      <w:bookmarkStart w:id="763" w:name="_Toc454723152"/>
      <w:bookmarkStart w:id="764" w:name="_Toc454723358"/>
      <w:bookmarkStart w:id="765" w:name="_Toc454721180"/>
      <w:bookmarkStart w:id="766" w:name="_Toc454721295"/>
      <w:bookmarkStart w:id="767" w:name="_Toc454722066"/>
      <w:bookmarkStart w:id="768" w:name="_Toc454722180"/>
      <w:bookmarkStart w:id="769" w:name="_Toc454722532"/>
      <w:bookmarkStart w:id="770" w:name="_Toc454723153"/>
      <w:bookmarkStart w:id="771" w:name="_Toc454723359"/>
      <w:bookmarkStart w:id="772" w:name="_Toc454721181"/>
      <w:bookmarkStart w:id="773" w:name="_Toc454721296"/>
      <w:bookmarkStart w:id="774" w:name="_Toc454722067"/>
      <w:bookmarkStart w:id="775" w:name="_Toc454722181"/>
      <w:bookmarkStart w:id="776" w:name="_Toc454722533"/>
      <w:bookmarkStart w:id="777" w:name="_Toc454723154"/>
      <w:bookmarkStart w:id="778" w:name="_Toc454723360"/>
      <w:bookmarkStart w:id="779" w:name="_Toc454721183"/>
      <w:bookmarkStart w:id="780" w:name="_Toc454721298"/>
      <w:bookmarkStart w:id="781" w:name="_Toc454722069"/>
      <w:bookmarkStart w:id="782" w:name="_Toc454722183"/>
      <w:bookmarkStart w:id="783" w:name="_Toc454722535"/>
      <w:bookmarkStart w:id="784" w:name="_Toc454723156"/>
      <w:bookmarkStart w:id="785" w:name="_Toc454723362"/>
      <w:bookmarkStart w:id="786" w:name="_Toc454721185"/>
      <w:bookmarkStart w:id="787" w:name="_Toc454721300"/>
      <w:bookmarkStart w:id="788" w:name="_Toc454722071"/>
      <w:bookmarkStart w:id="789" w:name="_Toc454722185"/>
      <w:bookmarkStart w:id="790" w:name="_Toc454722537"/>
      <w:bookmarkStart w:id="791" w:name="_Toc454723158"/>
      <w:bookmarkStart w:id="792" w:name="_Toc454723364"/>
      <w:bookmarkStart w:id="793" w:name="_Toc454721187"/>
      <w:bookmarkStart w:id="794" w:name="_Toc454721302"/>
      <w:bookmarkStart w:id="795" w:name="_Toc454722073"/>
      <w:bookmarkStart w:id="796" w:name="_Toc454722187"/>
      <w:bookmarkStart w:id="797" w:name="_Toc454722539"/>
      <w:bookmarkStart w:id="798" w:name="_Toc454723160"/>
      <w:bookmarkStart w:id="799" w:name="_Toc454723366"/>
      <w:bookmarkStart w:id="800" w:name="_Toc454721188"/>
      <w:bookmarkStart w:id="801" w:name="_Toc454721303"/>
      <w:bookmarkStart w:id="802" w:name="_Toc454722074"/>
      <w:bookmarkStart w:id="803" w:name="_Toc454722188"/>
      <w:bookmarkStart w:id="804" w:name="_Toc454722540"/>
      <w:bookmarkStart w:id="805" w:name="_Toc454723161"/>
      <w:bookmarkStart w:id="806" w:name="_Toc454723367"/>
      <w:bookmarkStart w:id="807" w:name="_Toc454721189"/>
      <w:bookmarkStart w:id="808" w:name="_Toc454721304"/>
      <w:bookmarkStart w:id="809" w:name="_Toc454722075"/>
      <w:bookmarkStart w:id="810" w:name="_Toc454722189"/>
      <w:bookmarkStart w:id="811" w:name="_Toc454722541"/>
      <w:bookmarkStart w:id="812" w:name="_Toc454723162"/>
      <w:bookmarkStart w:id="813" w:name="_Toc454723368"/>
      <w:bookmarkStart w:id="814" w:name="_Toc454721190"/>
      <w:bookmarkStart w:id="815" w:name="_Toc454721305"/>
      <w:bookmarkStart w:id="816" w:name="_Toc454722076"/>
      <w:bookmarkStart w:id="817" w:name="_Toc454722190"/>
      <w:bookmarkStart w:id="818" w:name="_Toc454722542"/>
      <w:bookmarkStart w:id="819" w:name="_Toc454723163"/>
      <w:bookmarkStart w:id="820" w:name="_Toc454723369"/>
      <w:bookmarkStart w:id="821" w:name="_Toc454721191"/>
      <w:bookmarkStart w:id="822" w:name="_Toc454721306"/>
      <w:bookmarkStart w:id="823" w:name="_Toc454722077"/>
      <w:bookmarkStart w:id="824" w:name="_Toc454722191"/>
      <w:bookmarkStart w:id="825" w:name="_Toc454722543"/>
      <w:bookmarkStart w:id="826" w:name="_Toc454723164"/>
      <w:bookmarkStart w:id="827" w:name="_Toc454723370"/>
      <w:bookmarkStart w:id="828" w:name="_Toc454721193"/>
      <w:bookmarkStart w:id="829" w:name="_Toc454721308"/>
      <w:bookmarkStart w:id="830" w:name="_Toc454722079"/>
      <w:bookmarkStart w:id="831" w:name="_Toc454722193"/>
      <w:bookmarkStart w:id="832" w:name="_Toc454722545"/>
      <w:bookmarkStart w:id="833" w:name="_Toc454723166"/>
      <w:bookmarkStart w:id="834" w:name="_Toc454723372"/>
      <w:bookmarkStart w:id="835" w:name="_Toc454721195"/>
      <w:bookmarkStart w:id="836" w:name="_Toc454721310"/>
      <w:bookmarkStart w:id="837" w:name="_Toc454722081"/>
      <w:bookmarkStart w:id="838" w:name="_Toc454722195"/>
      <w:bookmarkStart w:id="839" w:name="_Toc454722547"/>
      <w:bookmarkStart w:id="840" w:name="_Toc454723168"/>
      <w:bookmarkStart w:id="841" w:name="_Toc454723374"/>
      <w:bookmarkStart w:id="842" w:name="_Toc454721197"/>
      <w:bookmarkStart w:id="843" w:name="_Toc454721312"/>
      <w:bookmarkStart w:id="844" w:name="_Toc454722083"/>
      <w:bookmarkStart w:id="845" w:name="_Toc454722197"/>
      <w:bookmarkStart w:id="846" w:name="_Toc454722549"/>
      <w:bookmarkStart w:id="847" w:name="_Toc454723170"/>
      <w:bookmarkStart w:id="848" w:name="_Toc454723376"/>
      <w:bookmarkStart w:id="849" w:name="_Toc454721199"/>
      <w:bookmarkStart w:id="850" w:name="_Toc454721314"/>
      <w:bookmarkStart w:id="851" w:name="_Toc454722085"/>
      <w:bookmarkStart w:id="852" w:name="_Toc454722199"/>
      <w:bookmarkStart w:id="853" w:name="_Toc454722551"/>
      <w:bookmarkStart w:id="854" w:name="_Toc454723172"/>
      <w:bookmarkStart w:id="855" w:name="_Toc454723378"/>
      <w:bookmarkStart w:id="856" w:name="_Toc454721200"/>
      <w:bookmarkStart w:id="857" w:name="_Toc454721315"/>
      <w:bookmarkStart w:id="858" w:name="_Toc454722086"/>
      <w:bookmarkStart w:id="859" w:name="_Toc454722200"/>
      <w:bookmarkStart w:id="860" w:name="_Toc454722552"/>
      <w:bookmarkStart w:id="861" w:name="_Toc454723173"/>
      <w:bookmarkStart w:id="862" w:name="_Toc454723379"/>
      <w:bookmarkStart w:id="863" w:name="_Toc454721201"/>
      <w:bookmarkStart w:id="864" w:name="_Toc454721316"/>
      <w:bookmarkStart w:id="865" w:name="_Toc454722087"/>
      <w:bookmarkStart w:id="866" w:name="_Toc454722201"/>
      <w:bookmarkStart w:id="867" w:name="_Toc454722553"/>
      <w:bookmarkStart w:id="868" w:name="_Toc454723174"/>
      <w:bookmarkStart w:id="869" w:name="_Toc454723380"/>
      <w:bookmarkStart w:id="870" w:name="_Toc454721203"/>
      <w:bookmarkStart w:id="871" w:name="_Toc454721318"/>
      <w:bookmarkStart w:id="872" w:name="_Toc454722089"/>
      <w:bookmarkStart w:id="873" w:name="_Toc454722203"/>
      <w:bookmarkStart w:id="874" w:name="_Toc454722555"/>
      <w:bookmarkStart w:id="875" w:name="_Toc454723176"/>
      <w:bookmarkStart w:id="876" w:name="_Toc454723382"/>
      <w:bookmarkStart w:id="877" w:name="_Toc454721205"/>
      <w:bookmarkStart w:id="878" w:name="_Toc454721320"/>
      <w:bookmarkStart w:id="879" w:name="_Toc454722091"/>
      <w:bookmarkStart w:id="880" w:name="_Toc454722205"/>
      <w:bookmarkStart w:id="881" w:name="_Toc454722557"/>
      <w:bookmarkStart w:id="882" w:name="_Toc454723178"/>
      <w:bookmarkStart w:id="883" w:name="_Toc454723384"/>
      <w:bookmarkStart w:id="884" w:name="_Toc454721206"/>
      <w:bookmarkStart w:id="885" w:name="_Toc454721321"/>
      <w:bookmarkStart w:id="886" w:name="_Toc454722092"/>
      <w:bookmarkStart w:id="887" w:name="_Toc454722206"/>
      <w:bookmarkStart w:id="888" w:name="_Toc454722558"/>
      <w:bookmarkStart w:id="889" w:name="_Toc454723179"/>
      <w:bookmarkStart w:id="890" w:name="_Toc454723385"/>
      <w:bookmarkStart w:id="891" w:name="_Toc454721207"/>
      <w:bookmarkStart w:id="892" w:name="_Toc454721322"/>
      <w:bookmarkStart w:id="893" w:name="_Toc454722093"/>
      <w:bookmarkStart w:id="894" w:name="_Toc454722207"/>
      <w:bookmarkStart w:id="895" w:name="_Toc454722559"/>
      <w:bookmarkStart w:id="896" w:name="_Toc454723180"/>
      <w:bookmarkStart w:id="897" w:name="_Toc454723386"/>
      <w:bookmarkStart w:id="898" w:name="_Toc452994569"/>
      <w:bookmarkStart w:id="899" w:name="_Toc452995014"/>
      <w:bookmarkStart w:id="900" w:name="_Toc452995454"/>
      <w:bookmarkStart w:id="901" w:name="_Toc453158161"/>
      <w:bookmarkStart w:id="902" w:name="_Toc453160814"/>
      <w:bookmarkStart w:id="903" w:name="_Toc453160944"/>
      <w:bookmarkStart w:id="904" w:name="_Toc455079241"/>
      <w:bookmarkStart w:id="905" w:name="_Toc45513280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422183">
        <w:t>Le</w:t>
      </w:r>
      <w:r w:rsidR="00D815F5" w:rsidRPr="00422183">
        <w:t xml:space="preserve"> </w:t>
      </w:r>
      <w:r w:rsidRPr="00422183">
        <w:t>s</w:t>
      </w:r>
      <w:r w:rsidR="009D1B42" w:rsidRPr="00422183">
        <w:t>chéma de financement</w:t>
      </w:r>
      <w:bookmarkEnd w:id="898"/>
      <w:bookmarkEnd w:id="899"/>
      <w:bookmarkEnd w:id="900"/>
      <w:bookmarkEnd w:id="901"/>
      <w:bookmarkEnd w:id="902"/>
      <w:bookmarkEnd w:id="903"/>
      <w:bookmarkEnd w:id="904"/>
      <w:bookmarkEnd w:id="905"/>
    </w:p>
    <w:p w:rsidR="009D1B42" w:rsidRPr="00422183" w:rsidRDefault="009D1B42" w:rsidP="003A0820">
      <w:pPr>
        <w:spacing w:after="0" w:line="240" w:lineRule="auto"/>
        <w:jc w:val="both"/>
        <w:rPr>
          <w:rFonts w:ascii="Rockwell" w:hAnsi="Rockwell" w:cs="Times New Roman"/>
          <w:bCs/>
          <w:sz w:val="24"/>
          <w:szCs w:val="24"/>
        </w:rPr>
      </w:pP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Sous la cible d'une croissance moyenne</w:t>
      </w:r>
      <w:r w:rsidR="00F23764" w:rsidRPr="00422183">
        <w:rPr>
          <w:rFonts w:ascii="Rockwell" w:hAnsi="Rockwell" w:cs="ArialNarrow"/>
          <w:sz w:val="24"/>
          <w:szCs w:val="24"/>
        </w:rPr>
        <w:t xml:space="preserve"> annuelle</w:t>
      </w:r>
      <w:r w:rsidRPr="00422183">
        <w:rPr>
          <w:rFonts w:ascii="Rockwell" w:hAnsi="Rockwell" w:cs="ArialNarrow"/>
          <w:sz w:val="24"/>
          <w:szCs w:val="24"/>
        </w:rPr>
        <w:t xml:space="preserve"> de 8,5% </w:t>
      </w:r>
      <w:r w:rsidR="00F23764" w:rsidRPr="00422183">
        <w:rPr>
          <w:rFonts w:ascii="Rockwell" w:hAnsi="Rockwell" w:cs="ArialNarrow"/>
          <w:sz w:val="24"/>
          <w:szCs w:val="24"/>
        </w:rPr>
        <w:t>sur la période 2016-2020</w:t>
      </w:r>
      <w:r w:rsidRPr="00422183">
        <w:rPr>
          <w:rFonts w:ascii="Rockwell" w:hAnsi="Rockwell" w:cs="ArialNarrow"/>
          <w:sz w:val="24"/>
          <w:szCs w:val="24"/>
        </w:rPr>
        <w:t>, les résultats du cadrage macroéconomique et budgétaire dégagent les enveloppes financières et le schéma prévisionnel de financement du PNDES.</w:t>
      </w: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Ainsi, le coût global de la mise en œuvre du PNDES s'élèverait à 15 478,2 milliards de francs CFA, soit un coût annuel moyen de 3 095,6 milliards de francs CFA. La part consacrée aux dépenses d'investissements (y compris les transferts en capital) est de 54,3% correspondant à une enveloppe globale de 8 408,2 milliards de francs CFA sur la période, soit 1 681,6 milliards de francs CFA par an.</w:t>
      </w: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p>
    <w:p w:rsidR="00F23764" w:rsidRPr="00422183" w:rsidRDefault="008826A0"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La PNDES sera financé à hauteur 60,4% du coût total par les ressources propres (9 345,8 milliards de francs CFA). Il se dégage un besoin de financement de 6 132,4 milliards de francs CFA, soit 39,6% du coût total du plan. Ce besoin sera en partie, couvert par des prévisions d'emprunts obligataire</w:t>
      </w:r>
      <w:r w:rsidR="00F23764" w:rsidRPr="00422183">
        <w:rPr>
          <w:rFonts w:ascii="Rockwell" w:hAnsi="Rockwell" w:cs="ArialNarrow"/>
          <w:sz w:val="24"/>
          <w:szCs w:val="24"/>
        </w:rPr>
        <w:t>s</w:t>
      </w:r>
      <w:r w:rsidRPr="00422183">
        <w:rPr>
          <w:rFonts w:ascii="Rockwell" w:hAnsi="Rockwell" w:cs="ArialNarrow"/>
          <w:sz w:val="24"/>
          <w:szCs w:val="24"/>
        </w:rPr>
        <w:t xml:space="preserve"> de 780 milliards de francs CFA sur la période, représentant 156 milliards de francs CFA par an. </w:t>
      </w:r>
    </w:p>
    <w:p w:rsidR="00F23764" w:rsidRPr="00422183" w:rsidRDefault="00F23764" w:rsidP="003A0820">
      <w:pPr>
        <w:autoSpaceDE w:val="0"/>
        <w:autoSpaceDN w:val="0"/>
        <w:adjustRightInd w:val="0"/>
        <w:spacing w:after="0" w:line="240" w:lineRule="auto"/>
        <w:jc w:val="both"/>
        <w:rPr>
          <w:rFonts w:ascii="Rockwell" w:hAnsi="Rockwell" w:cs="ArialNarrow"/>
          <w:sz w:val="24"/>
          <w:szCs w:val="24"/>
        </w:rPr>
      </w:pP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r w:rsidRPr="00422183">
        <w:rPr>
          <w:rFonts w:ascii="Rockwell" w:hAnsi="Rockwell" w:cs="ArialNarrow"/>
          <w:sz w:val="24"/>
          <w:szCs w:val="24"/>
        </w:rPr>
        <w:t>Le besoin de financement net à rechercher sur la période s'établit donc à 5 352,4 milliards de francs CFA, correspondant à 34,6% du coût total. Ce besoin pourrait être comblé d'une part, par la recherche de fonds auprès des Partenaires techniques et financiers (PTF) et d'autre part, par le mécanisme de Partenariat public-privé.</w:t>
      </w:r>
    </w:p>
    <w:p w:rsidR="008826A0" w:rsidRPr="00422183" w:rsidRDefault="008826A0" w:rsidP="003A0820">
      <w:pPr>
        <w:autoSpaceDE w:val="0"/>
        <w:autoSpaceDN w:val="0"/>
        <w:adjustRightInd w:val="0"/>
        <w:spacing w:after="0" w:line="240" w:lineRule="auto"/>
        <w:jc w:val="both"/>
        <w:rPr>
          <w:rFonts w:ascii="Rockwell" w:hAnsi="Rockwell" w:cs="ArialNarrow"/>
          <w:sz w:val="24"/>
          <w:szCs w:val="24"/>
        </w:rPr>
      </w:pPr>
    </w:p>
    <w:p w:rsidR="008826A0" w:rsidRPr="00422183" w:rsidRDefault="008826A0" w:rsidP="003A0820">
      <w:pPr>
        <w:spacing w:after="0" w:line="240" w:lineRule="auto"/>
        <w:jc w:val="both"/>
        <w:rPr>
          <w:rFonts w:ascii="Rockwell" w:hAnsi="Rockwell" w:cs="Times New Roman"/>
          <w:bCs/>
          <w:sz w:val="24"/>
          <w:szCs w:val="24"/>
        </w:rPr>
      </w:pPr>
    </w:p>
    <w:p w:rsidR="008826A0" w:rsidRPr="00422183" w:rsidRDefault="008826A0" w:rsidP="003A0820">
      <w:pPr>
        <w:jc w:val="both"/>
        <w:rPr>
          <w:rFonts w:ascii="Rockwell" w:eastAsia="Times New Roman" w:hAnsi="Rockwell" w:cs="ArialNarrow"/>
          <w:b/>
          <w:bCs/>
          <w:sz w:val="24"/>
          <w:szCs w:val="20"/>
          <w:lang w:bidi="en-US"/>
        </w:rPr>
      </w:pPr>
      <w:r w:rsidRPr="00422183">
        <w:rPr>
          <w:rFonts w:ascii="Rockwell" w:hAnsi="Rockwell"/>
          <w:sz w:val="24"/>
        </w:rPr>
        <w:br w:type="page"/>
      </w:r>
    </w:p>
    <w:p w:rsidR="008826A0" w:rsidRPr="00422183" w:rsidRDefault="008826A0" w:rsidP="00516FB0">
      <w:pPr>
        <w:pStyle w:val="Lgende"/>
        <w:rPr>
          <w:color w:val="auto"/>
          <w:sz w:val="24"/>
        </w:rPr>
      </w:pPr>
      <w:bookmarkStart w:id="906" w:name="_Toc455079258"/>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7</w:t>
      </w:r>
      <w:r w:rsidR="00491B03" w:rsidRPr="00422183">
        <w:rPr>
          <w:color w:val="auto"/>
          <w:sz w:val="24"/>
        </w:rPr>
        <w:fldChar w:fldCharType="end"/>
      </w:r>
      <w:r w:rsidRPr="00422183">
        <w:rPr>
          <w:color w:val="auto"/>
          <w:sz w:val="24"/>
        </w:rPr>
        <w:t> : plan de financement du PNDES 2016-2020</w:t>
      </w:r>
      <w:r w:rsidR="00FC4F4F" w:rsidRPr="00422183">
        <w:rPr>
          <w:color w:val="auto"/>
          <w:sz w:val="24"/>
        </w:rPr>
        <w:t xml:space="preserve"> (en milliards de F CFA)</w:t>
      </w:r>
      <w:bookmarkEnd w:id="906"/>
    </w:p>
    <w:tbl>
      <w:tblPr>
        <w:tblW w:w="5300" w:type="pct"/>
        <w:tblLayout w:type="fixed"/>
        <w:tblCellMar>
          <w:left w:w="70" w:type="dxa"/>
          <w:right w:w="70" w:type="dxa"/>
        </w:tblCellMar>
        <w:tblLook w:val="04A0" w:firstRow="1" w:lastRow="0" w:firstColumn="1" w:lastColumn="0" w:noHBand="0" w:noVBand="1"/>
      </w:tblPr>
      <w:tblGrid>
        <w:gridCol w:w="2293"/>
        <w:gridCol w:w="1010"/>
        <w:gridCol w:w="1153"/>
        <w:gridCol w:w="1007"/>
        <w:gridCol w:w="1153"/>
        <w:gridCol w:w="1010"/>
        <w:gridCol w:w="1153"/>
        <w:gridCol w:w="1586"/>
      </w:tblGrid>
      <w:tr w:rsidR="00422183" w:rsidRPr="00422183" w:rsidTr="009D0167">
        <w:trPr>
          <w:trHeight w:val="735"/>
        </w:trPr>
        <w:tc>
          <w:tcPr>
            <w:tcW w:w="1106"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p>
        </w:tc>
        <w:tc>
          <w:tcPr>
            <w:tcW w:w="487"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2016</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2017</w:t>
            </w:r>
          </w:p>
        </w:tc>
        <w:tc>
          <w:tcPr>
            <w:tcW w:w="486"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2018</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2019</w:t>
            </w:r>
          </w:p>
        </w:tc>
        <w:tc>
          <w:tcPr>
            <w:tcW w:w="487"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2020</w:t>
            </w:r>
          </w:p>
        </w:tc>
        <w:tc>
          <w:tcPr>
            <w:tcW w:w="556"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Total</w:t>
            </w:r>
          </w:p>
        </w:tc>
        <w:tc>
          <w:tcPr>
            <w:tcW w:w="765" w:type="pct"/>
            <w:tcBorders>
              <w:top w:val="single" w:sz="8" w:space="0" w:color="auto"/>
              <w:left w:val="nil"/>
              <w:bottom w:val="single" w:sz="8" w:space="0" w:color="auto"/>
              <w:right w:val="single" w:sz="8" w:space="0" w:color="auto"/>
            </w:tcBorders>
            <w:shd w:val="clear" w:color="000000" w:fill="BFBFBF"/>
            <w:vAlign w:val="center"/>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Part dans le financement</w:t>
            </w: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Cout du programme</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1 998,0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3 016,0</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3 262,6</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3 512,9</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3 688,8</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15 478,2</w:t>
            </w:r>
          </w:p>
        </w:tc>
        <w:tc>
          <w:tcPr>
            <w:tcW w:w="765" w:type="pct"/>
            <w:tcBorders>
              <w:top w:val="nil"/>
              <w:left w:val="nil"/>
              <w:bottom w:val="single" w:sz="8" w:space="0" w:color="auto"/>
              <w:right w:val="single" w:sz="8" w:space="0" w:color="auto"/>
            </w:tcBorders>
            <w:shd w:val="clear" w:color="000000" w:fill="B1A0C7"/>
            <w:noWrap/>
            <w:vAlign w:val="bottom"/>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100%</w:t>
            </w: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Ressources propres</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1 262,3</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1 652,3</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1 886,0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2 133,1</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2 412,0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9 345,8</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60,4%</w:t>
            </w: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szCs w:val="24"/>
              </w:rPr>
            </w:pPr>
            <w:r w:rsidRPr="00422183">
              <w:rPr>
                <w:rFonts w:ascii="Rockwell" w:eastAsia="Times New Roman" w:hAnsi="Rockwell" w:cs="Arial"/>
                <w:szCs w:val="24"/>
              </w:rPr>
              <w:t xml:space="preserve">Dépenses courantes </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1 048,9</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1 157,7</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1 262,2</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1 377,1</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1 495,8</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6 341,8</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szCs w:val="24"/>
              </w:rPr>
            </w:pP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szCs w:val="24"/>
              </w:rPr>
            </w:pPr>
            <w:r w:rsidRPr="00422183">
              <w:rPr>
                <w:rFonts w:ascii="Rockwell" w:eastAsia="Times New Roman" w:hAnsi="Rockwell" w:cs="Arial"/>
                <w:szCs w:val="24"/>
              </w:rPr>
              <w:t>Amortissement de la dette</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145,7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728,3</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szCs w:val="24"/>
              </w:rPr>
            </w:pP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Investissements</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803,4</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1 712,6</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1 854,7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1 990,2</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2 047,3</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i/>
                <w:iCs/>
              </w:rPr>
            </w:pPr>
            <w:r w:rsidRPr="00422183">
              <w:rPr>
                <w:rFonts w:ascii="Rockwell" w:eastAsia="Times New Roman" w:hAnsi="Rockwell" w:cs="Arial"/>
                <w:b/>
                <w:bCs/>
                <w:i/>
                <w:iCs/>
              </w:rPr>
              <w:t>8 408,2</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szCs w:val="24"/>
              </w:rPr>
            </w:pP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Besoin de financement</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735,6</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1 363,7</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1 376,5</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1 379,8</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1 276,7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6 132,4</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39,6%</w:t>
            </w: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szCs w:val="24"/>
              </w:rPr>
            </w:pPr>
            <w:r w:rsidRPr="00422183">
              <w:rPr>
                <w:rFonts w:ascii="Rockwell" w:eastAsia="Times New Roman" w:hAnsi="Rockwell" w:cs="Arial"/>
                <w:szCs w:val="24"/>
              </w:rPr>
              <w:t>Emprunt</w:t>
            </w:r>
            <w:r w:rsidR="00F23764" w:rsidRPr="00422183">
              <w:rPr>
                <w:rFonts w:ascii="Rockwell" w:eastAsia="Times New Roman" w:hAnsi="Rockwell" w:cs="Arial"/>
                <w:szCs w:val="24"/>
              </w:rPr>
              <w:t>s</w:t>
            </w:r>
            <w:r w:rsidRPr="00422183">
              <w:rPr>
                <w:rFonts w:ascii="Rockwell" w:eastAsia="Times New Roman" w:hAnsi="Rockwell" w:cs="Arial"/>
                <w:szCs w:val="24"/>
              </w:rPr>
              <w:t xml:space="preserve"> Obligataire</w:t>
            </w:r>
            <w:r w:rsidR="00F23764" w:rsidRPr="00422183">
              <w:rPr>
                <w:rFonts w:ascii="Rockwell" w:eastAsia="Times New Roman" w:hAnsi="Rockwell" w:cs="Arial"/>
                <w:szCs w:val="24"/>
              </w:rPr>
              <w:t>s</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180,0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150,0</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rPr>
            </w:pPr>
            <w:r w:rsidRPr="00422183">
              <w:rPr>
                <w:rFonts w:ascii="Rockwell" w:eastAsia="Times New Roman" w:hAnsi="Rockwell" w:cs="Arial"/>
              </w:rPr>
              <w:t>780,0</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5,0%</w:t>
            </w:r>
          </w:p>
        </w:tc>
      </w:tr>
      <w:tr w:rsidR="00422183" w:rsidRPr="00422183" w:rsidTr="009D0167">
        <w:trPr>
          <w:trHeight w:val="345"/>
        </w:trPr>
        <w:tc>
          <w:tcPr>
            <w:tcW w:w="1106" w:type="pct"/>
            <w:tcBorders>
              <w:top w:val="nil"/>
              <w:left w:val="single" w:sz="8" w:space="0" w:color="auto"/>
              <w:bottom w:val="single" w:sz="8" w:space="0" w:color="auto"/>
              <w:right w:val="single" w:sz="8" w:space="0" w:color="auto"/>
            </w:tcBorders>
            <w:shd w:val="clear" w:color="auto" w:fill="auto"/>
            <w:noWrap/>
            <w:vAlign w:val="bottom"/>
            <w:hideMark/>
          </w:tcPr>
          <w:p w:rsidR="008826A0" w:rsidRPr="00422183" w:rsidRDefault="008826A0" w:rsidP="003A0820">
            <w:pPr>
              <w:spacing w:after="0" w:line="240" w:lineRule="auto"/>
              <w:jc w:val="both"/>
              <w:rPr>
                <w:rFonts w:ascii="Rockwell" w:eastAsia="Times New Roman" w:hAnsi="Rockwell" w:cs="Arial"/>
                <w:b/>
                <w:bCs/>
                <w:szCs w:val="24"/>
              </w:rPr>
            </w:pPr>
            <w:r w:rsidRPr="00422183">
              <w:rPr>
                <w:rFonts w:ascii="Rockwell" w:eastAsia="Times New Roman" w:hAnsi="Rockwell" w:cs="Arial"/>
                <w:b/>
                <w:bCs/>
                <w:szCs w:val="24"/>
              </w:rPr>
              <w:t>Financement à rechercher</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555,6</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1 213,7</w:t>
            </w:r>
          </w:p>
        </w:tc>
        <w:tc>
          <w:tcPr>
            <w:tcW w:w="48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1 226,5</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1 229,8</w:t>
            </w:r>
          </w:p>
        </w:tc>
        <w:tc>
          <w:tcPr>
            <w:tcW w:w="487"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1 126,7</w:t>
            </w:r>
          </w:p>
        </w:tc>
        <w:tc>
          <w:tcPr>
            <w:tcW w:w="556" w:type="pct"/>
            <w:tcBorders>
              <w:top w:val="nil"/>
              <w:left w:val="nil"/>
              <w:bottom w:val="single" w:sz="8" w:space="0" w:color="auto"/>
              <w:right w:val="single" w:sz="8" w:space="0" w:color="auto"/>
            </w:tcBorders>
            <w:shd w:val="clear" w:color="auto" w:fill="auto"/>
            <w:noWrap/>
            <w:vAlign w:val="center"/>
            <w:hideMark/>
          </w:tcPr>
          <w:p w:rsidR="008826A0" w:rsidRPr="00422183" w:rsidRDefault="008826A0" w:rsidP="003A0820">
            <w:pPr>
              <w:spacing w:after="0" w:line="240" w:lineRule="auto"/>
              <w:jc w:val="both"/>
              <w:rPr>
                <w:rFonts w:ascii="Rockwell" w:eastAsia="Times New Roman" w:hAnsi="Rockwell" w:cs="Arial"/>
                <w:b/>
                <w:bCs/>
              </w:rPr>
            </w:pPr>
            <w:r w:rsidRPr="00422183">
              <w:rPr>
                <w:rFonts w:ascii="Rockwell" w:eastAsia="Times New Roman" w:hAnsi="Rockwell" w:cs="Arial"/>
                <w:b/>
                <w:bCs/>
              </w:rPr>
              <w:t>5 352,4</w:t>
            </w:r>
          </w:p>
        </w:tc>
        <w:tc>
          <w:tcPr>
            <w:tcW w:w="765" w:type="pct"/>
            <w:tcBorders>
              <w:top w:val="nil"/>
              <w:left w:val="nil"/>
              <w:bottom w:val="single" w:sz="8" w:space="0" w:color="auto"/>
              <w:right w:val="single" w:sz="8" w:space="0" w:color="auto"/>
            </w:tcBorders>
            <w:shd w:val="clear" w:color="000000" w:fill="B1A0C7"/>
            <w:noWrap/>
            <w:vAlign w:val="center"/>
            <w:hideMark/>
          </w:tcPr>
          <w:p w:rsidR="008826A0" w:rsidRPr="00422183" w:rsidRDefault="008826A0" w:rsidP="003A0820">
            <w:pPr>
              <w:spacing w:after="0" w:line="240" w:lineRule="auto"/>
              <w:jc w:val="both"/>
              <w:rPr>
                <w:rFonts w:ascii="Rockwell" w:eastAsia="Times New Roman" w:hAnsi="Rockwell" w:cs="Arial"/>
                <w:b/>
                <w:bCs/>
                <w:i/>
                <w:iCs/>
                <w:szCs w:val="24"/>
              </w:rPr>
            </w:pPr>
            <w:r w:rsidRPr="00422183">
              <w:rPr>
                <w:rFonts w:ascii="Rockwell" w:eastAsia="Times New Roman" w:hAnsi="Rockwell" w:cs="Arial"/>
                <w:b/>
                <w:bCs/>
                <w:i/>
                <w:iCs/>
                <w:szCs w:val="24"/>
              </w:rPr>
              <w:t>34,6%</w:t>
            </w:r>
          </w:p>
        </w:tc>
      </w:tr>
    </w:tbl>
    <w:p w:rsidR="008826A0" w:rsidRPr="00422183" w:rsidRDefault="008826A0" w:rsidP="00516FB0">
      <w:pPr>
        <w:spacing w:after="0" w:line="240" w:lineRule="auto"/>
        <w:jc w:val="both"/>
        <w:rPr>
          <w:rFonts w:ascii="Rockwell" w:eastAsiaTheme="minorHAnsi" w:hAnsi="Rockwell"/>
          <w:sz w:val="20"/>
          <w:lang w:bidi="en-US"/>
        </w:rPr>
      </w:pPr>
      <w:r w:rsidRPr="00422183">
        <w:rPr>
          <w:rFonts w:ascii="Rockwell" w:eastAsiaTheme="minorHAnsi" w:hAnsi="Rockwell"/>
          <w:sz w:val="20"/>
          <w:lang w:bidi="en-US"/>
        </w:rPr>
        <w:t>Source : DGB/DPBEP 2017-2019, DGEP/IAP (juin 2016).</w:t>
      </w:r>
    </w:p>
    <w:p w:rsidR="00AA43D4" w:rsidRPr="00422183" w:rsidRDefault="00AA43D4" w:rsidP="00516FB0">
      <w:pPr>
        <w:spacing w:after="0" w:line="240" w:lineRule="auto"/>
        <w:jc w:val="both"/>
        <w:rPr>
          <w:rFonts w:ascii="Rockwell" w:eastAsiaTheme="minorHAnsi" w:hAnsi="Rockwell"/>
          <w:sz w:val="20"/>
          <w:lang w:bidi="en-US"/>
        </w:rPr>
      </w:pPr>
    </w:p>
    <w:p w:rsidR="009D1B42" w:rsidRPr="00422183" w:rsidRDefault="009D1B42" w:rsidP="003A0820">
      <w:pPr>
        <w:spacing w:after="0" w:line="240" w:lineRule="auto"/>
        <w:jc w:val="both"/>
        <w:rPr>
          <w:rFonts w:ascii="Rockwell" w:hAnsi="Rockwell"/>
          <w:bCs/>
          <w:sz w:val="24"/>
          <w:szCs w:val="24"/>
        </w:rPr>
      </w:pPr>
    </w:p>
    <w:p w:rsidR="00D73B80" w:rsidRPr="00422183" w:rsidRDefault="00D73B80" w:rsidP="003A0820">
      <w:pPr>
        <w:pStyle w:val="PNDES2"/>
      </w:pPr>
      <w:bookmarkStart w:id="907" w:name="_Toc452997061"/>
      <w:bookmarkStart w:id="908" w:name="_Toc452997427"/>
      <w:bookmarkStart w:id="909" w:name="_Toc452994570"/>
      <w:bookmarkStart w:id="910" w:name="_Toc452995015"/>
      <w:bookmarkStart w:id="911" w:name="_Toc452995455"/>
      <w:bookmarkStart w:id="912" w:name="_Toc453158162"/>
      <w:bookmarkStart w:id="913" w:name="_Toc453160815"/>
      <w:bookmarkStart w:id="914" w:name="_Toc453160945"/>
      <w:bookmarkStart w:id="915" w:name="_Toc455079242"/>
      <w:bookmarkStart w:id="916" w:name="_Toc455132807"/>
      <w:bookmarkEnd w:id="907"/>
      <w:bookmarkEnd w:id="908"/>
      <w:r w:rsidRPr="00422183">
        <w:t>Analyse des risques</w:t>
      </w:r>
      <w:bookmarkEnd w:id="909"/>
      <w:bookmarkEnd w:id="910"/>
      <w:bookmarkEnd w:id="911"/>
      <w:bookmarkEnd w:id="912"/>
      <w:bookmarkEnd w:id="913"/>
      <w:bookmarkEnd w:id="914"/>
      <w:bookmarkEnd w:id="915"/>
      <w:bookmarkEnd w:id="916"/>
    </w:p>
    <w:p w:rsidR="001C5206" w:rsidRPr="00422183" w:rsidRDefault="001C5206" w:rsidP="003A0820">
      <w:pPr>
        <w:spacing w:after="0" w:line="240" w:lineRule="auto"/>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L'environnement national, sous régional et international actuel fait peser un certain nombre de risque</w:t>
      </w:r>
      <w:r w:rsidR="008E44D8" w:rsidRPr="00422183">
        <w:rPr>
          <w:rFonts w:ascii="Rockwell" w:hAnsi="Rockwell" w:cs="Times New Roman"/>
          <w:bCs/>
          <w:sz w:val="24"/>
          <w:szCs w:val="24"/>
        </w:rPr>
        <w:t>s</w:t>
      </w:r>
      <w:r w:rsidRPr="00422183">
        <w:rPr>
          <w:rFonts w:ascii="Rockwell" w:hAnsi="Rockwell" w:cs="Times New Roman"/>
          <w:bCs/>
          <w:sz w:val="24"/>
          <w:szCs w:val="24"/>
        </w:rPr>
        <w:t xml:space="preserve"> sur la réussite de la mise en œuvre du PNDES. En effet, si le dispositif de mise en œuvre du PNDES ne parvient pas à lever ou à minimiser ces risques,</w:t>
      </w:r>
      <w:r w:rsidR="0011691F" w:rsidRPr="00422183">
        <w:rPr>
          <w:rFonts w:ascii="Rockwell" w:hAnsi="Rockwell" w:cs="Times New Roman"/>
          <w:bCs/>
          <w:sz w:val="24"/>
          <w:szCs w:val="24"/>
        </w:rPr>
        <w:t xml:space="preserve"> ses objectifs seront difficilement</w:t>
      </w:r>
      <w:r w:rsidR="008E44D8" w:rsidRPr="00422183">
        <w:rPr>
          <w:rFonts w:ascii="Rockwell" w:hAnsi="Rockwell" w:cs="Times New Roman"/>
          <w:bCs/>
          <w:sz w:val="24"/>
          <w:szCs w:val="24"/>
        </w:rPr>
        <w:t xml:space="preserve"> atteints.</w:t>
      </w:r>
      <w:r w:rsidRPr="00422183">
        <w:rPr>
          <w:rFonts w:ascii="Rockwell" w:hAnsi="Rockwell" w:cs="Times New Roman"/>
          <w:bCs/>
          <w:sz w:val="24"/>
          <w:szCs w:val="24"/>
        </w:rPr>
        <w:t xml:space="preserve"> Gérer ces risque</w:t>
      </w:r>
      <w:r w:rsidR="001D6E4A" w:rsidRPr="00422183">
        <w:rPr>
          <w:rFonts w:ascii="Rockwell" w:hAnsi="Rockwell" w:cs="Times New Roman"/>
          <w:bCs/>
          <w:sz w:val="24"/>
          <w:szCs w:val="24"/>
        </w:rPr>
        <w:t>s</w:t>
      </w:r>
      <w:r w:rsidRPr="00422183">
        <w:rPr>
          <w:rFonts w:ascii="Rockwell" w:hAnsi="Rockwell" w:cs="Times New Roman"/>
          <w:bCs/>
          <w:sz w:val="24"/>
          <w:szCs w:val="24"/>
        </w:rPr>
        <w:t xml:space="preserve"> signifie de prévoir les actions et mesures nécessaires à l</w:t>
      </w:r>
      <w:r w:rsidR="001D6E4A" w:rsidRPr="00422183">
        <w:rPr>
          <w:rFonts w:ascii="Rockwell" w:hAnsi="Rockwell" w:cs="Times New Roman"/>
          <w:bCs/>
          <w:sz w:val="24"/>
          <w:szCs w:val="24"/>
        </w:rPr>
        <w:t>eur</w:t>
      </w:r>
      <w:r w:rsidRPr="00422183">
        <w:rPr>
          <w:rFonts w:ascii="Rockwell" w:hAnsi="Rockwell" w:cs="Times New Roman"/>
          <w:bCs/>
          <w:sz w:val="24"/>
          <w:szCs w:val="24"/>
        </w:rPr>
        <w:t xml:space="preserve"> minimisation, ainsi qu'à l'identification de l'apparition de nouvelles menaces ou sources de risques. </w:t>
      </w:r>
      <w:r w:rsidR="001D6E4A" w:rsidRPr="00422183">
        <w:rPr>
          <w:rFonts w:ascii="Rockwell" w:hAnsi="Rockwell" w:cs="Times New Roman"/>
          <w:bCs/>
          <w:sz w:val="24"/>
          <w:szCs w:val="24"/>
        </w:rPr>
        <w:t>L</w:t>
      </w:r>
      <w:r w:rsidRPr="00422183">
        <w:rPr>
          <w:rFonts w:ascii="Rockwell" w:hAnsi="Rockwell" w:cs="Times New Roman"/>
          <w:bCs/>
          <w:sz w:val="24"/>
          <w:szCs w:val="24"/>
        </w:rPr>
        <w:t xml:space="preserve">es principaux risques qui pourraient entraver l'atteinte des résultats du PNDES sont de six ordres : </w:t>
      </w:r>
      <w:r w:rsidR="001D6E4A" w:rsidRPr="00422183">
        <w:rPr>
          <w:rFonts w:ascii="Rockwell" w:hAnsi="Rockwell" w:cs="Times New Roman"/>
          <w:bCs/>
          <w:sz w:val="24"/>
          <w:szCs w:val="24"/>
        </w:rPr>
        <w:t xml:space="preserve">(i) </w:t>
      </w:r>
      <w:r w:rsidRPr="00422183">
        <w:rPr>
          <w:rFonts w:ascii="Rockwell" w:hAnsi="Rockwell" w:cs="Times New Roman"/>
          <w:bCs/>
          <w:sz w:val="24"/>
          <w:szCs w:val="24"/>
        </w:rPr>
        <w:t xml:space="preserve">le risque de </w:t>
      </w:r>
      <w:r w:rsidR="001D6E4A" w:rsidRPr="00422183">
        <w:rPr>
          <w:rFonts w:ascii="Rockwell" w:hAnsi="Rockwell" w:cs="Times New Roman"/>
          <w:bCs/>
          <w:sz w:val="24"/>
          <w:szCs w:val="24"/>
        </w:rPr>
        <w:t xml:space="preserve">la </w:t>
      </w:r>
      <w:r w:rsidRPr="00422183">
        <w:rPr>
          <w:rFonts w:ascii="Rockwell" w:hAnsi="Rockwell" w:cs="Times New Roman"/>
          <w:bCs/>
          <w:sz w:val="24"/>
          <w:szCs w:val="24"/>
        </w:rPr>
        <w:t xml:space="preserve">dégradation de la sécurité, </w:t>
      </w:r>
      <w:r w:rsidR="001D6E4A" w:rsidRPr="00422183">
        <w:rPr>
          <w:rFonts w:ascii="Rockwell" w:hAnsi="Rockwell" w:cs="Times New Roman"/>
          <w:bCs/>
          <w:sz w:val="24"/>
          <w:szCs w:val="24"/>
        </w:rPr>
        <w:t xml:space="preserve">(ii) </w:t>
      </w:r>
      <w:r w:rsidRPr="00422183">
        <w:rPr>
          <w:rFonts w:ascii="Rockwell" w:hAnsi="Rockwell" w:cs="Times New Roman"/>
          <w:bCs/>
          <w:sz w:val="24"/>
          <w:szCs w:val="24"/>
        </w:rPr>
        <w:t xml:space="preserve">le risque de troubles sociopolitiques, </w:t>
      </w:r>
      <w:r w:rsidR="001D6E4A" w:rsidRPr="00422183">
        <w:rPr>
          <w:rFonts w:ascii="Rockwell" w:hAnsi="Rockwell" w:cs="Times New Roman"/>
          <w:bCs/>
          <w:sz w:val="24"/>
          <w:szCs w:val="24"/>
        </w:rPr>
        <w:t xml:space="preserve">(iii) </w:t>
      </w:r>
      <w:r w:rsidRPr="00422183">
        <w:rPr>
          <w:rFonts w:ascii="Rockwell" w:hAnsi="Rockwell" w:cs="Times New Roman"/>
          <w:bCs/>
          <w:sz w:val="24"/>
          <w:szCs w:val="24"/>
        </w:rPr>
        <w:t xml:space="preserve">le risque financier, </w:t>
      </w:r>
      <w:r w:rsidR="001D6E4A" w:rsidRPr="00422183">
        <w:rPr>
          <w:rFonts w:ascii="Rockwell" w:hAnsi="Rockwell" w:cs="Times New Roman"/>
          <w:bCs/>
          <w:sz w:val="24"/>
          <w:szCs w:val="24"/>
        </w:rPr>
        <w:t xml:space="preserve">(iv) </w:t>
      </w:r>
      <w:r w:rsidRPr="00422183">
        <w:rPr>
          <w:rFonts w:ascii="Rockwell" w:hAnsi="Rockwell" w:cs="Times New Roman"/>
          <w:bCs/>
          <w:sz w:val="24"/>
          <w:szCs w:val="24"/>
        </w:rPr>
        <w:t>le risque lié aux aléas climatiques,</w:t>
      </w:r>
      <w:r w:rsidR="001D6E4A" w:rsidRPr="00422183">
        <w:rPr>
          <w:rFonts w:ascii="Rockwell" w:hAnsi="Rockwell" w:cs="Times New Roman"/>
          <w:bCs/>
          <w:sz w:val="24"/>
          <w:szCs w:val="24"/>
        </w:rPr>
        <w:t xml:space="preserve"> (v) </w:t>
      </w:r>
      <w:r w:rsidR="00A547BC" w:rsidRPr="00422183">
        <w:rPr>
          <w:rFonts w:ascii="Rockwell" w:hAnsi="Rockwell" w:cs="Times New Roman"/>
          <w:bCs/>
          <w:sz w:val="24"/>
          <w:szCs w:val="24"/>
        </w:rPr>
        <w:t xml:space="preserve">le risque lié à la conjoncture internationale et régionale, (vi) </w:t>
      </w:r>
      <w:r w:rsidRPr="00422183">
        <w:rPr>
          <w:rFonts w:ascii="Rockwell" w:hAnsi="Rockwell" w:cs="Times New Roman"/>
          <w:bCs/>
          <w:sz w:val="24"/>
          <w:szCs w:val="24"/>
        </w:rPr>
        <w:t>le risque lié à la faible adhésion des acteurs.</w:t>
      </w: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3A0820">
      <w:pPr>
        <w:pStyle w:val="PNDES3"/>
        <w:rPr>
          <w:rFonts w:ascii="Rockwell" w:hAnsi="Rockwell"/>
        </w:rPr>
      </w:pPr>
      <w:bookmarkStart w:id="917" w:name="_Toc452994571"/>
      <w:bookmarkStart w:id="918" w:name="_Toc452995016"/>
      <w:bookmarkStart w:id="919" w:name="_Toc452995456"/>
      <w:bookmarkStart w:id="920" w:name="_Toc453160816"/>
      <w:bookmarkStart w:id="921" w:name="_Toc455132808"/>
      <w:r w:rsidRPr="00422183">
        <w:rPr>
          <w:rFonts w:ascii="Rockwell" w:hAnsi="Rockwell"/>
        </w:rPr>
        <w:t xml:space="preserve">Risque de </w:t>
      </w:r>
      <w:r w:rsidR="001D6E4A" w:rsidRPr="00422183">
        <w:rPr>
          <w:rFonts w:ascii="Rockwell" w:hAnsi="Rockwell"/>
        </w:rPr>
        <w:t xml:space="preserve">la </w:t>
      </w:r>
      <w:r w:rsidRPr="00422183">
        <w:rPr>
          <w:rFonts w:ascii="Rockwell" w:hAnsi="Rockwell"/>
        </w:rPr>
        <w:t>dégradation de la sécurité</w:t>
      </w:r>
      <w:bookmarkEnd w:id="917"/>
      <w:bookmarkEnd w:id="918"/>
      <w:bookmarkEnd w:id="919"/>
      <w:bookmarkEnd w:id="920"/>
      <w:bookmarkEnd w:id="921"/>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Au plan de la sécurité, le Burkina Faso est à l'image d'autres pays du Sahel et du </w:t>
      </w:r>
      <w:r w:rsidR="001D6E4A" w:rsidRPr="00422183">
        <w:rPr>
          <w:rFonts w:ascii="Rockwell" w:hAnsi="Rockwell" w:cs="Times New Roman"/>
          <w:bCs/>
          <w:sz w:val="24"/>
          <w:szCs w:val="24"/>
        </w:rPr>
        <w:t>s</w:t>
      </w:r>
      <w:r w:rsidRPr="00422183">
        <w:rPr>
          <w:rFonts w:ascii="Rockwell" w:hAnsi="Rockwell" w:cs="Times New Roman"/>
          <w:bCs/>
          <w:sz w:val="24"/>
          <w:szCs w:val="24"/>
        </w:rPr>
        <w:t xml:space="preserve">ud de l'Afrique de l'Ouest, placé sous la menace des mouvements </w:t>
      </w:r>
      <w:r w:rsidR="00CD3B87" w:rsidRPr="00422183">
        <w:rPr>
          <w:rFonts w:ascii="Rockwell" w:hAnsi="Rockwell" w:cs="Times New Roman"/>
          <w:bCs/>
          <w:sz w:val="24"/>
          <w:szCs w:val="24"/>
        </w:rPr>
        <w:t>terroristes</w:t>
      </w:r>
      <w:r w:rsidRPr="00422183">
        <w:rPr>
          <w:rFonts w:ascii="Rockwell" w:hAnsi="Rockwell" w:cs="Times New Roman"/>
          <w:bCs/>
          <w:sz w:val="24"/>
          <w:szCs w:val="24"/>
        </w:rPr>
        <w:t xml:space="preserve"> dont les activités criminelles peuvent saper la confiance des investisseurs et de la population</w:t>
      </w:r>
      <w:r w:rsidR="001D6E4A" w:rsidRPr="00422183">
        <w:rPr>
          <w:rFonts w:ascii="Rockwell" w:hAnsi="Rockwell" w:cs="Times New Roman"/>
          <w:bCs/>
          <w:sz w:val="24"/>
          <w:szCs w:val="24"/>
        </w:rPr>
        <w:t>,</w:t>
      </w:r>
      <w:r w:rsidRPr="00422183">
        <w:rPr>
          <w:rFonts w:ascii="Rockwell" w:hAnsi="Rockwell" w:cs="Times New Roman"/>
          <w:bCs/>
          <w:sz w:val="24"/>
          <w:szCs w:val="24"/>
        </w:rPr>
        <w:t xml:space="preserve"> et porter atteinte à la mise en œuvre des politiques et actions en faveur du dév</w:t>
      </w:r>
      <w:r w:rsidR="00F23764" w:rsidRPr="00422183">
        <w:rPr>
          <w:rFonts w:ascii="Rockwell" w:hAnsi="Rockwell" w:cs="Times New Roman"/>
          <w:bCs/>
          <w:sz w:val="24"/>
          <w:szCs w:val="24"/>
        </w:rPr>
        <w:t>eloppement économique et social</w:t>
      </w:r>
      <w:r w:rsidRPr="00422183">
        <w:rPr>
          <w:rFonts w:ascii="Rockwell" w:hAnsi="Rockwell" w:cs="Times New Roman"/>
          <w:bCs/>
          <w:sz w:val="24"/>
          <w:szCs w:val="24"/>
        </w:rPr>
        <w:t xml:space="preserve">. De plus, au plan national, </w:t>
      </w:r>
      <w:r w:rsidR="001D6E4A" w:rsidRPr="00422183">
        <w:rPr>
          <w:rFonts w:ascii="Rockwell" w:hAnsi="Rockwell" w:cs="Times New Roman"/>
          <w:bCs/>
          <w:sz w:val="24"/>
          <w:szCs w:val="24"/>
        </w:rPr>
        <w:t>l'effritement tendanciel de l'autorité de</w:t>
      </w:r>
      <w:r w:rsidRPr="00422183">
        <w:rPr>
          <w:rFonts w:ascii="Rockwell" w:hAnsi="Rockwell" w:cs="Times New Roman"/>
          <w:bCs/>
          <w:sz w:val="24"/>
          <w:szCs w:val="24"/>
        </w:rPr>
        <w:t xml:space="preserve"> l'</w:t>
      </w:r>
      <w:r w:rsidR="001D6E4A" w:rsidRPr="00422183">
        <w:rPr>
          <w:rFonts w:ascii="Rockwell" w:hAnsi="Rockwell" w:cs="Times New Roman"/>
          <w:bCs/>
          <w:sz w:val="24"/>
          <w:szCs w:val="24"/>
        </w:rPr>
        <w:t>État a caractérisé les</w:t>
      </w:r>
      <w:r w:rsidRPr="00422183">
        <w:rPr>
          <w:rFonts w:ascii="Rockwell" w:hAnsi="Rockwell" w:cs="Times New Roman"/>
          <w:bCs/>
          <w:sz w:val="24"/>
          <w:szCs w:val="24"/>
        </w:rPr>
        <w:t xml:space="preserve"> dernière</w:t>
      </w:r>
      <w:r w:rsidR="00185B05" w:rsidRPr="00422183">
        <w:rPr>
          <w:rFonts w:ascii="Rockwell" w:hAnsi="Rockwell" w:cs="Times New Roman"/>
          <w:bCs/>
          <w:sz w:val="24"/>
          <w:szCs w:val="24"/>
        </w:rPr>
        <w:t>s</w:t>
      </w:r>
      <w:r w:rsidRPr="00422183">
        <w:rPr>
          <w:rFonts w:ascii="Rockwell" w:hAnsi="Rockwell" w:cs="Times New Roman"/>
          <w:bCs/>
          <w:sz w:val="24"/>
          <w:szCs w:val="24"/>
        </w:rPr>
        <w:t xml:space="preserve"> années</w:t>
      </w:r>
      <w:r w:rsidR="001D6E4A" w:rsidRPr="00422183">
        <w:rPr>
          <w:rFonts w:ascii="Rockwell" w:hAnsi="Rockwell" w:cs="Times New Roman"/>
          <w:bCs/>
          <w:sz w:val="24"/>
          <w:szCs w:val="24"/>
        </w:rPr>
        <w:t>, de même qu'on</w:t>
      </w:r>
      <w:r w:rsidRPr="00422183">
        <w:rPr>
          <w:rFonts w:ascii="Rockwell" w:hAnsi="Rockwell" w:cs="Times New Roman"/>
          <w:bCs/>
          <w:sz w:val="24"/>
          <w:szCs w:val="24"/>
        </w:rPr>
        <w:t xml:space="preserve"> a assisté à l</w:t>
      </w:r>
      <w:r w:rsidR="0073480A" w:rsidRPr="00422183">
        <w:rPr>
          <w:rFonts w:ascii="Rockwell" w:hAnsi="Rockwell" w:cs="Times New Roman"/>
          <w:bCs/>
          <w:sz w:val="24"/>
          <w:szCs w:val="24"/>
        </w:rPr>
        <w:t>'</w:t>
      </w:r>
      <w:r w:rsidRPr="00422183">
        <w:rPr>
          <w:rFonts w:ascii="Rockwell" w:hAnsi="Rockwell" w:cs="Times New Roman"/>
          <w:bCs/>
          <w:sz w:val="24"/>
          <w:szCs w:val="24"/>
        </w:rPr>
        <w:t xml:space="preserve">apparition de groupes d'autodéfense dont </w:t>
      </w:r>
      <w:r w:rsidR="001D6E4A" w:rsidRPr="00422183">
        <w:rPr>
          <w:rFonts w:ascii="Rockwell" w:hAnsi="Rockwell" w:cs="Times New Roman"/>
          <w:bCs/>
          <w:sz w:val="24"/>
          <w:szCs w:val="24"/>
        </w:rPr>
        <w:t xml:space="preserve">l'action, si elle n'est pas contrôlée, </w:t>
      </w:r>
      <w:r w:rsidR="00185B05" w:rsidRPr="00422183">
        <w:rPr>
          <w:rFonts w:ascii="Rockwell" w:hAnsi="Rockwell" w:cs="Times New Roman"/>
          <w:bCs/>
          <w:sz w:val="24"/>
          <w:szCs w:val="24"/>
        </w:rPr>
        <w:t xml:space="preserve">pourrait </w:t>
      </w:r>
      <w:r w:rsidRPr="00422183">
        <w:rPr>
          <w:rFonts w:ascii="Rockwell" w:hAnsi="Rockwell" w:cs="Times New Roman"/>
          <w:bCs/>
          <w:sz w:val="24"/>
          <w:szCs w:val="24"/>
        </w:rPr>
        <w:t xml:space="preserve">constituer une menace à la sécurité des institutions </w:t>
      </w:r>
      <w:r w:rsidR="00185B05" w:rsidRPr="00422183">
        <w:rPr>
          <w:rFonts w:ascii="Rockwell" w:hAnsi="Rockwell" w:cs="Times New Roman"/>
          <w:bCs/>
          <w:sz w:val="24"/>
          <w:szCs w:val="24"/>
        </w:rPr>
        <w:t>républicaines et au respect des droits humains.</w:t>
      </w: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185B05"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Pour faire face à ces menaces</w:t>
      </w:r>
      <w:r w:rsidR="008106A0" w:rsidRPr="00422183">
        <w:rPr>
          <w:rFonts w:ascii="Rockwell" w:hAnsi="Rockwell" w:cs="Times New Roman"/>
          <w:bCs/>
          <w:sz w:val="24"/>
          <w:szCs w:val="24"/>
        </w:rPr>
        <w:t>, l'</w:t>
      </w:r>
      <w:r w:rsidRPr="00422183">
        <w:rPr>
          <w:rFonts w:ascii="Rockwell" w:hAnsi="Rockwell" w:cs="Times New Roman"/>
          <w:bCs/>
          <w:sz w:val="24"/>
          <w:szCs w:val="24"/>
        </w:rPr>
        <w:t>État</w:t>
      </w:r>
      <w:r w:rsidR="008106A0" w:rsidRPr="00422183">
        <w:rPr>
          <w:rFonts w:ascii="Rockwell" w:hAnsi="Rockwell" w:cs="Times New Roman"/>
          <w:bCs/>
          <w:sz w:val="24"/>
          <w:szCs w:val="24"/>
        </w:rPr>
        <w:t xml:space="preserve"> devra renforcer les forces de défense et de sécurité, améliorer les dispositifs de renseignement et de sécurité et renforcer l</w:t>
      </w:r>
      <w:r w:rsidR="0044667C" w:rsidRPr="00422183">
        <w:rPr>
          <w:rFonts w:ascii="Rockwell" w:hAnsi="Rockwell" w:cs="Times New Roman"/>
          <w:bCs/>
          <w:sz w:val="24"/>
          <w:szCs w:val="24"/>
        </w:rPr>
        <w:t>es</w:t>
      </w:r>
      <w:r w:rsidR="008106A0" w:rsidRPr="00422183">
        <w:rPr>
          <w:rFonts w:ascii="Rockwell" w:hAnsi="Rockwell" w:cs="Times New Roman"/>
          <w:bCs/>
          <w:sz w:val="24"/>
          <w:szCs w:val="24"/>
        </w:rPr>
        <w:t xml:space="preserve"> coopération</w:t>
      </w:r>
      <w:r w:rsidR="0044667C" w:rsidRPr="00422183">
        <w:rPr>
          <w:rFonts w:ascii="Rockwell" w:hAnsi="Rockwell" w:cs="Times New Roman"/>
          <w:bCs/>
          <w:sz w:val="24"/>
          <w:szCs w:val="24"/>
        </w:rPr>
        <w:t>s</w:t>
      </w:r>
      <w:r w:rsidR="008106A0" w:rsidRPr="00422183">
        <w:rPr>
          <w:rFonts w:ascii="Rockwell" w:hAnsi="Rockwell" w:cs="Times New Roman"/>
          <w:bCs/>
          <w:sz w:val="24"/>
          <w:szCs w:val="24"/>
        </w:rPr>
        <w:t xml:space="preserve"> militaire et sécuritaire avec les pays de la sous-région et </w:t>
      </w:r>
      <w:r w:rsidRPr="00422183">
        <w:rPr>
          <w:rFonts w:ascii="Rockwell" w:hAnsi="Rockwell" w:cs="Times New Roman"/>
          <w:bCs/>
          <w:sz w:val="24"/>
          <w:szCs w:val="24"/>
        </w:rPr>
        <w:t>ceux</w:t>
      </w:r>
      <w:r w:rsidR="008106A0" w:rsidRPr="00422183">
        <w:rPr>
          <w:rFonts w:ascii="Rockwell" w:hAnsi="Rockwell" w:cs="Times New Roman"/>
          <w:bCs/>
          <w:sz w:val="24"/>
          <w:szCs w:val="24"/>
        </w:rPr>
        <w:t xml:space="preserve"> engagés </w:t>
      </w:r>
      <w:r w:rsidRPr="00422183">
        <w:rPr>
          <w:rFonts w:ascii="Rockwell" w:hAnsi="Rockwell" w:cs="Times New Roman"/>
          <w:bCs/>
          <w:sz w:val="24"/>
          <w:szCs w:val="24"/>
        </w:rPr>
        <w:t xml:space="preserve">dans la lutte </w:t>
      </w:r>
      <w:r w:rsidR="008106A0" w:rsidRPr="00422183">
        <w:rPr>
          <w:rFonts w:ascii="Rockwell" w:hAnsi="Rockwell" w:cs="Times New Roman"/>
          <w:bCs/>
          <w:sz w:val="24"/>
          <w:szCs w:val="24"/>
        </w:rPr>
        <w:t>contre le terrorisme. Pour se prémunir contre l'ins</w:t>
      </w:r>
      <w:r w:rsidR="0051502C" w:rsidRPr="00422183">
        <w:rPr>
          <w:rFonts w:ascii="Rockwell" w:hAnsi="Rockwell" w:cs="Times New Roman"/>
          <w:bCs/>
          <w:sz w:val="24"/>
          <w:szCs w:val="24"/>
        </w:rPr>
        <w:t>écurité liée aux groupes d'auto</w:t>
      </w:r>
      <w:r w:rsidR="008106A0" w:rsidRPr="00422183">
        <w:rPr>
          <w:rFonts w:ascii="Rockwell" w:hAnsi="Rockwell" w:cs="Times New Roman"/>
          <w:bCs/>
          <w:sz w:val="24"/>
          <w:szCs w:val="24"/>
        </w:rPr>
        <w:t>défense, il devra également renforcer le dispositif de renseignement et travailler à la base avec ces formes d'organisation</w:t>
      </w:r>
      <w:r w:rsidR="0051502C" w:rsidRPr="00422183">
        <w:rPr>
          <w:rFonts w:ascii="Rockwell" w:hAnsi="Rockwell" w:cs="Times New Roman"/>
          <w:bCs/>
          <w:sz w:val="24"/>
          <w:szCs w:val="24"/>
        </w:rPr>
        <w:t>,</w:t>
      </w:r>
      <w:r w:rsidR="008106A0" w:rsidRPr="00422183">
        <w:rPr>
          <w:rFonts w:ascii="Rockwell" w:hAnsi="Rockwell" w:cs="Times New Roman"/>
          <w:bCs/>
          <w:sz w:val="24"/>
          <w:szCs w:val="24"/>
        </w:rPr>
        <w:t xml:space="preserve"> ainsi qu'avec les leaders coutumiers. Participera à cela, l'ensemble des mesures visant à renforcer la confiance des populations avec les forces de sécurité. Le gouvernement travaillera également de concert avec le </w:t>
      </w:r>
      <w:r w:rsidR="0051502C" w:rsidRPr="00422183">
        <w:rPr>
          <w:rFonts w:ascii="Rockwell" w:hAnsi="Rockwell" w:cs="Times New Roman"/>
          <w:bCs/>
          <w:sz w:val="24"/>
          <w:szCs w:val="24"/>
        </w:rPr>
        <w:t>CSM,</w:t>
      </w:r>
      <w:r w:rsidR="008106A0" w:rsidRPr="00422183">
        <w:rPr>
          <w:rFonts w:ascii="Rockwell" w:hAnsi="Rockwell" w:cs="Times New Roman"/>
          <w:bCs/>
          <w:sz w:val="24"/>
          <w:szCs w:val="24"/>
        </w:rPr>
        <w:t xml:space="preserve"> pour renforcer l'accès et la confiance des populations rurales</w:t>
      </w:r>
      <w:r w:rsidR="0051502C" w:rsidRPr="00422183">
        <w:rPr>
          <w:rFonts w:ascii="Rockwell" w:hAnsi="Rockwell" w:cs="Times New Roman"/>
          <w:bCs/>
          <w:sz w:val="24"/>
          <w:szCs w:val="24"/>
        </w:rPr>
        <w:t xml:space="preserve"> à la justice républicaine.</w:t>
      </w:r>
    </w:p>
    <w:p w:rsidR="00AA43D4" w:rsidRPr="00422183" w:rsidRDefault="00AA43D4"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516FB0">
      <w:pPr>
        <w:pStyle w:val="PNDES3"/>
        <w:rPr>
          <w:rFonts w:ascii="Rockwell" w:hAnsi="Rockwell"/>
        </w:rPr>
      </w:pPr>
      <w:bookmarkStart w:id="922" w:name="_Toc454723184"/>
      <w:bookmarkStart w:id="923" w:name="_Toc454723390"/>
      <w:bookmarkStart w:id="924" w:name="_Toc452994572"/>
      <w:bookmarkStart w:id="925" w:name="_Toc452995017"/>
      <w:bookmarkStart w:id="926" w:name="_Toc452995457"/>
      <w:bookmarkStart w:id="927" w:name="_Toc453160817"/>
      <w:bookmarkStart w:id="928" w:name="_Toc455132809"/>
      <w:bookmarkEnd w:id="922"/>
      <w:bookmarkEnd w:id="923"/>
      <w:r w:rsidRPr="00422183">
        <w:rPr>
          <w:rFonts w:ascii="Rockwell" w:hAnsi="Rockwell"/>
        </w:rPr>
        <w:t>Risque de troubles sociopolitiques</w:t>
      </w:r>
      <w:bookmarkEnd w:id="924"/>
      <w:bookmarkEnd w:id="925"/>
      <w:bookmarkEnd w:id="926"/>
      <w:bookmarkEnd w:id="927"/>
      <w:bookmarkEnd w:id="928"/>
    </w:p>
    <w:p w:rsidR="008106A0" w:rsidRPr="00422183" w:rsidRDefault="008106A0" w:rsidP="00516FB0">
      <w:pPr>
        <w:spacing w:after="0" w:line="240" w:lineRule="auto"/>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Suite aux évènements sociopolitiques que le Burkina Faso a traversé notamment</w:t>
      </w:r>
      <w:r w:rsidR="0051502C" w:rsidRPr="00422183">
        <w:rPr>
          <w:rFonts w:ascii="Rockwell" w:hAnsi="Rockwell" w:cs="Times New Roman"/>
          <w:bCs/>
          <w:sz w:val="24"/>
          <w:szCs w:val="24"/>
        </w:rPr>
        <w:t>,</w:t>
      </w:r>
      <w:r w:rsidRPr="00422183">
        <w:rPr>
          <w:rFonts w:ascii="Rockwell" w:hAnsi="Rockwell" w:cs="Times New Roman"/>
          <w:bCs/>
          <w:sz w:val="24"/>
          <w:szCs w:val="24"/>
        </w:rPr>
        <w:t xml:space="preserve"> en 2014 et 2015</w:t>
      </w:r>
      <w:r w:rsidR="0051502C" w:rsidRPr="00422183">
        <w:rPr>
          <w:rFonts w:ascii="Rockwell" w:hAnsi="Rockwell" w:cs="Times New Roman"/>
          <w:bCs/>
          <w:sz w:val="24"/>
          <w:szCs w:val="24"/>
        </w:rPr>
        <w:t>,</w:t>
      </w:r>
      <w:r w:rsidRPr="00422183">
        <w:rPr>
          <w:rFonts w:ascii="Rockwell" w:hAnsi="Rockwell" w:cs="Times New Roman"/>
          <w:bCs/>
          <w:sz w:val="24"/>
          <w:szCs w:val="24"/>
        </w:rPr>
        <w:t xml:space="preserve"> et qui ont abouti à la chute du pouvoir en place, au démantèlement d</w:t>
      </w:r>
      <w:r w:rsidR="0051502C" w:rsidRPr="00422183">
        <w:rPr>
          <w:rFonts w:ascii="Rockwell" w:hAnsi="Rockwell" w:cs="Times New Roman"/>
          <w:bCs/>
          <w:sz w:val="24"/>
          <w:szCs w:val="24"/>
        </w:rPr>
        <w:t>u</w:t>
      </w:r>
      <w:r w:rsidRPr="00422183">
        <w:rPr>
          <w:rFonts w:ascii="Rockwell" w:hAnsi="Rockwell" w:cs="Times New Roman"/>
          <w:bCs/>
          <w:sz w:val="24"/>
          <w:szCs w:val="24"/>
        </w:rPr>
        <w:t xml:space="preserve"> Régiment de sécurité </w:t>
      </w:r>
      <w:r w:rsidR="0051502C" w:rsidRPr="00422183">
        <w:rPr>
          <w:rFonts w:ascii="Rockwell" w:hAnsi="Rockwell" w:cs="Times New Roman"/>
          <w:bCs/>
          <w:sz w:val="24"/>
          <w:szCs w:val="24"/>
        </w:rPr>
        <w:t xml:space="preserve">présidentiel, </w:t>
      </w:r>
      <w:r w:rsidRPr="00422183">
        <w:rPr>
          <w:rFonts w:ascii="Rockwell" w:hAnsi="Rockwell" w:cs="Times New Roman"/>
          <w:bCs/>
          <w:sz w:val="24"/>
          <w:szCs w:val="24"/>
        </w:rPr>
        <w:t>à sa tentative avortée de coup d'</w:t>
      </w:r>
      <w:r w:rsidR="0051502C" w:rsidRPr="00422183">
        <w:rPr>
          <w:rFonts w:ascii="Rockwell" w:hAnsi="Rockwell" w:cs="Times New Roman"/>
          <w:bCs/>
          <w:sz w:val="24"/>
          <w:szCs w:val="24"/>
        </w:rPr>
        <w:t>État,</w:t>
      </w:r>
      <w:r w:rsidRPr="00422183">
        <w:rPr>
          <w:rFonts w:ascii="Rockwell" w:hAnsi="Rockwell" w:cs="Times New Roman"/>
          <w:bCs/>
          <w:sz w:val="24"/>
          <w:szCs w:val="24"/>
        </w:rPr>
        <w:t xml:space="preserve"> à l'emprisonnement et aux poursuites </w:t>
      </w:r>
      <w:r w:rsidR="0051502C" w:rsidRPr="00422183">
        <w:rPr>
          <w:rFonts w:ascii="Rockwell" w:hAnsi="Rockwell" w:cs="Times New Roman"/>
          <w:bCs/>
          <w:sz w:val="24"/>
          <w:szCs w:val="24"/>
        </w:rPr>
        <w:t>de</w:t>
      </w:r>
      <w:r w:rsidRPr="00422183">
        <w:rPr>
          <w:rFonts w:ascii="Rockwell" w:hAnsi="Rockwell" w:cs="Times New Roman"/>
          <w:bCs/>
          <w:sz w:val="24"/>
          <w:szCs w:val="24"/>
        </w:rPr>
        <w:t xml:space="preserve"> leaders de l'ancien régime, le risque existe qu'une mauvaise gestion de ces dossiers fasse le lit de l'instabilité politique. Pour parer à ce risque, le </w:t>
      </w:r>
      <w:r w:rsidR="0051502C" w:rsidRPr="00422183">
        <w:rPr>
          <w:rFonts w:ascii="Rockwell" w:hAnsi="Rockwell" w:cs="Times New Roman"/>
          <w:bCs/>
          <w:sz w:val="24"/>
          <w:szCs w:val="24"/>
        </w:rPr>
        <w:t>g</w:t>
      </w:r>
      <w:r w:rsidRPr="00422183">
        <w:rPr>
          <w:rFonts w:ascii="Rockwell" w:hAnsi="Rockwell" w:cs="Times New Roman"/>
          <w:bCs/>
          <w:sz w:val="24"/>
          <w:szCs w:val="24"/>
        </w:rPr>
        <w:t xml:space="preserve">ouvernement </w:t>
      </w:r>
      <w:r w:rsidR="0051502C" w:rsidRPr="00422183">
        <w:rPr>
          <w:rFonts w:ascii="Rockwell" w:hAnsi="Rockwell" w:cs="Times New Roman"/>
          <w:bCs/>
          <w:sz w:val="24"/>
          <w:szCs w:val="24"/>
        </w:rPr>
        <w:t>œuvrera</w:t>
      </w:r>
      <w:r w:rsidR="00982348" w:rsidRPr="00422183">
        <w:rPr>
          <w:rFonts w:ascii="Rockwell" w:hAnsi="Rockwell" w:cs="Times New Roman"/>
          <w:bCs/>
          <w:sz w:val="24"/>
          <w:szCs w:val="24"/>
        </w:rPr>
        <w:t xml:space="preserve"> à</w:t>
      </w:r>
      <w:r w:rsidRPr="00422183">
        <w:rPr>
          <w:rFonts w:ascii="Rockwell" w:hAnsi="Rockwell" w:cs="Times New Roman"/>
          <w:bCs/>
          <w:sz w:val="24"/>
          <w:szCs w:val="24"/>
        </w:rPr>
        <w:t xml:space="preserve"> promouvoir un environnement politique apaisé et </w:t>
      </w:r>
      <w:r w:rsidR="00982348" w:rsidRPr="00422183">
        <w:rPr>
          <w:rFonts w:ascii="Rockwell" w:hAnsi="Rockwell" w:cs="Times New Roman"/>
          <w:bCs/>
          <w:sz w:val="24"/>
          <w:szCs w:val="24"/>
        </w:rPr>
        <w:t>veillera à garantir</w:t>
      </w:r>
      <w:r w:rsidRPr="00422183">
        <w:rPr>
          <w:rFonts w:ascii="Rockwell" w:hAnsi="Rockwell" w:cs="Times New Roman"/>
          <w:bCs/>
          <w:sz w:val="24"/>
          <w:szCs w:val="24"/>
        </w:rPr>
        <w:t xml:space="preserve"> un traitement judiciaire équitable de ces </w:t>
      </w:r>
      <w:r w:rsidR="00982348" w:rsidRPr="00422183">
        <w:rPr>
          <w:rFonts w:ascii="Rockwell" w:hAnsi="Rockwell" w:cs="Times New Roman"/>
          <w:bCs/>
          <w:sz w:val="24"/>
          <w:szCs w:val="24"/>
        </w:rPr>
        <w:t>dossiers.</w:t>
      </w: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7E1194" w:rsidP="003A0820">
      <w:pPr>
        <w:pStyle w:val="PNDES3"/>
        <w:rPr>
          <w:rFonts w:ascii="Rockwell" w:hAnsi="Rockwell"/>
        </w:rPr>
      </w:pPr>
      <w:bookmarkStart w:id="929" w:name="_Toc452994573"/>
      <w:bookmarkStart w:id="930" w:name="_Toc452995018"/>
      <w:bookmarkStart w:id="931" w:name="_Toc452995458"/>
      <w:bookmarkStart w:id="932" w:name="_Toc453160818"/>
      <w:bookmarkStart w:id="933" w:name="_Toc455132810"/>
      <w:r w:rsidRPr="00422183">
        <w:rPr>
          <w:rFonts w:ascii="Rockwell" w:hAnsi="Rockwell"/>
        </w:rPr>
        <w:t>Risque financier</w:t>
      </w:r>
      <w:bookmarkEnd w:id="929"/>
      <w:bookmarkEnd w:id="930"/>
      <w:bookmarkEnd w:id="931"/>
      <w:bookmarkEnd w:id="932"/>
      <w:bookmarkEnd w:id="933"/>
    </w:p>
    <w:p w:rsidR="00982348" w:rsidRPr="00422183" w:rsidRDefault="00982348"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Le schéma de financement d</w:t>
      </w:r>
      <w:r w:rsidR="00982348" w:rsidRPr="00422183">
        <w:rPr>
          <w:rFonts w:ascii="Rockwell" w:hAnsi="Rockwell" w:cs="Times New Roman"/>
          <w:bCs/>
          <w:sz w:val="24"/>
          <w:szCs w:val="24"/>
        </w:rPr>
        <w:t>u</w:t>
      </w:r>
      <w:r w:rsidRPr="00422183">
        <w:rPr>
          <w:rFonts w:ascii="Rockwell" w:hAnsi="Rockwell" w:cs="Times New Roman"/>
          <w:bCs/>
          <w:sz w:val="24"/>
          <w:szCs w:val="24"/>
        </w:rPr>
        <w:t xml:space="preserve"> PNDES prévoit un partage du financement du programme à </w:t>
      </w:r>
      <w:r w:rsidR="00CD3B87" w:rsidRPr="00422183">
        <w:rPr>
          <w:rFonts w:ascii="Rockwell" w:hAnsi="Rockwell" w:cs="Times New Roman"/>
          <w:bCs/>
          <w:sz w:val="24"/>
          <w:szCs w:val="24"/>
        </w:rPr>
        <w:t>60,4</w:t>
      </w:r>
      <w:r w:rsidRPr="00422183">
        <w:rPr>
          <w:rFonts w:ascii="Rockwell" w:hAnsi="Rockwell" w:cs="Times New Roman"/>
          <w:bCs/>
          <w:sz w:val="24"/>
          <w:szCs w:val="24"/>
        </w:rPr>
        <w:t>% par l'</w:t>
      </w:r>
      <w:r w:rsidR="00982348" w:rsidRPr="00422183">
        <w:rPr>
          <w:rFonts w:ascii="Rockwell" w:hAnsi="Rockwell" w:cs="Times New Roman"/>
          <w:bCs/>
          <w:sz w:val="24"/>
          <w:szCs w:val="24"/>
        </w:rPr>
        <w:t>État</w:t>
      </w:r>
      <w:r w:rsidRPr="00422183">
        <w:rPr>
          <w:rFonts w:ascii="Rockwell" w:hAnsi="Rockwell" w:cs="Times New Roman"/>
          <w:bCs/>
          <w:sz w:val="24"/>
          <w:szCs w:val="24"/>
        </w:rPr>
        <w:t xml:space="preserve"> et à 3</w:t>
      </w:r>
      <w:r w:rsidR="00CD3B87" w:rsidRPr="00422183">
        <w:rPr>
          <w:rFonts w:ascii="Rockwell" w:hAnsi="Rockwell" w:cs="Times New Roman"/>
          <w:bCs/>
          <w:sz w:val="24"/>
          <w:szCs w:val="24"/>
        </w:rPr>
        <w:t>9,6</w:t>
      </w:r>
      <w:r w:rsidRPr="00422183">
        <w:rPr>
          <w:rFonts w:ascii="Rockwell" w:hAnsi="Rockwell" w:cs="Times New Roman"/>
          <w:bCs/>
          <w:sz w:val="24"/>
          <w:szCs w:val="24"/>
        </w:rPr>
        <w:t>% par des contributions externes ou non publiques entre 2016 et 2020</w:t>
      </w:r>
      <w:r w:rsidR="00982348" w:rsidRPr="00422183">
        <w:rPr>
          <w:rFonts w:ascii="Rockwell" w:hAnsi="Rockwell" w:cs="Times New Roman"/>
          <w:bCs/>
          <w:sz w:val="24"/>
          <w:szCs w:val="24"/>
        </w:rPr>
        <w:t>,</w:t>
      </w:r>
      <w:r w:rsidRPr="00422183">
        <w:rPr>
          <w:rFonts w:ascii="Rockwell" w:hAnsi="Rockwell" w:cs="Times New Roman"/>
          <w:bCs/>
          <w:sz w:val="24"/>
          <w:szCs w:val="24"/>
        </w:rPr>
        <w:t xml:space="preserve"> pour un coût total du programme estimé à </w:t>
      </w:r>
      <w:r w:rsidR="00CD3B87" w:rsidRPr="00422183">
        <w:rPr>
          <w:rFonts w:ascii="Rockwell" w:hAnsi="Rockwell"/>
          <w:sz w:val="24"/>
          <w:szCs w:val="24"/>
        </w:rPr>
        <w:t xml:space="preserve">15 478,2 </w:t>
      </w:r>
      <w:r w:rsidR="00982348" w:rsidRPr="00422183">
        <w:rPr>
          <w:rFonts w:ascii="Rockwell" w:hAnsi="Rockwell" w:cs="Times New Roman"/>
          <w:bCs/>
          <w:sz w:val="24"/>
          <w:szCs w:val="24"/>
        </w:rPr>
        <w:t>m</w:t>
      </w:r>
      <w:r w:rsidRPr="00422183">
        <w:rPr>
          <w:rFonts w:ascii="Rockwell" w:hAnsi="Rockwell" w:cs="Times New Roman"/>
          <w:bCs/>
          <w:sz w:val="24"/>
          <w:szCs w:val="24"/>
        </w:rPr>
        <w:t xml:space="preserve">illiards </w:t>
      </w:r>
      <w:r w:rsidR="00982348" w:rsidRPr="00422183">
        <w:rPr>
          <w:rFonts w:ascii="Rockwell" w:hAnsi="Rockwell" w:cs="Times New Roman"/>
          <w:bCs/>
          <w:sz w:val="24"/>
          <w:szCs w:val="24"/>
        </w:rPr>
        <w:t xml:space="preserve">francs </w:t>
      </w:r>
      <w:r w:rsidR="007E1194" w:rsidRPr="00422183">
        <w:rPr>
          <w:rFonts w:ascii="Rockwell" w:hAnsi="Rockwell" w:cs="Times New Roman"/>
          <w:bCs/>
          <w:sz w:val="24"/>
          <w:szCs w:val="24"/>
        </w:rPr>
        <w:t>CFA</w:t>
      </w:r>
      <w:r w:rsidRPr="00422183">
        <w:rPr>
          <w:rFonts w:ascii="Rockwell" w:hAnsi="Rockwell" w:cs="Times New Roman"/>
          <w:bCs/>
          <w:sz w:val="24"/>
          <w:szCs w:val="24"/>
        </w:rPr>
        <w:t xml:space="preserve">. </w:t>
      </w:r>
      <w:r w:rsidR="007E1194" w:rsidRPr="00422183">
        <w:rPr>
          <w:rFonts w:ascii="Rockwell" w:hAnsi="Rockwell" w:cs="Times New Roman"/>
          <w:bCs/>
          <w:sz w:val="24"/>
          <w:szCs w:val="24"/>
        </w:rPr>
        <w:t>Ceci correspond à un effort substantiel au niveau de la mobilisation des ressources internes, dans un contexte où</w:t>
      </w:r>
      <w:r w:rsidRPr="00422183">
        <w:rPr>
          <w:rFonts w:ascii="Rockwell" w:hAnsi="Rockwell" w:cs="Times New Roman"/>
          <w:bCs/>
          <w:sz w:val="24"/>
          <w:szCs w:val="24"/>
        </w:rPr>
        <w:t xml:space="preserve"> le niveau de mobilisation des recettes fiscales et budgétaires ordinaires est </w:t>
      </w:r>
      <w:r w:rsidR="007E1194" w:rsidRPr="00422183">
        <w:rPr>
          <w:rFonts w:ascii="Rockwell" w:hAnsi="Rockwell" w:cs="Times New Roman"/>
          <w:bCs/>
          <w:sz w:val="24"/>
          <w:szCs w:val="24"/>
        </w:rPr>
        <w:t xml:space="preserve">relativement </w:t>
      </w:r>
      <w:r w:rsidRPr="00422183">
        <w:rPr>
          <w:rFonts w:ascii="Rockwell" w:hAnsi="Rockwell" w:cs="Times New Roman"/>
          <w:bCs/>
          <w:sz w:val="24"/>
          <w:szCs w:val="24"/>
        </w:rPr>
        <w:t>faible</w:t>
      </w:r>
      <w:r w:rsidR="007E1194" w:rsidRPr="00422183">
        <w:rPr>
          <w:rFonts w:ascii="Rockwell" w:hAnsi="Rockwell" w:cs="Times New Roman"/>
          <w:bCs/>
          <w:sz w:val="24"/>
          <w:szCs w:val="24"/>
        </w:rPr>
        <w:t>, au regard d</w:t>
      </w:r>
      <w:r w:rsidRPr="00422183">
        <w:rPr>
          <w:rFonts w:ascii="Rockwell" w:hAnsi="Rockwell" w:cs="Times New Roman"/>
          <w:bCs/>
          <w:sz w:val="24"/>
          <w:szCs w:val="24"/>
        </w:rPr>
        <w:t>es normes de l'UEMOA.</w:t>
      </w: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Concernant le financement extérieur et l'aide au développement, l'on assiste actuellement, à une diminution de l'aide concessionnelle en direction des pays en développement notamment africains. L'inversion de cette tendance qui dépend de la reprise économique dans les pays donateurs d'aide n'est pas envisageable dans l'immédiat. Par ailleurs, malgré quelques efforts dans le cadre de la recherche mutuelle de l'efficacité de l'aide, les procédures de mobilisation des ressources externes demeurent assez pesantes. Du fait de son classement parmi les pays à risque de surendettement modéré, les marges de manœuvre pour le financement du </w:t>
      </w:r>
      <w:r w:rsidR="007E1194" w:rsidRPr="00422183">
        <w:rPr>
          <w:rFonts w:ascii="Rockwell" w:hAnsi="Rockwell" w:cs="Times New Roman"/>
          <w:bCs/>
          <w:sz w:val="24"/>
          <w:szCs w:val="24"/>
        </w:rPr>
        <w:t>PNDES</w:t>
      </w:r>
      <w:r w:rsidRPr="00422183">
        <w:rPr>
          <w:rFonts w:ascii="Rockwell" w:hAnsi="Rockwell" w:cs="Times New Roman"/>
          <w:bCs/>
          <w:sz w:val="24"/>
          <w:szCs w:val="24"/>
        </w:rPr>
        <w:t xml:space="preserve"> par des emprunts sur le marché international et régional ou encore par des PPP sont </w:t>
      </w:r>
      <w:r w:rsidR="006B4F3A" w:rsidRPr="00422183">
        <w:rPr>
          <w:rFonts w:ascii="Rockwell" w:hAnsi="Rockwell" w:cs="Times New Roman"/>
          <w:bCs/>
          <w:sz w:val="24"/>
          <w:szCs w:val="24"/>
        </w:rPr>
        <w:t>quelque peu étroit</w:t>
      </w:r>
      <w:r w:rsidRPr="00422183">
        <w:rPr>
          <w:rFonts w:ascii="Rockwell" w:hAnsi="Rockwell" w:cs="Times New Roman"/>
          <w:bCs/>
          <w:sz w:val="24"/>
          <w:szCs w:val="24"/>
        </w:rPr>
        <w:t>. Elles le sont davantage du fait de l'insécurité dans la zone du Sahel</w:t>
      </w:r>
      <w:r w:rsidR="007E1194" w:rsidRPr="00422183">
        <w:rPr>
          <w:rFonts w:ascii="Rockwell" w:hAnsi="Rockwell" w:cs="Times New Roman"/>
          <w:bCs/>
          <w:sz w:val="24"/>
          <w:szCs w:val="24"/>
        </w:rPr>
        <w:t xml:space="preserve"> et</w:t>
      </w:r>
      <w:r w:rsidRPr="00422183">
        <w:rPr>
          <w:rFonts w:ascii="Rockwell" w:hAnsi="Rockwell" w:cs="Times New Roman"/>
          <w:bCs/>
          <w:sz w:val="24"/>
          <w:szCs w:val="24"/>
        </w:rPr>
        <w:t xml:space="preserve"> de la concurrence des trésors publics des pays de l'UEMOA sur un marché financier régional qui gr</w:t>
      </w:r>
      <w:r w:rsidR="007E1194" w:rsidRPr="00422183">
        <w:rPr>
          <w:rFonts w:ascii="Rockwell" w:hAnsi="Rockwell" w:cs="Times New Roman"/>
          <w:bCs/>
          <w:sz w:val="24"/>
          <w:szCs w:val="24"/>
        </w:rPr>
        <w:t>èvent les coûts des ressources.</w:t>
      </w:r>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516FB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Pour faire face au risque de sous financement du PNDES, le </w:t>
      </w:r>
      <w:r w:rsidR="007E1194" w:rsidRPr="00422183">
        <w:rPr>
          <w:rFonts w:ascii="Rockwell" w:hAnsi="Rockwell" w:cs="Times New Roman"/>
          <w:bCs/>
          <w:sz w:val="24"/>
          <w:szCs w:val="24"/>
        </w:rPr>
        <w:t>g</w:t>
      </w:r>
      <w:r w:rsidRPr="00422183">
        <w:rPr>
          <w:rFonts w:ascii="Rockwell" w:hAnsi="Rockwell" w:cs="Times New Roman"/>
          <w:bCs/>
          <w:sz w:val="24"/>
          <w:szCs w:val="24"/>
        </w:rPr>
        <w:t xml:space="preserve">ouvernement veillera à la qualité des dépenses publiques afin de dégager des économies sur les dépenses courantes pour financer les investissements, </w:t>
      </w:r>
      <w:r w:rsidR="007E1194" w:rsidRPr="00422183">
        <w:rPr>
          <w:rFonts w:ascii="Rockwell" w:hAnsi="Rockwell" w:cs="Times New Roman"/>
          <w:bCs/>
          <w:sz w:val="24"/>
          <w:szCs w:val="24"/>
        </w:rPr>
        <w:t>au développement de</w:t>
      </w:r>
      <w:r w:rsidRPr="00422183">
        <w:rPr>
          <w:rFonts w:ascii="Rockwell" w:hAnsi="Rockwell" w:cs="Times New Roman"/>
          <w:bCs/>
          <w:sz w:val="24"/>
          <w:szCs w:val="24"/>
        </w:rPr>
        <w:t xml:space="preserve"> programmes vigoureux d'amélioration de la mobilisation des recettes fiscales, </w:t>
      </w:r>
      <w:r w:rsidR="007E1194" w:rsidRPr="00422183">
        <w:rPr>
          <w:rFonts w:ascii="Rockwell" w:hAnsi="Rockwell" w:cs="Times New Roman"/>
          <w:bCs/>
          <w:sz w:val="24"/>
          <w:szCs w:val="24"/>
        </w:rPr>
        <w:t>à la mobilisation</w:t>
      </w:r>
      <w:r w:rsidRPr="00422183">
        <w:rPr>
          <w:rFonts w:ascii="Rockwell" w:hAnsi="Rockwell" w:cs="Times New Roman"/>
          <w:bCs/>
          <w:sz w:val="24"/>
          <w:szCs w:val="24"/>
        </w:rPr>
        <w:t xml:space="preserve"> active</w:t>
      </w:r>
      <w:r w:rsidR="007E1194" w:rsidRPr="00422183">
        <w:rPr>
          <w:rFonts w:ascii="Rockwell" w:hAnsi="Rockwell" w:cs="Times New Roman"/>
          <w:bCs/>
          <w:sz w:val="24"/>
          <w:szCs w:val="24"/>
        </w:rPr>
        <w:t xml:space="preserve"> de</w:t>
      </w:r>
      <w:r w:rsidRPr="00422183">
        <w:rPr>
          <w:rFonts w:ascii="Rockwell" w:hAnsi="Rockwell" w:cs="Times New Roman"/>
          <w:bCs/>
          <w:sz w:val="24"/>
          <w:szCs w:val="24"/>
        </w:rPr>
        <w:t xml:space="preserve"> l'apport de la diaspora burkinabè et </w:t>
      </w:r>
      <w:r w:rsidR="007E1194" w:rsidRPr="00422183">
        <w:rPr>
          <w:rFonts w:ascii="Rockwell" w:hAnsi="Rockwell" w:cs="Times New Roman"/>
          <w:bCs/>
          <w:sz w:val="24"/>
          <w:szCs w:val="24"/>
        </w:rPr>
        <w:t>à l'amélioration de</w:t>
      </w:r>
      <w:r w:rsidRPr="00422183">
        <w:rPr>
          <w:rFonts w:ascii="Rockwell" w:hAnsi="Rockwell" w:cs="Times New Roman"/>
          <w:bCs/>
          <w:sz w:val="24"/>
          <w:szCs w:val="24"/>
        </w:rPr>
        <w:t xml:space="preserve"> la qualité de la gestion de sa dette publique</w:t>
      </w:r>
      <w:r w:rsidR="007E1194" w:rsidRPr="00422183">
        <w:rPr>
          <w:rFonts w:ascii="Rockwell" w:hAnsi="Rockwell" w:cs="Times New Roman"/>
          <w:bCs/>
          <w:sz w:val="24"/>
          <w:szCs w:val="24"/>
        </w:rPr>
        <w:t>,</w:t>
      </w:r>
      <w:r w:rsidRPr="00422183">
        <w:rPr>
          <w:rFonts w:ascii="Rockwell" w:hAnsi="Rockwell" w:cs="Times New Roman"/>
          <w:bCs/>
          <w:sz w:val="24"/>
          <w:szCs w:val="24"/>
        </w:rPr>
        <w:t xml:space="preserve"> tout en poursuivant le dialogue avec ses PTF dans le cadre de nouve</w:t>
      </w:r>
      <w:r w:rsidR="007E1194" w:rsidRPr="00422183">
        <w:rPr>
          <w:rFonts w:ascii="Rockwell" w:hAnsi="Rockwell" w:cs="Times New Roman"/>
          <w:bCs/>
          <w:sz w:val="24"/>
          <w:szCs w:val="24"/>
        </w:rPr>
        <w:t>aux programmes d'appui-pays.</w:t>
      </w:r>
    </w:p>
    <w:p w:rsidR="008106A0" w:rsidRPr="00422183" w:rsidRDefault="008106A0" w:rsidP="00516FB0">
      <w:pPr>
        <w:spacing w:after="0" w:line="240" w:lineRule="auto"/>
        <w:jc w:val="both"/>
        <w:rPr>
          <w:rFonts w:ascii="Rockwell" w:hAnsi="Rockwell" w:cs="Times New Roman"/>
          <w:bCs/>
          <w:sz w:val="24"/>
          <w:szCs w:val="24"/>
        </w:rPr>
      </w:pPr>
    </w:p>
    <w:p w:rsidR="008106A0" w:rsidRPr="00422183" w:rsidRDefault="008106A0" w:rsidP="003A0820">
      <w:pPr>
        <w:pStyle w:val="PNDES3"/>
        <w:rPr>
          <w:rFonts w:ascii="Rockwell" w:hAnsi="Rockwell"/>
        </w:rPr>
      </w:pPr>
      <w:bookmarkStart w:id="934" w:name="_Toc452994574"/>
      <w:bookmarkStart w:id="935" w:name="_Toc452995019"/>
      <w:bookmarkStart w:id="936" w:name="_Toc452995459"/>
      <w:bookmarkStart w:id="937" w:name="_Toc453160819"/>
      <w:bookmarkStart w:id="938" w:name="_Toc455132811"/>
      <w:r w:rsidRPr="00422183">
        <w:rPr>
          <w:rFonts w:ascii="Rockwell" w:hAnsi="Rockwell"/>
        </w:rPr>
        <w:t>Risque lié aux aléas climatiques</w:t>
      </w:r>
      <w:bookmarkEnd w:id="934"/>
      <w:bookmarkEnd w:id="935"/>
      <w:bookmarkEnd w:id="936"/>
      <w:bookmarkEnd w:id="937"/>
      <w:bookmarkEnd w:id="938"/>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Le réchauffement de la terre et les variabilités climatiques sont des réalités</w:t>
      </w:r>
      <w:r w:rsidR="006F539C" w:rsidRPr="00422183">
        <w:rPr>
          <w:rFonts w:ascii="Rockwell" w:hAnsi="Rockwell" w:cs="Times New Roman"/>
          <w:bCs/>
          <w:sz w:val="24"/>
          <w:szCs w:val="24"/>
        </w:rPr>
        <w:t>. L</w:t>
      </w:r>
      <w:r w:rsidRPr="00422183">
        <w:rPr>
          <w:rFonts w:ascii="Rockwell" w:hAnsi="Rockwell" w:cs="Times New Roman"/>
          <w:bCs/>
          <w:sz w:val="24"/>
          <w:szCs w:val="24"/>
        </w:rPr>
        <w:t>es fréquentes</w:t>
      </w:r>
      <w:r w:rsidR="00E03FB4" w:rsidRPr="00422183">
        <w:rPr>
          <w:rFonts w:ascii="Rockwell" w:hAnsi="Rockwell" w:cs="Times New Roman"/>
          <w:bCs/>
          <w:sz w:val="24"/>
          <w:szCs w:val="24"/>
        </w:rPr>
        <w:t xml:space="preserve"> </w:t>
      </w:r>
      <w:r w:rsidRPr="00422183">
        <w:rPr>
          <w:rFonts w:ascii="Rockwell" w:hAnsi="Rockwell" w:cs="Times New Roman"/>
          <w:bCs/>
          <w:sz w:val="24"/>
          <w:szCs w:val="24"/>
        </w:rPr>
        <w:t>inondations constatées ici et là</w:t>
      </w:r>
      <w:r w:rsidR="006F539C" w:rsidRPr="00422183">
        <w:rPr>
          <w:rFonts w:ascii="Rockwell" w:hAnsi="Rockwell" w:cs="Times New Roman"/>
          <w:bCs/>
          <w:sz w:val="24"/>
          <w:szCs w:val="24"/>
        </w:rPr>
        <w:t>,</w:t>
      </w:r>
      <w:r w:rsidRPr="00422183">
        <w:rPr>
          <w:rFonts w:ascii="Rockwell" w:hAnsi="Rockwell" w:cs="Times New Roman"/>
          <w:bCs/>
          <w:sz w:val="24"/>
          <w:szCs w:val="24"/>
        </w:rPr>
        <w:t xml:space="preserve"> dans les villes et villages</w:t>
      </w:r>
      <w:r w:rsidR="006F539C" w:rsidRPr="00422183">
        <w:rPr>
          <w:rFonts w:ascii="Rockwell" w:hAnsi="Rockwell" w:cs="Times New Roman"/>
          <w:bCs/>
          <w:sz w:val="24"/>
          <w:szCs w:val="24"/>
        </w:rPr>
        <w:t>,</w:t>
      </w:r>
      <w:r w:rsidRPr="00422183">
        <w:rPr>
          <w:rFonts w:ascii="Rockwell" w:hAnsi="Rockwell" w:cs="Times New Roman"/>
          <w:bCs/>
          <w:sz w:val="24"/>
          <w:szCs w:val="24"/>
        </w:rPr>
        <w:t xml:space="preserve"> à l'issue de fortes précipitation</w:t>
      </w:r>
      <w:r w:rsidR="006F539C" w:rsidRPr="00422183">
        <w:rPr>
          <w:rFonts w:ascii="Rockwell" w:hAnsi="Rockwell" w:cs="Times New Roman"/>
          <w:bCs/>
          <w:sz w:val="24"/>
          <w:szCs w:val="24"/>
        </w:rPr>
        <w:t>s</w:t>
      </w:r>
      <w:r w:rsidRPr="00422183">
        <w:rPr>
          <w:rFonts w:ascii="Rockwell" w:hAnsi="Rockwell" w:cs="Times New Roman"/>
          <w:bCs/>
          <w:sz w:val="24"/>
          <w:szCs w:val="24"/>
        </w:rPr>
        <w:t xml:space="preserve"> en sont </w:t>
      </w:r>
      <w:r w:rsidR="006F539C" w:rsidRPr="00422183">
        <w:rPr>
          <w:rFonts w:ascii="Rockwell" w:hAnsi="Rockwell" w:cs="Times New Roman"/>
          <w:bCs/>
          <w:sz w:val="24"/>
          <w:szCs w:val="24"/>
        </w:rPr>
        <w:t xml:space="preserve">l'illustration, </w:t>
      </w:r>
      <w:r w:rsidRPr="00422183">
        <w:rPr>
          <w:rFonts w:ascii="Rockwell" w:hAnsi="Rockwell" w:cs="Times New Roman"/>
          <w:bCs/>
          <w:sz w:val="24"/>
          <w:szCs w:val="24"/>
        </w:rPr>
        <w:t>à l'image de l'instabilité des saisons hivernales et de la sévérité des saisons sèches. Or, l'agriculture de type fluvial</w:t>
      </w:r>
      <w:r w:rsidR="003F649E" w:rsidRPr="00422183">
        <w:rPr>
          <w:rFonts w:ascii="Rockwell" w:hAnsi="Rockwell" w:cs="Times New Roman"/>
          <w:bCs/>
          <w:sz w:val="24"/>
          <w:szCs w:val="24"/>
        </w:rPr>
        <w:t>,</w:t>
      </w:r>
      <w:r w:rsidRPr="00422183">
        <w:rPr>
          <w:rFonts w:ascii="Rockwell" w:hAnsi="Rockwell" w:cs="Times New Roman"/>
          <w:bCs/>
          <w:sz w:val="24"/>
          <w:szCs w:val="24"/>
        </w:rPr>
        <w:t xml:space="preserve"> qui occupe encore près de 80% de la population active</w:t>
      </w:r>
      <w:r w:rsidR="003F649E" w:rsidRPr="00422183">
        <w:rPr>
          <w:rFonts w:ascii="Rockwell" w:hAnsi="Rockwell" w:cs="Times New Roman"/>
          <w:bCs/>
          <w:sz w:val="24"/>
          <w:szCs w:val="24"/>
        </w:rPr>
        <w:t>,</w:t>
      </w:r>
      <w:r w:rsidRPr="00422183">
        <w:rPr>
          <w:rFonts w:ascii="Rockwell" w:hAnsi="Rockwell" w:cs="Times New Roman"/>
          <w:bCs/>
          <w:sz w:val="24"/>
          <w:szCs w:val="24"/>
        </w:rPr>
        <w:t xml:space="preserve"> est, de ce fait</w:t>
      </w:r>
      <w:r w:rsidR="003F649E" w:rsidRPr="00422183">
        <w:rPr>
          <w:rFonts w:ascii="Rockwell" w:hAnsi="Rockwell" w:cs="Times New Roman"/>
          <w:bCs/>
          <w:sz w:val="24"/>
          <w:szCs w:val="24"/>
        </w:rPr>
        <w:t>,</w:t>
      </w:r>
      <w:r w:rsidRPr="00422183">
        <w:rPr>
          <w:rFonts w:ascii="Rockwell" w:hAnsi="Rockwell" w:cs="Times New Roman"/>
          <w:bCs/>
          <w:sz w:val="24"/>
          <w:szCs w:val="24"/>
        </w:rPr>
        <w:t xml:space="preserve"> fortement dépendante des aléas du climat. De même, du fait de la forte dépendance des activités des centres urbains à l'énergie électrique, l'étirement des cours d'eau causé par le réchauffement climatique réduit la production d'électricité des barrage</w:t>
      </w:r>
      <w:r w:rsidR="003F649E" w:rsidRPr="00422183">
        <w:rPr>
          <w:rFonts w:ascii="Rockwell" w:hAnsi="Rockwell" w:cs="Times New Roman"/>
          <w:bCs/>
          <w:sz w:val="24"/>
          <w:szCs w:val="24"/>
        </w:rPr>
        <w:t>s</w:t>
      </w:r>
      <w:r w:rsidRPr="00422183">
        <w:rPr>
          <w:rFonts w:ascii="Rockwell" w:hAnsi="Rockwell" w:cs="Times New Roman"/>
          <w:bCs/>
          <w:sz w:val="24"/>
          <w:szCs w:val="24"/>
        </w:rPr>
        <w:t xml:space="preserve"> hydroélectriques et par conséquent</w:t>
      </w:r>
      <w:r w:rsidR="003F649E" w:rsidRPr="00422183">
        <w:rPr>
          <w:rFonts w:ascii="Rockwell" w:hAnsi="Rockwell" w:cs="Times New Roman"/>
          <w:bCs/>
          <w:sz w:val="24"/>
          <w:szCs w:val="24"/>
        </w:rPr>
        <w:t>,</w:t>
      </w:r>
      <w:r w:rsidRPr="00422183">
        <w:rPr>
          <w:rFonts w:ascii="Rockwell" w:hAnsi="Rockwell" w:cs="Times New Roman"/>
          <w:bCs/>
          <w:sz w:val="24"/>
          <w:szCs w:val="24"/>
        </w:rPr>
        <w:t xml:space="preserve"> les activité</w:t>
      </w:r>
      <w:r w:rsidR="003F649E" w:rsidRPr="00422183">
        <w:rPr>
          <w:rFonts w:ascii="Rockwell" w:hAnsi="Rockwell" w:cs="Times New Roman"/>
          <w:bCs/>
          <w:sz w:val="24"/>
          <w:szCs w:val="24"/>
        </w:rPr>
        <w:t>s</w:t>
      </w:r>
      <w:r w:rsidRPr="00422183">
        <w:rPr>
          <w:rFonts w:ascii="Rockwell" w:hAnsi="Rockwell" w:cs="Times New Roman"/>
          <w:bCs/>
          <w:sz w:val="24"/>
          <w:szCs w:val="24"/>
        </w:rPr>
        <w:t xml:space="preserve"> urbaines consommatrice</w:t>
      </w:r>
      <w:r w:rsidR="003F649E" w:rsidRPr="00422183">
        <w:rPr>
          <w:rFonts w:ascii="Rockwell" w:hAnsi="Rockwell" w:cs="Times New Roman"/>
          <w:bCs/>
          <w:sz w:val="24"/>
          <w:szCs w:val="24"/>
        </w:rPr>
        <w:t>s de cette ressource.</w:t>
      </w:r>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Pour faire face aux défis humains et à la baisse de la productivité que pourraient occasionnés les aléas climatiques, le </w:t>
      </w:r>
      <w:r w:rsidR="00A547BC" w:rsidRPr="00422183">
        <w:rPr>
          <w:rFonts w:ascii="Rockwell" w:hAnsi="Rockwell" w:cs="Times New Roman"/>
          <w:bCs/>
          <w:sz w:val="24"/>
          <w:szCs w:val="24"/>
        </w:rPr>
        <w:t>g</w:t>
      </w:r>
      <w:r w:rsidRPr="00422183">
        <w:rPr>
          <w:rFonts w:ascii="Rockwell" w:hAnsi="Rockwell" w:cs="Times New Roman"/>
          <w:bCs/>
          <w:sz w:val="24"/>
          <w:szCs w:val="24"/>
        </w:rPr>
        <w:t xml:space="preserve">ouvernement élaborera, actualisera et mettra en œuvre les programmes d'adaptation aux changements climatiques et les </w:t>
      </w:r>
      <w:r w:rsidR="00A547BC" w:rsidRPr="00422183">
        <w:rPr>
          <w:rFonts w:ascii="Rockwell" w:hAnsi="Rockwell" w:cs="Times New Roman"/>
          <w:bCs/>
          <w:sz w:val="24"/>
          <w:szCs w:val="24"/>
        </w:rPr>
        <w:t>p</w:t>
      </w:r>
      <w:r w:rsidRPr="00422183">
        <w:rPr>
          <w:rFonts w:ascii="Rockwell" w:hAnsi="Rockwell" w:cs="Times New Roman"/>
          <w:bCs/>
          <w:sz w:val="24"/>
          <w:szCs w:val="24"/>
        </w:rPr>
        <w:t xml:space="preserve">lans de riposte aux catastrophes naturelles. Cela implique également d'accroitre le financement desdits instruments et de renforcer l'adhésion des acteurs </w:t>
      </w:r>
      <w:r w:rsidR="00A547BC" w:rsidRPr="00422183">
        <w:rPr>
          <w:rFonts w:ascii="Rockwell" w:hAnsi="Rockwell" w:cs="Times New Roman"/>
          <w:bCs/>
          <w:sz w:val="24"/>
          <w:szCs w:val="24"/>
        </w:rPr>
        <w:t xml:space="preserve">aux innovations et </w:t>
      </w:r>
      <w:r w:rsidRPr="00422183">
        <w:rPr>
          <w:rFonts w:ascii="Rockwell" w:hAnsi="Rockwell" w:cs="Times New Roman"/>
          <w:bCs/>
          <w:sz w:val="24"/>
          <w:szCs w:val="24"/>
        </w:rPr>
        <w:t>aux nouveaux modes de production et de consommatio</w:t>
      </w:r>
      <w:r w:rsidR="00A547BC" w:rsidRPr="00422183">
        <w:rPr>
          <w:rFonts w:ascii="Rockwell" w:hAnsi="Rockwell" w:cs="Times New Roman"/>
          <w:bCs/>
          <w:sz w:val="24"/>
          <w:szCs w:val="24"/>
        </w:rPr>
        <w:t>n que commande</w:t>
      </w:r>
      <w:r w:rsidR="00D302DA" w:rsidRPr="00422183">
        <w:rPr>
          <w:rFonts w:ascii="Rockwell" w:hAnsi="Rockwell" w:cs="Times New Roman"/>
          <w:bCs/>
          <w:sz w:val="24"/>
          <w:szCs w:val="24"/>
        </w:rPr>
        <w:t>nt</w:t>
      </w:r>
      <w:r w:rsidR="00A547BC" w:rsidRPr="00422183">
        <w:rPr>
          <w:rFonts w:ascii="Rockwell" w:hAnsi="Rockwell" w:cs="Times New Roman"/>
          <w:bCs/>
          <w:sz w:val="24"/>
          <w:szCs w:val="24"/>
        </w:rPr>
        <w:t xml:space="preserve"> ces instruments.</w:t>
      </w:r>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3A0820">
      <w:pPr>
        <w:pStyle w:val="PNDES3"/>
        <w:rPr>
          <w:rFonts w:ascii="Rockwell" w:hAnsi="Rockwell"/>
        </w:rPr>
      </w:pPr>
      <w:bookmarkStart w:id="939" w:name="_Toc452994575"/>
      <w:bookmarkStart w:id="940" w:name="_Toc452995020"/>
      <w:bookmarkStart w:id="941" w:name="_Toc452995460"/>
      <w:bookmarkStart w:id="942" w:name="_Toc453160820"/>
      <w:bookmarkStart w:id="943" w:name="_Toc455132812"/>
      <w:r w:rsidRPr="00422183">
        <w:rPr>
          <w:rFonts w:ascii="Rockwell" w:hAnsi="Rockwell"/>
        </w:rPr>
        <w:t xml:space="preserve">Risque lié </w:t>
      </w:r>
      <w:r w:rsidR="009970EC" w:rsidRPr="00422183">
        <w:rPr>
          <w:rFonts w:ascii="Rockwell" w:hAnsi="Rockwell"/>
        </w:rPr>
        <w:t>à la conjoncture internationale et régionale</w:t>
      </w:r>
      <w:bookmarkEnd w:id="939"/>
      <w:bookmarkEnd w:id="940"/>
      <w:bookmarkEnd w:id="941"/>
      <w:bookmarkEnd w:id="942"/>
      <w:bookmarkEnd w:id="943"/>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9970EC"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À </w:t>
      </w:r>
      <w:r w:rsidR="008106A0" w:rsidRPr="00422183">
        <w:rPr>
          <w:rFonts w:ascii="Rockwell" w:hAnsi="Rockwell" w:cs="Times New Roman"/>
          <w:bCs/>
          <w:sz w:val="24"/>
          <w:szCs w:val="24"/>
        </w:rPr>
        <w:t xml:space="preserve">l'instar </w:t>
      </w:r>
      <w:r w:rsidRPr="00422183">
        <w:rPr>
          <w:rFonts w:ascii="Rockwell" w:hAnsi="Rockwell" w:cs="Times New Roman"/>
          <w:bCs/>
          <w:sz w:val="24"/>
          <w:szCs w:val="24"/>
        </w:rPr>
        <w:t xml:space="preserve">de tous les pays ouverts au monde, l'économie du Burkina Faso </w:t>
      </w:r>
      <w:r w:rsidR="008106A0" w:rsidRPr="00422183">
        <w:rPr>
          <w:rFonts w:ascii="Rockwell" w:hAnsi="Rockwell" w:cs="Times New Roman"/>
          <w:bCs/>
          <w:sz w:val="24"/>
          <w:szCs w:val="24"/>
        </w:rPr>
        <w:t>peut être affectée par les cours de ses principaux produits exportés et importé</w:t>
      </w:r>
      <w:r w:rsidRPr="00422183">
        <w:rPr>
          <w:rFonts w:ascii="Rockwell" w:hAnsi="Rockwell" w:cs="Times New Roman"/>
          <w:bCs/>
          <w:sz w:val="24"/>
          <w:szCs w:val="24"/>
        </w:rPr>
        <w:t>s</w:t>
      </w:r>
      <w:r w:rsidR="008106A0" w:rsidRPr="00422183">
        <w:rPr>
          <w:rFonts w:ascii="Rockwell" w:hAnsi="Rockwell" w:cs="Times New Roman"/>
          <w:bCs/>
          <w:sz w:val="24"/>
          <w:szCs w:val="24"/>
        </w:rPr>
        <w:t xml:space="preserve">. En outre, le </w:t>
      </w:r>
      <w:r w:rsidRPr="00422183">
        <w:rPr>
          <w:rFonts w:ascii="Rockwell" w:hAnsi="Rockwell" w:cs="Times New Roman"/>
          <w:bCs/>
          <w:sz w:val="24"/>
          <w:szCs w:val="24"/>
        </w:rPr>
        <w:t xml:space="preserve">Burkina Faso </w:t>
      </w:r>
      <w:r w:rsidR="008106A0" w:rsidRPr="00422183">
        <w:rPr>
          <w:rFonts w:ascii="Rockwell" w:hAnsi="Rockwell" w:cs="Times New Roman"/>
          <w:bCs/>
          <w:sz w:val="24"/>
          <w:szCs w:val="24"/>
        </w:rPr>
        <w:t xml:space="preserve">est fortement tributaire de l'aide et des capitaux étrangers pour le financement de ses investissements. Ainsi, la baisse des cours de l'or et du coton, principales matières d'exportation </w:t>
      </w:r>
      <w:r w:rsidR="006D07CD" w:rsidRPr="00422183">
        <w:rPr>
          <w:rFonts w:ascii="Rockwell" w:hAnsi="Rockwell" w:cs="Times New Roman"/>
          <w:bCs/>
          <w:sz w:val="24"/>
          <w:szCs w:val="24"/>
        </w:rPr>
        <w:t>pourraient</w:t>
      </w:r>
      <w:r w:rsidR="008106A0" w:rsidRPr="00422183">
        <w:rPr>
          <w:rFonts w:ascii="Rockwell" w:hAnsi="Rockwell" w:cs="Times New Roman"/>
          <w:bCs/>
          <w:sz w:val="24"/>
          <w:szCs w:val="24"/>
        </w:rPr>
        <w:t xml:space="preserve"> fragiliser son économie, tandis que la remontée du </w:t>
      </w:r>
      <w:r w:rsidRPr="00422183">
        <w:rPr>
          <w:rFonts w:ascii="Rockwell" w:hAnsi="Rockwell" w:cs="Times New Roman"/>
          <w:bCs/>
          <w:sz w:val="24"/>
          <w:szCs w:val="24"/>
        </w:rPr>
        <w:t>cours du pétrole pourrait entraî</w:t>
      </w:r>
      <w:r w:rsidR="008106A0" w:rsidRPr="00422183">
        <w:rPr>
          <w:rFonts w:ascii="Rockwell" w:hAnsi="Rockwell" w:cs="Times New Roman"/>
          <w:bCs/>
          <w:sz w:val="24"/>
          <w:szCs w:val="24"/>
        </w:rPr>
        <w:t>ner des pertes de devises importantes</w:t>
      </w:r>
      <w:r w:rsidRPr="00422183">
        <w:rPr>
          <w:rFonts w:ascii="Rockwell" w:hAnsi="Rockwell" w:cs="Times New Roman"/>
          <w:bCs/>
          <w:sz w:val="24"/>
          <w:szCs w:val="24"/>
        </w:rPr>
        <w:t xml:space="preserve"> dans un</w:t>
      </w:r>
      <w:r w:rsidR="008106A0" w:rsidRPr="00422183">
        <w:rPr>
          <w:rFonts w:ascii="Rockwell" w:hAnsi="Rockwell" w:cs="Times New Roman"/>
          <w:bCs/>
          <w:sz w:val="24"/>
          <w:szCs w:val="24"/>
        </w:rPr>
        <w:t xml:space="preserve"> contexte </w:t>
      </w:r>
      <w:r w:rsidRPr="00422183">
        <w:rPr>
          <w:rFonts w:ascii="Rockwell" w:hAnsi="Rockwell" w:cs="Times New Roman"/>
          <w:bCs/>
          <w:sz w:val="24"/>
          <w:szCs w:val="24"/>
        </w:rPr>
        <w:t>où le cours du dollar des États-Unis</w:t>
      </w:r>
      <w:r w:rsidR="008106A0" w:rsidRPr="00422183">
        <w:rPr>
          <w:rFonts w:ascii="Rockwell" w:hAnsi="Rockwell" w:cs="Times New Roman"/>
          <w:bCs/>
          <w:sz w:val="24"/>
          <w:szCs w:val="24"/>
        </w:rPr>
        <w:t xml:space="preserve"> d'Amérique est </w:t>
      </w:r>
      <w:r w:rsidRPr="00422183">
        <w:rPr>
          <w:rFonts w:ascii="Rockwell" w:hAnsi="Rockwell" w:cs="Times New Roman"/>
          <w:bCs/>
          <w:sz w:val="24"/>
          <w:szCs w:val="24"/>
        </w:rPr>
        <w:t>relativement</w:t>
      </w:r>
      <w:r w:rsidR="008106A0" w:rsidRPr="00422183">
        <w:rPr>
          <w:rFonts w:ascii="Rockwell" w:hAnsi="Rockwell" w:cs="Times New Roman"/>
          <w:bCs/>
          <w:sz w:val="24"/>
          <w:szCs w:val="24"/>
        </w:rPr>
        <w:t xml:space="preserve"> élevé.</w:t>
      </w:r>
    </w:p>
    <w:p w:rsidR="009970EC" w:rsidRPr="00422183" w:rsidRDefault="009970EC" w:rsidP="003A0820">
      <w:pPr>
        <w:pStyle w:val="Paragraphedeliste"/>
        <w:autoSpaceDE w:val="0"/>
        <w:autoSpaceDN w:val="0"/>
        <w:adjustRightInd w:val="0"/>
        <w:spacing w:after="0" w:line="240" w:lineRule="auto"/>
        <w:ind w:left="0"/>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Pour faire face à ces risques, le </w:t>
      </w:r>
      <w:r w:rsidR="009970EC" w:rsidRPr="00422183">
        <w:rPr>
          <w:rFonts w:ascii="Rockwell" w:hAnsi="Rockwell" w:cs="Times New Roman"/>
          <w:bCs/>
          <w:sz w:val="24"/>
          <w:szCs w:val="24"/>
        </w:rPr>
        <w:t>g</w:t>
      </w:r>
      <w:r w:rsidRPr="00422183">
        <w:rPr>
          <w:rFonts w:ascii="Rockwell" w:hAnsi="Rockwell" w:cs="Times New Roman"/>
          <w:bCs/>
          <w:sz w:val="24"/>
          <w:szCs w:val="24"/>
        </w:rPr>
        <w:t>ouvernement travaillera à diversifier l'économie burkinabè et œuvrera à la recherche de finan</w:t>
      </w:r>
      <w:r w:rsidR="00D302DA" w:rsidRPr="00422183">
        <w:rPr>
          <w:rFonts w:ascii="Rockwell" w:hAnsi="Rockwell" w:cs="Times New Roman"/>
          <w:bCs/>
          <w:sz w:val="24"/>
          <w:szCs w:val="24"/>
        </w:rPr>
        <w:t>cements dédiés aux pays fragile</w:t>
      </w:r>
      <w:r w:rsidRPr="00422183">
        <w:rPr>
          <w:rFonts w:ascii="Rockwell" w:hAnsi="Rockwell" w:cs="Times New Roman"/>
          <w:bCs/>
          <w:sz w:val="24"/>
          <w:szCs w:val="24"/>
        </w:rPr>
        <w:t xml:space="preserve">s. </w:t>
      </w:r>
      <w:r w:rsidR="009970EC" w:rsidRPr="00422183">
        <w:rPr>
          <w:rFonts w:ascii="Rockwell" w:hAnsi="Rockwell" w:cs="Times New Roman"/>
          <w:bCs/>
          <w:sz w:val="24"/>
          <w:szCs w:val="24"/>
        </w:rPr>
        <w:t>Une plus grande transformation sur place des matières premières exportées</w:t>
      </w:r>
      <w:r w:rsidR="005F55B5" w:rsidRPr="00422183">
        <w:rPr>
          <w:rFonts w:ascii="Rockwell" w:hAnsi="Rockwell" w:cs="Times New Roman"/>
          <w:bCs/>
          <w:sz w:val="24"/>
          <w:szCs w:val="24"/>
        </w:rPr>
        <w:t xml:space="preserve">, constitue également un moyen </w:t>
      </w:r>
      <w:r w:rsidRPr="00422183">
        <w:rPr>
          <w:rFonts w:ascii="Rockwell" w:hAnsi="Rockwell" w:cs="Times New Roman"/>
          <w:bCs/>
          <w:sz w:val="24"/>
          <w:szCs w:val="24"/>
        </w:rPr>
        <w:t>de minimisation et</w:t>
      </w:r>
      <w:r w:rsidR="005F55B5" w:rsidRPr="00422183">
        <w:rPr>
          <w:rFonts w:ascii="Rockwell" w:hAnsi="Rockwell" w:cs="Times New Roman"/>
          <w:bCs/>
          <w:sz w:val="24"/>
          <w:szCs w:val="24"/>
        </w:rPr>
        <w:t xml:space="preserve"> de contournement de ce risque.</w:t>
      </w:r>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3A0820">
      <w:pPr>
        <w:pStyle w:val="PNDES3"/>
        <w:rPr>
          <w:rFonts w:ascii="Rockwell" w:hAnsi="Rockwell"/>
        </w:rPr>
      </w:pPr>
      <w:bookmarkStart w:id="944" w:name="_Toc452994576"/>
      <w:bookmarkStart w:id="945" w:name="_Toc452995021"/>
      <w:bookmarkStart w:id="946" w:name="_Toc452995461"/>
      <w:bookmarkStart w:id="947" w:name="_Toc453160821"/>
      <w:bookmarkStart w:id="948" w:name="_Toc455132813"/>
      <w:r w:rsidRPr="00422183">
        <w:rPr>
          <w:rFonts w:ascii="Rockwell" w:hAnsi="Rockwell"/>
        </w:rPr>
        <w:t>Risque lié à une faible adhésion des acteurs</w:t>
      </w:r>
      <w:bookmarkEnd w:id="944"/>
      <w:bookmarkEnd w:id="945"/>
      <w:bookmarkEnd w:id="946"/>
      <w:bookmarkEnd w:id="947"/>
      <w:bookmarkEnd w:id="948"/>
    </w:p>
    <w:p w:rsidR="008106A0" w:rsidRPr="00422183" w:rsidRDefault="008106A0" w:rsidP="003A0820">
      <w:pPr>
        <w:spacing w:after="0" w:line="240" w:lineRule="auto"/>
        <w:jc w:val="both"/>
        <w:rPr>
          <w:rFonts w:ascii="Rockwell" w:hAnsi="Rockwell" w:cs="Times New Roman"/>
          <w:bCs/>
          <w:sz w:val="24"/>
          <w:szCs w:val="24"/>
        </w:rPr>
      </w:pPr>
    </w:p>
    <w:p w:rsidR="008106A0" w:rsidRPr="00422183" w:rsidRDefault="008106A0" w:rsidP="003A0820">
      <w:pPr>
        <w:pStyle w:val="Paragraphedeliste"/>
        <w:autoSpaceDE w:val="0"/>
        <w:autoSpaceDN w:val="0"/>
        <w:adjustRightInd w:val="0"/>
        <w:spacing w:after="0" w:line="240" w:lineRule="auto"/>
        <w:ind w:left="0"/>
        <w:jc w:val="both"/>
        <w:rPr>
          <w:rFonts w:ascii="Rockwell" w:hAnsi="Rockwell" w:cs="Times New Roman"/>
          <w:bCs/>
          <w:sz w:val="24"/>
          <w:szCs w:val="24"/>
        </w:rPr>
      </w:pPr>
      <w:r w:rsidRPr="00422183">
        <w:rPr>
          <w:rFonts w:ascii="Rockwell" w:hAnsi="Rockwell" w:cs="Times New Roman"/>
          <w:bCs/>
          <w:sz w:val="24"/>
          <w:szCs w:val="24"/>
        </w:rPr>
        <w:t xml:space="preserve">En tant que </w:t>
      </w:r>
      <w:r w:rsidR="005F55B5" w:rsidRPr="00422183">
        <w:rPr>
          <w:rFonts w:ascii="Rockwell" w:hAnsi="Rockwell" w:cs="Times New Roman"/>
          <w:bCs/>
          <w:sz w:val="24"/>
          <w:szCs w:val="24"/>
        </w:rPr>
        <w:t xml:space="preserve">cadre d'orientation du développement à moyen terme, </w:t>
      </w:r>
      <w:r w:rsidRPr="00422183">
        <w:rPr>
          <w:rFonts w:ascii="Rockwell" w:hAnsi="Rockwell" w:cs="Times New Roman"/>
          <w:bCs/>
          <w:sz w:val="24"/>
          <w:szCs w:val="24"/>
        </w:rPr>
        <w:t>le PNDES d</w:t>
      </w:r>
      <w:r w:rsidR="005F55B5" w:rsidRPr="00422183">
        <w:rPr>
          <w:rFonts w:ascii="Rockwell" w:hAnsi="Rockwell" w:cs="Times New Roman"/>
          <w:bCs/>
          <w:sz w:val="24"/>
          <w:szCs w:val="24"/>
        </w:rPr>
        <w:t>evra</w:t>
      </w:r>
      <w:r w:rsidRPr="00422183">
        <w:rPr>
          <w:rFonts w:ascii="Rockwell" w:hAnsi="Rockwell" w:cs="Times New Roman"/>
          <w:bCs/>
          <w:sz w:val="24"/>
          <w:szCs w:val="24"/>
        </w:rPr>
        <w:t xml:space="preserve"> emporter l'adhésion de tous les acteurs qui participent au processus de développement </w:t>
      </w:r>
      <w:r w:rsidR="005F55B5" w:rsidRPr="00422183">
        <w:rPr>
          <w:rFonts w:ascii="Rockwell" w:hAnsi="Rockwell" w:cs="Times New Roman"/>
          <w:bCs/>
          <w:sz w:val="24"/>
          <w:szCs w:val="24"/>
        </w:rPr>
        <w:t>national</w:t>
      </w:r>
      <w:r w:rsidRPr="00422183">
        <w:rPr>
          <w:rFonts w:ascii="Rockwell" w:hAnsi="Rockwell" w:cs="Times New Roman"/>
          <w:bCs/>
          <w:sz w:val="24"/>
          <w:szCs w:val="24"/>
        </w:rPr>
        <w:t xml:space="preserve">. Les chances de réussite de la mise en œuvre de cette stratégie tiennent à la capacité et à la volonté de l'ensemble des acteurs à agir de manière concertée et avec plus de synergie, à tous les niveaux. </w:t>
      </w:r>
      <w:r w:rsidR="005F55B5" w:rsidRPr="00422183">
        <w:rPr>
          <w:rFonts w:ascii="Rockwell" w:hAnsi="Rockwell" w:cs="Times New Roman"/>
          <w:bCs/>
          <w:sz w:val="24"/>
          <w:szCs w:val="24"/>
        </w:rPr>
        <w:t>C'est p</w:t>
      </w:r>
      <w:r w:rsidRPr="00422183">
        <w:rPr>
          <w:rFonts w:ascii="Rockwell" w:hAnsi="Rockwell" w:cs="Times New Roman"/>
          <w:bCs/>
          <w:sz w:val="24"/>
          <w:szCs w:val="24"/>
        </w:rPr>
        <w:t>our favoriser</w:t>
      </w:r>
      <w:r w:rsidR="005F55B5" w:rsidRPr="00422183">
        <w:rPr>
          <w:rFonts w:ascii="Rockwell" w:hAnsi="Rockwell" w:cs="Times New Roman"/>
          <w:bCs/>
          <w:sz w:val="24"/>
          <w:szCs w:val="24"/>
        </w:rPr>
        <w:t>, entre autres,</w:t>
      </w:r>
      <w:r w:rsidRPr="00422183">
        <w:rPr>
          <w:rFonts w:ascii="Rockwell" w:hAnsi="Rockwell" w:cs="Times New Roman"/>
          <w:bCs/>
          <w:sz w:val="24"/>
          <w:szCs w:val="24"/>
        </w:rPr>
        <w:t xml:space="preserve"> ce</w:t>
      </w:r>
      <w:r w:rsidR="005F55B5" w:rsidRPr="00422183">
        <w:rPr>
          <w:rFonts w:ascii="Rockwell" w:hAnsi="Rockwell" w:cs="Times New Roman"/>
          <w:bCs/>
          <w:sz w:val="24"/>
          <w:szCs w:val="24"/>
        </w:rPr>
        <w:t>s</w:t>
      </w:r>
      <w:r w:rsidRPr="00422183">
        <w:rPr>
          <w:rFonts w:ascii="Rockwell" w:hAnsi="Rockwell" w:cs="Times New Roman"/>
          <w:bCs/>
          <w:sz w:val="24"/>
          <w:szCs w:val="24"/>
        </w:rPr>
        <w:t xml:space="preserve"> concertation et synergie</w:t>
      </w:r>
      <w:r w:rsidR="00D302DA" w:rsidRPr="00422183">
        <w:rPr>
          <w:rFonts w:ascii="Rockwell" w:hAnsi="Rockwell" w:cs="Times New Roman"/>
          <w:bCs/>
          <w:sz w:val="24"/>
          <w:szCs w:val="24"/>
        </w:rPr>
        <w:t>s</w:t>
      </w:r>
      <w:r w:rsidRPr="00422183">
        <w:rPr>
          <w:rFonts w:ascii="Rockwell" w:hAnsi="Rockwell" w:cs="Times New Roman"/>
          <w:bCs/>
          <w:sz w:val="24"/>
          <w:szCs w:val="24"/>
        </w:rPr>
        <w:t xml:space="preserve"> d'intervention</w:t>
      </w:r>
      <w:r w:rsidR="005F55B5" w:rsidRPr="00422183">
        <w:rPr>
          <w:rFonts w:ascii="Rockwell" w:hAnsi="Rockwell" w:cs="Times New Roman"/>
          <w:bCs/>
          <w:sz w:val="24"/>
          <w:szCs w:val="24"/>
        </w:rPr>
        <w:t xml:space="preserve"> qu'</w:t>
      </w:r>
      <w:r w:rsidRPr="00422183">
        <w:rPr>
          <w:rFonts w:ascii="Rockwell" w:hAnsi="Rockwell" w:cs="Times New Roman"/>
          <w:bCs/>
          <w:sz w:val="24"/>
          <w:szCs w:val="24"/>
        </w:rPr>
        <w:t xml:space="preserve">il est </w:t>
      </w:r>
      <w:r w:rsidR="005F55B5" w:rsidRPr="00422183">
        <w:rPr>
          <w:rFonts w:ascii="Rockwell" w:hAnsi="Rockwell" w:cs="Times New Roman"/>
          <w:bCs/>
          <w:sz w:val="24"/>
          <w:szCs w:val="24"/>
        </w:rPr>
        <w:t xml:space="preserve">prévu la </w:t>
      </w:r>
      <w:r w:rsidRPr="00422183">
        <w:rPr>
          <w:rFonts w:ascii="Rockwell" w:hAnsi="Rockwell" w:cs="Times New Roman"/>
          <w:bCs/>
          <w:sz w:val="24"/>
          <w:szCs w:val="24"/>
        </w:rPr>
        <w:t>mis</w:t>
      </w:r>
      <w:r w:rsidR="00D247AB" w:rsidRPr="00422183">
        <w:rPr>
          <w:rFonts w:ascii="Rockwell" w:hAnsi="Rockwell" w:cs="Times New Roman"/>
          <w:bCs/>
          <w:sz w:val="24"/>
          <w:szCs w:val="24"/>
        </w:rPr>
        <w:t>e</w:t>
      </w:r>
      <w:r w:rsidRPr="00422183">
        <w:rPr>
          <w:rFonts w:ascii="Rockwell" w:hAnsi="Rockwell" w:cs="Times New Roman"/>
          <w:bCs/>
          <w:sz w:val="24"/>
          <w:szCs w:val="24"/>
        </w:rPr>
        <w:t xml:space="preserve"> en place </w:t>
      </w:r>
      <w:r w:rsidR="005F55B5" w:rsidRPr="00422183">
        <w:rPr>
          <w:rFonts w:ascii="Rockwell" w:hAnsi="Rockwell" w:cs="Times New Roman"/>
          <w:bCs/>
          <w:sz w:val="24"/>
          <w:szCs w:val="24"/>
        </w:rPr>
        <w:t>d'</w:t>
      </w:r>
      <w:r w:rsidRPr="00422183">
        <w:rPr>
          <w:rFonts w:ascii="Rockwell" w:hAnsi="Rockwell" w:cs="Times New Roman"/>
          <w:bCs/>
          <w:sz w:val="24"/>
          <w:szCs w:val="24"/>
        </w:rPr>
        <w:t xml:space="preserve">un dispositif institutionnel </w:t>
      </w:r>
      <w:r w:rsidR="005F55B5" w:rsidRPr="00422183">
        <w:rPr>
          <w:rFonts w:ascii="Rockwell" w:hAnsi="Rockwell" w:cs="Times New Roman"/>
          <w:bCs/>
          <w:sz w:val="24"/>
          <w:szCs w:val="24"/>
        </w:rPr>
        <w:t>approprié</w:t>
      </w:r>
      <w:r w:rsidR="00010EAF" w:rsidRPr="00422183">
        <w:rPr>
          <w:rFonts w:ascii="Rockwell" w:hAnsi="Rockwell" w:cs="Times New Roman"/>
          <w:bCs/>
          <w:sz w:val="24"/>
          <w:szCs w:val="24"/>
        </w:rPr>
        <w:t xml:space="preserve"> </w:t>
      </w:r>
      <w:r w:rsidR="005F55B5" w:rsidRPr="00422183">
        <w:rPr>
          <w:rFonts w:ascii="Rockwell" w:hAnsi="Rockwell" w:cs="Times New Roman"/>
          <w:bCs/>
          <w:sz w:val="24"/>
          <w:szCs w:val="24"/>
        </w:rPr>
        <w:t>pour la mise en œuvre du PNDES.</w:t>
      </w:r>
    </w:p>
    <w:p w:rsidR="0081570F" w:rsidRPr="00422183" w:rsidRDefault="0081570F" w:rsidP="003A0820">
      <w:pPr>
        <w:pStyle w:val="Lgende"/>
        <w:rPr>
          <w:color w:val="auto"/>
          <w:sz w:val="24"/>
        </w:rPr>
      </w:pPr>
    </w:p>
    <w:p w:rsidR="00AA43D4" w:rsidRPr="00422183" w:rsidRDefault="00AA43D4" w:rsidP="003A0820">
      <w:pPr>
        <w:jc w:val="both"/>
        <w:rPr>
          <w:lang w:bidi="en-US"/>
        </w:rPr>
      </w:pPr>
    </w:p>
    <w:p w:rsidR="00AA43D4" w:rsidRPr="00422183" w:rsidRDefault="00AA43D4" w:rsidP="003A0820">
      <w:pPr>
        <w:jc w:val="both"/>
        <w:rPr>
          <w:lang w:bidi="en-US"/>
        </w:rPr>
      </w:pPr>
    </w:p>
    <w:p w:rsidR="00AA43D4" w:rsidRPr="00422183" w:rsidRDefault="00AA43D4" w:rsidP="003A0820">
      <w:pPr>
        <w:jc w:val="both"/>
        <w:rPr>
          <w:lang w:bidi="en-US"/>
        </w:rPr>
      </w:pPr>
    </w:p>
    <w:p w:rsidR="00AA43D4" w:rsidRPr="00422183" w:rsidRDefault="00AA43D4" w:rsidP="003A0820">
      <w:pPr>
        <w:jc w:val="both"/>
        <w:rPr>
          <w:lang w:bidi="en-US"/>
        </w:rPr>
      </w:pPr>
    </w:p>
    <w:p w:rsidR="00AA43D4" w:rsidRPr="00422183" w:rsidRDefault="00AA43D4" w:rsidP="003A0820">
      <w:pPr>
        <w:jc w:val="both"/>
        <w:rPr>
          <w:lang w:bidi="en-US"/>
        </w:rPr>
      </w:pPr>
    </w:p>
    <w:p w:rsidR="00AA43D4" w:rsidRPr="00422183" w:rsidRDefault="00AA43D4" w:rsidP="003A0820">
      <w:pPr>
        <w:jc w:val="both"/>
        <w:rPr>
          <w:lang w:bidi="en-US"/>
        </w:rPr>
      </w:pPr>
    </w:p>
    <w:p w:rsidR="00D302DA" w:rsidRPr="00422183" w:rsidRDefault="00D302DA" w:rsidP="003A0820">
      <w:pPr>
        <w:jc w:val="both"/>
        <w:rPr>
          <w:lang w:bidi="en-US"/>
        </w:rPr>
      </w:pPr>
    </w:p>
    <w:p w:rsidR="00AA43D4" w:rsidRPr="00422183" w:rsidRDefault="00AA43D4" w:rsidP="003A0820">
      <w:pPr>
        <w:jc w:val="both"/>
        <w:rPr>
          <w:lang w:bidi="en-US"/>
        </w:rPr>
      </w:pPr>
    </w:p>
    <w:p w:rsidR="008106A0" w:rsidRPr="00422183" w:rsidRDefault="0081570F" w:rsidP="00516FB0">
      <w:pPr>
        <w:pStyle w:val="Lgende"/>
        <w:rPr>
          <w:color w:val="auto"/>
          <w:sz w:val="24"/>
        </w:rPr>
      </w:pPr>
      <w:bookmarkStart w:id="949" w:name="_Toc455079259"/>
      <w:r w:rsidRPr="00422183">
        <w:rPr>
          <w:color w:val="auto"/>
          <w:sz w:val="24"/>
        </w:rPr>
        <w:t xml:space="preserve">Tableau </w:t>
      </w:r>
      <w:r w:rsidR="00491B03" w:rsidRPr="00422183">
        <w:rPr>
          <w:color w:val="auto"/>
          <w:sz w:val="24"/>
        </w:rPr>
        <w:fldChar w:fldCharType="begin"/>
      </w:r>
      <w:r w:rsidRPr="00422183">
        <w:rPr>
          <w:color w:val="auto"/>
          <w:sz w:val="24"/>
        </w:rPr>
        <w:instrText xml:space="preserve"> SEQ Tableau \* ARABIC </w:instrText>
      </w:r>
      <w:r w:rsidR="00491B03" w:rsidRPr="00422183">
        <w:rPr>
          <w:color w:val="auto"/>
          <w:sz w:val="24"/>
        </w:rPr>
        <w:fldChar w:fldCharType="separate"/>
      </w:r>
      <w:r w:rsidR="00552413" w:rsidRPr="00422183">
        <w:rPr>
          <w:noProof/>
          <w:color w:val="auto"/>
          <w:sz w:val="24"/>
        </w:rPr>
        <w:t>8</w:t>
      </w:r>
      <w:r w:rsidR="00491B03" w:rsidRPr="00422183">
        <w:rPr>
          <w:color w:val="auto"/>
          <w:sz w:val="24"/>
        </w:rPr>
        <w:fldChar w:fldCharType="end"/>
      </w:r>
      <w:r w:rsidRPr="00422183">
        <w:rPr>
          <w:color w:val="auto"/>
          <w:sz w:val="24"/>
        </w:rPr>
        <w:t xml:space="preserve"> : </w:t>
      </w:r>
      <w:r w:rsidR="0044667C" w:rsidRPr="00422183">
        <w:rPr>
          <w:color w:val="auto"/>
          <w:sz w:val="24"/>
        </w:rPr>
        <w:t xml:space="preserve">liste </w:t>
      </w:r>
      <w:r w:rsidR="008106A0" w:rsidRPr="00422183">
        <w:rPr>
          <w:color w:val="auto"/>
          <w:sz w:val="24"/>
        </w:rPr>
        <w:t xml:space="preserve">des risques et </w:t>
      </w:r>
      <w:r w:rsidR="0044667C" w:rsidRPr="00422183">
        <w:rPr>
          <w:color w:val="auto"/>
          <w:sz w:val="24"/>
        </w:rPr>
        <w:t xml:space="preserve">des </w:t>
      </w:r>
      <w:r w:rsidR="008106A0" w:rsidRPr="00422183">
        <w:rPr>
          <w:color w:val="auto"/>
          <w:sz w:val="24"/>
        </w:rPr>
        <w:t>mesure</w:t>
      </w:r>
      <w:r w:rsidR="0044667C" w:rsidRPr="00422183">
        <w:rPr>
          <w:color w:val="auto"/>
          <w:sz w:val="24"/>
        </w:rPr>
        <w:t>s</w:t>
      </w:r>
      <w:r w:rsidR="008106A0" w:rsidRPr="00422183">
        <w:rPr>
          <w:color w:val="auto"/>
          <w:sz w:val="24"/>
        </w:rPr>
        <w:t xml:space="preserve"> d'atténuation ou de contournement</w:t>
      </w:r>
      <w:bookmarkEnd w:id="949"/>
    </w:p>
    <w:p w:rsidR="008106A0" w:rsidRPr="00422183" w:rsidRDefault="008106A0" w:rsidP="00516FB0">
      <w:pPr>
        <w:spacing w:after="0" w:line="240" w:lineRule="auto"/>
        <w:jc w:val="both"/>
        <w:rPr>
          <w:rFonts w:ascii="Rockwell" w:hAnsi="Rockwell" w:cs="Times New Roman"/>
          <w:bCs/>
          <w:sz w:val="24"/>
          <w:szCs w:val="24"/>
        </w:rPr>
      </w:pPr>
    </w:p>
    <w:tbl>
      <w:tblPr>
        <w:tblStyle w:val="Grilledetableauclaire1"/>
        <w:tblW w:w="96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642"/>
        <w:gridCol w:w="6046"/>
      </w:tblGrid>
      <w:tr w:rsidR="008106A0" w:rsidRPr="00422183" w:rsidTr="00D815F5">
        <w:trPr>
          <w:trHeight w:val="254"/>
          <w:tblHeader/>
        </w:trPr>
        <w:tc>
          <w:tcPr>
            <w:tcW w:w="3642" w:type="dxa"/>
            <w:shd w:val="clear" w:color="auto" w:fill="BFBFBF" w:themeFill="background1" w:themeFillShade="BF"/>
            <w:vAlign w:val="center"/>
          </w:tcPr>
          <w:p w:rsidR="008106A0" w:rsidRPr="00422183" w:rsidRDefault="0044667C" w:rsidP="003A0820">
            <w:pPr>
              <w:tabs>
                <w:tab w:val="left" w:pos="540"/>
                <w:tab w:val="left" w:pos="2615"/>
              </w:tabs>
              <w:jc w:val="both"/>
              <w:rPr>
                <w:rFonts w:ascii="Rockwell" w:hAnsi="Rockwell"/>
              </w:rPr>
            </w:pPr>
            <w:r w:rsidRPr="00422183">
              <w:rPr>
                <w:rFonts w:ascii="Rockwell" w:hAnsi="Rockwell"/>
                <w:bCs/>
              </w:rPr>
              <w:t>Risques</w:t>
            </w:r>
          </w:p>
        </w:tc>
        <w:tc>
          <w:tcPr>
            <w:tcW w:w="6046" w:type="dxa"/>
            <w:shd w:val="clear" w:color="auto" w:fill="BFBFBF" w:themeFill="background1" w:themeFillShade="BF"/>
            <w:vAlign w:val="center"/>
          </w:tcPr>
          <w:p w:rsidR="008106A0" w:rsidRPr="00422183" w:rsidRDefault="008106A0" w:rsidP="003A0820">
            <w:pPr>
              <w:tabs>
                <w:tab w:val="left" w:pos="540"/>
                <w:tab w:val="left" w:pos="2615"/>
              </w:tabs>
              <w:jc w:val="both"/>
              <w:rPr>
                <w:rFonts w:ascii="Rockwell" w:hAnsi="Rockwell"/>
                <w:bCs/>
              </w:rPr>
            </w:pPr>
            <w:r w:rsidRPr="00422183">
              <w:rPr>
                <w:rFonts w:ascii="Rockwell" w:hAnsi="Rockwell"/>
                <w:bCs/>
              </w:rPr>
              <w:t>Mesures d</w:t>
            </w:r>
            <w:r w:rsidR="0073480A" w:rsidRPr="00422183">
              <w:rPr>
                <w:rFonts w:ascii="Rockwell" w:hAnsi="Rockwell"/>
                <w:bCs/>
              </w:rPr>
              <w:t>'</w:t>
            </w:r>
            <w:r w:rsidR="0044667C" w:rsidRPr="00422183">
              <w:rPr>
                <w:rFonts w:ascii="Rockwell" w:hAnsi="Rockwell"/>
                <w:bCs/>
              </w:rPr>
              <w:t>atténuation ou de contournement</w:t>
            </w:r>
          </w:p>
        </w:tc>
      </w:tr>
      <w:tr w:rsidR="008106A0" w:rsidRPr="00422183" w:rsidTr="00D815F5">
        <w:trPr>
          <w:trHeight w:val="1555"/>
        </w:trPr>
        <w:tc>
          <w:tcPr>
            <w:tcW w:w="3642" w:type="dxa"/>
            <w:vAlign w:val="center"/>
          </w:tcPr>
          <w:p w:rsidR="008106A0" w:rsidRPr="00422183" w:rsidRDefault="008106A0" w:rsidP="003A0820">
            <w:pPr>
              <w:jc w:val="both"/>
              <w:rPr>
                <w:rFonts w:ascii="Rockwell" w:hAnsi="Rockwell"/>
                <w:i/>
              </w:rPr>
            </w:pPr>
            <w:r w:rsidRPr="00422183">
              <w:rPr>
                <w:rFonts w:ascii="Rockwell" w:hAnsi="Rockwell"/>
                <w:i/>
              </w:rPr>
              <w:t>Dégradation de la sécuri</w:t>
            </w:r>
            <w:r w:rsidR="0044667C" w:rsidRPr="00422183">
              <w:rPr>
                <w:rFonts w:ascii="Rockwell" w:hAnsi="Rockwell"/>
                <w:i/>
              </w:rPr>
              <w:t>té</w:t>
            </w:r>
          </w:p>
          <w:p w:rsidR="0044667C"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 xml:space="preserve">Activité des groupes </w:t>
            </w:r>
            <w:r w:rsidR="00D302DA" w:rsidRPr="00422183">
              <w:rPr>
                <w:rFonts w:ascii="Rockwell" w:hAnsi="Rockwell"/>
              </w:rPr>
              <w:t>terroristes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Activité des groupes d'autodéfense</w:t>
            </w:r>
          </w:p>
        </w:tc>
        <w:tc>
          <w:tcPr>
            <w:tcW w:w="6046" w:type="dxa"/>
            <w:vAlign w:val="center"/>
          </w:tcPr>
          <w:p w:rsidR="0044667C"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Améliorer les dispositifs de renseignement, de sécurité et renforcer l</w:t>
            </w:r>
            <w:r w:rsidR="0044667C" w:rsidRPr="00422183">
              <w:rPr>
                <w:rFonts w:ascii="Rockwell" w:hAnsi="Rockwell"/>
              </w:rPr>
              <w:t>es</w:t>
            </w:r>
            <w:r w:rsidRPr="00422183">
              <w:rPr>
                <w:rFonts w:ascii="Rockwell" w:hAnsi="Rockwell"/>
              </w:rPr>
              <w:t xml:space="preserve"> coopération</w:t>
            </w:r>
            <w:r w:rsidR="0044667C" w:rsidRPr="00422183">
              <w:rPr>
                <w:rFonts w:ascii="Rockwell" w:hAnsi="Rockwell"/>
              </w:rPr>
              <w:t>s</w:t>
            </w:r>
            <w:r w:rsidR="00502817" w:rsidRPr="00422183">
              <w:rPr>
                <w:rFonts w:ascii="Rockwell" w:hAnsi="Rockwell"/>
              </w:rPr>
              <w:t xml:space="preserve"> militaire et sécuritaire</w:t>
            </w:r>
          </w:p>
          <w:p w:rsidR="0044667C"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Renforcer la confiance des populations envers les forces de sécurité et l</w:t>
            </w:r>
            <w:r w:rsidR="00502817" w:rsidRPr="00422183">
              <w:rPr>
                <w:rFonts w:ascii="Rockwell" w:hAnsi="Rockwell"/>
              </w:rPr>
              <w:t>a justice</w:t>
            </w:r>
          </w:p>
          <w:p w:rsidR="008106A0" w:rsidRPr="00422183" w:rsidRDefault="008106A0" w:rsidP="00BD2269">
            <w:pPr>
              <w:pStyle w:val="Paragraphedeliste"/>
              <w:numPr>
                <w:ilvl w:val="0"/>
                <w:numId w:val="18"/>
              </w:numPr>
              <w:tabs>
                <w:tab w:val="left" w:pos="540"/>
              </w:tabs>
              <w:ind w:left="403"/>
              <w:jc w:val="both"/>
              <w:rPr>
                <w:rFonts w:ascii="Rockwell" w:hAnsi="Rockwell"/>
                <w:bCs/>
                <w:i/>
              </w:rPr>
            </w:pPr>
            <w:r w:rsidRPr="00422183">
              <w:rPr>
                <w:rFonts w:ascii="Rockwell" w:hAnsi="Rockwell"/>
              </w:rPr>
              <w:t>Dialog</w:t>
            </w:r>
            <w:r w:rsidR="00502817" w:rsidRPr="00422183">
              <w:rPr>
                <w:rFonts w:ascii="Rockwell" w:hAnsi="Rockwell"/>
              </w:rPr>
              <w:t>uer avec les leaders coutumiers</w:t>
            </w:r>
          </w:p>
        </w:tc>
      </w:tr>
      <w:tr w:rsidR="008106A0" w:rsidRPr="00422183" w:rsidTr="00D815F5">
        <w:trPr>
          <w:trHeight w:val="1031"/>
        </w:trPr>
        <w:tc>
          <w:tcPr>
            <w:tcW w:w="3642" w:type="dxa"/>
            <w:vAlign w:val="center"/>
          </w:tcPr>
          <w:p w:rsidR="008106A0" w:rsidRPr="00422183" w:rsidRDefault="0044667C" w:rsidP="003A0820">
            <w:pPr>
              <w:jc w:val="both"/>
              <w:rPr>
                <w:rFonts w:ascii="Rockwell" w:hAnsi="Rockwell"/>
                <w:bCs/>
                <w:i/>
              </w:rPr>
            </w:pPr>
            <w:r w:rsidRPr="00422183">
              <w:rPr>
                <w:rFonts w:ascii="Rockwell" w:hAnsi="Rockwell"/>
                <w:i/>
              </w:rPr>
              <w:t>Troubles socio</w:t>
            </w:r>
            <w:r w:rsidR="008106A0" w:rsidRPr="00422183">
              <w:rPr>
                <w:rFonts w:ascii="Rockwell" w:hAnsi="Rockwell"/>
                <w:i/>
              </w:rPr>
              <w:t>politiques</w:t>
            </w:r>
          </w:p>
          <w:p w:rsidR="008106A0" w:rsidRPr="00422183" w:rsidRDefault="00502817" w:rsidP="00BD2269">
            <w:pPr>
              <w:pStyle w:val="Paragraphedeliste"/>
              <w:numPr>
                <w:ilvl w:val="0"/>
                <w:numId w:val="18"/>
              </w:numPr>
              <w:tabs>
                <w:tab w:val="left" w:pos="540"/>
              </w:tabs>
              <w:ind w:left="403"/>
              <w:jc w:val="both"/>
              <w:rPr>
                <w:rFonts w:ascii="Rockwell" w:hAnsi="Rockwell"/>
                <w:i/>
              </w:rPr>
            </w:pPr>
            <w:r w:rsidRPr="00422183">
              <w:rPr>
                <w:rFonts w:ascii="Rockwell" w:hAnsi="Rockwell"/>
              </w:rPr>
              <w:t xml:space="preserve">Procès à connotation politique </w:t>
            </w:r>
            <w:r w:rsidR="008106A0" w:rsidRPr="00422183">
              <w:rPr>
                <w:rFonts w:ascii="Rockwell" w:hAnsi="Rockwell"/>
              </w:rPr>
              <w:t>contre</w:t>
            </w:r>
            <w:r w:rsidRPr="00422183">
              <w:rPr>
                <w:rFonts w:ascii="Rockwell" w:hAnsi="Rockwell"/>
              </w:rPr>
              <w:t xml:space="preserve"> des leaders de l'ancien régime</w:t>
            </w:r>
          </w:p>
        </w:tc>
        <w:tc>
          <w:tcPr>
            <w:tcW w:w="6046" w:type="dxa"/>
            <w:vAlign w:val="center"/>
          </w:tcPr>
          <w:p w:rsidR="008106A0" w:rsidRPr="00422183" w:rsidRDefault="0044667C" w:rsidP="00BD2269">
            <w:pPr>
              <w:pStyle w:val="Paragraphedeliste"/>
              <w:numPr>
                <w:ilvl w:val="0"/>
                <w:numId w:val="18"/>
              </w:numPr>
              <w:tabs>
                <w:tab w:val="left" w:pos="540"/>
              </w:tabs>
              <w:ind w:left="403"/>
              <w:jc w:val="both"/>
              <w:rPr>
                <w:rFonts w:ascii="Rockwell" w:hAnsi="Rockwell"/>
              </w:rPr>
            </w:pPr>
            <w:r w:rsidRPr="00422183">
              <w:rPr>
                <w:rFonts w:ascii="Rockwell" w:hAnsi="Rockwell"/>
              </w:rPr>
              <w:t>P</w:t>
            </w:r>
            <w:r w:rsidR="008106A0" w:rsidRPr="00422183">
              <w:rPr>
                <w:rFonts w:ascii="Rockwell" w:hAnsi="Rockwell"/>
              </w:rPr>
              <w:t>romouvoir un environnement politique apaisé.</w:t>
            </w:r>
          </w:p>
          <w:p w:rsidR="008106A0" w:rsidRPr="00422183" w:rsidRDefault="0044667C" w:rsidP="00BD2269">
            <w:pPr>
              <w:pStyle w:val="Paragraphedeliste"/>
              <w:numPr>
                <w:ilvl w:val="0"/>
                <w:numId w:val="18"/>
              </w:numPr>
              <w:tabs>
                <w:tab w:val="left" w:pos="540"/>
              </w:tabs>
              <w:ind w:left="403"/>
              <w:jc w:val="both"/>
              <w:rPr>
                <w:rFonts w:ascii="Rockwell" w:hAnsi="Rockwell"/>
              </w:rPr>
            </w:pPr>
            <w:r w:rsidRPr="00422183">
              <w:rPr>
                <w:rFonts w:ascii="Rockwell" w:hAnsi="Rockwell"/>
              </w:rPr>
              <w:t>P</w:t>
            </w:r>
            <w:r w:rsidR="008106A0" w:rsidRPr="00422183">
              <w:rPr>
                <w:rFonts w:ascii="Rockwell" w:hAnsi="Rockwell"/>
              </w:rPr>
              <w:t>romouvoir une justice équitable.</w:t>
            </w:r>
          </w:p>
        </w:tc>
      </w:tr>
      <w:tr w:rsidR="008106A0" w:rsidRPr="00422183" w:rsidTr="00D815F5">
        <w:trPr>
          <w:trHeight w:val="1540"/>
        </w:trPr>
        <w:tc>
          <w:tcPr>
            <w:tcW w:w="3642" w:type="dxa"/>
            <w:vAlign w:val="center"/>
          </w:tcPr>
          <w:p w:rsidR="008106A0" w:rsidRPr="00422183" w:rsidRDefault="008106A0" w:rsidP="003A0820">
            <w:pPr>
              <w:tabs>
                <w:tab w:val="left" w:pos="540"/>
              </w:tabs>
              <w:jc w:val="both"/>
              <w:rPr>
                <w:rFonts w:ascii="Rockwell" w:hAnsi="Rockwell"/>
                <w:bCs/>
                <w:i/>
              </w:rPr>
            </w:pPr>
            <w:r w:rsidRPr="00422183">
              <w:rPr>
                <w:rFonts w:ascii="Rockwell" w:hAnsi="Rockwell"/>
                <w:bCs/>
                <w:i/>
              </w:rPr>
              <w:t>Risque financier</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Faible mobi</w:t>
            </w:r>
            <w:r w:rsidR="00502817" w:rsidRPr="00422183">
              <w:rPr>
                <w:rFonts w:ascii="Rockwell" w:hAnsi="Rockwell"/>
              </w:rPr>
              <w:t xml:space="preserve">lisation des </w:t>
            </w:r>
            <w:r w:rsidR="00D302DA" w:rsidRPr="00422183">
              <w:rPr>
                <w:rFonts w:ascii="Rockwell" w:hAnsi="Rockwell"/>
              </w:rPr>
              <w:t>ressources internes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Faible capacité d'endett</w:t>
            </w:r>
            <w:r w:rsidR="00502817" w:rsidRPr="00422183">
              <w:rPr>
                <w:rFonts w:ascii="Rockwell" w:hAnsi="Rockwell"/>
              </w:rPr>
              <w:t>ement et d'absorption de l'aide</w:t>
            </w:r>
          </w:p>
        </w:tc>
        <w:tc>
          <w:tcPr>
            <w:tcW w:w="6046" w:type="dxa"/>
            <w:vAlign w:val="center"/>
          </w:tcPr>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 xml:space="preserve">Réformes </w:t>
            </w:r>
            <w:r w:rsidR="0044667C" w:rsidRPr="00422183">
              <w:rPr>
                <w:rFonts w:ascii="Rockwell" w:hAnsi="Rockwell"/>
              </w:rPr>
              <w:t xml:space="preserve">fiscales </w:t>
            </w:r>
            <w:r w:rsidRPr="00422183">
              <w:rPr>
                <w:rFonts w:ascii="Rockwell" w:hAnsi="Rockwell"/>
              </w:rPr>
              <w:t xml:space="preserve">et douanières </w:t>
            </w:r>
            <w:r w:rsidR="00502817" w:rsidRPr="00422183">
              <w:rPr>
                <w:rFonts w:ascii="Rockwell" w:hAnsi="Rockwell"/>
              </w:rPr>
              <w:t>vigoureuses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 xml:space="preserve">Amélioration de la </w:t>
            </w:r>
            <w:r w:rsidR="00502817" w:rsidRPr="00422183">
              <w:rPr>
                <w:rFonts w:ascii="Rockwell" w:hAnsi="Rockwell"/>
              </w:rPr>
              <w:t>capacité d'endettement du pays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Recherche de financements innovants à l'image de la contribution des</w:t>
            </w:r>
            <w:r w:rsidR="00502817" w:rsidRPr="00422183">
              <w:rPr>
                <w:rFonts w:ascii="Rockwell" w:hAnsi="Rockwell"/>
              </w:rPr>
              <w:t xml:space="preserve"> investissements de la diaspora</w:t>
            </w:r>
          </w:p>
        </w:tc>
      </w:tr>
      <w:tr w:rsidR="008106A0" w:rsidRPr="00422183" w:rsidTr="00D815F5">
        <w:trPr>
          <w:trHeight w:val="1555"/>
        </w:trPr>
        <w:tc>
          <w:tcPr>
            <w:tcW w:w="3642" w:type="dxa"/>
            <w:vAlign w:val="center"/>
          </w:tcPr>
          <w:p w:rsidR="008106A0" w:rsidRPr="00422183" w:rsidRDefault="008106A0" w:rsidP="003A0820">
            <w:pPr>
              <w:tabs>
                <w:tab w:val="left" w:pos="540"/>
              </w:tabs>
              <w:jc w:val="both"/>
              <w:rPr>
                <w:rFonts w:ascii="Rockwell" w:hAnsi="Rockwell"/>
              </w:rPr>
            </w:pPr>
            <w:r w:rsidRPr="00422183">
              <w:rPr>
                <w:rFonts w:ascii="Rockwell" w:hAnsi="Rockwell"/>
                <w:bCs/>
                <w:i/>
              </w:rPr>
              <w:t xml:space="preserve">Aléas climatiques </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Inondations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 xml:space="preserve">Baisse de la production </w:t>
            </w:r>
            <w:r w:rsidR="00502817" w:rsidRPr="00422183">
              <w:rPr>
                <w:rFonts w:ascii="Rockwell" w:hAnsi="Rockwell"/>
              </w:rPr>
              <w:t>hydroélectrique</w:t>
            </w:r>
          </w:p>
          <w:p w:rsidR="008106A0" w:rsidRPr="00422183" w:rsidRDefault="00502817" w:rsidP="00BD2269">
            <w:pPr>
              <w:pStyle w:val="Paragraphedeliste"/>
              <w:numPr>
                <w:ilvl w:val="0"/>
                <w:numId w:val="18"/>
              </w:numPr>
              <w:tabs>
                <w:tab w:val="left" w:pos="540"/>
              </w:tabs>
              <w:ind w:left="403"/>
              <w:jc w:val="both"/>
              <w:rPr>
                <w:rFonts w:ascii="Rockwell" w:hAnsi="Rockwell"/>
              </w:rPr>
            </w:pPr>
            <w:r w:rsidRPr="00422183">
              <w:rPr>
                <w:rFonts w:ascii="Rockwell" w:hAnsi="Rockwell"/>
              </w:rPr>
              <w:t>Baisse de la pluviométrie</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Catastrophes naturelles</w:t>
            </w:r>
          </w:p>
        </w:tc>
        <w:tc>
          <w:tcPr>
            <w:tcW w:w="6046" w:type="dxa"/>
            <w:vAlign w:val="center"/>
          </w:tcPr>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Plans d'adaptat</w:t>
            </w:r>
            <w:r w:rsidR="00502817" w:rsidRPr="00422183">
              <w:rPr>
                <w:rFonts w:ascii="Rockwell" w:hAnsi="Rockwell"/>
              </w:rPr>
              <w:t>ion aux changements climatiques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Sensibilisation, persuasion pour l'adoption de mode</w:t>
            </w:r>
            <w:r w:rsidR="00502817" w:rsidRPr="00422183">
              <w:rPr>
                <w:rFonts w:ascii="Rockwell" w:hAnsi="Rockwell"/>
              </w:rPr>
              <w:t>s</w:t>
            </w:r>
            <w:r w:rsidRPr="00422183">
              <w:rPr>
                <w:rFonts w:ascii="Rockwell" w:hAnsi="Rockwell"/>
              </w:rPr>
              <w:t xml:space="preserve"> de </w:t>
            </w:r>
            <w:r w:rsidR="00502817" w:rsidRPr="00422183">
              <w:rPr>
                <w:rFonts w:ascii="Rockwell" w:hAnsi="Rockwell"/>
              </w:rPr>
              <w:t xml:space="preserve">consommation et de </w:t>
            </w:r>
            <w:r w:rsidRPr="00422183">
              <w:rPr>
                <w:rFonts w:ascii="Rockwell" w:hAnsi="Rockwell"/>
              </w:rPr>
              <w:t>production</w:t>
            </w:r>
            <w:r w:rsidR="00D302DA" w:rsidRPr="00422183">
              <w:rPr>
                <w:rFonts w:ascii="Rockwell" w:hAnsi="Rockwell"/>
              </w:rPr>
              <w:t xml:space="preserve"> durables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Plans de ripos</w:t>
            </w:r>
            <w:r w:rsidR="0044667C" w:rsidRPr="00422183">
              <w:rPr>
                <w:rFonts w:ascii="Rockwell" w:hAnsi="Rockwell"/>
              </w:rPr>
              <w:t>te aux ca</w:t>
            </w:r>
            <w:r w:rsidR="00502817" w:rsidRPr="00422183">
              <w:rPr>
                <w:rFonts w:ascii="Rockwell" w:hAnsi="Rockwell"/>
              </w:rPr>
              <w:t>tastrophes naturelles</w:t>
            </w:r>
          </w:p>
        </w:tc>
      </w:tr>
      <w:tr w:rsidR="00422183" w:rsidRPr="00422183" w:rsidTr="009B06E2">
        <w:trPr>
          <w:trHeight w:val="1031"/>
        </w:trPr>
        <w:tc>
          <w:tcPr>
            <w:tcW w:w="3642" w:type="dxa"/>
            <w:vAlign w:val="center"/>
          </w:tcPr>
          <w:p w:rsidR="008106A0" w:rsidRPr="00422183" w:rsidRDefault="008106A0" w:rsidP="003A0820">
            <w:pPr>
              <w:tabs>
                <w:tab w:val="left" w:pos="540"/>
              </w:tabs>
              <w:jc w:val="both"/>
              <w:rPr>
                <w:rFonts w:ascii="Rockwell" w:hAnsi="Rockwell"/>
                <w:bCs/>
                <w:i/>
              </w:rPr>
            </w:pPr>
            <w:r w:rsidRPr="00422183">
              <w:rPr>
                <w:rFonts w:ascii="Rockwell" w:hAnsi="Rockwell"/>
                <w:bCs/>
                <w:i/>
              </w:rPr>
              <w:t>Aléas économiques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Cou</w:t>
            </w:r>
            <w:r w:rsidR="0044667C" w:rsidRPr="00422183">
              <w:rPr>
                <w:rFonts w:ascii="Rockwell" w:hAnsi="Rockwell"/>
              </w:rPr>
              <w:t>rs des matières d'exportation (or, c</w:t>
            </w:r>
            <w:r w:rsidR="00502817" w:rsidRPr="00422183">
              <w:rPr>
                <w:rFonts w:ascii="Rockwell" w:hAnsi="Rockwell"/>
              </w:rPr>
              <w:t>oton)</w:t>
            </w:r>
          </w:p>
          <w:p w:rsidR="008106A0" w:rsidRPr="00422183" w:rsidRDefault="00502817" w:rsidP="00BD2269">
            <w:pPr>
              <w:pStyle w:val="Paragraphedeliste"/>
              <w:numPr>
                <w:ilvl w:val="0"/>
                <w:numId w:val="18"/>
              </w:numPr>
              <w:tabs>
                <w:tab w:val="left" w:pos="540"/>
              </w:tabs>
              <w:ind w:left="403"/>
              <w:jc w:val="both"/>
              <w:rPr>
                <w:rFonts w:ascii="Rockwell" w:hAnsi="Rockwell"/>
              </w:rPr>
            </w:pPr>
            <w:r w:rsidRPr="00422183">
              <w:rPr>
                <w:rFonts w:ascii="Rockwell" w:hAnsi="Rockwell"/>
              </w:rPr>
              <w:t>Risque de change</w:t>
            </w:r>
          </w:p>
        </w:tc>
        <w:tc>
          <w:tcPr>
            <w:tcW w:w="6046" w:type="dxa"/>
            <w:tcBorders>
              <w:bottom w:val="single" w:sz="12" w:space="0" w:color="auto"/>
            </w:tcBorders>
            <w:vAlign w:val="center"/>
          </w:tcPr>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Diversification des exportations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Transformation des matières premières</w:t>
            </w:r>
          </w:p>
          <w:p w:rsidR="008106A0" w:rsidRPr="00422183" w:rsidRDefault="008106A0" w:rsidP="00BD2269">
            <w:pPr>
              <w:pStyle w:val="Paragraphedeliste"/>
              <w:numPr>
                <w:ilvl w:val="0"/>
                <w:numId w:val="18"/>
              </w:numPr>
              <w:tabs>
                <w:tab w:val="left" w:pos="540"/>
              </w:tabs>
              <w:ind w:left="403"/>
              <w:jc w:val="both"/>
              <w:rPr>
                <w:rFonts w:ascii="Rockwell" w:hAnsi="Rockwell"/>
              </w:rPr>
            </w:pPr>
            <w:r w:rsidRPr="00422183">
              <w:rPr>
                <w:rFonts w:ascii="Rockwell" w:hAnsi="Rockwell"/>
              </w:rPr>
              <w:t>Industrialisation</w:t>
            </w:r>
          </w:p>
        </w:tc>
      </w:tr>
      <w:tr w:rsidR="00422183" w:rsidRPr="00422183" w:rsidTr="009B06E2">
        <w:trPr>
          <w:trHeight w:val="254"/>
        </w:trPr>
        <w:tc>
          <w:tcPr>
            <w:tcW w:w="3642" w:type="dxa"/>
            <w:vMerge w:val="restart"/>
            <w:tcBorders>
              <w:right w:val="single" w:sz="12" w:space="0" w:color="auto"/>
            </w:tcBorders>
            <w:vAlign w:val="center"/>
          </w:tcPr>
          <w:p w:rsidR="004A74A3" w:rsidRPr="00422183" w:rsidRDefault="004A74A3" w:rsidP="00BD2269">
            <w:pPr>
              <w:pStyle w:val="Paragraphedeliste"/>
              <w:numPr>
                <w:ilvl w:val="0"/>
                <w:numId w:val="18"/>
              </w:numPr>
              <w:tabs>
                <w:tab w:val="left" w:pos="540"/>
              </w:tabs>
              <w:ind w:left="403"/>
              <w:jc w:val="both"/>
              <w:rPr>
                <w:rFonts w:ascii="Rockwell" w:hAnsi="Rockwell"/>
                <w:bCs/>
                <w:i/>
              </w:rPr>
            </w:pPr>
            <w:r w:rsidRPr="00422183">
              <w:rPr>
                <w:rFonts w:ascii="Rockwell" w:hAnsi="Rockwell"/>
              </w:rPr>
              <w:t>Faible adhésion des acteurs</w:t>
            </w:r>
          </w:p>
        </w:tc>
        <w:tc>
          <w:tcPr>
            <w:tcW w:w="6046" w:type="dxa"/>
            <w:tcBorders>
              <w:top w:val="single" w:sz="12" w:space="0" w:color="auto"/>
              <w:left w:val="single" w:sz="12" w:space="0" w:color="auto"/>
              <w:bottom w:val="nil"/>
              <w:right w:val="single" w:sz="12" w:space="0" w:color="auto"/>
            </w:tcBorders>
            <w:vAlign w:val="center"/>
          </w:tcPr>
          <w:p w:rsidR="004A74A3" w:rsidRPr="00422183" w:rsidRDefault="004A74A3" w:rsidP="00BD2269">
            <w:pPr>
              <w:pStyle w:val="Paragraphedeliste"/>
              <w:numPr>
                <w:ilvl w:val="0"/>
                <w:numId w:val="18"/>
              </w:numPr>
              <w:tabs>
                <w:tab w:val="left" w:pos="540"/>
              </w:tabs>
              <w:ind w:left="403"/>
              <w:jc w:val="both"/>
              <w:rPr>
                <w:rFonts w:ascii="Rockwell" w:hAnsi="Rockwell"/>
              </w:rPr>
            </w:pPr>
            <w:r w:rsidRPr="00422183">
              <w:rPr>
                <w:rFonts w:ascii="Rockwell" w:hAnsi="Rockwell"/>
              </w:rPr>
              <w:t>Sensibilisation et communication</w:t>
            </w:r>
          </w:p>
        </w:tc>
      </w:tr>
      <w:tr w:rsidR="00422183" w:rsidRPr="00422183" w:rsidTr="009B06E2">
        <w:trPr>
          <w:trHeight w:val="269"/>
        </w:trPr>
        <w:tc>
          <w:tcPr>
            <w:tcW w:w="3642" w:type="dxa"/>
            <w:vMerge/>
            <w:tcBorders>
              <w:right w:val="single" w:sz="12" w:space="0" w:color="auto"/>
            </w:tcBorders>
            <w:vAlign w:val="center"/>
          </w:tcPr>
          <w:p w:rsidR="004A74A3" w:rsidRPr="00422183" w:rsidRDefault="004A74A3" w:rsidP="003A0820">
            <w:pPr>
              <w:tabs>
                <w:tab w:val="left" w:pos="540"/>
              </w:tabs>
              <w:jc w:val="both"/>
              <w:rPr>
                <w:rFonts w:ascii="Rockwell" w:hAnsi="Rockwell"/>
                <w:bCs/>
                <w:i/>
              </w:rPr>
            </w:pPr>
          </w:p>
        </w:tc>
        <w:tc>
          <w:tcPr>
            <w:tcW w:w="6046" w:type="dxa"/>
            <w:tcBorders>
              <w:top w:val="nil"/>
              <w:left w:val="single" w:sz="12" w:space="0" w:color="auto"/>
              <w:bottom w:val="nil"/>
              <w:right w:val="single" w:sz="12" w:space="0" w:color="auto"/>
            </w:tcBorders>
            <w:vAlign w:val="center"/>
          </w:tcPr>
          <w:p w:rsidR="004A74A3" w:rsidRPr="00422183" w:rsidRDefault="004A74A3" w:rsidP="00BD2269">
            <w:pPr>
              <w:pStyle w:val="Paragraphedeliste"/>
              <w:numPr>
                <w:ilvl w:val="0"/>
                <w:numId w:val="18"/>
              </w:numPr>
              <w:tabs>
                <w:tab w:val="left" w:pos="540"/>
              </w:tabs>
              <w:ind w:left="403"/>
              <w:jc w:val="both"/>
              <w:rPr>
                <w:rFonts w:ascii="Rockwell" w:hAnsi="Rockwell"/>
              </w:rPr>
            </w:pPr>
            <w:r w:rsidRPr="00422183">
              <w:rPr>
                <w:rFonts w:ascii="Rockwell" w:hAnsi="Rockwell"/>
              </w:rPr>
              <w:t>Implication du plus grand nombre d'acteurs</w:t>
            </w:r>
          </w:p>
        </w:tc>
      </w:tr>
      <w:tr w:rsidR="00422183" w:rsidRPr="00422183" w:rsidTr="009B06E2">
        <w:trPr>
          <w:trHeight w:val="254"/>
        </w:trPr>
        <w:tc>
          <w:tcPr>
            <w:tcW w:w="3642" w:type="dxa"/>
            <w:vMerge/>
            <w:tcBorders>
              <w:right w:val="single" w:sz="12" w:space="0" w:color="auto"/>
            </w:tcBorders>
            <w:vAlign w:val="center"/>
          </w:tcPr>
          <w:p w:rsidR="004A74A3" w:rsidRPr="00422183" w:rsidRDefault="004A74A3" w:rsidP="003A0820">
            <w:pPr>
              <w:tabs>
                <w:tab w:val="left" w:pos="540"/>
              </w:tabs>
              <w:jc w:val="both"/>
              <w:rPr>
                <w:rFonts w:ascii="Rockwell" w:hAnsi="Rockwell"/>
                <w:bCs/>
                <w:i/>
              </w:rPr>
            </w:pPr>
          </w:p>
        </w:tc>
        <w:tc>
          <w:tcPr>
            <w:tcW w:w="6046" w:type="dxa"/>
            <w:tcBorders>
              <w:top w:val="nil"/>
              <w:left w:val="single" w:sz="12" w:space="0" w:color="auto"/>
              <w:bottom w:val="single" w:sz="12" w:space="0" w:color="auto"/>
              <w:right w:val="single" w:sz="12" w:space="0" w:color="auto"/>
            </w:tcBorders>
            <w:vAlign w:val="center"/>
          </w:tcPr>
          <w:p w:rsidR="004A74A3" w:rsidRPr="00422183" w:rsidRDefault="004A74A3" w:rsidP="00BD2269">
            <w:pPr>
              <w:pStyle w:val="Paragraphedeliste"/>
              <w:numPr>
                <w:ilvl w:val="0"/>
                <w:numId w:val="18"/>
              </w:numPr>
              <w:tabs>
                <w:tab w:val="left" w:pos="540"/>
              </w:tabs>
              <w:ind w:left="403"/>
              <w:jc w:val="both"/>
              <w:rPr>
                <w:rFonts w:ascii="Rockwell" w:hAnsi="Rockwell"/>
              </w:rPr>
            </w:pPr>
            <w:r w:rsidRPr="00422183">
              <w:rPr>
                <w:rFonts w:ascii="Rockwell" w:hAnsi="Rockwell"/>
              </w:rPr>
              <w:t>Fonctionnement du dispositif institutionnel</w:t>
            </w:r>
          </w:p>
        </w:tc>
      </w:tr>
    </w:tbl>
    <w:p w:rsidR="008106A0" w:rsidRPr="00422183" w:rsidRDefault="008106A0" w:rsidP="00516FB0">
      <w:pPr>
        <w:spacing w:after="0" w:line="240" w:lineRule="auto"/>
        <w:jc w:val="both"/>
        <w:rPr>
          <w:rFonts w:ascii="Rockwell" w:hAnsi="Rockwell" w:cs="Times New Roman"/>
          <w:bCs/>
          <w:sz w:val="24"/>
          <w:szCs w:val="24"/>
        </w:rPr>
      </w:pPr>
    </w:p>
    <w:p w:rsidR="00E03FB4" w:rsidRPr="00422183" w:rsidRDefault="00E03FB4" w:rsidP="00516FB0">
      <w:pPr>
        <w:spacing w:after="0" w:line="240" w:lineRule="auto"/>
        <w:jc w:val="both"/>
        <w:rPr>
          <w:rFonts w:ascii="Rockwell" w:hAnsi="Rockwell" w:cs="Times New Roman"/>
          <w:bCs/>
          <w:sz w:val="24"/>
          <w:szCs w:val="24"/>
        </w:rPr>
      </w:pPr>
    </w:p>
    <w:p w:rsidR="004C5B3F" w:rsidRPr="00422183" w:rsidRDefault="004C5B3F" w:rsidP="003A0820">
      <w:pPr>
        <w:spacing w:after="0" w:line="240" w:lineRule="auto"/>
        <w:jc w:val="both"/>
        <w:rPr>
          <w:rFonts w:ascii="Rockwell" w:hAnsi="Rockwell" w:cs="Times New Roman"/>
          <w:bCs/>
          <w:sz w:val="24"/>
          <w:szCs w:val="24"/>
        </w:rPr>
      </w:pPr>
    </w:p>
    <w:p w:rsidR="004C5B3F" w:rsidRPr="00422183" w:rsidRDefault="004C5B3F" w:rsidP="003A0820">
      <w:pPr>
        <w:spacing w:after="0" w:line="240" w:lineRule="auto"/>
        <w:jc w:val="both"/>
        <w:rPr>
          <w:rFonts w:ascii="Rockwell" w:hAnsi="Rockwell" w:cs="Times New Roman"/>
          <w:bCs/>
          <w:sz w:val="24"/>
          <w:szCs w:val="24"/>
        </w:rPr>
        <w:sectPr w:rsidR="004C5B3F" w:rsidRPr="00422183" w:rsidSect="0090049C">
          <w:pgSz w:w="11906" w:h="16838" w:code="9"/>
          <w:pgMar w:top="1134" w:right="1134" w:bottom="1134" w:left="1134" w:header="709" w:footer="709" w:gutter="0"/>
          <w:cols w:space="708"/>
          <w:titlePg/>
          <w:docGrid w:linePitch="360"/>
        </w:sectPr>
      </w:pPr>
    </w:p>
    <w:p w:rsidR="00912504" w:rsidRPr="00422183" w:rsidRDefault="00912504" w:rsidP="003A0820">
      <w:pPr>
        <w:pStyle w:val="PNDES1"/>
        <w:numPr>
          <w:ilvl w:val="0"/>
          <w:numId w:val="0"/>
        </w:numPr>
        <w:ind w:left="567" w:hanging="283"/>
      </w:pPr>
      <w:bookmarkStart w:id="950" w:name="_Toc452997429"/>
      <w:bookmarkStart w:id="951" w:name="_Toc452997436"/>
      <w:bookmarkStart w:id="952" w:name="_Toc452997443"/>
      <w:bookmarkStart w:id="953" w:name="_Toc452997450"/>
      <w:bookmarkStart w:id="954" w:name="_Toc452997457"/>
      <w:bookmarkStart w:id="955" w:name="_Toc452997464"/>
      <w:bookmarkStart w:id="956" w:name="_Toc452997471"/>
      <w:bookmarkStart w:id="957" w:name="_Toc452997478"/>
      <w:bookmarkStart w:id="958" w:name="_Toc452997485"/>
      <w:bookmarkStart w:id="959" w:name="_Toc452997492"/>
      <w:bookmarkStart w:id="960" w:name="_Toc452997499"/>
      <w:bookmarkStart w:id="961" w:name="_Toc452997517"/>
      <w:bookmarkStart w:id="962" w:name="_Toc452997525"/>
      <w:bookmarkStart w:id="963" w:name="_Toc452997533"/>
      <w:bookmarkStart w:id="964" w:name="_Toc452997541"/>
      <w:bookmarkStart w:id="965" w:name="_Toc452997549"/>
      <w:bookmarkStart w:id="966" w:name="_Toc452997557"/>
      <w:bookmarkStart w:id="967" w:name="_Toc452997565"/>
      <w:bookmarkStart w:id="968" w:name="_Toc452997573"/>
      <w:bookmarkStart w:id="969" w:name="_Toc452997589"/>
      <w:bookmarkStart w:id="970" w:name="_Toc452997597"/>
      <w:bookmarkStart w:id="971" w:name="_Toc452997605"/>
      <w:bookmarkStart w:id="972" w:name="_Toc452997613"/>
      <w:bookmarkStart w:id="973" w:name="_Toc452997621"/>
      <w:bookmarkStart w:id="974" w:name="_Toc452997629"/>
      <w:bookmarkStart w:id="975" w:name="_Toc452997637"/>
      <w:bookmarkStart w:id="976" w:name="_Toc452997645"/>
      <w:bookmarkStart w:id="977" w:name="_Toc452997653"/>
      <w:bookmarkStart w:id="978" w:name="_Toc452997661"/>
      <w:bookmarkStart w:id="979" w:name="_Toc452997669"/>
      <w:bookmarkStart w:id="980" w:name="_Toc452997677"/>
      <w:bookmarkStart w:id="981" w:name="_Toc452997685"/>
      <w:bookmarkStart w:id="982" w:name="_Toc452997693"/>
      <w:bookmarkStart w:id="983" w:name="_Toc452997709"/>
      <w:bookmarkStart w:id="984" w:name="_Toc452997717"/>
      <w:bookmarkStart w:id="985" w:name="_Toc452997725"/>
      <w:bookmarkStart w:id="986" w:name="_Toc452997733"/>
      <w:bookmarkStart w:id="987" w:name="_Toc452997741"/>
      <w:bookmarkStart w:id="988" w:name="_Toc452997749"/>
      <w:bookmarkStart w:id="989" w:name="_Toc452997757"/>
      <w:bookmarkStart w:id="990" w:name="_Toc452997765"/>
      <w:bookmarkStart w:id="991" w:name="_Toc452997773"/>
      <w:bookmarkStart w:id="992" w:name="_Toc452997781"/>
      <w:bookmarkStart w:id="993" w:name="_Toc452997789"/>
      <w:bookmarkStart w:id="994" w:name="_Toc452997797"/>
      <w:bookmarkStart w:id="995" w:name="_Toc452997805"/>
      <w:bookmarkStart w:id="996" w:name="_Toc452997813"/>
      <w:bookmarkStart w:id="997" w:name="_Toc452997821"/>
      <w:bookmarkStart w:id="998" w:name="_Toc452997829"/>
      <w:bookmarkStart w:id="999" w:name="_Toc452997837"/>
      <w:bookmarkStart w:id="1000" w:name="_Toc453158164"/>
      <w:bookmarkStart w:id="1001" w:name="_Toc453160823"/>
      <w:bookmarkStart w:id="1002" w:name="_Toc453160946"/>
      <w:bookmarkStart w:id="1003" w:name="_Toc455079243"/>
      <w:bookmarkStart w:id="1004" w:name="_Toc455132814"/>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422183">
        <w:t>Annexes</w:t>
      </w:r>
      <w:bookmarkStart w:id="1005" w:name="_Toc452997846"/>
      <w:bookmarkEnd w:id="1000"/>
      <w:bookmarkEnd w:id="1001"/>
      <w:bookmarkEnd w:id="1002"/>
      <w:bookmarkEnd w:id="1003"/>
      <w:bookmarkEnd w:id="1004"/>
      <w:bookmarkEnd w:id="1005"/>
    </w:p>
    <w:p w:rsidR="00912504" w:rsidRPr="00422183" w:rsidRDefault="00912504" w:rsidP="00516FB0">
      <w:pPr>
        <w:spacing w:after="0" w:line="240" w:lineRule="auto"/>
        <w:jc w:val="both"/>
        <w:rPr>
          <w:rFonts w:ascii="Rockwell" w:hAnsi="Rockwell"/>
          <w:sz w:val="24"/>
          <w:szCs w:val="24"/>
        </w:rPr>
      </w:pPr>
    </w:p>
    <w:p w:rsidR="00E418E6" w:rsidRPr="00422183" w:rsidRDefault="00E418E6" w:rsidP="00516FB0">
      <w:pPr>
        <w:spacing w:after="0" w:line="240" w:lineRule="auto"/>
        <w:jc w:val="both"/>
        <w:rPr>
          <w:rFonts w:ascii="Rockwell" w:hAnsi="Rockwell"/>
          <w:b/>
          <w:sz w:val="24"/>
          <w:szCs w:val="24"/>
        </w:rPr>
      </w:pPr>
      <w:r w:rsidRPr="00422183">
        <w:rPr>
          <w:rFonts w:ascii="Rockwell" w:hAnsi="Rockwell"/>
          <w:b/>
          <w:sz w:val="24"/>
          <w:szCs w:val="24"/>
        </w:rPr>
        <w:t>Annexe 1 : les secteurs de planification au Burkina Faso</w:t>
      </w:r>
    </w:p>
    <w:p w:rsidR="00E418E6" w:rsidRPr="00422183" w:rsidRDefault="00E418E6" w:rsidP="003A0820">
      <w:pPr>
        <w:spacing w:after="0" w:line="240" w:lineRule="auto"/>
        <w:jc w:val="both"/>
        <w:rPr>
          <w:rFonts w:ascii="Rockwell" w:hAnsi="Rockwell"/>
          <w:sz w:val="24"/>
          <w:szCs w:val="24"/>
        </w:rPr>
      </w:pPr>
    </w:p>
    <w:tbl>
      <w:tblPr>
        <w:tblStyle w:val="Grilledutableau"/>
        <w:tblW w:w="0" w:type="auto"/>
        <w:tblCellMar>
          <w:left w:w="0" w:type="dxa"/>
          <w:right w:w="0" w:type="dxa"/>
        </w:tblCellMar>
        <w:tblLook w:val="04A0" w:firstRow="1" w:lastRow="0" w:firstColumn="1" w:lastColumn="0" w:noHBand="0" w:noVBand="1"/>
      </w:tblPr>
      <w:tblGrid>
        <w:gridCol w:w="328"/>
        <w:gridCol w:w="7139"/>
        <w:gridCol w:w="2181"/>
      </w:tblGrid>
      <w:tr w:rsidR="00E418E6" w:rsidRPr="00422183" w:rsidTr="00396776">
        <w:trPr>
          <w:tblHeader/>
        </w:trPr>
        <w:tc>
          <w:tcPr>
            <w:tcW w:w="3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N°</w:t>
            </w:r>
          </w:p>
        </w:tc>
        <w:tc>
          <w:tcPr>
            <w:tcW w:w="1183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Critères et composantes</w:t>
            </w:r>
          </w:p>
        </w:tc>
        <w:tc>
          <w:tcPr>
            <w:tcW w:w="238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Secteurs</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CFB 042 : agriculture, sylviculture, pêche et chasse</w:t>
            </w:r>
          </w:p>
          <w:p w:rsidR="00E418E6" w:rsidRPr="00422183" w:rsidRDefault="00E418E6" w:rsidP="003A0820">
            <w:pPr>
              <w:jc w:val="both"/>
              <w:rPr>
                <w:rFonts w:ascii="Rockwell" w:hAnsi="Rockwell"/>
                <w:b/>
                <w:sz w:val="24"/>
                <w:szCs w:val="24"/>
              </w:rPr>
            </w:pPr>
            <w:r w:rsidRPr="00422183">
              <w:rPr>
                <w:rFonts w:ascii="Rockwell" w:hAnsi="Rockwell"/>
                <w:b/>
                <w:sz w:val="24"/>
                <w:szCs w:val="24"/>
              </w:rPr>
              <w:t>NBA 010 : agriculture</w:t>
            </w:r>
            <w:r w:rsidRPr="00422183">
              <w:rPr>
                <w:rFonts w:ascii="Rockwell" w:hAnsi="Rockwell"/>
                <w:sz w:val="24"/>
                <w:szCs w:val="24"/>
              </w:rPr>
              <w:t xml:space="preserve"> (agriculture vivrière, agriculture de rente)</w:t>
            </w:r>
          </w:p>
          <w:p w:rsidR="00E418E6" w:rsidRPr="00422183" w:rsidRDefault="00E418E6" w:rsidP="003A0820">
            <w:pPr>
              <w:jc w:val="both"/>
              <w:rPr>
                <w:rFonts w:ascii="Rockwell" w:hAnsi="Rockwell"/>
                <w:sz w:val="24"/>
                <w:szCs w:val="24"/>
              </w:rPr>
            </w:pPr>
            <w:r w:rsidRPr="00422183">
              <w:rPr>
                <w:rFonts w:ascii="Rockwell" w:hAnsi="Rockwell"/>
                <w:b/>
                <w:sz w:val="24"/>
                <w:szCs w:val="24"/>
              </w:rPr>
              <w:t>NBA 020 : élevage</w:t>
            </w:r>
            <w:r w:rsidRPr="00422183">
              <w:rPr>
                <w:rFonts w:ascii="Rockwell" w:hAnsi="Rockwell"/>
                <w:sz w:val="24"/>
                <w:szCs w:val="24"/>
              </w:rPr>
              <w:t xml:space="preserve"> (élevage et activités annexes à l'élevage)</w:t>
            </w:r>
          </w:p>
          <w:p w:rsidR="00E418E6" w:rsidRPr="00422183" w:rsidRDefault="00E418E6" w:rsidP="003A0820">
            <w:pPr>
              <w:jc w:val="both"/>
              <w:rPr>
                <w:rFonts w:ascii="Rockwell" w:hAnsi="Rockwell"/>
                <w:sz w:val="24"/>
                <w:szCs w:val="24"/>
              </w:rPr>
            </w:pPr>
            <w:r w:rsidRPr="00422183">
              <w:rPr>
                <w:rFonts w:ascii="Rockwell" w:hAnsi="Rockwell"/>
                <w:b/>
                <w:sz w:val="24"/>
                <w:szCs w:val="24"/>
              </w:rPr>
              <w:t>NBA 030 : sylviculture - pêche - chasse</w:t>
            </w:r>
            <w:r w:rsidRPr="00422183">
              <w:rPr>
                <w:rFonts w:ascii="Rockwell" w:hAnsi="Rockwell"/>
                <w:sz w:val="24"/>
                <w:szCs w:val="24"/>
              </w:rPr>
              <w:t xml:space="preserve"> (sylviculture et chasse, pêche)</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Production agro-sylvo-pastorale</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2</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CFB 043 : combustible et énergie</w:t>
            </w:r>
          </w:p>
          <w:p w:rsidR="00E418E6" w:rsidRPr="00422183" w:rsidRDefault="00E418E6" w:rsidP="003A0820">
            <w:pPr>
              <w:jc w:val="both"/>
              <w:rPr>
                <w:rFonts w:ascii="Rockwell" w:hAnsi="Rockwell"/>
                <w:b/>
                <w:sz w:val="24"/>
                <w:szCs w:val="24"/>
              </w:rPr>
            </w:pPr>
            <w:r w:rsidRPr="00422183">
              <w:rPr>
                <w:rFonts w:ascii="Rockwell" w:hAnsi="Rockwell"/>
                <w:b/>
                <w:sz w:val="24"/>
                <w:szCs w:val="24"/>
              </w:rPr>
              <w:t>CFB 044 : industries extractives et manufacturières, construction</w:t>
            </w:r>
          </w:p>
          <w:p w:rsidR="00E418E6" w:rsidRPr="00422183" w:rsidRDefault="00E418E6" w:rsidP="003A0820">
            <w:pPr>
              <w:jc w:val="both"/>
              <w:rPr>
                <w:rFonts w:ascii="Rockwell" w:hAnsi="Rockwell"/>
                <w:sz w:val="24"/>
                <w:szCs w:val="24"/>
              </w:rPr>
            </w:pPr>
            <w:r w:rsidRPr="00422183">
              <w:rPr>
                <w:rFonts w:ascii="Rockwell" w:hAnsi="Rockwell"/>
                <w:b/>
                <w:sz w:val="24"/>
                <w:szCs w:val="24"/>
              </w:rPr>
              <w:t xml:space="preserve">NBA 040 : extraction </w:t>
            </w:r>
            <w:r w:rsidRPr="00422183">
              <w:rPr>
                <w:rFonts w:ascii="Rockwell" w:hAnsi="Rockwell"/>
                <w:sz w:val="24"/>
                <w:szCs w:val="24"/>
              </w:rPr>
              <w:t>(extraction)</w:t>
            </w:r>
          </w:p>
          <w:p w:rsidR="00E418E6" w:rsidRPr="00422183" w:rsidRDefault="00E418E6" w:rsidP="003A0820">
            <w:pPr>
              <w:jc w:val="both"/>
              <w:rPr>
                <w:rFonts w:ascii="Rockwell" w:hAnsi="Rockwell"/>
                <w:sz w:val="24"/>
                <w:szCs w:val="24"/>
              </w:rPr>
            </w:pPr>
            <w:r w:rsidRPr="00422183">
              <w:rPr>
                <w:rFonts w:ascii="Rockwell" w:hAnsi="Rockwell"/>
                <w:b/>
                <w:sz w:val="24"/>
                <w:szCs w:val="24"/>
              </w:rPr>
              <w:t>NBA 050 : industries alimentaires</w:t>
            </w:r>
            <w:r w:rsidRPr="00422183">
              <w:rPr>
                <w:rFonts w:ascii="Rockwell" w:hAnsi="Rockwell"/>
                <w:sz w:val="24"/>
                <w:szCs w:val="24"/>
              </w:rPr>
              <w:t xml:space="preserve"> (abattage, transformation et conservation des viandes et poissons, fabrication de corps gras alimentaires, travail des grains, fabrication de produits amylacés, fabrication des produits à base de fruits ou de lait, fabrication de boissons et tabacs)</w:t>
            </w:r>
          </w:p>
          <w:p w:rsidR="00E418E6" w:rsidRPr="00422183" w:rsidRDefault="00E418E6" w:rsidP="003A0820">
            <w:pPr>
              <w:jc w:val="both"/>
              <w:rPr>
                <w:rFonts w:ascii="Rockwell" w:hAnsi="Rockwell"/>
                <w:sz w:val="24"/>
                <w:szCs w:val="24"/>
              </w:rPr>
            </w:pPr>
            <w:r w:rsidRPr="00422183">
              <w:rPr>
                <w:rFonts w:ascii="Rockwell" w:hAnsi="Rockwell"/>
                <w:b/>
                <w:sz w:val="24"/>
                <w:szCs w:val="24"/>
              </w:rPr>
              <w:t>NBA 060 : égrenage de coton, fabrication de textiles et articles d'habillement</w:t>
            </w:r>
            <w:r w:rsidRPr="00422183">
              <w:rPr>
                <w:rFonts w:ascii="Rockwell" w:hAnsi="Rockwell"/>
                <w:sz w:val="24"/>
                <w:szCs w:val="24"/>
              </w:rPr>
              <w:t xml:space="preserve"> (égrenage de coton, fabrication de textiles et articles d'habillement)</w:t>
            </w:r>
          </w:p>
          <w:p w:rsidR="00E418E6" w:rsidRPr="00422183" w:rsidRDefault="00E418E6" w:rsidP="003A0820">
            <w:pPr>
              <w:jc w:val="both"/>
              <w:rPr>
                <w:rFonts w:ascii="Rockwell" w:hAnsi="Rockwell"/>
                <w:sz w:val="24"/>
                <w:szCs w:val="24"/>
              </w:rPr>
            </w:pPr>
            <w:r w:rsidRPr="00422183">
              <w:rPr>
                <w:rFonts w:ascii="Rockwell" w:hAnsi="Rockwell"/>
                <w:b/>
                <w:sz w:val="24"/>
                <w:szCs w:val="24"/>
              </w:rPr>
              <w:t>NBA 070 : raffinage de pétrole, fabrication de produits chimiques, d'articles en caoutchouc</w:t>
            </w:r>
            <w:r w:rsidRPr="00422183">
              <w:rPr>
                <w:rFonts w:ascii="Rockwell" w:hAnsi="Rockwell"/>
                <w:sz w:val="24"/>
                <w:szCs w:val="24"/>
              </w:rPr>
              <w:t xml:space="preserve"> (raffinage de pétrole, fabrication de produits chimiques, fabrication d'articles en caoutchouc ou en plastique)</w:t>
            </w:r>
          </w:p>
          <w:p w:rsidR="00E418E6" w:rsidRPr="00422183" w:rsidRDefault="00E418E6" w:rsidP="003A0820">
            <w:pPr>
              <w:jc w:val="both"/>
              <w:rPr>
                <w:rFonts w:ascii="Rockwell" w:hAnsi="Rockwell"/>
                <w:sz w:val="24"/>
                <w:szCs w:val="24"/>
              </w:rPr>
            </w:pPr>
            <w:r w:rsidRPr="00422183">
              <w:rPr>
                <w:rFonts w:ascii="Rockwell" w:hAnsi="Rockwell"/>
                <w:b/>
                <w:sz w:val="24"/>
                <w:szCs w:val="24"/>
              </w:rPr>
              <w:t>NBA 080 : fabrication de verre, poterie et matériaux pour construction</w:t>
            </w:r>
            <w:r w:rsidRPr="00422183">
              <w:rPr>
                <w:rFonts w:ascii="Rockwell" w:hAnsi="Rockwell"/>
                <w:sz w:val="24"/>
                <w:szCs w:val="24"/>
              </w:rPr>
              <w:t xml:space="preserve"> (fabrication de verre, poteries et matériaux pour la construction)</w:t>
            </w:r>
          </w:p>
          <w:p w:rsidR="00E418E6" w:rsidRPr="00422183" w:rsidRDefault="00E418E6" w:rsidP="003A0820">
            <w:pPr>
              <w:jc w:val="both"/>
              <w:rPr>
                <w:rFonts w:ascii="Rockwell" w:hAnsi="Rockwell"/>
                <w:sz w:val="24"/>
                <w:szCs w:val="24"/>
              </w:rPr>
            </w:pPr>
            <w:r w:rsidRPr="00422183">
              <w:rPr>
                <w:rFonts w:ascii="Rockwell" w:hAnsi="Rockwell"/>
                <w:b/>
                <w:sz w:val="24"/>
                <w:szCs w:val="24"/>
              </w:rPr>
              <w:t>NBA 090 : industries du papier, de l'édition, imprimerie enregistrement</w:t>
            </w:r>
            <w:r w:rsidRPr="00422183">
              <w:rPr>
                <w:rFonts w:ascii="Rockwell" w:hAnsi="Rockwell"/>
                <w:sz w:val="24"/>
                <w:szCs w:val="24"/>
              </w:rPr>
              <w:t xml:space="preserve"> (industries du papier, de l'édition, imprimerie enregistrement)</w:t>
            </w:r>
          </w:p>
          <w:p w:rsidR="00E418E6" w:rsidRPr="00422183" w:rsidRDefault="00E418E6" w:rsidP="003A0820">
            <w:pPr>
              <w:jc w:val="both"/>
              <w:rPr>
                <w:rFonts w:ascii="Rockwell" w:hAnsi="Rockwell"/>
                <w:b/>
                <w:sz w:val="24"/>
                <w:szCs w:val="24"/>
              </w:rPr>
            </w:pPr>
            <w:r w:rsidRPr="00422183">
              <w:rPr>
                <w:rFonts w:ascii="Rockwell" w:hAnsi="Rockwell"/>
                <w:b/>
                <w:sz w:val="24"/>
                <w:szCs w:val="24"/>
              </w:rPr>
              <w:t>NBA 100 : fabrication d'ouvrages en bois et en métaux</w:t>
            </w:r>
            <w:r w:rsidRPr="00422183">
              <w:rPr>
                <w:rFonts w:ascii="Rockwell" w:hAnsi="Rockwell"/>
                <w:sz w:val="24"/>
                <w:szCs w:val="24"/>
              </w:rPr>
              <w:t xml:space="preserve"> (sciage de bois, vannerie, métallurgie et fonderie, fabrication de machines et équipements, fabrication de matériels de transport, fabrication de matelas et meubles, production et distribution d'électricité et de gaz)</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Transformations industrielles et artisanales</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3</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b/>
                <w:sz w:val="24"/>
                <w:szCs w:val="24"/>
              </w:rPr>
              <w:t xml:space="preserve">CFB 06 : logement et équipements collectifs </w:t>
            </w:r>
            <w:r w:rsidRPr="00422183">
              <w:rPr>
                <w:rFonts w:ascii="Rockwell" w:hAnsi="Rockwell"/>
                <w:sz w:val="24"/>
                <w:szCs w:val="24"/>
              </w:rPr>
              <w:t>(logement, équipements collectifs, alimentation en eau, éclairage public)</w:t>
            </w:r>
          </w:p>
          <w:p w:rsidR="00E418E6" w:rsidRPr="00422183" w:rsidRDefault="00E418E6" w:rsidP="003A0820">
            <w:pPr>
              <w:jc w:val="both"/>
              <w:rPr>
                <w:rFonts w:ascii="Rockwell" w:hAnsi="Rockwell"/>
                <w:sz w:val="24"/>
                <w:szCs w:val="24"/>
              </w:rPr>
            </w:pPr>
            <w:r w:rsidRPr="00422183">
              <w:rPr>
                <w:rFonts w:ascii="Rockwell" w:hAnsi="Rockwell"/>
                <w:b/>
                <w:sz w:val="24"/>
                <w:szCs w:val="24"/>
              </w:rPr>
              <w:t>NBA 120 :</w:t>
            </w:r>
            <w:r w:rsidRPr="00422183">
              <w:rPr>
                <w:rFonts w:ascii="Rockwell" w:hAnsi="Rockwell"/>
                <w:sz w:val="24"/>
                <w:szCs w:val="24"/>
              </w:rPr>
              <w:t xml:space="preserve"> </w:t>
            </w:r>
            <w:r w:rsidRPr="00422183">
              <w:rPr>
                <w:rFonts w:ascii="Rockwell" w:hAnsi="Rockwell"/>
                <w:b/>
                <w:sz w:val="24"/>
                <w:szCs w:val="24"/>
              </w:rPr>
              <w:t>construction</w:t>
            </w:r>
            <w:r w:rsidRPr="00422183">
              <w:rPr>
                <w:rFonts w:ascii="Rockwell" w:hAnsi="Rockwell"/>
                <w:sz w:val="24"/>
                <w:szCs w:val="24"/>
              </w:rPr>
              <w:t xml:space="preserve"> (travaux de construction, d'installation et de finition)</w:t>
            </w:r>
          </w:p>
          <w:p w:rsidR="00E418E6" w:rsidRPr="00422183" w:rsidRDefault="00E418E6" w:rsidP="00CA2724">
            <w:pPr>
              <w:jc w:val="both"/>
              <w:rPr>
                <w:rFonts w:ascii="Rockwell" w:hAnsi="Rockwell"/>
                <w:b/>
                <w:sz w:val="24"/>
                <w:szCs w:val="24"/>
              </w:rPr>
            </w:pPr>
            <w:r w:rsidRPr="00422183">
              <w:rPr>
                <w:rFonts w:ascii="Rockwell" w:hAnsi="Rockwell"/>
                <w:b/>
                <w:sz w:val="24"/>
                <w:szCs w:val="24"/>
              </w:rPr>
              <w:t>Autres domaines concernés : construction d'infrastructures de transport, infrastructures de télécommunication  Technologies de l'information et de la communication (TIC)</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Infrastructures de transport, de communication et d'habitat</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4</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autoSpaceDE w:val="0"/>
              <w:autoSpaceDN w:val="0"/>
              <w:adjustRightInd w:val="0"/>
              <w:jc w:val="both"/>
              <w:rPr>
                <w:rFonts w:ascii="Rockwell" w:hAnsi="Rockwell"/>
                <w:b/>
                <w:bCs/>
                <w:sz w:val="24"/>
                <w:szCs w:val="24"/>
              </w:rPr>
            </w:pPr>
            <w:r w:rsidRPr="00422183">
              <w:rPr>
                <w:rFonts w:ascii="Rockwell" w:hAnsi="Rockwell"/>
                <w:b/>
                <w:bCs/>
                <w:sz w:val="24"/>
                <w:szCs w:val="24"/>
              </w:rPr>
              <w:t>CFB 065 : transports</w:t>
            </w:r>
          </w:p>
          <w:p w:rsidR="00E418E6" w:rsidRPr="00422183" w:rsidRDefault="00E418E6" w:rsidP="003A0820">
            <w:pPr>
              <w:autoSpaceDE w:val="0"/>
              <w:autoSpaceDN w:val="0"/>
              <w:adjustRightInd w:val="0"/>
              <w:jc w:val="both"/>
              <w:rPr>
                <w:rFonts w:ascii="Rockwell" w:hAnsi="Rockwell"/>
                <w:b/>
                <w:bCs/>
                <w:sz w:val="24"/>
                <w:szCs w:val="24"/>
              </w:rPr>
            </w:pPr>
            <w:r w:rsidRPr="00422183">
              <w:rPr>
                <w:rFonts w:ascii="Rockwell" w:hAnsi="Rockwell"/>
                <w:b/>
                <w:bCs/>
                <w:sz w:val="24"/>
                <w:szCs w:val="24"/>
              </w:rPr>
              <w:t>CFB 066 : communications</w:t>
            </w:r>
          </w:p>
          <w:p w:rsidR="00E418E6" w:rsidRPr="00422183" w:rsidRDefault="00E418E6" w:rsidP="003A0820">
            <w:pPr>
              <w:autoSpaceDE w:val="0"/>
              <w:autoSpaceDN w:val="0"/>
              <w:adjustRightInd w:val="0"/>
              <w:jc w:val="both"/>
              <w:rPr>
                <w:rFonts w:ascii="Rockwell" w:hAnsi="Rockwell"/>
                <w:bCs/>
                <w:sz w:val="24"/>
                <w:szCs w:val="24"/>
              </w:rPr>
            </w:pPr>
            <w:r w:rsidRPr="00422183">
              <w:rPr>
                <w:rFonts w:ascii="Rockwell" w:hAnsi="Rockwell"/>
                <w:b/>
                <w:bCs/>
                <w:sz w:val="24"/>
                <w:szCs w:val="24"/>
              </w:rPr>
              <w:t>NBA 130 : commerce</w:t>
            </w:r>
            <w:r w:rsidRPr="00422183">
              <w:rPr>
                <w:rFonts w:ascii="Rockwell" w:hAnsi="Rockwell"/>
                <w:bCs/>
                <w:sz w:val="24"/>
                <w:szCs w:val="24"/>
              </w:rPr>
              <w:t xml:space="preserve"> (commerce)</w:t>
            </w:r>
          </w:p>
          <w:p w:rsidR="00E418E6" w:rsidRPr="00422183" w:rsidRDefault="00E418E6" w:rsidP="003A0820">
            <w:pPr>
              <w:autoSpaceDE w:val="0"/>
              <w:autoSpaceDN w:val="0"/>
              <w:adjustRightInd w:val="0"/>
              <w:jc w:val="both"/>
              <w:rPr>
                <w:rFonts w:ascii="Rockwell" w:hAnsi="Rockwell"/>
                <w:bCs/>
                <w:sz w:val="24"/>
                <w:szCs w:val="24"/>
              </w:rPr>
            </w:pPr>
            <w:r w:rsidRPr="00422183">
              <w:rPr>
                <w:rFonts w:ascii="Rockwell" w:hAnsi="Rockwell"/>
                <w:b/>
                <w:bCs/>
                <w:sz w:val="24"/>
                <w:szCs w:val="24"/>
              </w:rPr>
              <w:t xml:space="preserve">NBA 140 : hôtellerie et restauration </w:t>
            </w:r>
            <w:r w:rsidRPr="00422183">
              <w:rPr>
                <w:rFonts w:ascii="Rockwell" w:hAnsi="Rockwell"/>
                <w:bCs/>
                <w:sz w:val="24"/>
                <w:szCs w:val="24"/>
              </w:rPr>
              <w:t>(hôtellerie et restauration)</w:t>
            </w:r>
          </w:p>
          <w:p w:rsidR="00E418E6" w:rsidRPr="00422183" w:rsidRDefault="00E418E6" w:rsidP="003A0820">
            <w:pPr>
              <w:autoSpaceDE w:val="0"/>
              <w:autoSpaceDN w:val="0"/>
              <w:adjustRightInd w:val="0"/>
              <w:jc w:val="both"/>
              <w:rPr>
                <w:rFonts w:ascii="Rockwell" w:hAnsi="Rockwell"/>
                <w:sz w:val="24"/>
                <w:szCs w:val="24"/>
              </w:rPr>
            </w:pPr>
            <w:r w:rsidRPr="00422183">
              <w:rPr>
                <w:rFonts w:ascii="Rockwell" w:hAnsi="Rockwell"/>
                <w:b/>
                <w:bCs/>
                <w:sz w:val="24"/>
                <w:szCs w:val="24"/>
              </w:rPr>
              <w:t>NBA 150 : transports, postes et télécommunications</w:t>
            </w:r>
            <w:r w:rsidRPr="00422183">
              <w:rPr>
                <w:rFonts w:ascii="Rockwell" w:hAnsi="Rockwell"/>
                <w:bCs/>
                <w:sz w:val="24"/>
                <w:szCs w:val="24"/>
              </w:rPr>
              <w:t xml:space="preserve"> (</w:t>
            </w:r>
            <w:r w:rsidRPr="00422183">
              <w:rPr>
                <w:rFonts w:ascii="Rockwell" w:hAnsi="Rockwell"/>
                <w:sz w:val="24"/>
                <w:szCs w:val="24"/>
              </w:rPr>
              <w:t>transports et auxiliaires de transport, activités des postes et des télécommunications)</w:t>
            </w:r>
          </w:p>
          <w:p w:rsidR="00E418E6" w:rsidRPr="00422183" w:rsidRDefault="00E418E6" w:rsidP="003A0820">
            <w:pPr>
              <w:autoSpaceDE w:val="0"/>
              <w:autoSpaceDN w:val="0"/>
              <w:adjustRightInd w:val="0"/>
              <w:jc w:val="both"/>
              <w:rPr>
                <w:rFonts w:ascii="Rockwell" w:hAnsi="Rockwell"/>
                <w:sz w:val="24"/>
                <w:szCs w:val="24"/>
              </w:rPr>
            </w:pPr>
            <w:r w:rsidRPr="00422183">
              <w:rPr>
                <w:rFonts w:ascii="Rockwell" w:hAnsi="Rockwell"/>
                <w:b/>
                <w:bCs/>
                <w:sz w:val="24"/>
                <w:szCs w:val="24"/>
              </w:rPr>
              <w:t xml:space="preserve">NBA 160 : activités financières </w:t>
            </w:r>
            <w:r w:rsidRPr="00422183">
              <w:rPr>
                <w:rFonts w:ascii="Rockwell" w:hAnsi="Rockwell"/>
                <w:bCs/>
                <w:sz w:val="24"/>
                <w:szCs w:val="24"/>
              </w:rPr>
              <w:t>(</w:t>
            </w:r>
            <w:r w:rsidRPr="00422183">
              <w:rPr>
                <w:rFonts w:ascii="Rockwell" w:hAnsi="Rockwell"/>
                <w:sz w:val="24"/>
                <w:szCs w:val="24"/>
              </w:rPr>
              <w:t>activités d'intermédiation financière, assurances et auxiliaires financiers)</w:t>
            </w:r>
          </w:p>
          <w:p w:rsidR="00E418E6" w:rsidRPr="00422183" w:rsidRDefault="00E418E6" w:rsidP="003A0820">
            <w:pPr>
              <w:autoSpaceDE w:val="0"/>
              <w:autoSpaceDN w:val="0"/>
              <w:adjustRightInd w:val="0"/>
              <w:jc w:val="both"/>
              <w:rPr>
                <w:rFonts w:ascii="Rockwell" w:hAnsi="Rockwell"/>
                <w:sz w:val="24"/>
                <w:szCs w:val="24"/>
              </w:rPr>
            </w:pPr>
            <w:r w:rsidRPr="00422183">
              <w:rPr>
                <w:rFonts w:ascii="Rockwell" w:hAnsi="Rockwell"/>
                <w:b/>
                <w:bCs/>
                <w:sz w:val="24"/>
                <w:szCs w:val="24"/>
              </w:rPr>
              <w:t xml:space="preserve">NBA 170 : autres activités de services marchands </w:t>
            </w:r>
            <w:r w:rsidRPr="00422183">
              <w:rPr>
                <w:rFonts w:ascii="Rockwell" w:hAnsi="Rockwell"/>
                <w:bCs/>
                <w:sz w:val="24"/>
                <w:szCs w:val="24"/>
              </w:rPr>
              <w:t>(</w:t>
            </w:r>
            <w:r w:rsidRPr="00422183">
              <w:rPr>
                <w:rFonts w:ascii="Rockwell" w:hAnsi="Rockwell"/>
                <w:sz w:val="24"/>
                <w:szCs w:val="24"/>
              </w:rPr>
              <w:t>activités de services personnels, de réparation et d'entretien, activités immobilières, activités de services aux entreprises)</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Commerce et services marchands</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5</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011 : fonctionnement des organes exécutifs et législatifs, affaires financières et fiscales, affaires étrangères</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041 : tutelle de l'économie générale, des échanges et de l'emploi</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180010 : activités d'administration générale, économique, sociale et de prérogative publique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 xml:space="preserve">NBA 190 : correspondance de la branche </w:t>
            </w:r>
            <w:r w:rsidRPr="00422183">
              <w:rPr>
                <w:rFonts w:ascii="Rockwell" w:hAnsi="Rockwell"/>
                <w:bCs/>
                <w:sz w:val="24"/>
                <w:szCs w:val="24"/>
              </w:rPr>
              <w:t>(correspondance de la branche Services d'intermédiation financière indirectement mesurés (SFIM))</w:t>
            </w:r>
          </w:p>
          <w:p w:rsidR="00E418E6" w:rsidRPr="00422183" w:rsidRDefault="00E418E6" w:rsidP="003A0820">
            <w:pPr>
              <w:jc w:val="both"/>
              <w:rPr>
                <w:rFonts w:ascii="Rockwell" w:hAnsi="Rockwell"/>
                <w:sz w:val="24"/>
                <w:szCs w:val="24"/>
              </w:rPr>
            </w:pPr>
            <w:r w:rsidRPr="00422183">
              <w:rPr>
                <w:rFonts w:ascii="Rockwell" w:hAnsi="Rockwell"/>
                <w:b/>
                <w:sz w:val="24"/>
                <w:szCs w:val="24"/>
              </w:rPr>
              <w:t xml:space="preserve">Autres domaines concernés : </w:t>
            </w:r>
            <w:r w:rsidRPr="00422183">
              <w:rPr>
                <w:rFonts w:ascii="Rockwell" w:hAnsi="Rockwell"/>
                <w:b/>
                <w:bCs/>
                <w:sz w:val="24"/>
                <w:szCs w:val="24"/>
              </w:rPr>
              <w:t>pilotage et gestion de l'économie, aménagement du territoire, finances publiques, coopération au développement, intégration économique régionale, démographie (population)</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Gouvernance économique</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6</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011 : fonctionnement des organes exécutifs et législatifs, affaires financières et fiscales, affaires étrangères</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013 : services généraux</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180010 : activités d'administration générale, économique, sociale et de prérogative publique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180040 : activités de services collectifs ou personnels</w:t>
            </w:r>
          </w:p>
          <w:p w:rsidR="00E418E6" w:rsidRPr="00422183" w:rsidRDefault="00E418E6" w:rsidP="003A0820">
            <w:pPr>
              <w:jc w:val="both"/>
              <w:rPr>
                <w:rFonts w:ascii="Rockwell" w:hAnsi="Rockwell"/>
                <w:bCs/>
                <w:sz w:val="24"/>
                <w:szCs w:val="24"/>
              </w:rPr>
            </w:pPr>
            <w:r w:rsidRPr="00422183">
              <w:rPr>
                <w:rFonts w:ascii="Rockwell" w:hAnsi="Rockwell"/>
                <w:b/>
                <w:bCs/>
                <w:sz w:val="24"/>
                <w:szCs w:val="24"/>
              </w:rPr>
              <w:t xml:space="preserve">NBA 200 : correction territoriale </w:t>
            </w:r>
            <w:r w:rsidRPr="00422183">
              <w:rPr>
                <w:rFonts w:ascii="Rockwell" w:hAnsi="Rockwell"/>
                <w:bCs/>
                <w:sz w:val="24"/>
                <w:szCs w:val="24"/>
              </w:rPr>
              <w:t>(correction territoriale)</w:t>
            </w:r>
          </w:p>
          <w:p w:rsidR="00E418E6" w:rsidRPr="00422183" w:rsidRDefault="00E418E6" w:rsidP="003A0820">
            <w:pPr>
              <w:jc w:val="both"/>
              <w:rPr>
                <w:rFonts w:ascii="Rockwell" w:hAnsi="Rockwell"/>
                <w:b/>
                <w:sz w:val="24"/>
                <w:szCs w:val="24"/>
              </w:rPr>
            </w:pPr>
            <w:r w:rsidRPr="00422183">
              <w:rPr>
                <w:rFonts w:ascii="Rockwell" w:hAnsi="Rockwell"/>
                <w:b/>
                <w:sz w:val="24"/>
                <w:szCs w:val="24"/>
              </w:rPr>
              <w:t xml:space="preserve">Autres domaines concernés : </w:t>
            </w:r>
            <w:r w:rsidRPr="00422183">
              <w:rPr>
                <w:rFonts w:ascii="Rockwell" w:hAnsi="Rockwell"/>
                <w:b/>
                <w:bCs/>
                <w:sz w:val="24"/>
                <w:szCs w:val="24"/>
              </w:rPr>
              <w:t>fonction publique, décentralisation, relations avec les institutions, relations avec les organisations de la société civile</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Gouvernances administrative et locale</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7</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Cs/>
                <w:sz w:val="24"/>
                <w:szCs w:val="24"/>
              </w:rPr>
            </w:pPr>
            <w:r w:rsidRPr="00422183">
              <w:rPr>
                <w:rFonts w:ascii="Rockwell" w:hAnsi="Rockwell"/>
                <w:b/>
                <w:bCs/>
                <w:sz w:val="24"/>
                <w:szCs w:val="24"/>
              </w:rPr>
              <w:t xml:space="preserve">CFB 09 : enseignement </w:t>
            </w:r>
            <w:r w:rsidRPr="00422183">
              <w:rPr>
                <w:rFonts w:ascii="Rockwell" w:hAnsi="Rockwell"/>
                <w:bCs/>
                <w:sz w:val="24"/>
                <w:szCs w:val="24"/>
              </w:rPr>
              <w:t>(enseignement préélémentaire et primaire, enseignement secondaire, enseignement post secondaire non supérieur, enseignement supérieur, enseignement non défini par niveau, services annexes à l'enseignement)</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180020 : éducation</w:t>
            </w:r>
          </w:p>
          <w:p w:rsidR="00E418E6" w:rsidRPr="00422183" w:rsidRDefault="00E418E6" w:rsidP="003A0820">
            <w:pPr>
              <w:jc w:val="both"/>
              <w:rPr>
                <w:rFonts w:ascii="Rockwell" w:hAnsi="Rockwell"/>
                <w:sz w:val="24"/>
                <w:szCs w:val="24"/>
              </w:rPr>
            </w:pPr>
            <w:r w:rsidRPr="00422183">
              <w:rPr>
                <w:rFonts w:ascii="Rockwell" w:hAnsi="Rockwell"/>
                <w:b/>
                <w:sz w:val="24"/>
                <w:szCs w:val="24"/>
              </w:rPr>
              <w:t xml:space="preserve">Autres domaines concernés : </w:t>
            </w:r>
            <w:r w:rsidRPr="00422183">
              <w:rPr>
                <w:rFonts w:ascii="Rockwell" w:hAnsi="Rockwell"/>
                <w:b/>
                <w:bCs/>
                <w:sz w:val="24"/>
                <w:szCs w:val="24"/>
              </w:rPr>
              <w:t>Enseignement et formation techniques et professionnels (EFTP)</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Éducation et formation</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8</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Cs/>
                <w:sz w:val="24"/>
                <w:szCs w:val="24"/>
              </w:rPr>
            </w:pPr>
            <w:r w:rsidRPr="00422183">
              <w:rPr>
                <w:rFonts w:ascii="Rockwell" w:hAnsi="Rockwell"/>
                <w:b/>
                <w:bCs/>
                <w:sz w:val="24"/>
                <w:szCs w:val="24"/>
              </w:rPr>
              <w:t xml:space="preserve">CFB 07 : santé </w:t>
            </w:r>
            <w:r w:rsidRPr="00422183">
              <w:rPr>
                <w:rFonts w:ascii="Rockwell" w:hAnsi="Rockwell"/>
                <w:bCs/>
                <w:sz w:val="24"/>
                <w:szCs w:val="24"/>
              </w:rPr>
              <w:t>(produits, appareils et matériels médicaux, services ambulatoires, services hospitaliers, services de santé publique)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180030 : santé et action sociale</w:t>
            </w:r>
          </w:p>
          <w:p w:rsidR="00E418E6" w:rsidRPr="00422183" w:rsidRDefault="00E418E6" w:rsidP="003A0820">
            <w:pPr>
              <w:jc w:val="both"/>
              <w:rPr>
                <w:rFonts w:ascii="Rockwell" w:hAnsi="Rockwell"/>
                <w:b/>
                <w:bCs/>
                <w:sz w:val="24"/>
                <w:szCs w:val="24"/>
              </w:rPr>
            </w:pPr>
            <w:r w:rsidRPr="00422183">
              <w:rPr>
                <w:rFonts w:ascii="Rockwell" w:hAnsi="Rockwell"/>
                <w:b/>
                <w:sz w:val="24"/>
                <w:szCs w:val="24"/>
              </w:rPr>
              <w:t xml:space="preserve">Autres domaines concernés : </w:t>
            </w:r>
            <w:r w:rsidRPr="00422183">
              <w:rPr>
                <w:rFonts w:ascii="Rockwell" w:hAnsi="Rockwell"/>
                <w:b/>
                <w:bCs/>
                <w:sz w:val="24"/>
                <w:szCs w:val="24"/>
              </w:rPr>
              <w:t>nutrition</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Santé</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9</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02 : défense (défense militaire)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031 : services de police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032 : services de protection civile</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Défense et sécurité</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10</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Cs/>
                <w:sz w:val="24"/>
                <w:szCs w:val="24"/>
              </w:rPr>
            </w:pPr>
            <w:r w:rsidRPr="00422183">
              <w:rPr>
                <w:rFonts w:ascii="Rockwell" w:hAnsi="Rockwell"/>
                <w:b/>
                <w:bCs/>
                <w:sz w:val="24"/>
                <w:szCs w:val="24"/>
              </w:rPr>
              <w:t>CFB 05 : protection de l'environnement</w:t>
            </w:r>
            <w:r w:rsidRPr="00422183">
              <w:rPr>
                <w:rFonts w:ascii="Rockwell" w:hAnsi="Rockwell"/>
                <w:bCs/>
                <w:sz w:val="24"/>
                <w:szCs w:val="24"/>
              </w:rPr>
              <w:t xml:space="preserve"> (gestion des déchets, gestion des eaux usées, lutte contre la pollution, préservation de la diversité biologique et protection de la nature)</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NBA 110020 : captage, traitement et distribution d'eau</w:t>
            </w:r>
          </w:p>
          <w:p w:rsidR="00E418E6" w:rsidRPr="00422183" w:rsidRDefault="00E418E6" w:rsidP="003A0820">
            <w:pPr>
              <w:jc w:val="both"/>
              <w:rPr>
                <w:rFonts w:ascii="Rockwell" w:hAnsi="Rockwell"/>
                <w:sz w:val="24"/>
                <w:szCs w:val="24"/>
              </w:rPr>
            </w:pPr>
            <w:r w:rsidRPr="00422183">
              <w:rPr>
                <w:rFonts w:ascii="Rockwell" w:hAnsi="Rockwell"/>
                <w:b/>
                <w:sz w:val="24"/>
                <w:szCs w:val="24"/>
              </w:rPr>
              <w:t>Autres domaines concernés : assainissement,</w:t>
            </w:r>
            <w:r w:rsidRPr="00422183">
              <w:rPr>
                <w:rFonts w:ascii="Rockwell" w:hAnsi="Rockwell"/>
                <w:b/>
                <w:bCs/>
                <w:sz w:val="24"/>
                <w:szCs w:val="24"/>
              </w:rPr>
              <w:t xml:space="preserve"> économie verte, modes de production et de consommation durables</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Environnement, eau et assainissement</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11</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Cs/>
                <w:sz w:val="24"/>
                <w:szCs w:val="24"/>
              </w:rPr>
            </w:pPr>
            <w:r w:rsidRPr="00422183">
              <w:rPr>
                <w:rFonts w:ascii="Rockwell" w:hAnsi="Rockwell"/>
                <w:b/>
                <w:bCs/>
                <w:sz w:val="24"/>
                <w:szCs w:val="24"/>
              </w:rPr>
              <w:t xml:space="preserve">CFB 08 : loisirs, culture et culte </w:t>
            </w:r>
            <w:r w:rsidRPr="00422183">
              <w:rPr>
                <w:rFonts w:ascii="Rockwell" w:hAnsi="Rockwell"/>
                <w:bCs/>
                <w:sz w:val="24"/>
                <w:szCs w:val="24"/>
              </w:rPr>
              <w:t>(services récréatifs et sportifs, services culturels, services de radiodiffusion, de télévision et d'édition, culte et autres services communautaires)</w:t>
            </w:r>
          </w:p>
          <w:p w:rsidR="00E418E6" w:rsidRPr="00422183" w:rsidRDefault="00E418E6" w:rsidP="003A0820">
            <w:pPr>
              <w:jc w:val="both"/>
              <w:rPr>
                <w:rFonts w:ascii="Rockwell" w:hAnsi="Rockwell"/>
                <w:sz w:val="24"/>
                <w:szCs w:val="24"/>
              </w:rPr>
            </w:pPr>
            <w:r w:rsidRPr="00422183">
              <w:rPr>
                <w:rFonts w:ascii="Rockwell" w:hAnsi="Rockwell"/>
                <w:b/>
                <w:sz w:val="24"/>
                <w:szCs w:val="24"/>
              </w:rPr>
              <w:t>Autres domaines concernés : tourisme</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Culture, sports et loisirs</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12</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041 : tutelle de l'économie générale, des échanges et de l'emploi</w:t>
            </w:r>
          </w:p>
          <w:p w:rsidR="00E418E6" w:rsidRPr="00422183" w:rsidRDefault="00E418E6" w:rsidP="003A0820">
            <w:pPr>
              <w:jc w:val="both"/>
              <w:rPr>
                <w:rFonts w:ascii="Rockwell" w:hAnsi="Rockwell"/>
                <w:sz w:val="24"/>
                <w:szCs w:val="24"/>
              </w:rPr>
            </w:pPr>
            <w:r w:rsidRPr="00422183">
              <w:rPr>
                <w:rFonts w:ascii="Rockwell" w:hAnsi="Rockwell"/>
                <w:b/>
                <w:sz w:val="24"/>
                <w:szCs w:val="24"/>
              </w:rPr>
              <w:t xml:space="preserve">CFB 10 : protection sociale </w:t>
            </w:r>
            <w:r w:rsidRPr="00422183">
              <w:rPr>
                <w:rFonts w:ascii="Rockwell" w:hAnsi="Rockwell"/>
                <w:sz w:val="24"/>
                <w:szCs w:val="24"/>
              </w:rPr>
              <w:t>(maladie et invalidité, vieillesse, famille et enfants, chômage, exclusion sociale)</w:t>
            </w:r>
          </w:p>
          <w:p w:rsidR="00E418E6" w:rsidRPr="00422183" w:rsidRDefault="00E418E6" w:rsidP="003A0820">
            <w:pPr>
              <w:jc w:val="both"/>
              <w:rPr>
                <w:rFonts w:ascii="Rockwell" w:hAnsi="Rockwell"/>
                <w:sz w:val="24"/>
                <w:szCs w:val="24"/>
              </w:rPr>
            </w:pPr>
            <w:r w:rsidRPr="00422183">
              <w:rPr>
                <w:rFonts w:ascii="Rockwell" w:hAnsi="Rockwell"/>
                <w:b/>
                <w:bCs/>
                <w:sz w:val="24"/>
                <w:szCs w:val="24"/>
              </w:rPr>
              <w:t>NBA 180030 : santé et action sociale</w:t>
            </w:r>
          </w:p>
          <w:p w:rsidR="00E418E6" w:rsidRPr="00422183" w:rsidRDefault="00E418E6" w:rsidP="003A0820">
            <w:pPr>
              <w:jc w:val="both"/>
              <w:rPr>
                <w:rFonts w:ascii="Rockwell" w:hAnsi="Rockwell"/>
                <w:sz w:val="24"/>
                <w:szCs w:val="24"/>
              </w:rPr>
            </w:pPr>
            <w:r w:rsidRPr="00422183">
              <w:rPr>
                <w:rFonts w:ascii="Rockwell" w:hAnsi="Rockwell"/>
                <w:b/>
                <w:sz w:val="24"/>
                <w:szCs w:val="24"/>
              </w:rPr>
              <w:t>Autres domaines concernés :</w:t>
            </w:r>
            <w:r w:rsidRPr="00422183">
              <w:rPr>
                <w:rFonts w:ascii="Rockwell" w:hAnsi="Rockwell"/>
                <w:b/>
                <w:bCs/>
                <w:sz w:val="24"/>
                <w:szCs w:val="24"/>
              </w:rPr>
              <w:t xml:space="preserve"> </w:t>
            </w:r>
            <w:r w:rsidRPr="00422183">
              <w:rPr>
                <w:rFonts w:ascii="Rockwell" w:hAnsi="Rockwell"/>
                <w:b/>
                <w:sz w:val="24"/>
                <w:szCs w:val="24"/>
              </w:rPr>
              <w:t>travail décent,</w:t>
            </w:r>
            <w:r w:rsidRPr="00422183">
              <w:rPr>
                <w:rFonts w:ascii="Rockwell" w:hAnsi="Rockwell"/>
                <w:b/>
                <w:bCs/>
                <w:sz w:val="24"/>
                <w:szCs w:val="24"/>
              </w:rPr>
              <w:t xml:space="preserve"> d</w:t>
            </w:r>
            <w:r w:rsidRPr="00422183">
              <w:rPr>
                <w:rFonts w:ascii="Rockwell" w:hAnsi="Rockwell"/>
                <w:b/>
                <w:sz w:val="24"/>
                <w:szCs w:val="24"/>
              </w:rPr>
              <w:t>ialogue social, genre, jeunesse</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Travail, emploi et protection sociale</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13</w:t>
            </w:r>
          </w:p>
        </w:tc>
        <w:tc>
          <w:tcPr>
            <w:tcW w:w="118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CFB 033 : tribunaux</w:t>
            </w:r>
          </w:p>
          <w:p w:rsidR="00E418E6" w:rsidRPr="00422183" w:rsidRDefault="00E418E6" w:rsidP="003A0820">
            <w:pPr>
              <w:jc w:val="both"/>
              <w:rPr>
                <w:rFonts w:ascii="Rockwell" w:hAnsi="Rockwell"/>
                <w:b/>
                <w:bCs/>
                <w:sz w:val="24"/>
                <w:szCs w:val="24"/>
              </w:rPr>
            </w:pPr>
            <w:r w:rsidRPr="00422183">
              <w:rPr>
                <w:rFonts w:ascii="Rockwell" w:hAnsi="Rockwell"/>
                <w:b/>
                <w:bCs/>
                <w:sz w:val="24"/>
                <w:szCs w:val="24"/>
              </w:rPr>
              <w:t>CFB 034 : administration pénitentiaire</w:t>
            </w:r>
          </w:p>
          <w:p w:rsidR="00E418E6" w:rsidRPr="00422183" w:rsidRDefault="00E418E6" w:rsidP="003A0820">
            <w:pPr>
              <w:jc w:val="both"/>
              <w:rPr>
                <w:rFonts w:ascii="Rockwell" w:hAnsi="Rockwell"/>
                <w:sz w:val="24"/>
                <w:szCs w:val="24"/>
              </w:rPr>
            </w:pPr>
            <w:r w:rsidRPr="00422183">
              <w:rPr>
                <w:rFonts w:ascii="Rockwell" w:hAnsi="Rockwell"/>
                <w:b/>
                <w:sz w:val="24"/>
                <w:szCs w:val="24"/>
              </w:rPr>
              <w:t>Autres domaines concernés :</w:t>
            </w:r>
            <w:r w:rsidRPr="00422183">
              <w:rPr>
                <w:rFonts w:ascii="Rockwell" w:hAnsi="Rockwell"/>
                <w:b/>
                <w:bCs/>
                <w:sz w:val="24"/>
                <w:szCs w:val="24"/>
              </w:rPr>
              <w:t xml:space="preserve"> </w:t>
            </w:r>
            <w:r w:rsidRPr="00422183">
              <w:rPr>
                <w:rFonts w:ascii="Rockwell" w:hAnsi="Rockwell"/>
                <w:b/>
                <w:sz w:val="24"/>
                <w:szCs w:val="24"/>
              </w:rPr>
              <w:t>droits humains, civisme et citoyenneté</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Justice et droits humains</w:t>
            </w:r>
          </w:p>
        </w:tc>
      </w:tr>
      <w:tr w:rsidR="00E418E6" w:rsidRPr="00422183" w:rsidTr="00396776">
        <w:tc>
          <w:tcPr>
            <w:tcW w:w="359"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sz w:val="24"/>
                <w:szCs w:val="24"/>
              </w:rPr>
            </w:pPr>
            <w:r w:rsidRPr="00422183">
              <w:rPr>
                <w:rFonts w:ascii="Rockwell" w:hAnsi="Rockwell"/>
                <w:sz w:val="24"/>
                <w:szCs w:val="24"/>
              </w:rPr>
              <w:t>14</w:t>
            </w:r>
          </w:p>
        </w:tc>
        <w:tc>
          <w:tcPr>
            <w:tcW w:w="11837"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CFB 014 : recherche fondamentale</w:t>
            </w:r>
          </w:p>
          <w:p w:rsidR="00E418E6" w:rsidRPr="00422183" w:rsidRDefault="00E418E6" w:rsidP="003A0820">
            <w:pPr>
              <w:jc w:val="both"/>
              <w:rPr>
                <w:rFonts w:ascii="Rockwell" w:hAnsi="Rockwell"/>
                <w:sz w:val="24"/>
                <w:szCs w:val="24"/>
              </w:rPr>
            </w:pPr>
            <w:r w:rsidRPr="00422183">
              <w:rPr>
                <w:rFonts w:ascii="Rockwell" w:hAnsi="Rockwell"/>
                <w:b/>
                <w:sz w:val="24"/>
                <w:szCs w:val="24"/>
              </w:rPr>
              <w:t>Autres domaines concernés : recherche appliquée, recherche-développement, innovation</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418E6" w:rsidRPr="00422183" w:rsidRDefault="00E418E6" w:rsidP="003A0820">
            <w:pPr>
              <w:jc w:val="both"/>
              <w:rPr>
                <w:rFonts w:ascii="Rockwell" w:hAnsi="Rockwell"/>
                <w:b/>
                <w:sz w:val="24"/>
                <w:szCs w:val="24"/>
              </w:rPr>
            </w:pPr>
            <w:r w:rsidRPr="00422183">
              <w:rPr>
                <w:rFonts w:ascii="Rockwell" w:hAnsi="Rockwell"/>
                <w:b/>
                <w:sz w:val="24"/>
                <w:szCs w:val="24"/>
              </w:rPr>
              <w:t>Recherche et innovation</w:t>
            </w:r>
          </w:p>
        </w:tc>
      </w:tr>
    </w:tbl>
    <w:p w:rsidR="00E418E6" w:rsidRPr="00422183" w:rsidRDefault="00E418E6" w:rsidP="00516FB0">
      <w:pPr>
        <w:spacing w:after="0" w:line="240" w:lineRule="auto"/>
        <w:jc w:val="both"/>
        <w:rPr>
          <w:rFonts w:ascii="Rockwell" w:hAnsi="Rockwell"/>
          <w:sz w:val="24"/>
          <w:szCs w:val="24"/>
          <w:lang w:eastAsia="en-US"/>
        </w:rPr>
      </w:pPr>
      <w:r w:rsidRPr="00422183">
        <w:rPr>
          <w:rFonts w:ascii="Rockwell" w:hAnsi="Rockwell"/>
          <w:sz w:val="24"/>
          <w:szCs w:val="24"/>
        </w:rPr>
        <w:t>CFB = Code fonctionnel du budget. NBA = Nomenclature des branches d'activités.</w:t>
      </w:r>
    </w:p>
    <w:p w:rsidR="00E418E6" w:rsidRPr="00422183" w:rsidRDefault="00E418E6" w:rsidP="00516FB0">
      <w:pPr>
        <w:spacing w:after="0" w:line="240" w:lineRule="auto"/>
        <w:jc w:val="both"/>
        <w:rPr>
          <w:rFonts w:ascii="Rockwell" w:hAnsi="Rockwell"/>
          <w:sz w:val="24"/>
          <w:szCs w:val="24"/>
        </w:rPr>
      </w:pPr>
    </w:p>
    <w:p w:rsidR="00396776" w:rsidRPr="00422183" w:rsidRDefault="00396776" w:rsidP="003A0820">
      <w:pPr>
        <w:jc w:val="both"/>
        <w:rPr>
          <w:rFonts w:ascii="Rockwell" w:hAnsi="Rockwell"/>
          <w:b/>
          <w:sz w:val="28"/>
          <w:szCs w:val="28"/>
        </w:rPr>
      </w:pPr>
      <w:r w:rsidRPr="00422183">
        <w:rPr>
          <w:rFonts w:ascii="Rockwell" w:hAnsi="Rockwell"/>
          <w:b/>
          <w:sz w:val="28"/>
          <w:szCs w:val="28"/>
        </w:rPr>
        <w:br w:type="page"/>
      </w:r>
    </w:p>
    <w:p w:rsidR="0015472D" w:rsidRPr="00422183" w:rsidRDefault="0015472D" w:rsidP="0090049C">
      <w:pPr>
        <w:spacing w:after="0" w:line="240" w:lineRule="auto"/>
        <w:jc w:val="both"/>
        <w:rPr>
          <w:rFonts w:ascii="Rockwell" w:hAnsi="Rockwell"/>
          <w:b/>
          <w:sz w:val="24"/>
          <w:szCs w:val="24"/>
        </w:rPr>
        <w:sectPr w:rsidR="0015472D" w:rsidRPr="00422183" w:rsidSect="00AA43D4">
          <w:footerReference w:type="default" r:id="rId14"/>
          <w:headerReference w:type="first" r:id="rId15"/>
          <w:pgSz w:w="11906" w:h="16838" w:code="9"/>
          <w:pgMar w:top="1134" w:right="1134" w:bottom="1134" w:left="1134" w:header="709" w:footer="709" w:gutter="0"/>
          <w:cols w:space="708"/>
          <w:docGrid w:linePitch="360"/>
        </w:sectPr>
      </w:pPr>
    </w:p>
    <w:p w:rsidR="00912504" w:rsidRPr="00422183" w:rsidRDefault="00396776" w:rsidP="00516FB0">
      <w:pPr>
        <w:spacing w:after="0" w:line="240" w:lineRule="auto"/>
        <w:jc w:val="both"/>
        <w:rPr>
          <w:rFonts w:ascii="Rockwell" w:hAnsi="Rockwell" w:cs="Times New Roman"/>
          <w:b/>
          <w:sz w:val="24"/>
          <w:szCs w:val="24"/>
        </w:rPr>
      </w:pPr>
      <w:r w:rsidRPr="00422183">
        <w:rPr>
          <w:rFonts w:ascii="Rockwell" w:hAnsi="Rockwell"/>
          <w:b/>
          <w:sz w:val="24"/>
          <w:szCs w:val="24"/>
        </w:rPr>
        <w:t>Annexe 2</w:t>
      </w:r>
      <w:r w:rsidR="00912504" w:rsidRPr="00422183">
        <w:rPr>
          <w:rFonts w:ascii="Rockwell" w:hAnsi="Rockwell"/>
          <w:b/>
          <w:sz w:val="24"/>
          <w:szCs w:val="24"/>
        </w:rPr>
        <w:t xml:space="preserve"> : </w:t>
      </w:r>
      <w:r w:rsidRPr="00422183">
        <w:rPr>
          <w:rFonts w:ascii="Rockwell" w:hAnsi="Rockwell" w:cs="Times New Roman"/>
          <w:b/>
          <w:sz w:val="24"/>
          <w:szCs w:val="24"/>
        </w:rPr>
        <w:t>t</w:t>
      </w:r>
      <w:r w:rsidR="00912504" w:rsidRPr="00422183">
        <w:rPr>
          <w:rFonts w:ascii="Rockwell" w:hAnsi="Rockwell" w:cs="Times New Roman"/>
          <w:b/>
          <w:sz w:val="24"/>
          <w:szCs w:val="24"/>
        </w:rPr>
        <w:t>ableau synoptique du PNDES</w:t>
      </w:r>
    </w:p>
    <w:p w:rsidR="00396776" w:rsidRPr="00422183" w:rsidRDefault="00396776" w:rsidP="00516FB0">
      <w:pPr>
        <w:spacing w:after="0" w:line="240" w:lineRule="auto"/>
        <w:jc w:val="both"/>
        <w:rPr>
          <w:rFonts w:ascii="Rockwell" w:hAnsi="Rockwell"/>
          <w:sz w:val="24"/>
          <w:szCs w:val="24"/>
        </w:rPr>
      </w:pPr>
    </w:p>
    <w:tbl>
      <w:tblPr>
        <w:tblStyle w:val="Grilledutableau"/>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7"/>
        <w:gridCol w:w="5667"/>
        <w:gridCol w:w="1276"/>
        <w:gridCol w:w="996"/>
        <w:gridCol w:w="992"/>
        <w:gridCol w:w="4111"/>
      </w:tblGrid>
      <w:tr w:rsidR="00912504" w:rsidRPr="00422183" w:rsidTr="0072204A">
        <w:trPr>
          <w:trHeight w:val="284"/>
        </w:trPr>
        <w:tc>
          <w:tcPr>
            <w:tcW w:w="1667" w:type="dxa"/>
            <w:shd w:val="clear" w:color="auto" w:fill="000000" w:themeFill="text1"/>
            <w:vAlign w:val="center"/>
          </w:tcPr>
          <w:p w:rsidR="00912504" w:rsidRPr="00422183" w:rsidRDefault="00912504" w:rsidP="003A0820">
            <w:pPr>
              <w:jc w:val="both"/>
              <w:rPr>
                <w:rFonts w:ascii="Rockwell" w:hAnsi="Rockwell"/>
                <w:b/>
                <w:sz w:val="22"/>
                <w:szCs w:val="18"/>
              </w:rPr>
            </w:pPr>
            <w:r w:rsidRPr="00422183">
              <w:rPr>
                <w:rFonts w:ascii="Rockwell" w:hAnsi="Rockwell"/>
                <w:b/>
                <w:sz w:val="22"/>
                <w:szCs w:val="18"/>
              </w:rPr>
              <w:t>Vision</w:t>
            </w:r>
          </w:p>
        </w:tc>
        <w:tc>
          <w:tcPr>
            <w:tcW w:w="13042" w:type="dxa"/>
            <w:gridSpan w:val="5"/>
            <w:shd w:val="clear" w:color="auto" w:fill="000000" w:themeFill="text1"/>
            <w:vAlign w:val="center"/>
          </w:tcPr>
          <w:p w:rsidR="00912504" w:rsidRPr="00422183" w:rsidRDefault="00912504" w:rsidP="00516FB0">
            <w:pPr>
              <w:jc w:val="both"/>
              <w:rPr>
                <w:rFonts w:ascii="Rockwell" w:hAnsi="Rockwell"/>
                <w:b/>
                <w:sz w:val="22"/>
                <w:szCs w:val="18"/>
              </w:rPr>
            </w:pPr>
            <w:r w:rsidRPr="00422183">
              <w:rPr>
                <w:rFonts w:ascii="Rockwell" w:hAnsi="Rockwell"/>
                <w:b/>
                <w:i/>
                <w:sz w:val="22"/>
                <w:szCs w:val="18"/>
              </w:rPr>
              <w:t>Le Burkina Faso, une nation démocratique, unie et solidaire, transformant la structure de son économie et réalisant une croissance forte et inclusive, au moyen de modes de consommation et de production durables</w:t>
            </w:r>
            <w:r w:rsidRPr="00422183">
              <w:rPr>
                <w:rFonts w:ascii="Rockwell" w:hAnsi="Rockwell"/>
                <w:b/>
                <w:sz w:val="22"/>
                <w:szCs w:val="18"/>
              </w:rPr>
              <w:t>.</w:t>
            </w:r>
          </w:p>
        </w:tc>
      </w:tr>
      <w:tr w:rsidR="00912504" w:rsidRPr="00422183" w:rsidTr="0072204A">
        <w:trPr>
          <w:trHeight w:val="284"/>
        </w:trPr>
        <w:tc>
          <w:tcPr>
            <w:tcW w:w="1667" w:type="dxa"/>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Impacts attendus</w:t>
            </w:r>
          </w:p>
        </w:tc>
        <w:tc>
          <w:tcPr>
            <w:tcW w:w="13042" w:type="dxa"/>
            <w:gridSpan w:val="5"/>
            <w:vAlign w:val="center"/>
          </w:tcPr>
          <w:p w:rsidR="00912504" w:rsidRPr="00422183" w:rsidRDefault="00912504" w:rsidP="00516FB0">
            <w:pPr>
              <w:jc w:val="both"/>
              <w:rPr>
                <w:rFonts w:ascii="Rockwell" w:hAnsi="Rockwell"/>
                <w:sz w:val="18"/>
                <w:szCs w:val="18"/>
              </w:rPr>
            </w:pPr>
            <w:r w:rsidRPr="00422183">
              <w:rPr>
                <w:rFonts w:ascii="Rockwell" w:hAnsi="Rockwell"/>
                <w:sz w:val="18"/>
                <w:szCs w:val="18"/>
              </w:rPr>
              <w:t>L</w:t>
            </w:r>
            <w:r w:rsidR="006C72DE" w:rsidRPr="00422183">
              <w:rPr>
                <w:rFonts w:ascii="Rockwell" w:hAnsi="Rockwell"/>
                <w:sz w:val="18"/>
                <w:szCs w:val="18"/>
              </w:rPr>
              <w:t>'</w:t>
            </w:r>
            <w:r w:rsidRPr="00422183">
              <w:rPr>
                <w:rFonts w:ascii="Rockwell" w:hAnsi="Rockwell"/>
                <w:sz w:val="18"/>
                <w:szCs w:val="18"/>
              </w:rPr>
              <w:t>émergence d</w:t>
            </w:r>
            <w:r w:rsidR="006C72DE" w:rsidRPr="00422183">
              <w:rPr>
                <w:rFonts w:ascii="Rockwell" w:hAnsi="Rockwell"/>
                <w:sz w:val="18"/>
                <w:szCs w:val="18"/>
              </w:rPr>
              <w:t>'</w:t>
            </w:r>
            <w:r w:rsidRPr="00422183">
              <w:rPr>
                <w:rFonts w:ascii="Rockwell" w:hAnsi="Rockwell"/>
                <w:sz w:val="18"/>
                <w:szCs w:val="18"/>
              </w:rPr>
              <w:t>une économie moderne, basée sur un secteur primaire évolutif et des industries de transformation et de services de plus en plus dynamiques, avec une croissance économique soutenue de 7,3%, créatrice d</w:t>
            </w:r>
            <w:r w:rsidR="006C72DE" w:rsidRPr="00422183">
              <w:rPr>
                <w:rFonts w:ascii="Rockwell" w:hAnsi="Rockwell"/>
                <w:sz w:val="18"/>
                <w:szCs w:val="18"/>
              </w:rPr>
              <w:t>'</w:t>
            </w:r>
            <w:r w:rsidRPr="00422183">
              <w:rPr>
                <w:rFonts w:ascii="Rockwell" w:hAnsi="Rockwell"/>
                <w:sz w:val="18"/>
                <w:szCs w:val="18"/>
              </w:rPr>
              <w:t>au moins 130 000 emplois productifs par an, susceptible de faire baisser l</w:t>
            </w:r>
            <w:r w:rsidR="006C72DE" w:rsidRPr="00422183">
              <w:rPr>
                <w:rFonts w:ascii="Rockwell" w:hAnsi="Rockwell"/>
                <w:sz w:val="18"/>
                <w:szCs w:val="18"/>
              </w:rPr>
              <w:t>'</w:t>
            </w:r>
            <w:r w:rsidRPr="00422183">
              <w:rPr>
                <w:rFonts w:ascii="Rockwell" w:hAnsi="Rockwell"/>
                <w:sz w:val="18"/>
                <w:szCs w:val="18"/>
              </w:rPr>
              <w:t>incidence de pauvreté à moins de 35% et maitrisant la croissance démographique à 2,7% à l</w:t>
            </w:r>
            <w:r w:rsidR="006C72DE" w:rsidRPr="00422183">
              <w:rPr>
                <w:rFonts w:ascii="Rockwell" w:hAnsi="Rockwell"/>
                <w:sz w:val="18"/>
                <w:szCs w:val="18"/>
              </w:rPr>
              <w:t>'</w:t>
            </w:r>
            <w:r w:rsidRPr="00422183">
              <w:rPr>
                <w:rFonts w:ascii="Rockwell" w:hAnsi="Rockwell"/>
                <w:sz w:val="18"/>
                <w:szCs w:val="18"/>
              </w:rPr>
              <w:t>horizon 2020.</w:t>
            </w:r>
          </w:p>
        </w:tc>
      </w:tr>
      <w:tr w:rsidR="00912504" w:rsidRPr="00422183" w:rsidTr="0072204A">
        <w:trPr>
          <w:trHeight w:val="284"/>
        </w:trPr>
        <w:tc>
          <w:tcPr>
            <w:tcW w:w="1667" w:type="dxa"/>
            <w:vMerge w:val="restart"/>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w:t>
            </w:r>
            <w:r w:rsidR="006C72DE" w:rsidRPr="00422183">
              <w:rPr>
                <w:rFonts w:ascii="Rockwell" w:hAnsi="Rockwell"/>
                <w:b/>
                <w:sz w:val="18"/>
                <w:szCs w:val="18"/>
              </w:rPr>
              <w:t>'</w:t>
            </w:r>
            <w:r w:rsidRPr="00422183">
              <w:rPr>
                <w:rFonts w:ascii="Rockwell" w:hAnsi="Rockwell"/>
                <w:b/>
                <w:sz w:val="18"/>
                <w:szCs w:val="18"/>
              </w:rPr>
              <w:t>impact</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 xml:space="preserve">Références 2015 </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Cibles 2018</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Cibles 2020</w:t>
            </w:r>
          </w:p>
        </w:tc>
        <w:tc>
          <w:tcPr>
            <w:tcW w:w="4111"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Hypothèses</w:t>
            </w: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Incidence de pauvreté</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 xml:space="preserve">40,1% </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38%</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35%</w:t>
            </w:r>
          </w:p>
        </w:tc>
        <w:tc>
          <w:tcPr>
            <w:tcW w:w="4111" w:type="dxa"/>
            <w:vMerge w:val="restart"/>
            <w:vAlign w:val="center"/>
          </w:tcPr>
          <w:p w:rsidR="00912504" w:rsidRPr="00422183" w:rsidRDefault="00912504" w:rsidP="004102F5">
            <w:pPr>
              <w:pStyle w:val="Paragraphedeliste"/>
              <w:numPr>
                <w:ilvl w:val="0"/>
                <w:numId w:val="9"/>
              </w:numPr>
              <w:ind w:left="175" w:hanging="218"/>
              <w:jc w:val="both"/>
              <w:rPr>
                <w:rFonts w:ascii="Rockwell" w:hAnsi="Rockwell"/>
                <w:sz w:val="18"/>
                <w:szCs w:val="18"/>
              </w:rPr>
            </w:pPr>
            <w:r w:rsidRPr="00422183">
              <w:rPr>
                <w:rFonts w:ascii="Rockwell" w:hAnsi="Rockwell"/>
                <w:sz w:val="18"/>
                <w:szCs w:val="18"/>
              </w:rPr>
              <w:t>Renforcement de la sécurité, de la paix sociale et de la justice</w:t>
            </w:r>
          </w:p>
          <w:p w:rsidR="00912504" w:rsidRPr="00422183" w:rsidRDefault="00912504" w:rsidP="004102F5">
            <w:pPr>
              <w:pStyle w:val="Paragraphedeliste"/>
              <w:numPr>
                <w:ilvl w:val="0"/>
                <w:numId w:val="9"/>
              </w:numPr>
              <w:ind w:left="175" w:hanging="218"/>
              <w:jc w:val="both"/>
              <w:rPr>
                <w:rFonts w:ascii="Rockwell" w:hAnsi="Rockwell"/>
                <w:sz w:val="18"/>
                <w:szCs w:val="18"/>
              </w:rPr>
            </w:pPr>
            <w:r w:rsidRPr="00422183">
              <w:rPr>
                <w:rFonts w:ascii="Rockwell" w:hAnsi="Rockwell"/>
                <w:sz w:val="18"/>
                <w:szCs w:val="18"/>
              </w:rPr>
              <w:t>Mobilisation conséquente de ressources pour le financement du développement</w:t>
            </w:r>
          </w:p>
          <w:p w:rsidR="00912504" w:rsidRPr="00422183" w:rsidRDefault="00912504" w:rsidP="004102F5">
            <w:pPr>
              <w:pStyle w:val="Paragraphedeliste"/>
              <w:numPr>
                <w:ilvl w:val="0"/>
                <w:numId w:val="9"/>
              </w:numPr>
              <w:ind w:left="175" w:hanging="218"/>
              <w:jc w:val="both"/>
              <w:rPr>
                <w:rFonts w:ascii="Rockwell" w:hAnsi="Rockwell"/>
                <w:sz w:val="18"/>
                <w:szCs w:val="18"/>
              </w:rPr>
            </w:pPr>
            <w:r w:rsidRPr="00422183">
              <w:rPr>
                <w:rFonts w:ascii="Rockwell" w:hAnsi="Rockwell"/>
                <w:sz w:val="18"/>
                <w:szCs w:val="18"/>
              </w:rPr>
              <w:t xml:space="preserve">Meilleure adaptation aux chocs extérieurs et aux changements climatiques </w:t>
            </w: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Incidence de pauvreté en milieu rural</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47,5%</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44%</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38%</w:t>
            </w:r>
          </w:p>
        </w:tc>
        <w:tc>
          <w:tcPr>
            <w:tcW w:w="4111" w:type="dxa"/>
            <w:vMerge/>
            <w:vAlign w:val="center"/>
          </w:tcPr>
          <w:p w:rsidR="00912504" w:rsidRPr="00422183" w:rsidRDefault="00912504" w:rsidP="003A0820">
            <w:pPr>
              <w:jc w:val="both"/>
              <w:rPr>
                <w:rFonts w:ascii="Rockwell" w:hAnsi="Rockwell"/>
                <w:sz w:val="18"/>
                <w:szCs w:val="18"/>
              </w:rPr>
            </w:pP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Profondeur de la pauvreté</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 xml:space="preserve"> 3,3%</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2,7%</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1,6%</w:t>
            </w:r>
          </w:p>
        </w:tc>
        <w:tc>
          <w:tcPr>
            <w:tcW w:w="4111" w:type="dxa"/>
            <w:vMerge/>
            <w:vAlign w:val="center"/>
          </w:tcPr>
          <w:p w:rsidR="00912504" w:rsidRPr="00422183" w:rsidRDefault="00912504" w:rsidP="003A0820">
            <w:pPr>
              <w:jc w:val="both"/>
              <w:rPr>
                <w:rFonts w:ascii="Rockwell" w:hAnsi="Rockwell"/>
                <w:sz w:val="18"/>
                <w:szCs w:val="18"/>
              </w:rPr>
            </w:pPr>
          </w:p>
        </w:tc>
      </w:tr>
      <w:tr w:rsidR="000256B3" w:rsidRPr="00422183" w:rsidTr="0072204A">
        <w:trPr>
          <w:trHeight w:val="284"/>
        </w:trPr>
        <w:tc>
          <w:tcPr>
            <w:tcW w:w="1667" w:type="dxa"/>
            <w:vMerge/>
            <w:vAlign w:val="center"/>
          </w:tcPr>
          <w:p w:rsidR="000256B3" w:rsidRPr="00422183" w:rsidRDefault="000256B3" w:rsidP="003A0820">
            <w:pPr>
              <w:jc w:val="both"/>
              <w:rPr>
                <w:rFonts w:ascii="Rockwell" w:hAnsi="Rockwell"/>
                <w:sz w:val="18"/>
                <w:szCs w:val="18"/>
              </w:rPr>
            </w:pPr>
          </w:p>
        </w:tc>
        <w:tc>
          <w:tcPr>
            <w:tcW w:w="5667" w:type="dxa"/>
            <w:vAlign w:val="center"/>
          </w:tcPr>
          <w:p w:rsidR="000256B3" w:rsidRPr="00422183" w:rsidRDefault="000256B3" w:rsidP="003A0820">
            <w:pPr>
              <w:jc w:val="both"/>
              <w:rPr>
                <w:rFonts w:ascii="Rockwell" w:hAnsi="Rockwell"/>
                <w:sz w:val="18"/>
                <w:szCs w:val="18"/>
              </w:rPr>
            </w:pPr>
            <w:r w:rsidRPr="00422183">
              <w:rPr>
                <w:rFonts w:ascii="Rockwell" w:hAnsi="Rockwell"/>
                <w:sz w:val="18"/>
                <w:szCs w:val="18"/>
              </w:rPr>
              <w:t>Taux de croissance économique</w:t>
            </w:r>
          </w:p>
        </w:tc>
        <w:tc>
          <w:tcPr>
            <w:tcW w:w="1276" w:type="dxa"/>
            <w:vAlign w:val="center"/>
          </w:tcPr>
          <w:p w:rsidR="000256B3" w:rsidRPr="00422183" w:rsidRDefault="000256B3" w:rsidP="003A0820">
            <w:pPr>
              <w:jc w:val="both"/>
              <w:rPr>
                <w:rFonts w:ascii="Rockwell" w:hAnsi="Rockwell"/>
                <w:sz w:val="18"/>
                <w:szCs w:val="18"/>
              </w:rPr>
            </w:pPr>
            <w:r w:rsidRPr="00422183">
              <w:rPr>
                <w:rFonts w:ascii="Rockwell" w:hAnsi="Rockwell"/>
                <w:sz w:val="18"/>
                <w:szCs w:val="18"/>
              </w:rPr>
              <w:t xml:space="preserve">4,0% </w:t>
            </w:r>
          </w:p>
        </w:tc>
        <w:tc>
          <w:tcPr>
            <w:tcW w:w="996" w:type="dxa"/>
            <w:vAlign w:val="center"/>
          </w:tcPr>
          <w:p w:rsidR="000256B3" w:rsidRPr="00422183" w:rsidRDefault="000256B3" w:rsidP="003A0820">
            <w:pPr>
              <w:jc w:val="both"/>
              <w:rPr>
                <w:rFonts w:ascii="Rockwell" w:hAnsi="Rockwell"/>
                <w:sz w:val="18"/>
                <w:szCs w:val="18"/>
              </w:rPr>
            </w:pPr>
            <w:r w:rsidRPr="00422183">
              <w:rPr>
                <w:rFonts w:ascii="Rockwell" w:hAnsi="Rockwell"/>
                <w:sz w:val="18"/>
                <w:szCs w:val="18"/>
              </w:rPr>
              <w:t>9,5%</w:t>
            </w:r>
          </w:p>
        </w:tc>
        <w:tc>
          <w:tcPr>
            <w:tcW w:w="992" w:type="dxa"/>
            <w:vAlign w:val="center"/>
          </w:tcPr>
          <w:p w:rsidR="000256B3" w:rsidRPr="00422183" w:rsidRDefault="000256B3" w:rsidP="003A0820">
            <w:pPr>
              <w:jc w:val="both"/>
              <w:rPr>
                <w:rFonts w:ascii="Rockwell" w:hAnsi="Rockwell"/>
                <w:sz w:val="18"/>
                <w:szCs w:val="18"/>
              </w:rPr>
            </w:pPr>
            <w:r w:rsidRPr="00422183">
              <w:rPr>
                <w:rFonts w:ascii="Rockwell" w:hAnsi="Rockwell"/>
                <w:sz w:val="18"/>
                <w:szCs w:val="18"/>
              </w:rPr>
              <w:t>8,9%</w:t>
            </w:r>
          </w:p>
        </w:tc>
        <w:tc>
          <w:tcPr>
            <w:tcW w:w="4111" w:type="dxa"/>
            <w:vMerge/>
            <w:vAlign w:val="center"/>
          </w:tcPr>
          <w:p w:rsidR="000256B3" w:rsidRPr="00422183" w:rsidRDefault="000256B3" w:rsidP="003A0820">
            <w:pPr>
              <w:jc w:val="both"/>
              <w:rPr>
                <w:rFonts w:ascii="Rockwell" w:hAnsi="Rockwell"/>
                <w:sz w:val="18"/>
                <w:szCs w:val="18"/>
              </w:rPr>
            </w:pP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Part de l</w:t>
            </w:r>
            <w:r w:rsidR="006C72DE" w:rsidRPr="00422183">
              <w:rPr>
                <w:rFonts w:ascii="Rockwell" w:hAnsi="Rockwell"/>
                <w:sz w:val="18"/>
                <w:szCs w:val="18"/>
              </w:rPr>
              <w:t>'</w:t>
            </w:r>
            <w:r w:rsidRPr="00422183">
              <w:rPr>
                <w:rFonts w:ascii="Rockwell" w:hAnsi="Rockwell"/>
                <w:sz w:val="18"/>
                <w:szCs w:val="18"/>
              </w:rPr>
              <w:t>industrie manufacturière dans le PIB</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6,6%</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8%</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12%</w:t>
            </w:r>
          </w:p>
        </w:tc>
        <w:tc>
          <w:tcPr>
            <w:tcW w:w="4111" w:type="dxa"/>
            <w:vMerge/>
            <w:vAlign w:val="center"/>
          </w:tcPr>
          <w:p w:rsidR="00912504" w:rsidRPr="00422183" w:rsidRDefault="00912504" w:rsidP="003A0820">
            <w:pPr>
              <w:jc w:val="both"/>
              <w:rPr>
                <w:rFonts w:ascii="Rockwell" w:hAnsi="Rockwell"/>
                <w:sz w:val="18"/>
                <w:szCs w:val="18"/>
              </w:rPr>
            </w:pP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Part des produits manufacturés dans les exportations de biens</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10,6%</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15%</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20%</w:t>
            </w:r>
          </w:p>
        </w:tc>
        <w:tc>
          <w:tcPr>
            <w:tcW w:w="4111" w:type="dxa"/>
            <w:vMerge/>
            <w:vAlign w:val="center"/>
          </w:tcPr>
          <w:p w:rsidR="00912504" w:rsidRPr="00422183" w:rsidRDefault="00912504" w:rsidP="003A0820">
            <w:pPr>
              <w:jc w:val="both"/>
              <w:rPr>
                <w:rFonts w:ascii="Rockwell" w:hAnsi="Rockwell"/>
                <w:sz w:val="18"/>
                <w:szCs w:val="18"/>
              </w:rPr>
            </w:pP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Productivité de la main-d</w:t>
            </w:r>
            <w:r w:rsidR="006C72DE" w:rsidRPr="00422183">
              <w:rPr>
                <w:rFonts w:ascii="Rockwell" w:hAnsi="Rockwell"/>
                <w:sz w:val="18"/>
                <w:szCs w:val="18"/>
              </w:rPr>
              <w:t>'</w:t>
            </w:r>
            <w:r w:rsidRPr="00422183">
              <w:rPr>
                <w:rFonts w:ascii="Rockwell" w:hAnsi="Rockwell"/>
                <w:sz w:val="18"/>
                <w:szCs w:val="18"/>
              </w:rPr>
              <w:t>œuvre occupée (en milliers de FCFA)</w:t>
            </w:r>
          </w:p>
        </w:tc>
        <w:tc>
          <w:tcPr>
            <w:tcW w:w="127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818,6</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950</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1050</w:t>
            </w:r>
          </w:p>
        </w:tc>
        <w:tc>
          <w:tcPr>
            <w:tcW w:w="4111" w:type="dxa"/>
            <w:vMerge/>
            <w:vAlign w:val="center"/>
          </w:tcPr>
          <w:p w:rsidR="00912504" w:rsidRPr="00422183" w:rsidRDefault="00912504" w:rsidP="003A0820">
            <w:pPr>
              <w:jc w:val="both"/>
              <w:rPr>
                <w:rFonts w:ascii="Rockwell" w:hAnsi="Rockwell"/>
                <w:sz w:val="18"/>
                <w:szCs w:val="18"/>
              </w:rPr>
            </w:pPr>
          </w:p>
        </w:tc>
      </w:tr>
      <w:tr w:rsidR="00912504" w:rsidRPr="00422183" w:rsidTr="0072204A">
        <w:trPr>
          <w:trHeight w:val="284"/>
        </w:trPr>
        <w:tc>
          <w:tcPr>
            <w:tcW w:w="1667" w:type="dxa"/>
            <w:vMerge/>
            <w:vAlign w:val="center"/>
          </w:tcPr>
          <w:p w:rsidR="00912504" w:rsidRPr="00422183" w:rsidRDefault="00912504" w:rsidP="003A0820">
            <w:pPr>
              <w:jc w:val="both"/>
              <w:rPr>
                <w:rFonts w:ascii="Rockwell" w:hAnsi="Rockwell"/>
                <w:sz w:val="18"/>
                <w:szCs w:val="18"/>
              </w:rPr>
            </w:pPr>
          </w:p>
        </w:tc>
        <w:tc>
          <w:tcPr>
            <w:tcW w:w="5667"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Nombre moyen d</w:t>
            </w:r>
            <w:r w:rsidR="006C72DE" w:rsidRPr="00422183">
              <w:rPr>
                <w:rFonts w:ascii="Rockwell" w:hAnsi="Rockwell"/>
                <w:sz w:val="18"/>
                <w:szCs w:val="18"/>
              </w:rPr>
              <w:t>'</w:t>
            </w:r>
            <w:r w:rsidRPr="00422183">
              <w:rPr>
                <w:rFonts w:ascii="Rockwell" w:hAnsi="Rockwell"/>
                <w:sz w:val="18"/>
                <w:szCs w:val="18"/>
              </w:rPr>
              <w:t xml:space="preserve">emplois productifs créés par an </w:t>
            </w:r>
          </w:p>
        </w:tc>
        <w:tc>
          <w:tcPr>
            <w:tcW w:w="1276" w:type="dxa"/>
            <w:vAlign w:val="center"/>
          </w:tcPr>
          <w:p w:rsidR="00912504" w:rsidRPr="00422183" w:rsidRDefault="000256B3" w:rsidP="003A0820">
            <w:pPr>
              <w:jc w:val="both"/>
              <w:rPr>
                <w:rFonts w:ascii="Rockwell" w:hAnsi="Rockwell"/>
                <w:sz w:val="18"/>
                <w:szCs w:val="18"/>
              </w:rPr>
            </w:pPr>
            <w:r w:rsidRPr="00422183">
              <w:rPr>
                <w:rFonts w:ascii="Rockwell" w:hAnsi="Rockwell"/>
                <w:sz w:val="18"/>
                <w:szCs w:val="18"/>
              </w:rPr>
              <w:t xml:space="preserve">53 </w:t>
            </w:r>
            <w:r w:rsidR="005651EB" w:rsidRPr="00422183">
              <w:rPr>
                <w:rFonts w:ascii="Rockwell" w:hAnsi="Rockwell"/>
                <w:sz w:val="18"/>
                <w:szCs w:val="18"/>
              </w:rPr>
              <w:t>2</w:t>
            </w:r>
            <w:r w:rsidR="00912504" w:rsidRPr="00422183">
              <w:rPr>
                <w:rFonts w:ascii="Rockwell" w:hAnsi="Rockwell"/>
                <w:sz w:val="18"/>
                <w:szCs w:val="18"/>
              </w:rPr>
              <w:t>00</w:t>
            </w:r>
          </w:p>
        </w:tc>
        <w:tc>
          <w:tcPr>
            <w:tcW w:w="996"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80 000</w:t>
            </w:r>
          </w:p>
        </w:tc>
        <w:tc>
          <w:tcPr>
            <w:tcW w:w="992" w:type="dxa"/>
            <w:vAlign w:val="center"/>
          </w:tcPr>
          <w:p w:rsidR="00912504" w:rsidRPr="00422183" w:rsidRDefault="00912504" w:rsidP="003A0820">
            <w:pPr>
              <w:jc w:val="both"/>
              <w:rPr>
                <w:rFonts w:ascii="Rockwell" w:hAnsi="Rockwell"/>
                <w:sz w:val="18"/>
                <w:szCs w:val="18"/>
              </w:rPr>
            </w:pPr>
            <w:r w:rsidRPr="00422183">
              <w:rPr>
                <w:rFonts w:ascii="Rockwell" w:hAnsi="Rockwell"/>
                <w:sz w:val="18"/>
                <w:szCs w:val="18"/>
              </w:rPr>
              <w:t>130 000</w:t>
            </w:r>
          </w:p>
        </w:tc>
        <w:tc>
          <w:tcPr>
            <w:tcW w:w="4111" w:type="dxa"/>
            <w:vMerge/>
            <w:vAlign w:val="center"/>
          </w:tcPr>
          <w:p w:rsidR="00912504" w:rsidRPr="00422183" w:rsidRDefault="00912504" w:rsidP="003A0820">
            <w:pPr>
              <w:jc w:val="both"/>
              <w:rPr>
                <w:rFonts w:ascii="Rockwell" w:hAnsi="Rockwell"/>
                <w:sz w:val="18"/>
                <w:szCs w:val="18"/>
              </w:rPr>
            </w:pPr>
          </w:p>
        </w:tc>
      </w:tr>
    </w:tbl>
    <w:p w:rsidR="00912504" w:rsidRPr="00422183" w:rsidRDefault="00912504" w:rsidP="003A0820">
      <w:pPr>
        <w:spacing w:after="0" w:line="240" w:lineRule="auto"/>
        <w:jc w:val="both"/>
        <w:rPr>
          <w:rFonts w:ascii="Rockwell" w:hAnsi="Rockwell"/>
        </w:rPr>
      </w:pPr>
    </w:p>
    <w:p w:rsidR="00C117DF" w:rsidRPr="00422183" w:rsidRDefault="00A20044" w:rsidP="00516FB0">
      <w:pPr>
        <w:spacing w:after="0" w:line="240" w:lineRule="auto"/>
        <w:jc w:val="both"/>
        <w:rPr>
          <w:rFonts w:ascii="Rockwell" w:hAnsi="Rockwell"/>
          <w:b/>
          <w:sz w:val="24"/>
          <w:szCs w:val="24"/>
        </w:rPr>
      </w:pPr>
      <w:r w:rsidRPr="00422183">
        <w:rPr>
          <w:rFonts w:ascii="Rockwell" w:hAnsi="Rockwell"/>
          <w:b/>
          <w:sz w:val="24"/>
          <w:szCs w:val="24"/>
        </w:rPr>
        <w:t>Annexe 3</w:t>
      </w:r>
      <w:r w:rsidR="00C117DF" w:rsidRPr="00422183">
        <w:rPr>
          <w:rFonts w:ascii="Rockwell" w:hAnsi="Rockwell"/>
          <w:b/>
          <w:sz w:val="24"/>
          <w:szCs w:val="24"/>
        </w:rPr>
        <w:t xml:space="preserve"> : </w:t>
      </w:r>
      <w:r w:rsidR="0072204A" w:rsidRPr="00422183">
        <w:rPr>
          <w:rFonts w:ascii="Rockwell" w:hAnsi="Rockwell"/>
          <w:b/>
          <w:sz w:val="24"/>
          <w:szCs w:val="24"/>
        </w:rPr>
        <w:t>s</w:t>
      </w:r>
      <w:r w:rsidR="00C117DF" w:rsidRPr="00422183">
        <w:rPr>
          <w:rFonts w:ascii="Rockwell" w:hAnsi="Rockwell" w:cs="Times New Roman"/>
          <w:b/>
          <w:sz w:val="24"/>
          <w:szCs w:val="24"/>
        </w:rPr>
        <w:t>ynthèse des orientations, objectifs stratégiques, effets attendus, indicateurs et cibles du PNDES</w:t>
      </w:r>
    </w:p>
    <w:p w:rsidR="00C117DF" w:rsidRPr="00422183" w:rsidRDefault="00C117DF" w:rsidP="003A0820">
      <w:pPr>
        <w:spacing w:after="0" w:line="240" w:lineRule="auto"/>
        <w:jc w:val="both"/>
        <w:rPr>
          <w:rFonts w:ascii="Rockwell" w:hAnsi="Rockwell"/>
        </w:rPr>
      </w:pPr>
    </w:p>
    <w:tbl>
      <w:tblPr>
        <w:tblStyle w:val="Grilledutableau1"/>
        <w:tblW w:w="15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89"/>
        <w:gridCol w:w="6903"/>
        <w:gridCol w:w="1548"/>
        <w:gridCol w:w="53"/>
        <w:gridCol w:w="17"/>
        <w:gridCol w:w="1478"/>
        <w:gridCol w:w="12"/>
        <w:gridCol w:w="1559"/>
      </w:tblGrid>
      <w:tr w:rsidR="005651EB" w:rsidRPr="00422183" w:rsidTr="00EA7383">
        <w:trPr>
          <w:trHeight w:val="300"/>
          <w:tblHeader/>
        </w:trPr>
        <w:tc>
          <w:tcPr>
            <w:tcW w:w="3989" w:type="dxa"/>
            <w:shd w:val="clear" w:color="auto" w:fill="DBE5F1" w:themeFill="accent1" w:themeFillTint="33"/>
            <w:noWrap/>
            <w:vAlign w:val="center"/>
            <w:hideMark/>
          </w:tcPr>
          <w:p w:rsidR="005651EB" w:rsidRPr="00422183" w:rsidRDefault="005651EB" w:rsidP="00EA7383">
            <w:pPr>
              <w:rPr>
                <w:rFonts w:ascii="Rockwell" w:hAnsi="Rockwell"/>
                <w:b/>
                <w:sz w:val="18"/>
                <w:szCs w:val="18"/>
              </w:rPr>
            </w:pPr>
            <w:r w:rsidRPr="00422183">
              <w:rPr>
                <w:rFonts w:ascii="Rockwell" w:hAnsi="Rockwell"/>
                <w:b/>
                <w:sz w:val="18"/>
                <w:szCs w:val="18"/>
              </w:rPr>
              <w:t>Effets attendus (EA)</w:t>
            </w:r>
          </w:p>
        </w:tc>
        <w:tc>
          <w:tcPr>
            <w:tcW w:w="6903" w:type="dxa"/>
            <w:shd w:val="clear" w:color="auto" w:fill="DBE5F1" w:themeFill="accent1" w:themeFillTint="33"/>
            <w:hideMark/>
          </w:tcPr>
          <w:p w:rsidR="005651EB" w:rsidRPr="00422183" w:rsidRDefault="005651EB" w:rsidP="003A0820">
            <w:pPr>
              <w:jc w:val="both"/>
              <w:rPr>
                <w:rFonts w:ascii="Rockwell" w:hAnsi="Rockwell"/>
                <w:b/>
                <w:sz w:val="18"/>
                <w:szCs w:val="18"/>
              </w:rPr>
            </w:pPr>
            <w:r w:rsidRPr="00422183">
              <w:rPr>
                <w:rFonts w:ascii="Rockwell" w:hAnsi="Rockwell"/>
                <w:b/>
                <w:sz w:val="18"/>
                <w:szCs w:val="18"/>
              </w:rPr>
              <w:t>Indicateurs d’effets</w:t>
            </w:r>
          </w:p>
        </w:tc>
        <w:tc>
          <w:tcPr>
            <w:tcW w:w="1601" w:type="dxa"/>
            <w:gridSpan w:val="2"/>
            <w:shd w:val="clear" w:color="auto" w:fill="DBE5F1" w:themeFill="accent1" w:themeFillTint="33"/>
            <w:noWrap/>
            <w:hideMark/>
          </w:tcPr>
          <w:p w:rsidR="005651EB" w:rsidRPr="00422183" w:rsidRDefault="005651EB" w:rsidP="003A0820">
            <w:pPr>
              <w:jc w:val="both"/>
              <w:rPr>
                <w:rFonts w:ascii="Rockwell" w:hAnsi="Rockwell"/>
                <w:b/>
                <w:sz w:val="18"/>
                <w:szCs w:val="18"/>
              </w:rPr>
            </w:pPr>
            <w:r w:rsidRPr="00422183">
              <w:rPr>
                <w:rFonts w:ascii="Rockwell" w:hAnsi="Rockwell"/>
                <w:b/>
                <w:sz w:val="18"/>
                <w:szCs w:val="18"/>
              </w:rPr>
              <w:t>Réf. 2015</w:t>
            </w:r>
          </w:p>
        </w:tc>
        <w:tc>
          <w:tcPr>
            <w:tcW w:w="1495" w:type="dxa"/>
            <w:gridSpan w:val="2"/>
            <w:shd w:val="clear" w:color="auto" w:fill="DBE5F1" w:themeFill="accent1" w:themeFillTint="33"/>
            <w:noWrap/>
            <w:hideMark/>
          </w:tcPr>
          <w:p w:rsidR="005651EB" w:rsidRPr="00422183" w:rsidRDefault="005651EB" w:rsidP="003A0820">
            <w:pPr>
              <w:jc w:val="both"/>
              <w:rPr>
                <w:rFonts w:ascii="Rockwell" w:hAnsi="Rockwell"/>
                <w:b/>
                <w:sz w:val="18"/>
                <w:szCs w:val="18"/>
              </w:rPr>
            </w:pPr>
            <w:r w:rsidRPr="00422183">
              <w:rPr>
                <w:rFonts w:ascii="Rockwell" w:hAnsi="Rockwell"/>
                <w:b/>
                <w:sz w:val="18"/>
                <w:szCs w:val="18"/>
              </w:rPr>
              <w:t>Cibles 2018</w:t>
            </w:r>
          </w:p>
        </w:tc>
        <w:tc>
          <w:tcPr>
            <w:tcW w:w="1571" w:type="dxa"/>
            <w:gridSpan w:val="2"/>
            <w:shd w:val="clear" w:color="auto" w:fill="DBE5F1" w:themeFill="accent1" w:themeFillTint="33"/>
            <w:noWrap/>
            <w:hideMark/>
          </w:tcPr>
          <w:p w:rsidR="005651EB" w:rsidRPr="00422183" w:rsidRDefault="005651EB" w:rsidP="003A0820">
            <w:pPr>
              <w:jc w:val="both"/>
              <w:rPr>
                <w:rFonts w:ascii="Rockwell" w:hAnsi="Rockwell"/>
                <w:b/>
                <w:sz w:val="18"/>
                <w:szCs w:val="18"/>
              </w:rPr>
            </w:pPr>
            <w:r w:rsidRPr="00422183">
              <w:rPr>
                <w:rFonts w:ascii="Rockwell" w:hAnsi="Rockwell"/>
                <w:b/>
                <w:sz w:val="18"/>
                <w:szCs w:val="18"/>
              </w:rPr>
              <w:t>Cibles 2020</w:t>
            </w:r>
          </w:p>
        </w:tc>
      </w:tr>
      <w:tr w:rsidR="005651EB" w:rsidRPr="00422183" w:rsidTr="00EA7383">
        <w:trPr>
          <w:trHeight w:val="300"/>
        </w:trPr>
        <w:tc>
          <w:tcPr>
            <w:tcW w:w="10892" w:type="dxa"/>
            <w:gridSpan w:val="2"/>
            <w:noWrap/>
            <w:vAlign w:val="center"/>
            <w:hideMark/>
          </w:tcPr>
          <w:p w:rsidR="005651EB" w:rsidRPr="00422183" w:rsidRDefault="005651EB" w:rsidP="00EA7383">
            <w:pPr>
              <w:rPr>
                <w:rFonts w:ascii="Rockwell" w:hAnsi="Rockwell"/>
                <w:b/>
                <w:sz w:val="18"/>
                <w:szCs w:val="18"/>
              </w:rPr>
            </w:pPr>
            <w:r w:rsidRPr="00422183">
              <w:rPr>
                <w:rFonts w:ascii="Rockwell" w:hAnsi="Rockwell"/>
                <w:b/>
                <w:sz w:val="18"/>
                <w:szCs w:val="18"/>
              </w:rPr>
              <w:t>Axe 1 : Réformer les institutions et moderniser l’administration</w:t>
            </w:r>
          </w:p>
        </w:tc>
        <w:tc>
          <w:tcPr>
            <w:tcW w:w="1601" w:type="dxa"/>
            <w:gridSpan w:val="2"/>
            <w:noWrap/>
            <w:hideMark/>
          </w:tcPr>
          <w:p w:rsidR="005651EB" w:rsidRPr="00422183" w:rsidRDefault="005651EB" w:rsidP="003A0820">
            <w:pPr>
              <w:jc w:val="both"/>
              <w:rPr>
                <w:rFonts w:ascii="Rockwell" w:hAnsi="Rockwell"/>
                <w:b/>
                <w:sz w:val="18"/>
                <w:szCs w:val="18"/>
              </w:rPr>
            </w:pPr>
          </w:p>
        </w:tc>
        <w:tc>
          <w:tcPr>
            <w:tcW w:w="1495" w:type="dxa"/>
            <w:gridSpan w:val="2"/>
            <w:noWrap/>
            <w:hideMark/>
          </w:tcPr>
          <w:p w:rsidR="005651EB" w:rsidRPr="00422183" w:rsidRDefault="005651EB" w:rsidP="003A0820">
            <w:pPr>
              <w:jc w:val="both"/>
              <w:rPr>
                <w:rFonts w:ascii="Rockwell" w:hAnsi="Rockwell"/>
                <w:b/>
                <w:sz w:val="18"/>
                <w:szCs w:val="18"/>
              </w:rPr>
            </w:pPr>
          </w:p>
        </w:tc>
        <w:tc>
          <w:tcPr>
            <w:tcW w:w="1571" w:type="dxa"/>
            <w:gridSpan w:val="2"/>
            <w:noWrap/>
            <w:hideMark/>
          </w:tcPr>
          <w:p w:rsidR="005651EB" w:rsidRPr="00422183" w:rsidRDefault="005651EB" w:rsidP="003A0820">
            <w:pPr>
              <w:jc w:val="both"/>
              <w:rPr>
                <w:rFonts w:ascii="Rockwell" w:hAnsi="Rockwell"/>
                <w:b/>
                <w:sz w:val="18"/>
                <w:szCs w:val="18"/>
              </w:rPr>
            </w:pPr>
          </w:p>
        </w:tc>
      </w:tr>
      <w:tr w:rsidR="005651EB" w:rsidRPr="00422183" w:rsidTr="00EA7383">
        <w:trPr>
          <w:trHeight w:val="345"/>
        </w:trPr>
        <w:tc>
          <w:tcPr>
            <w:tcW w:w="14000" w:type="dxa"/>
            <w:gridSpan w:val="7"/>
            <w:noWrap/>
            <w:vAlign w:val="center"/>
            <w:hideMark/>
          </w:tcPr>
          <w:p w:rsidR="005651EB" w:rsidRPr="00422183" w:rsidRDefault="005651EB" w:rsidP="00EA7383">
            <w:pPr>
              <w:rPr>
                <w:rFonts w:ascii="Rockwell" w:hAnsi="Rockwell"/>
                <w:b/>
                <w:sz w:val="18"/>
                <w:szCs w:val="18"/>
              </w:rPr>
            </w:pPr>
            <w:r w:rsidRPr="00422183">
              <w:rPr>
                <w:rFonts w:ascii="Rockwell" w:hAnsi="Rockwell"/>
                <w:b/>
                <w:sz w:val="18"/>
                <w:szCs w:val="18"/>
              </w:rPr>
              <w:t xml:space="preserve">Objectif stratégique 1.1 : Promouvoir la bonne gouvernance politique et administrative </w:t>
            </w:r>
          </w:p>
        </w:tc>
        <w:tc>
          <w:tcPr>
            <w:tcW w:w="1559" w:type="dxa"/>
            <w:noWrap/>
            <w:hideMark/>
          </w:tcPr>
          <w:p w:rsidR="005651EB" w:rsidRPr="00422183" w:rsidRDefault="005651EB" w:rsidP="003A0820">
            <w:pPr>
              <w:jc w:val="both"/>
              <w:rPr>
                <w:rFonts w:ascii="Rockwell" w:hAnsi="Rockwell"/>
                <w:b/>
                <w:sz w:val="18"/>
                <w:szCs w:val="18"/>
              </w:rPr>
            </w:pPr>
          </w:p>
        </w:tc>
      </w:tr>
      <w:tr w:rsidR="00422183" w:rsidRPr="00422183" w:rsidTr="00EA7383">
        <w:trPr>
          <w:trHeight w:val="300"/>
        </w:trPr>
        <w:tc>
          <w:tcPr>
            <w:tcW w:w="3989" w:type="dxa"/>
            <w:vMerge w:val="restart"/>
            <w:noWrap/>
            <w:vAlign w:val="center"/>
            <w:hideMark/>
          </w:tcPr>
          <w:p w:rsidR="00F23764" w:rsidRPr="00422183" w:rsidRDefault="00F23764" w:rsidP="00EA7383">
            <w:pPr>
              <w:rPr>
                <w:rFonts w:ascii="Rockwell" w:hAnsi="Rockwell"/>
                <w:sz w:val="18"/>
                <w:szCs w:val="18"/>
              </w:rPr>
            </w:pPr>
            <w:r w:rsidRPr="00422183">
              <w:rPr>
                <w:rFonts w:ascii="Rockwell" w:hAnsi="Rockwell"/>
                <w:sz w:val="18"/>
                <w:szCs w:val="18"/>
              </w:rPr>
              <w:t>EA 1.1.1 La démocratie, les droits humains, la justice et la paix sont renforcé</w:t>
            </w:r>
          </w:p>
        </w:tc>
        <w:tc>
          <w:tcPr>
            <w:tcW w:w="6903" w:type="dxa"/>
            <w:hideMark/>
          </w:tcPr>
          <w:p w:rsidR="00F23764" w:rsidRPr="00422183" w:rsidRDefault="00F23764" w:rsidP="003A0820">
            <w:pPr>
              <w:jc w:val="both"/>
              <w:rPr>
                <w:rFonts w:ascii="Rockwell" w:hAnsi="Rockwell"/>
                <w:sz w:val="18"/>
                <w:szCs w:val="18"/>
              </w:rPr>
            </w:pPr>
            <w:r w:rsidRPr="00422183">
              <w:rPr>
                <w:rFonts w:ascii="Rockwell" w:hAnsi="Rockwell"/>
                <w:sz w:val="18"/>
                <w:szCs w:val="18"/>
              </w:rPr>
              <w:t>Qualité globale des institutions nationales (CPIA)</w:t>
            </w:r>
          </w:p>
        </w:tc>
        <w:tc>
          <w:tcPr>
            <w:tcW w:w="1601"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4,11</w:t>
            </w:r>
          </w:p>
        </w:tc>
        <w:tc>
          <w:tcPr>
            <w:tcW w:w="1495"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4,5</w:t>
            </w:r>
          </w:p>
        </w:tc>
        <w:tc>
          <w:tcPr>
            <w:tcW w:w="1571"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4,8</w:t>
            </w:r>
          </w:p>
        </w:tc>
      </w:tr>
      <w:tr w:rsidR="00F23764" w:rsidRPr="00422183" w:rsidTr="00EA7383">
        <w:trPr>
          <w:trHeight w:val="352"/>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3A0820">
            <w:pPr>
              <w:jc w:val="both"/>
              <w:rPr>
                <w:rFonts w:ascii="Rockwell" w:hAnsi="Rockwell"/>
                <w:sz w:val="18"/>
                <w:szCs w:val="18"/>
              </w:rPr>
            </w:pPr>
            <w:r w:rsidRPr="00422183">
              <w:rPr>
                <w:rFonts w:ascii="Rockwell" w:hAnsi="Rockwell"/>
                <w:sz w:val="18"/>
                <w:szCs w:val="18"/>
              </w:rPr>
              <w:t xml:space="preserve">Taux de mise en œuvre des recommandations de l’examen périodique universel </w:t>
            </w:r>
          </w:p>
        </w:tc>
        <w:tc>
          <w:tcPr>
            <w:tcW w:w="1601"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35%</w:t>
            </w:r>
          </w:p>
        </w:tc>
        <w:tc>
          <w:tcPr>
            <w:tcW w:w="1495"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15%</w:t>
            </w:r>
          </w:p>
        </w:tc>
        <w:tc>
          <w:tcPr>
            <w:tcW w:w="1571" w:type="dxa"/>
            <w:gridSpan w:val="2"/>
            <w:noWrap/>
            <w:hideMark/>
          </w:tcPr>
          <w:p w:rsidR="00F23764" w:rsidRPr="00422183" w:rsidRDefault="00F23764" w:rsidP="003A0820">
            <w:pPr>
              <w:jc w:val="both"/>
              <w:rPr>
                <w:rFonts w:ascii="Rockwell" w:hAnsi="Rockwell"/>
                <w:sz w:val="18"/>
                <w:szCs w:val="18"/>
              </w:rPr>
            </w:pPr>
            <w:r w:rsidRPr="00422183">
              <w:rPr>
                <w:rFonts w:ascii="Rockwell" w:hAnsi="Rockwell"/>
                <w:sz w:val="18"/>
                <w:szCs w:val="18"/>
              </w:rPr>
              <w:t>45%</w:t>
            </w:r>
          </w:p>
        </w:tc>
      </w:tr>
      <w:tr w:rsidR="00F23764" w:rsidRPr="00422183" w:rsidTr="00EA7383">
        <w:trPr>
          <w:trHeight w:val="276"/>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C41FA9">
            <w:pPr>
              <w:jc w:val="both"/>
              <w:rPr>
                <w:rFonts w:ascii="Rockwell" w:hAnsi="Rockwell"/>
                <w:sz w:val="18"/>
                <w:szCs w:val="18"/>
              </w:rPr>
            </w:pPr>
            <w:r w:rsidRPr="00422183">
              <w:rPr>
                <w:rFonts w:ascii="Rockwell" w:hAnsi="Rockwell"/>
                <w:sz w:val="18"/>
                <w:szCs w:val="18"/>
              </w:rPr>
              <w:t xml:space="preserve">Nombre de cas de conflits sociaux constatés </w:t>
            </w:r>
          </w:p>
        </w:tc>
        <w:tc>
          <w:tcPr>
            <w:tcW w:w="1601" w:type="dxa"/>
            <w:gridSpan w:val="2"/>
            <w:noWrap/>
            <w:hideMark/>
          </w:tcPr>
          <w:p w:rsidR="00F23764" w:rsidRPr="00422183" w:rsidRDefault="00F23764" w:rsidP="003A0820">
            <w:pPr>
              <w:jc w:val="both"/>
              <w:rPr>
                <w:rFonts w:ascii="Rockwell" w:hAnsi="Rockwell"/>
                <w:sz w:val="18"/>
                <w:szCs w:val="18"/>
              </w:rPr>
            </w:pPr>
          </w:p>
        </w:tc>
        <w:tc>
          <w:tcPr>
            <w:tcW w:w="1495" w:type="dxa"/>
            <w:gridSpan w:val="2"/>
            <w:noWrap/>
            <w:hideMark/>
          </w:tcPr>
          <w:p w:rsidR="00F23764" w:rsidRPr="00422183" w:rsidRDefault="00F23764" w:rsidP="003A0820">
            <w:pPr>
              <w:jc w:val="both"/>
              <w:rPr>
                <w:rFonts w:ascii="Rockwell" w:hAnsi="Rockwell"/>
                <w:sz w:val="18"/>
                <w:szCs w:val="18"/>
              </w:rPr>
            </w:pPr>
          </w:p>
        </w:tc>
        <w:tc>
          <w:tcPr>
            <w:tcW w:w="1571" w:type="dxa"/>
            <w:gridSpan w:val="2"/>
            <w:noWrap/>
            <w:hideMark/>
          </w:tcPr>
          <w:p w:rsidR="00F23764" w:rsidRPr="00422183" w:rsidRDefault="00F23764" w:rsidP="003A0820">
            <w:pPr>
              <w:jc w:val="both"/>
              <w:rPr>
                <w:rFonts w:ascii="Rockwell" w:hAnsi="Rockwell"/>
                <w:sz w:val="18"/>
                <w:szCs w:val="18"/>
              </w:rPr>
            </w:pPr>
          </w:p>
        </w:tc>
      </w:tr>
      <w:tr w:rsidR="00F23764" w:rsidRPr="00422183" w:rsidTr="00EA7383">
        <w:trPr>
          <w:trHeight w:val="276"/>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3A0820">
            <w:pPr>
              <w:jc w:val="both"/>
              <w:rPr>
                <w:rFonts w:ascii="Rockwell" w:hAnsi="Rockwell"/>
                <w:sz w:val="18"/>
                <w:szCs w:val="18"/>
              </w:rPr>
            </w:pPr>
            <w:r w:rsidRPr="00422183">
              <w:rPr>
                <w:rFonts w:ascii="Rockwell" w:hAnsi="Rockwell"/>
                <w:sz w:val="18"/>
                <w:szCs w:val="18"/>
              </w:rPr>
              <w:t xml:space="preserve">Durée moyenne de prise des actes de gestion des carrières dans l’administration publique </w:t>
            </w:r>
          </w:p>
        </w:tc>
        <w:tc>
          <w:tcPr>
            <w:tcW w:w="1601" w:type="dxa"/>
            <w:gridSpan w:val="2"/>
            <w:noWrap/>
          </w:tcPr>
          <w:p w:rsidR="00F23764" w:rsidRPr="00422183" w:rsidRDefault="00F23764" w:rsidP="003A0820">
            <w:pPr>
              <w:jc w:val="both"/>
              <w:rPr>
                <w:rFonts w:ascii="Rockwell" w:hAnsi="Rockwell"/>
                <w:sz w:val="18"/>
                <w:szCs w:val="18"/>
              </w:rPr>
            </w:pPr>
          </w:p>
        </w:tc>
        <w:tc>
          <w:tcPr>
            <w:tcW w:w="1495" w:type="dxa"/>
            <w:gridSpan w:val="2"/>
            <w:noWrap/>
          </w:tcPr>
          <w:p w:rsidR="00F23764" w:rsidRPr="00422183" w:rsidRDefault="00F23764" w:rsidP="003A0820">
            <w:pPr>
              <w:jc w:val="both"/>
              <w:rPr>
                <w:rFonts w:ascii="Rockwell" w:hAnsi="Rockwell"/>
                <w:sz w:val="18"/>
                <w:szCs w:val="18"/>
              </w:rPr>
            </w:pPr>
          </w:p>
        </w:tc>
        <w:tc>
          <w:tcPr>
            <w:tcW w:w="1571" w:type="dxa"/>
            <w:gridSpan w:val="2"/>
            <w:noWrap/>
          </w:tcPr>
          <w:p w:rsidR="00F23764" w:rsidRPr="00422183" w:rsidRDefault="00F23764" w:rsidP="003A0820">
            <w:pPr>
              <w:jc w:val="both"/>
              <w:rPr>
                <w:rFonts w:ascii="Rockwell" w:hAnsi="Rockwell"/>
                <w:sz w:val="18"/>
                <w:szCs w:val="18"/>
              </w:rPr>
            </w:pPr>
          </w:p>
        </w:tc>
      </w:tr>
      <w:tr w:rsidR="00F23764" w:rsidRPr="00422183" w:rsidTr="00EA7383">
        <w:trPr>
          <w:trHeight w:val="342"/>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816777">
            <w:pPr>
              <w:jc w:val="both"/>
              <w:rPr>
                <w:rFonts w:ascii="Rockwell" w:hAnsi="Rockwell"/>
                <w:sz w:val="18"/>
                <w:szCs w:val="18"/>
              </w:rPr>
            </w:pPr>
            <w:r w:rsidRPr="00422183">
              <w:rPr>
                <w:rFonts w:ascii="Rockwell" w:hAnsi="Rockwell"/>
                <w:sz w:val="18"/>
                <w:szCs w:val="18"/>
              </w:rPr>
              <w:t>Rayon moyen d’accès à un tribunal de grande instance</w:t>
            </w:r>
          </w:p>
        </w:tc>
        <w:tc>
          <w:tcPr>
            <w:tcW w:w="1601" w:type="dxa"/>
            <w:gridSpan w:val="2"/>
            <w:noWrap/>
            <w:hideMark/>
          </w:tcPr>
          <w:p w:rsidR="00F23764" w:rsidRPr="00422183" w:rsidRDefault="00F23764" w:rsidP="00816777">
            <w:pPr>
              <w:jc w:val="both"/>
              <w:rPr>
                <w:rFonts w:ascii="Rockwell" w:hAnsi="Rockwell"/>
                <w:sz w:val="18"/>
                <w:szCs w:val="18"/>
              </w:rPr>
            </w:pPr>
            <w:r w:rsidRPr="00422183">
              <w:rPr>
                <w:rFonts w:ascii="Rockwell" w:hAnsi="Rockwell"/>
                <w:sz w:val="18"/>
                <w:szCs w:val="18"/>
              </w:rPr>
              <w:t>60,3</w:t>
            </w:r>
          </w:p>
        </w:tc>
        <w:tc>
          <w:tcPr>
            <w:tcW w:w="1495" w:type="dxa"/>
            <w:gridSpan w:val="2"/>
            <w:noWrap/>
            <w:hideMark/>
          </w:tcPr>
          <w:p w:rsidR="00F23764" w:rsidRPr="00422183" w:rsidRDefault="00F23764" w:rsidP="00816777">
            <w:pPr>
              <w:jc w:val="both"/>
              <w:rPr>
                <w:rFonts w:ascii="Rockwell" w:hAnsi="Rockwell"/>
                <w:sz w:val="18"/>
                <w:szCs w:val="18"/>
              </w:rPr>
            </w:pPr>
            <w:r w:rsidRPr="00422183">
              <w:rPr>
                <w:rFonts w:ascii="Rockwell" w:hAnsi="Rockwell"/>
                <w:sz w:val="18"/>
                <w:szCs w:val="18"/>
              </w:rPr>
              <w:t xml:space="preserve">58 km  </w:t>
            </w:r>
          </w:p>
        </w:tc>
        <w:tc>
          <w:tcPr>
            <w:tcW w:w="1571" w:type="dxa"/>
            <w:gridSpan w:val="2"/>
            <w:noWrap/>
            <w:hideMark/>
          </w:tcPr>
          <w:p w:rsidR="00F23764" w:rsidRPr="00422183" w:rsidRDefault="00F23764" w:rsidP="00816777">
            <w:pPr>
              <w:jc w:val="both"/>
              <w:rPr>
                <w:rFonts w:ascii="Rockwell" w:hAnsi="Rockwell"/>
                <w:sz w:val="18"/>
                <w:szCs w:val="18"/>
              </w:rPr>
            </w:pPr>
            <w:r w:rsidRPr="00422183">
              <w:rPr>
                <w:rFonts w:ascii="Rockwell" w:hAnsi="Rockwell"/>
                <w:sz w:val="18"/>
                <w:szCs w:val="18"/>
              </w:rPr>
              <w:t xml:space="preserve">54 km  </w:t>
            </w:r>
          </w:p>
        </w:tc>
      </w:tr>
      <w:tr w:rsidR="00F23764" w:rsidRPr="00422183" w:rsidTr="00EA7383">
        <w:trPr>
          <w:trHeight w:val="300"/>
        </w:trPr>
        <w:tc>
          <w:tcPr>
            <w:tcW w:w="3989" w:type="dxa"/>
            <w:vMerge/>
            <w:noWrap/>
            <w:vAlign w:val="center"/>
            <w:hideMark/>
          </w:tcPr>
          <w:p w:rsidR="00F23764" w:rsidRPr="00422183" w:rsidRDefault="00F23764" w:rsidP="00EA7383">
            <w:pPr>
              <w:rPr>
                <w:rFonts w:ascii="Rockwell" w:hAnsi="Rockwell"/>
                <w:sz w:val="18"/>
                <w:szCs w:val="18"/>
              </w:rPr>
            </w:pPr>
          </w:p>
        </w:tc>
        <w:tc>
          <w:tcPr>
            <w:tcW w:w="11570" w:type="dxa"/>
            <w:gridSpan w:val="7"/>
            <w:hideMark/>
          </w:tcPr>
          <w:p w:rsidR="00F23764" w:rsidRPr="00422183" w:rsidRDefault="00F23764" w:rsidP="00816777">
            <w:pPr>
              <w:jc w:val="both"/>
              <w:rPr>
                <w:rFonts w:ascii="Rockwell" w:hAnsi="Rockwell"/>
                <w:sz w:val="18"/>
                <w:szCs w:val="18"/>
              </w:rPr>
            </w:pPr>
            <w:r w:rsidRPr="00422183">
              <w:rPr>
                <w:rFonts w:ascii="Rockwell" w:hAnsi="Rockwell"/>
                <w:sz w:val="18"/>
                <w:szCs w:val="18"/>
              </w:rPr>
              <w:t>Délai moyen de traitement des dossiers de justice</w:t>
            </w:r>
          </w:p>
        </w:tc>
      </w:tr>
      <w:tr w:rsidR="00F23764" w:rsidRPr="00422183" w:rsidTr="00EA7383">
        <w:trPr>
          <w:trHeight w:val="300"/>
        </w:trPr>
        <w:tc>
          <w:tcPr>
            <w:tcW w:w="3989" w:type="dxa"/>
            <w:vMerge/>
            <w:noWrap/>
            <w:vAlign w:val="center"/>
          </w:tcPr>
          <w:p w:rsidR="00F23764" w:rsidRPr="00422183" w:rsidRDefault="00F23764" w:rsidP="00EA7383">
            <w:pPr>
              <w:rPr>
                <w:rFonts w:ascii="Rockwell" w:hAnsi="Rockwell"/>
                <w:sz w:val="18"/>
                <w:szCs w:val="18"/>
              </w:rPr>
            </w:pPr>
          </w:p>
        </w:tc>
        <w:tc>
          <w:tcPr>
            <w:tcW w:w="6903" w:type="dxa"/>
            <w:vAlign w:val="center"/>
          </w:tcPr>
          <w:p w:rsidR="00F23764" w:rsidRPr="00422183" w:rsidRDefault="00F23764" w:rsidP="00917260">
            <w:pPr>
              <w:rPr>
                <w:rFonts w:ascii="Rockwell" w:hAnsi="Rockwell"/>
                <w:sz w:val="18"/>
                <w:szCs w:val="18"/>
              </w:rPr>
            </w:pPr>
            <w:r w:rsidRPr="00422183">
              <w:rPr>
                <w:rFonts w:ascii="Rockwell" w:hAnsi="Rockwell"/>
                <w:sz w:val="18"/>
                <w:szCs w:val="18"/>
              </w:rPr>
              <w:t>Temps moyen de traitement d’une affaire civile (TGI)</w:t>
            </w:r>
          </w:p>
        </w:tc>
        <w:tc>
          <w:tcPr>
            <w:tcW w:w="1601"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2 mois 21 jours</w:t>
            </w:r>
          </w:p>
        </w:tc>
        <w:tc>
          <w:tcPr>
            <w:tcW w:w="1495"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2 mois</w:t>
            </w:r>
          </w:p>
        </w:tc>
        <w:tc>
          <w:tcPr>
            <w:tcW w:w="1571"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1 mois 15 jours</w:t>
            </w:r>
          </w:p>
        </w:tc>
      </w:tr>
      <w:tr w:rsidR="00F23764" w:rsidRPr="00422183" w:rsidTr="00EA7383">
        <w:trPr>
          <w:trHeight w:val="300"/>
        </w:trPr>
        <w:tc>
          <w:tcPr>
            <w:tcW w:w="3989" w:type="dxa"/>
            <w:vMerge/>
            <w:noWrap/>
            <w:vAlign w:val="center"/>
          </w:tcPr>
          <w:p w:rsidR="00F23764" w:rsidRPr="00422183" w:rsidRDefault="00F23764" w:rsidP="00EA7383">
            <w:pPr>
              <w:rPr>
                <w:rFonts w:ascii="Rockwell" w:hAnsi="Rockwell"/>
                <w:sz w:val="18"/>
                <w:szCs w:val="18"/>
              </w:rPr>
            </w:pPr>
          </w:p>
        </w:tc>
        <w:tc>
          <w:tcPr>
            <w:tcW w:w="6903" w:type="dxa"/>
            <w:vAlign w:val="center"/>
          </w:tcPr>
          <w:p w:rsidR="00F23764" w:rsidRPr="00422183" w:rsidRDefault="00F23764" w:rsidP="00917260">
            <w:pPr>
              <w:rPr>
                <w:rFonts w:ascii="Rockwell" w:hAnsi="Rockwell"/>
                <w:sz w:val="18"/>
                <w:szCs w:val="18"/>
              </w:rPr>
            </w:pPr>
            <w:r w:rsidRPr="00422183">
              <w:rPr>
                <w:rFonts w:ascii="Rockwell" w:hAnsi="Rockwell"/>
                <w:sz w:val="18"/>
                <w:szCs w:val="18"/>
              </w:rPr>
              <w:t>Temps moyen pour une décision commerciale (TC)</w:t>
            </w:r>
          </w:p>
        </w:tc>
        <w:tc>
          <w:tcPr>
            <w:tcW w:w="1601"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7 mois 3 jours</w:t>
            </w:r>
          </w:p>
        </w:tc>
        <w:tc>
          <w:tcPr>
            <w:tcW w:w="1495"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5 mois</w:t>
            </w:r>
          </w:p>
        </w:tc>
        <w:tc>
          <w:tcPr>
            <w:tcW w:w="1571"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3 mois</w:t>
            </w:r>
          </w:p>
        </w:tc>
      </w:tr>
      <w:tr w:rsidR="00F23764" w:rsidRPr="00422183" w:rsidTr="00EA7383">
        <w:trPr>
          <w:trHeight w:val="300"/>
        </w:trPr>
        <w:tc>
          <w:tcPr>
            <w:tcW w:w="3989" w:type="dxa"/>
            <w:vMerge/>
            <w:noWrap/>
            <w:vAlign w:val="center"/>
          </w:tcPr>
          <w:p w:rsidR="00F23764" w:rsidRPr="00422183" w:rsidRDefault="00F23764" w:rsidP="00EA7383">
            <w:pPr>
              <w:rPr>
                <w:rFonts w:ascii="Rockwell" w:hAnsi="Rockwell"/>
                <w:sz w:val="18"/>
                <w:szCs w:val="18"/>
              </w:rPr>
            </w:pPr>
          </w:p>
        </w:tc>
        <w:tc>
          <w:tcPr>
            <w:tcW w:w="6903" w:type="dxa"/>
            <w:vAlign w:val="center"/>
          </w:tcPr>
          <w:p w:rsidR="00F23764" w:rsidRPr="00422183" w:rsidRDefault="00F23764" w:rsidP="00917260">
            <w:pPr>
              <w:rPr>
                <w:rFonts w:ascii="Rockwell" w:hAnsi="Rockwell"/>
                <w:sz w:val="18"/>
                <w:szCs w:val="18"/>
              </w:rPr>
            </w:pPr>
            <w:r w:rsidRPr="00422183">
              <w:rPr>
                <w:rFonts w:ascii="Rockwell" w:hAnsi="Rockwell"/>
                <w:sz w:val="18"/>
                <w:szCs w:val="18"/>
              </w:rPr>
              <w:t>Indice de perception de l’incivisme</w:t>
            </w:r>
          </w:p>
        </w:tc>
        <w:tc>
          <w:tcPr>
            <w:tcW w:w="1601" w:type="dxa"/>
            <w:gridSpan w:val="2"/>
            <w:noWrap/>
            <w:vAlign w:val="center"/>
          </w:tcPr>
          <w:p w:rsidR="00F23764" w:rsidRPr="00422183" w:rsidRDefault="00F23764" w:rsidP="00917260">
            <w:pPr>
              <w:rPr>
                <w:rFonts w:ascii="Rockwell" w:hAnsi="Rockwell"/>
                <w:sz w:val="18"/>
                <w:szCs w:val="18"/>
              </w:rPr>
            </w:pPr>
            <w:r w:rsidRPr="00422183">
              <w:rPr>
                <w:rFonts w:ascii="Rockwell" w:hAnsi="Rockwell"/>
                <w:sz w:val="18"/>
                <w:szCs w:val="18"/>
              </w:rPr>
              <w:t>ND</w:t>
            </w:r>
          </w:p>
        </w:tc>
        <w:tc>
          <w:tcPr>
            <w:tcW w:w="1495" w:type="dxa"/>
            <w:gridSpan w:val="2"/>
            <w:noWrap/>
            <w:vAlign w:val="center"/>
          </w:tcPr>
          <w:p w:rsidR="00F23764" w:rsidRPr="00422183" w:rsidRDefault="00F23764" w:rsidP="00917260">
            <w:pPr>
              <w:rPr>
                <w:rFonts w:ascii="Rockwell" w:hAnsi="Rockwell"/>
                <w:sz w:val="18"/>
                <w:szCs w:val="18"/>
              </w:rPr>
            </w:pPr>
          </w:p>
        </w:tc>
        <w:tc>
          <w:tcPr>
            <w:tcW w:w="1571" w:type="dxa"/>
            <w:gridSpan w:val="2"/>
            <w:noWrap/>
            <w:vAlign w:val="center"/>
          </w:tcPr>
          <w:p w:rsidR="00F23764" w:rsidRPr="00422183" w:rsidRDefault="00F23764" w:rsidP="00917260">
            <w:pPr>
              <w:rPr>
                <w:rFonts w:ascii="Rockwell" w:hAnsi="Rockwell"/>
                <w:sz w:val="18"/>
                <w:szCs w:val="18"/>
              </w:rPr>
            </w:pP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1.1.2  La sécurité est renforcée </w:t>
            </w: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Taux de couverture des régions en plan ORSEC</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53%</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78%</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53"/>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maillage du territoire national en services de sécurité opérationnels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56,8%</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64%</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w:t>
            </w:r>
          </w:p>
        </w:tc>
      </w:tr>
      <w:tr w:rsidR="00917260" w:rsidRPr="00422183" w:rsidTr="00EA7383">
        <w:trPr>
          <w:trHeight w:val="353"/>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Ratio agent de sécurité/population (norme 1 pour 400 hbts)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 pour 948 hbts</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 pour 930 hbts</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 pour 910 hbts</w:t>
            </w:r>
          </w:p>
        </w:tc>
      </w:tr>
      <w:tr w:rsidR="00917260" w:rsidRPr="00422183" w:rsidTr="00EA7383">
        <w:trPr>
          <w:trHeight w:val="353"/>
        </w:trPr>
        <w:tc>
          <w:tcPr>
            <w:tcW w:w="3989" w:type="dxa"/>
            <w:noWrap/>
            <w:vAlign w:val="center"/>
          </w:tcPr>
          <w:p w:rsidR="00917260" w:rsidRPr="00422183" w:rsidRDefault="00917260" w:rsidP="00EA7383">
            <w:pPr>
              <w:rPr>
                <w:rFonts w:ascii="Rockwell" w:hAnsi="Rockwell"/>
                <w:sz w:val="18"/>
                <w:szCs w:val="18"/>
              </w:rPr>
            </w:pPr>
            <w:r w:rsidRPr="00422183">
              <w:rPr>
                <w:rFonts w:ascii="Rockwell" w:hAnsi="Rockwell"/>
                <w:sz w:val="18"/>
                <w:szCs w:val="18"/>
              </w:rPr>
              <w:t>EA 1.1.3  La défense est renforcée</w:t>
            </w: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Nombre d’agressions armées </w:t>
            </w:r>
          </w:p>
        </w:tc>
        <w:tc>
          <w:tcPr>
            <w:tcW w:w="1601" w:type="dxa"/>
            <w:gridSpan w:val="2"/>
            <w:noWrap/>
          </w:tcPr>
          <w:p w:rsidR="00917260" w:rsidRPr="00422183" w:rsidRDefault="00BF4230"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BF4230" w:rsidRPr="00422183" w:rsidTr="00EA7383">
        <w:trPr>
          <w:trHeight w:val="300"/>
        </w:trPr>
        <w:tc>
          <w:tcPr>
            <w:tcW w:w="3989" w:type="dxa"/>
            <w:vMerge w:val="restart"/>
            <w:noWrap/>
            <w:vAlign w:val="center"/>
            <w:hideMark/>
          </w:tcPr>
          <w:p w:rsidR="00BF4230" w:rsidRPr="00422183" w:rsidRDefault="00BF4230" w:rsidP="00EA7383">
            <w:pPr>
              <w:rPr>
                <w:rFonts w:ascii="Rockwell" w:hAnsi="Rockwell"/>
                <w:sz w:val="18"/>
                <w:szCs w:val="18"/>
              </w:rPr>
            </w:pPr>
            <w:r w:rsidRPr="00422183">
              <w:rPr>
                <w:rFonts w:ascii="Rockwell" w:hAnsi="Rockwell"/>
                <w:sz w:val="18"/>
                <w:szCs w:val="18"/>
              </w:rPr>
              <w:t xml:space="preserve">EA 1.1.4. L'accès à l'information juste est assuré pour tous </w:t>
            </w:r>
          </w:p>
        </w:tc>
        <w:tc>
          <w:tcPr>
            <w:tcW w:w="6903" w:type="dxa"/>
            <w:hideMark/>
          </w:tcPr>
          <w:p w:rsidR="00BF4230" w:rsidRPr="00422183" w:rsidRDefault="00BF4230" w:rsidP="00917260">
            <w:pPr>
              <w:jc w:val="both"/>
              <w:rPr>
                <w:rFonts w:ascii="Rockwell" w:hAnsi="Rockwell"/>
                <w:sz w:val="18"/>
                <w:szCs w:val="18"/>
              </w:rPr>
            </w:pPr>
            <w:r w:rsidRPr="00422183">
              <w:rPr>
                <w:rFonts w:ascii="Rockwell" w:hAnsi="Rockwell"/>
                <w:sz w:val="18"/>
                <w:szCs w:val="18"/>
              </w:rPr>
              <w:t>Taux de couverture du territoire par la télévision nationale</w:t>
            </w:r>
          </w:p>
        </w:tc>
        <w:tc>
          <w:tcPr>
            <w:tcW w:w="1601" w:type="dxa"/>
            <w:gridSpan w:val="2"/>
            <w:noWrap/>
            <w:hideMark/>
          </w:tcPr>
          <w:p w:rsidR="00BF4230" w:rsidRPr="00422183" w:rsidRDefault="00BF4230" w:rsidP="00917260">
            <w:pPr>
              <w:jc w:val="both"/>
              <w:rPr>
                <w:rFonts w:ascii="Rockwell" w:hAnsi="Rockwell"/>
                <w:sz w:val="18"/>
                <w:szCs w:val="18"/>
              </w:rPr>
            </w:pPr>
            <w:r w:rsidRPr="00422183">
              <w:rPr>
                <w:rFonts w:ascii="Rockwell" w:hAnsi="Rockwell"/>
                <w:sz w:val="18"/>
                <w:szCs w:val="18"/>
              </w:rPr>
              <w:t>53%</w:t>
            </w:r>
          </w:p>
        </w:tc>
        <w:tc>
          <w:tcPr>
            <w:tcW w:w="1495" w:type="dxa"/>
            <w:gridSpan w:val="2"/>
            <w:noWrap/>
            <w:hideMark/>
          </w:tcPr>
          <w:p w:rsidR="00BF4230" w:rsidRPr="00422183" w:rsidRDefault="00BF4230" w:rsidP="00917260">
            <w:pPr>
              <w:jc w:val="both"/>
              <w:rPr>
                <w:rFonts w:ascii="Rockwell" w:hAnsi="Rockwell"/>
                <w:sz w:val="18"/>
                <w:szCs w:val="18"/>
              </w:rPr>
            </w:pPr>
          </w:p>
        </w:tc>
        <w:tc>
          <w:tcPr>
            <w:tcW w:w="1571" w:type="dxa"/>
            <w:gridSpan w:val="2"/>
            <w:noWrap/>
            <w:hideMark/>
          </w:tcPr>
          <w:p w:rsidR="00BF4230" w:rsidRPr="00422183" w:rsidRDefault="00BF4230" w:rsidP="00917260">
            <w:pPr>
              <w:jc w:val="both"/>
              <w:rPr>
                <w:rFonts w:ascii="Rockwell" w:hAnsi="Rockwell"/>
                <w:sz w:val="18"/>
                <w:szCs w:val="18"/>
              </w:rPr>
            </w:pPr>
            <w:r w:rsidRPr="00422183">
              <w:rPr>
                <w:rFonts w:ascii="Rockwell" w:hAnsi="Rockwell"/>
                <w:sz w:val="18"/>
                <w:szCs w:val="18"/>
              </w:rPr>
              <w:t>100%</w:t>
            </w:r>
          </w:p>
        </w:tc>
      </w:tr>
      <w:tr w:rsidR="00BF4230" w:rsidRPr="00422183" w:rsidTr="00EA7383">
        <w:trPr>
          <w:trHeight w:val="300"/>
        </w:trPr>
        <w:tc>
          <w:tcPr>
            <w:tcW w:w="3989" w:type="dxa"/>
            <w:vMerge/>
            <w:noWrap/>
            <w:vAlign w:val="center"/>
            <w:hideMark/>
          </w:tcPr>
          <w:p w:rsidR="00BF4230" w:rsidRPr="00422183" w:rsidRDefault="00BF4230" w:rsidP="00EA7383">
            <w:pPr>
              <w:rPr>
                <w:rFonts w:ascii="Rockwell" w:hAnsi="Rockwell"/>
                <w:sz w:val="18"/>
                <w:szCs w:val="18"/>
              </w:rPr>
            </w:pPr>
          </w:p>
        </w:tc>
        <w:tc>
          <w:tcPr>
            <w:tcW w:w="6903" w:type="dxa"/>
            <w:hideMark/>
          </w:tcPr>
          <w:p w:rsidR="00BF4230" w:rsidRPr="00422183" w:rsidRDefault="00BF4230" w:rsidP="00917260">
            <w:pPr>
              <w:jc w:val="both"/>
              <w:rPr>
                <w:rFonts w:ascii="Rockwell" w:hAnsi="Rockwell"/>
                <w:sz w:val="18"/>
                <w:szCs w:val="18"/>
              </w:rPr>
            </w:pPr>
            <w:r w:rsidRPr="00422183">
              <w:rPr>
                <w:rFonts w:ascii="Rockwell" w:hAnsi="Rockwell"/>
                <w:sz w:val="18"/>
                <w:szCs w:val="18"/>
              </w:rPr>
              <w:t>Taux de couverture du territoire par la radio nationale</w:t>
            </w:r>
          </w:p>
        </w:tc>
        <w:tc>
          <w:tcPr>
            <w:tcW w:w="1601" w:type="dxa"/>
            <w:gridSpan w:val="2"/>
            <w:noWrap/>
            <w:hideMark/>
          </w:tcPr>
          <w:p w:rsidR="00BF4230" w:rsidRPr="00422183" w:rsidRDefault="00BF4230" w:rsidP="00917260">
            <w:pPr>
              <w:jc w:val="both"/>
              <w:rPr>
                <w:rFonts w:ascii="Rockwell" w:hAnsi="Rockwell"/>
                <w:sz w:val="18"/>
                <w:szCs w:val="18"/>
              </w:rPr>
            </w:pPr>
            <w:r w:rsidRPr="00422183">
              <w:rPr>
                <w:rFonts w:ascii="Rockwell" w:hAnsi="Rockwell"/>
                <w:sz w:val="18"/>
                <w:szCs w:val="18"/>
              </w:rPr>
              <w:t>48%</w:t>
            </w:r>
          </w:p>
        </w:tc>
        <w:tc>
          <w:tcPr>
            <w:tcW w:w="1495" w:type="dxa"/>
            <w:gridSpan w:val="2"/>
            <w:noWrap/>
            <w:hideMark/>
          </w:tcPr>
          <w:p w:rsidR="00BF4230" w:rsidRPr="00422183" w:rsidRDefault="00BF4230" w:rsidP="00917260">
            <w:pPr>
              <w:jc w:val="both"/>
              <w:rPr>
                <w:rFonts w:ascii="Rockwell" w:hAnsi="Rockwell"/>
                <w:sz w:val="18"/>
                <w:szCs w:val="18"/>
              </w:rPr>
            </w:pPr>
          </w:p>
        </w:tc>
        <w:tc>
          <w:tcPr>
            <w:tcW w:w="1571" w:type="dxa"/>
            <w:gridSpan w:val="2"/>
            <w:noWrap/>
            <w:hideMark/>
          </w:tcPr>
          <w:p w:rsidR="00BF4230" w:rsidRPr="00422183" w:rsidRDefault="00BF4230" w:rsidP="00917260">
            <w:pPr>
              <w:jc w:val="both"/>
              <w:rPr>
                <w:rFonts w:ascii="Rockwell" w:hAnsi="Rockwell"/>
                <w:sz w:val="18"/>
                <w:szCs w:val="18"/>
              </w:rPr>
            </w:pPr>
            <w:r w:rsidRPr="00422183">
              <w:rPr>
                <w:rFonts w:ascii="Rockwell" w:hAnsi="Rockwell"/>
                <w:sz w:val="18"/>
                <w:szCs w:val="18"/>
              </w:rPr>
              <w:t>80%</w:t>
            </w:r>
          </w:p>
        </w:tc>
      </w:tr>
      <w:tr w:rsidR="00BF4230" w:rsidRPr="00422183" w:rsidTr="00EA7383">
        <w:trPr>
          <w:trHeight w:val="300"/>
        </w:trPr>
        <w:tc>
          <w:tcPr>
            <w:tcW w:w="3989" w:type="dxa"/>
            <w:vMerge/>
            <w:noWrap/>
            <w:vAlign w:val="center"/>
          </w:tcPr>
          <w:p w:rsidR="00BF4230" w:rsidRPr="00422183" w:rsidRDefault="00BF4230" w:rsidP="00EA7383">
            <w:pPr>
              <w:rPr>
                <w:rFonts w:ascii="Rockwell" w:hAnsi="Rockwell"/>
                <w:sz w:val="18"/>
                <w:szCs w:val="18"/>
              </w:rPr>
            </w:pPr>
          </w:p>
        </w:tc>
        <w:tc>
          <w:tcPr>
            <w:tcW w:w="6903" w:type="dxa"/>
          </w:tcPr>
          <w:p w:rsidR="00BF4230" w:rsidRPr="00422183" w:rsidRDefault="00BF4230" w:rsidP="00917260">
            <w:pPr>
              <w:jc w:val="both"/>
              <w:rPr>
                <w:rFonts w:ascii="Rockwell" w:hAnsi="Rockwell"/>
                <w:sz w:val="18"/>
                <w:szCs w:val="18"/>
              </w:rPr>
            </w:pPr>
            <w:r w:rsidRPr="00422183">
              <w:rPr>
                <w:rFonts w:ascii="Rockwell" w:hAnsi="Rockwell"/>
                <w:sz w:val="18"/>
                <w:szCs w:val="18"/>
              </w:rPr>
              <w:t>Taux de couverture du territoire national par la presse écrite publique</w:t>
            </w:r>
          </w:p>
        </w:tc>
        <w:tc>
          <w:tcPr>
            <w:tcW w:w="1601" w:type="dxa"/>
            <w:gridSpan w:val="2"/>
            <w:noWrap/>
          </w:tcPr>
          <w:p w:rsidR="00BF4230" w:rsidRPr="00422183" w:rsidRDefault="00BF4230" w:rsidP="00917260">
            <w:pPr>
              <w:jc w:val="both"/>
              <w:rPr>
                <w:rFonts w:ascii="Rockwell" w:hAnsi="Rockwell"/>
                <w:sz w:val="18"/>
                <w:szCs w:val="18"/>
              </w:rPr>
            </w:pPr>
            <w:r w:rsidRPr="00422183">
              <w:rPr>
                <w:rFonts w:ascii="Rockwell" w:hAnsi="Rockwell"/>
                <w:sz w:val="18"/>
                <w:szCs w:val="18"/>
              </w:rPr>
              <w:t>51%</w:t>
            </w:r>
          </w:p>
        </w:tc>
        <w:tc>
          <w:tcPr>
            <w:tcW w:w="1495" w:type="dxa"/>
            <w:gridSpan w:val="2"/>
            <w:noWrap/>
          </w:tcPr>
          <w:p w:rsidR="00BF4230" w:rsidRPr="00422183" w:rsidRDefault="00BF4230" w:rsidP="00917260">
            <w:pPr>
              <w:jc w:val="both"/>
              <w:rPr>
                <w:rFonts w:ascii="Rockwell" w:hAnsi="Rockwell"/>
                <w:sz w:val="18"/>
                <w:szCs w:val="18"/>
              </w:rPr>
            </w:pPr>
            <w:r w:rsidRPr="00422183">
              <w:rPr>
                <w:rFonts w:ascii="Rockwell" w:hAnsi="Rockwell"/>
                <w:sz w:val="18"/>
                <w:szCs w:val="18"/>
              </w:rPr>
              <w:t>65%</w:t>
            </w:r>
          </w:p>
        </w:tc>
        <w:tc>
          <w:tcPr>
            <w:tcW w:w="1571" w:type="dxa"/>
            <w:gridSpan w:val="2"/>
            <w:noWrap/>
          </w:tcPr>
          <w:p w:rsidR="00BF4230" w:rsidRPr="00422183" w:rsidRDefault="00BF4230" w:rsidP="00917260">
            <w:pPr>
              <w:jc w:val="both"/>
              <w:rPr>
                <w:rFonts w:ascii="Rockwell" w:hAnsi="Rockwell"/>
                <w:sz w:val="18"/>
                <w:szCs w:val="18"/>
              </w:rPr>
            </w:pPr>
            <w:r w:rsidRPr="00422183">
              <w:rPr>
                <w:rFonts w:ascii="Rockwell" w:hAnsi="Rockwell"/>
                <w:sz w:val="18"/>
                <w:szCs w:val="18"/>
              </w:rPr>
              <w:t>95%</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1.1.5. Les coopérations régionale et internationale sont améliorées</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d’internalisation des textes internationaux</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9016C8">
        <w:trPr>
          <w:trHeight w:val="264"/>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La part contributive des burkinabè de l’extérieur aux investissements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01"/>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d’évolution du volume de l’aide publique au développement</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508"/>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avis de conformité émis par rapport aux nouveaux projets et programmes à financement extérieur</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00"/>
        </w:trPr>
        <w:tc>
          <w:tcPr>
            <w:tcW w:w="3989" w:type="dxa"/>
            <w:vMerge w:val="restart"/>
            <w:noWrap/>
            <w:vAlign w:val="center"/>
            <w:hideMark/>
          </w:tcPr>
          <w:p w:rsidR="00917260" w:rsidRPr="00422183" w:rsidRDefault="00EA7383" w:rsidP="00EA7383">
            <w:pPr>
              <w:rPr>
                <w:rFonts w:ascii="Rockwell" w:hAnsi="Rockwell"/>
                <w:sz w:val="18"/>
                <w:szCs w:val="18"/>
              </w:rPr>
            </w:pPr>
            <w:r w:rsidRPr="00422183">
              <w:rPr>
                <w:rFonts w:ascii="Rockwell" w:hAnsi="Rockwell"/>
                <w:sz w:val="18"/>
                <w:szCs w:val="18"/>
              </w:rPr>
              <w:t>EA 1.1.6</w:t>
            </w:r>
            <w:r w:rsidR="00917260" w:rsidRPr="00422183">
              <w:rPr>
                <w:rFonts w:ascii="Rockwell" w:hAnsi="Rockwell"/>
                <w:sz w:val="18"/>
                <w:szCs w:val="18"/>
              </w:rPr>
              <w:t xml:space="preserve"> : L’administration publique est efficace et efficiente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Niveau de satisfaction des usagers/clients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BF423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Degré de délégation de pouvoir et de crédit aux chefs de circonscription administrative</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Taux d’OSC suivis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3989" w:type="dxa"/>
            <w:vMerge w:val="restart"/>
            <w:noWrap/>
            <w:vAlign w:val="center"/>
            <w:hideMark/>
          </w:tcPr>
          <w:p w:rsidR="00917260" w:rsidRPr="00422183" w:rsidRDefault="00EA7383" w:rsidP="00EA7383">
            <w:pPr>
              <w:rPr>
                <w:rFonts w:ascii="Rockwell" w:hAnsi="Rockwell"/>
                <w:sz w:val="18"/>
                <w:szCs w:val="18"/>
              </w:rPr>
            </w:pPr>
            <w:r w:rsidRPr="00422183">
              <w:rPr>
                <w:rFonts w:ascii="Rockwell" w:hAnsi="Rockwell"/>
                <w:sz w:val="18"/>
                <w:szCs w:val="18"/>
              </w:rPr>
              <w:t>EA 1.1.7</w:t>
            </w:r>
            <w:r w:rsidR="00917260" w:rsidRPr="00422183">
              <w:rPr>
                <w:rFonts w:ascii="Rockwell" w:hAnsi="Rockwell"/>
                <w:sz w:val="18"/>
                <w:szCs w:val="18"/>
              </w:rPr>
              <w:t xml:space="preserve"> : le système de redevabilité est développé à tous les niveaux</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Indice sur le budget Ouvert (IBP)</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43/100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50/100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55/100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Indice de perception de la corruption (IPC)</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38/100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42/100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60/100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Indice Ibrahim pour la gouvernance en Afrique</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12510" w:type="dxa"/>
            <w:gridSpan w:val="5"/>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stratégique1. 2. Promouvoir la bonne gouvernance économique</w:t>
            </w:r>
          </w:p>
        </w:tc>
        <w:tc>
          <w:tcPr>
            <w:tcW w:w="1490" w:type="dxa"/>
            <w:gridSpan w:val="2"/>
            <w:noWrap/>
            <w:hideMark/>
          </w:tcPr>
          <w:p w:rsidR="00917260" w:rsidRPr="00422183" w:rsidRDefault="00917260" w:rsidP="00917260">
            <w:pPr>
              <w:jc w:val="both"/>
              <w:rPr>
                <w:rFonts w:ascii="Rockwell" w:hAnsi="Rockwell"/>
                <w:b/>
                <w:sz w:val="18"/>
                <w:szCs w:val="18"/>
              </w:rPr>
            </w:pPr>
          </w:p>
        </w:tc>
        <w:tc>
          <w:tcPr>
            <w:tcW w:w="1559" w:type="dxa"/>
            <w:noWrap/>
            <w:hideMark/>
          </w:tcPr>
          <w:p w:rsidR="00917260" w:rsidRPr="00422183" w:rsidRDefault="00917260" w:rsidP="00917260">
            <w:pPr>
              <w:jc w:val="both"/>
              <w:rPr>
                <w:rFonts w:ascii="Rockwell" w:hAnsi="Rockwell"/>
                <w:b/>
                <w:sz w:val="18"/>
                <w:szCs w:val="18"/>
              </w:rPr>
            </w:pPr>
          </w:p>
        </w:tc>
      </w:tr>
      <w:tr w:rsidR="00917260" w:rsidRPr="00422183" w:rsidTr="009016C8">
        <w:trPr>
          <w:trHeight w:val="346"/>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1.2.1 : La planification, la gestion et le financement du processus de développement sont efficaces</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référentiels de planification/programmation validés par la CNPD</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c>
          <w:tcPr>
            <w:tcW w:w="1571" w:type="dxa"/>
            <w:gridSpan w:val="2"/>
            <w:noWrap/>
            <w:hideMark/>
          </w:tcPr>
          <w:p w:rsidR="00917260" w:rsidRPr="00422183" w:rsidRDefault="009016C8"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3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départements ministériels appliquant le Budget-programme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pression fiscale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14,2%</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19,1%</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20,1%</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d’absorption des ressources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59% (2014)</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60561C">
            <w:pPr>
              <w:jc w:val="both"/>
              <w:rPr>
                <w:rFonts w:ascii="Rockwell" w:hAnsi="Rockwell"/>
                <w:sz w:val="18"/>
                <w:szCs w:val="18"/>
              </w:rPr>
            </w:pPr>
            <w:r w:rsidRPr="00422183">
              <w:rPr>
                <w:rFonts w:ascii="Rockwell" w:hAnsi="Rockwell"/>
                <w:sz w:val="18"/>
                <w:szCs w:val="18"/>
              </w:rPr>
              <w:t xml:space="preserve">Taux de </w:t>
            </w:r>
            <w:r w:rsidR="0060561C" w:rsidRPr="00422183">
              <w:rPr>
                <w:rFonts w:ascii="Rockwell" w:hAnsi="Rockwell"/>
                <w:sz w:val="18"/>
                <w:szCs w:val="18"/>
              </w:rPr>
              <w:t>prévisibilité de l’aide</w:t>
            </w:r>
          </w:p>
        </w:tc>
        <w:tc>
          <w:tcPr>
            <w:tcW w:w="1601" w:type="dxa"/>
            <w:gridSpan w:val="2"/>
            <w:noWrap/>
            <w:hideMark/>
          </w:tcPr>
          <w:p w:rsidR="00917260" w:rsidRPr="00422183" w:rsidRDefault="0060561C"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60561C" w:rsidP="00917260">
            <w:pPr>
              <w:jc w:val="both"/>
              <w:rPr>
                <w:rFonts w:ascii="Rockwell" w:hAnsi="Rockwell"/>
                <w:sz w:val="18"/>
                <w:szCs w:val="18"/>
              </w:rPr>
            </w:pPr>
            <w:r w:rsidRPr="00422183">
              <w:rPr>
                <w:rFonts w:ascii="Rockwell" w:hAnsi="Rockwell"/>
                <w:sz w:val="18"/>
                <w:szCs w:val="18"/>
              </w:rPr>
              <w:t>60%</w:t>
            </w:r>
          </w:p>
        </w:tc>
        <w:tc>
          <w:tcPr>
            <w:tcW w:w="1571" w:type="dxa"/>
            <w:gridSpan w:val="2"/>
            <w:noWrap/>
          </w:tcPr>
          <w:p w:rsidR="0060561C" w:rsidRPr="00422183" w:rsidRDefault="0060561C" w:rsidP="00917260">
            <w:pPr>
              <w:jc w:val="both"/>
              <w:rPr>
                <w:rFonts w:ascii="Rockwell" w:hAnsi="Rockwell"/>
                <w:sz w:val="18"/>
                <w:szCs w:val="18"/>
              </w:rPr>
            </w:pPr>
            <w:r w:rsidRPr="00422183">
              <w:rPr>
                <w:rFonts w:ascii="Rockwell" w:hAnsi="Rockwell"/>
                <w:sz w:val="18"/>
                <w:szCs w:val="18"/>
              </w:rPr>
              <w:t>80%</w:t>
            </w:r>
          </w:p>
        </w:tc>
      </w:tr>
      <w:tr w:rsidR="0060561C" w:rsidRPr="00422183" w:rsidTr="00EA7383">
        <w:trPr>
          <w:trHeight w:val="300"/>
        </w:trPr>
        <w:tc>
          <w:tcPr>
            <w:tcW w:w="3989" w:type="dxa"/>
            <w:vMerge/>
            <w:noWrap/>
            <w:vAlign w:val="center"/>
          </w:tcPr>
          <w:p w:rsidR="0060561C" w:rsidRPr="00422183" w:rsidRDefault="0060561C" w:rsidP="00EA7383">
            <w:pPr>
              <w:rPr>
                <w:rFonts w:ascii="Rockwell" w:hAnsi="Rockwell"/>
                <w:sz w:val="18"/>
                <w:szCs w:val="18"/>
              </w:rPr>
            </w:pPr>
          </w:p>
        </w:tc>
        <w:tc>
          <w:tcPr>
            <w:tcW w:w="6903" w:type="dxa"/>
          </w:tcPr>
          <w:p w:rsidR="0060561C" w:rsidRPr="00422183" w:rsidRDefault="0060561C" w:rsidP="0060561C">
            <w:pPr>
              <w:jc w:val="both"/>
              <w:rPr>
                <w:rFonts w:ascii="Rockwell" w:hAnsi="Rockwell"/>
                <w:sz w:val="18"/>
                <w:szCs w:val="18"/>
              </w:rPr>
            </w:pPr>
            <w:r w:rsidRPr="00422183">
              <w:rPr>
                <w:rFonts w:ascii="Rockwell" w:hAnsi="Rockwell"/>
                <w:sz w:val="18"/>
                <w:szCs w:val="18"/>
              </w:rPr>
              <w:t>Proportion des PTF appliquant la division de travail</w:t>
            </w:r>
          </w:p>
        </w:tc>
        <w:tc>
          <w:tcPr>
            <w:tcW w:w="1601" w:type="dxa"/>
            <w:gridSpan w:val="2"/>
            <w:noWrap/>
          </w:tcPr>
          <w:p w:rsidR="0060561C" w:rsidRPr="00422183" w:rsidRDefault="0060561C"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60561C" w:rsidRPr="00422183" w:rsidRDefault="0060561C" w:rsidP="00917260">
            <w:pPr>
              <w:jc w:val="both"/>
              <w:rPr>
                <w:rFonts w:ascii="Rockwell" w:hAnsi="Rockwell"/>
                <w:sz w:val="18"/>
                <w:szCs w:val="18"/>
              </w:rPr>
            </w:pPr>
            <w:r w:rsidRPr="00422183">
              <w:rPr>
                <w:rFonts w:ascii="Rockwell" w:hAnsi="Rockwell"/>
                <w:sz w:val="18"/>
                <w:szCs w:val="18"/>
              </w:rPr>
              <w:t>65%</w:t>
            </w:r>
          </w:p>
        </w:tc>
        <w:tc>
          <w:tcPr>
            <w:tcW w:w="1571" w:type="dxa"/>
            <w:gridSpan w:val="2"/>
            <w:noWrap/>
          </w:tcPr>
          <w:p w:rsidR="0060561C" w:rsidRPr="00422183" w:rsidRDefault="0060561C" w:rsidP="00917260">
            <w:pPr>
              <w:jc w:val="both"/>
              <w:rPr>
                <w:rFonts w:ascii="Rockwell" w:hAnsi="Rockwell"/>
                <w:sz w:val="18"/>
                <w:szCs w:val="18"/>
              </w:rPr>
            </w:pPr>
            <w:r w:rsidRPr="00422183">
              <w:rPr>
                <w:rFonts w:ascii="Rockwell" w:hAnsi="Rockwell"/>
                <w:sz w:val="18"/>
                <w:szCs w:val="18"/>
              </w:rPr>
              <w:t>90%</w:t>
            </w:r>
          </w:p>
        </w:tc>
      </w:tr>
      <w:tr w:rsidR="00917260" w:rsidRPr="00422183" w:rsidTr="00EA7383">
        <w:trPr>
          <w:trHeight w:val="343"/>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dossiers judiciaires sur la fraude, le faux et le blanchiment classés sans suite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r>
      <w:tr w:rsidR="00917260" w:rsidRPr="00422183" w:rsidTr="00BF4230">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1.2.2 : l’environnement des affaires est plus incitatif et le secteur privé renforcé dans ses capacités d’initiatives et de gestion</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Classement Doing business</w:t>
            </w:r>
          </w:p>
        </w:tc>
        <w:tc>
          <w:tcPr>
            <w:tcW w:w="1601" w:type="dxa"/>
            <w:gridSpan w:val="2"/>
            <w:noWrap/>
            <w:hideMark/>
          </w:tcPr>
          <w:p w:rsidR="00917260" w:rsidRPr="00422183" w:rsidRDefault="00917260" w:rsidP="009016C8">
            <w:pPr>
              <w:jc w:val="both"/>
              <w:rPr>
                <w:rFonts w:ascii="Rockwell" w:hAnsi="Rockwell"/>
                <w:sz w:val="18"/>
                <w:szCs w:val="18"/>
              </w:rPr>
            </w:pPr>
            <w:r w:rsidRPr="00422183">
              <w:rPr>
                <w:rFonts w:ascii="Rockwell" w:hAnsi="Rockwell"/>
                <w:sz w:val="18"/>
                <w:szCs w:val="18"/>
              </w:rPr>
              <w:t xml:space="preserve">143 </w:t>
            </w:r>
            <w:r w:rsidR="009016C8" w:rsidRPr="00422183">
              <w:rPr>
                <w:rFonts w:ascii="Rockwell" w:hAnsi="Rockwell"/>
                <w:sz w:val="18"/>
                <w:szCs w:val="18"/>
              </w:rPr>
              <w:t xml:space="preserve">ieme sur 189 </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130 ieme</w:t>
            </w:r>
          </w:p>
        </w:tc>
      </w:tr>
      <w:tr w:rsidR="00917260" w:rsidRPr="00422183" w:rsidTr="00EA7383">
        <w:trPr>
          <w:trHeight w:val="5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La part du secteur informel dans la valeur ajoutée du secteur tertiaire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20,7%</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Voir IAP</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stratégique1. 3. Renforcer la décentralisation, la gouvernance locale et le développement régional</w:t>
            </w:r>
          </w:p>
        </w:tc>
      </w:tr>
      <w:tr w:rsidR="00F23764" w:rsidRPr="00422183" w:rsidTr="00BF4230">
        <w:trPr>
          <w:trHeight w:val="349"/>
        </w:trPr>
        <w:tc>
          <w:tcPr>
            <w:tcW w:w="3989" w:type="dxa"/>
            <w:vMerge w:val="restart"/>
            <w:noWrap/>
            <w:vAlign w:val="center"/>
            <w:hideMark/>
          </w:tcPr>
          <w:p w:rsidR="00F23764" w:rsidRPr="00422183" w:rsidRDefault="00F23764" w:rsidP="00EA7383">
            <w:pPr>
              <w:rPr>
                <w:rFonts w:ascii="Rockwell" w:hAnsi="Rockwell"/>
                <w:sz w:val="18"/>
                <w:szCs w:val="18"/>
              </w:rPr>
            </w:pPr>
            <w:r w:rsidRPr="00422183">
              <w:rPr>
                <w:rFonts w:ascii="Rockwell" w:hAnsi="Rockwell"/>
                <w:sz w:val="18"/>
                <w:szCs w:val="18"/>
              </w:rPr>
              <w:t>EA 1.3.1. L'efficacité de la décentralisation et la gouvernance locale s'est améliorée</w:t>
            </w:r>
          </w:p>
        </w:tc>
        <w:tc>
          <w:tcPr>
            <w:tcW w:w="6903" w:type="dxa"/>
            <w:hideMark/>
          </w:tcPr>
          <w:p w:rsidR="00F23764" w:rsidRPr="00422183" w:rsidRDefault="00F23764" w:rsidP="00917260">
            <w:pPr>
              <w:jc w:val="both"/>
              <w:rPr>
                <w:rFonts w:ascii="Rockwell" w:hAnsi="Rockwell"/>
                <w:sz w:val="18"/>
                <w:szCs w:val="18"/>
              </w:rPr>
            </w:pPr>
            <w:r w:rsidRPr="00422183">
              <w:rPr>
                <w:rFonts w:ascii="Rockwell" w:hAnsi="Rockwell"/>
                <w:sz w:val="18"/>
                <w:szCs w:val="18"/>
              </w:rPr>
              <w:t>Part du budget de l'Etat transférée aux collectivités territoriales</w:t>
            </w:r>
          </w:p>
        </w:tc>
        <w:tc>
          <w:tcPr>
            <w:tcW w:w="160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4,65%</w:t>
            </w:r>
          </w:p>
        </w:tc>
        <w:tc>
          <w:tcPr>
            <w:tcW w:w="1495"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7%</w:t>
            </w:r>
          </w:p>
        </w:tc>
        <w:tc>
          <w:tcPr>
            <w:tcW w:w="157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10%</w:t>
            </w:r>
          </w:p>
        </w:tc>
      </w:tr>
      <w:tr w:rsidR="00F23764" w:rsidRPr="00422183" w:rsidTr="00BF4230">
        <w:trPr>
          <w:trHeight w:val="287"/>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917260">
            <w:pPr>
              <w:jc w:val="both"/>
              <w:rPr>
                <w:rFonts w:ascii="Rockwell" w:hAnsi="Rockwell"/>
                <w:sz w:val="18"/>
                <w:szCs w:val="18"/>
              </w:rPr>
            </w:pPr>
            <w:r w:rsidRPr="00422183">
              <w:rPr>
                <w:rFonts w:ascii="Rockwell" w:hAnsi="Rockwell"/>
                <w:sz w:val="18"/>
                <w:szCs w:val="18"/>
              </w:rPr>
              <w:t xml:space="preserve">Pourcentage d’usagers satisfaits des prestations des collectivités territoriales </w:t>
            </w:r>
          </w:p>
        </w:tc>
        <w:tc>
          <w:tcPr>
            <w:tcW w:w="160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50%</w:t>
            </w:r>
          </w:p>
        </w:tc>
        <w:tc>
          <w:tcPr>
            <w:tcW w:w="157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80%</w:t>
            </w:r>
          </w:p>
        </w:tc>
      </w:tr>
      <w:tr w:rsidR="00F23764" w:rsidRPr="00422183" w:rsidTr="00BF4230">
        <w:trPr>
          <w:trHeight w:val="376"/>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917260">
            <w:pPr>
              <w:jc w:val="both"/>
              <w:rPr>
                <w:rFonts w:ascii="Rockwell" w:hAnsi="Rockwell"/>
                <w:sz w:val="18"/>
                <w:szCs w:val="18"/>
              </w:rPr>
            </w:pPr>
            <w:r w:rsidRPr="00422183">
              <w:rPr>
                <w:rFonts w:ascii="Rockwell" w:hAnsi="Rockwell"/>
                <w:sz w:val="18"/>
                <w:szCs w:val="18"/>
              </w:rPr>
              <w:t xml:space="preserve">Proportion des individus disposant d’un acte d’état civil </w:t>
            </w:r>
          </w:p>
        </w:tc>
        <w:tc>
          <w:tcPr>
            <w:tcW w:w="1601" w:type="dxa"/>
            <w:gridSpan w:val="2"/>
            <w:noWrap/>
          </w:tcPr>
          <w:p w:rsidR="00F23764" w:rsidRPr="00422183" w:rsidRDefault="00F23764" w:rsidP="00917260">
            <w:pPr>
              <w:jc w:val="both"/>
              <w:rPr>
                <w:rFonts w:ascii="Rockwell" w:hAnsi="Rockwell"/>
                <w:sz w:val="18"/>
                <w:szCs w:val="18"/>
              </w:rPr>
            </w:pPr>
          </w:p>
        </w:tc>
        <w:tc>
          <w:tcPr>
            <w:tcW w:w="1495" w:type="dxa"/>
            <w:gridSpan w:val="2"/>
            <w:noWrap/>
          </w:tcPr>
          <w:p w:rsidR="00F23764" w:rsidRPr="00422183" w:rsidRDefault="00F23764" w:rsidP="00917260">
            <w:pPr>
              <w:jc w:val="both"/>
              <w:rPr>
                <w:rFonts w:ascii="Rockwell" w:hAnsi="Rockwell"/>
                <w:sz w:val="18"/>
                <w:szCs w:val="18"/>
              </w:rPr>
            </w:pPr>
          </w:p>
        </w:tc>
        <w:tc>
          <w:tcPr>
            <w:tcW w:w="1571" w:type="dxa"/>
            <w:gridSpan w:val="2"/>
            <w:noWrap/>
          </w:tcPr>
          <w:p w:rsidR="00F23764" w:rsidRPr="00422183" w:rsidRDefault="00F23764" w:rsidP="00917260">
            <w:pPr>
              <w:jc w:val="both"/>
              <w:rPr>
                <w:rFonts w:ascii="Rockwell" w:hAnsi="Rockwell"/>
                <w:sz w:val="18"/>
                <w:szCs w:val="18"/>
              </w:rPr>
            </w:pPr>
          </w:p>
        </w:tc>
      </w:tr>
      <w:tr w:rsidR="00917260" w:rsidRPr="00422183" w:rsidTr="00EA7383">
        <w:trPr>
          <w:trHeight w:val="538"/>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1.3.2. Les économies locales sont dynamisées et les disparités régionales sont réduites notamment à travers un aménagement du territoire efficace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référentiels sectoriels et locaux intégrant les orientations du SNADDT</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448"/>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Taux de réalisation des effets attendus des Plans locaux de développement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Axe 2 : Développer le capital humain</w:t>
            </w:r>
          </w:p>
        </w:tc>
      </w:tr>
      <w:tr w:rsidR="00917260" w:rsidRPr="00422183" w:rsidTr="00EA7383">
        <w:trPr>
          <w:trHeight w:val="300"/>
        </w:trPr>
        <w:tc>
          <w:tcPr>
            <w:tcW w:w="15559" w:type="dxa"/>
            <w:gridSpan w:val="8"/>
            <w:noWrap/>
            <w:vAlign w:val="center"/>
            <w:hideMark/>
          </w:tcPr>
          <w:p w:rsidR="00917260" w:rsidRPr="00422183" w:rsidRDefault="00917260" w:rsidP="009016C8">
            <w:pPr>
              <w:rPr>
                <w:rFonts w:ascii="Rockwell" w:hAnsi="Rockwell"/>
                <w:b/>
                <w:sz w:val="18"/>
                <w:szCs w:val="18"/>
              </w:rPr>
            </w:pPr>
            <w:r w:rsidRPr="00422183">
              <w:rPr>
                <w:rFonts w:ascii="Rockwell" w:hAnsi="Rockwell"/>
                <w:b/>
                <w:sz w:val="18"/>
                <w:szCs w:val="18"/>
              </w:rPr>
              <w:t xml:space="preserve">Objectif stratégique 2.1 : Promouvoir la santé des populations et </w:t>
            </w:r>
            <w:r w:rsidR="009016C8" w:rsidRPr="00422183">
              <w:rPr>
                <w:rFonts w:ascii="Rockwell" w:hAnsi="Rockwell"/>
                <w:b/>
                <w:sz w:val="18"/>
                <w:szCs w:val="18"/>
              </w:rPr>
              <w:t>accélérer</w:t>
            </w:r>
            <w:r w:rsidRPr="00422183">
              <w:rPr>
                <w:rFonts w:ascii="Rockwell" w:hAnsi="Rockwell"/>
                <w:b/>
                <w:sz w:val="18"/>
                <w:szCs w:val="18"/>
              </w:rPr>
              <w:t xml:space="preserve"> la transition démographique</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2.1.1 : L'accès aux services de santé de qualité est garanti à tous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mortalité maternelle pour 100 milles naissances vivantes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330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290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242</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Quotient de mortalité infanto-juvénile pour mille naissances vivantes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81,6</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69</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54,7</w:t>
            </w:r>
          </w:p>
        </w:tc>
      </w:tr>
      <w:tr w:rsidR="00917260" w:rsidRPr="00422183" w:rsidTr="00EA7383">
        <w:trPr>
          <w:trHeight w:val="278"/>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Taux de létalité du paludisme grave chez les enfants de moins de 5 ans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1,4% </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&lt;1%</w:t>
            </w:r>
          </w:p>
        </w:tc>
      </w:tr>
      <w:tr w:rsidR="00917260" w:rsidRPr="00422183" w:rsidTr="00EA7383">
        <w:trPr>
          <w:trHeight w:val="33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Taux de mortalité intra hospitalière (pour mille) (CHU,CHR, HD)</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63,1</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57</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&lt;50</w:t>
            </w:r>
          </w:p>
        </w:tc>
      </w:tr>
      <w:tr w:rsidR="00917260" w:rsidRPr="00422183" w:rsidTr="00EA7383">
        <w:trPr>
          <w:trHeight w:val="41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Proportion des DMEG n'ayant pas connu de rupture de stock des médicaments traceurs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88,70%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&gt;=95%</w:t>
            </w:r>
          </w:p>
        </w:tc>
      </w:tr>
      <w:tr w:rsidR="00917260" w:rsidRPr="00422183" w:rsidTr="00EA7383">
        <w:trPr>
          <w:trHeight w:val="32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Taux de mortalité intra hospitalière maternelle pour 100.000 parturientes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103,4</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97</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75,8</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Le taux de prévalence du VIH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1,2%</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0,90%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0,2%</w:t>
            </w:r>
          </w:p>
        </w:tc>
      </w:tr>
      <w:tr w:rsidR="00917260" w:rsidRPr="00422183" w:rsidTr="009016C8">
        <w:trPr>
          <w:trHeight w:val="30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Proportion de formations sanitaires publiques et privées accréditées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80%</w:t>
            </w:r>
          </w:p>
        </w:tc>
      </w:tr>
      <w:tr w:rsidR="00917260" w:rsidRPr="00422183" w:rsidTr="00EA7383">
        <w:trPr>
          <w:trHeight w:val="485"/>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2.1.2.  L’état nutritionnel de la population en particulier les femmes et les enfants est amélioré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 Malnutrition Aigüe Sévère pris en charge par rapport au nombre de cas attendus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95%</w:t>
            </w:r>
          </w:p>
        </w:tc>
      </w:tr>
      <w:tr w:rsidR="00917260" w:rsidRPr="00422183" w:rsidTr="00EA7383">
        <w:trPr>
          <w:trHeight w:val="485"/>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Pourcentage d’enfants avec un retard de croissance parmi les enfants de moins de 5 ans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30,2%</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Proportion de Malnutrition Aigüe Sévère guérie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93,8%</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96%</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2.1.3  : Le processus d’accélération de la transition démographique est réellement mis en mouvement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Indice synthétique de fécondité</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5,4 (2014)</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4,7</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Couple-année protection en pourcentage</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19,7%</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26,9%</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32,7%</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dépendance démographique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 (2014)</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47%</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2.2 : Accroitre l’offre et améliorer la qualité de l’éducation, de l’enseignement supérieur et de la formation en adéquation avec les besoins de l’économie</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2.2.1 : l’accès de tous à une éducation de qualité est amélioré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brut de scolarisation au préscolaire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3,9%</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6,12%</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7,6%</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d'achèvement au primaire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58,5%</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68,5%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75,6%</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d'achèvement au post-primaire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24,2%</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35,3%</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38,2%</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Indice de parité du TBA au primaire </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0,95</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Indice de parité du TBA au post-primaire </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1,05</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Indice de parité du TBA au secondaire</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0,66</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 salles de classe sous paillote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4353</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2913</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d’actes d’incivisme en milieu scolaire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73"/>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2.2.2 : La disponibilité et l'employabilité des ressources humaines sont améliorées</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effectifs de l’enseignement et de la formation techniques et professionnels (EFTP)</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3,4%</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16%</w:t>
            </w:r>
          </w:p>
        </w:tc>
      </w:tr>
      <w:tr w:rsidR="00917260" w:rsidRPr="00422183" w:rsidTr="00EA7383">
        <w:trPr>
          <w:trHeight w:val="58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 la main-d'œuvre bénéficiaire de la Formation technique et professionnelle dans les filières de transformation agro-pastorale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1,1%</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r>
      <w:tr w:rsidR="00917260" w:rsidRPr="00422183" w:rsidTr="00BF4230">
        <w:trPr>
          <w:trHeight w:val="492"/>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effectifs de la formation professionnelle dans l’effectif total des formés</w:t>
            </w:r>
          </w:p>
        </w:tc>
        <w:tc>
          <w:tcPr>
            <w:tcW w:w="1601" w:type="dxa"/>
            <w:gridSpan w:val="2"/>
            <w:noWrap/>
          </w:tcPr>
          <w:p w:rsidR="00917260" w:rsidRPr="00422183" w:rsidRDefault="00260DB3" w:rsidP="00917260">
            <w:pPr>
              <w:jc w:val="both"/>
              <w:rPr>
                <w:rFonts w:ascii="Rockwell" w:hAnsi="Rockwell"/>
                <w:sz w:val="18"/>
                <w:szCs w:val="18"/>
              </w:rPr>
            </w:pPr>
            <w:r w:rsidRPr="00422183">
              <w:rPr>
                <w:rFonts w:ascii="Rockwell" w:hAnsi="Rockwell"/>
                <w:sz w:val="18"/>
                <w:szCs w:val="18"/>
              </w:rPr>
              <w:t>4,5%</w:t>
            </w:r>
          </w:p>
        </w:tc>
        <w:tc>
          <w:tcPr>
            <w:tcW w:w="1495" w:type="dxa"/>
            <w:gridSpan w:val="2"/>
            <w:noWrap/>
          </w:tcPr>
          <w:p w:rsidR="00917260" w:rsidRPr="00422183" w:rsidRDefault="00260DB3" w:rsidP="00917260">
            <w:pPr>
              <w:jc w:val="both"/>
              <w:rPr>
                <w:rFonts w:ascii="Rockwell" w:hAnsi="Rockwell"/>
                <w:sz w:val="18"/>
                <w:szCs w:val="18"/>
              </w:rPr>
            </w:pPr>
            <w:r w:rsidRPr="00422183">
              <w:rPr>
                <w:rFonts w:ascii="Rockwell" w:hAnsi="Rockwell"/>
                <w:sz w:val="18"/>
                <w:szCs w:val="18"/>
              </w:rPr>
              <w:t>10%</w:t>
            </w:r>
          </w:p>
        </w:tc>
        <w:tc>
          <w:tcPr>
            <w:tcW w:w="1571" w:type="dxa"/>
            <w:gridSpan w:val="2"/>
            <w:noWrap/>
          </w:tcPr>
          <w:p w:rsidR="00917260" w:rsidRPr="00422183" w:rsidRDefault="00260DB3" w:rsidP="00917260">
            <w:pPr>
              <w:jc w:val="both"/>
              <w:rPr>
                <w:rFonts w:ascii="Rockwell" w:hAnsi="Rockwell"/>
                <w:sz w:val="18"/>
                <w:szCs w:val="18"/>
              </w:rPr>
            </w:pPr>
            <w:r w:rsidRPr="00422183">
              <w:rPr>
                <w:rFonts w:ascii="Rockwell" w:hAnsi="Rockwell"/>
                <w:sz w:val="18"/>
                <w:szCs w:val="18"/>
              </w:rPr>
              <w:t>15%</w:t>
            </w:r>
          </w:p>
        </w:tc>
      </w:tr>
      <w:tr w:rsidR="00917260" w:rsidRPr="00422183" w:rsidTr="00BF4230">
        <w:trPr>
          <w:trHeight w:val="514"/>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Nombre de bénéficiaires de l’enseignement et de la formation techniques et professionnels pour 100 mille habitants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917260" w:rsidRPr="00422183" w:rsidTr="00EA7383">
        <w:trPr>
          <w:trHeight w:val="568"/>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 la population en âge de travailler (18 ans et plus) formé dans les métiers agropastoraux</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0,2%</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4,5%</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7%</w:t>
            </w:r>
          </w:p>
        </w:tc>
      </w:tr>
      <w:tr w:rsidR="00917260" w:rsidRPr="00422183" w:rsidTr="00EA7383">
        <w:trPr>
          <w:trHeight w:val="37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d'alphabétisation de la population en âge de travailler (18 ans et plus)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29,5%</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31,5%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35%</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2.2.3 : L’accès à un enseignement supérieur de qualité adapté aux besoins de la transformation structurelle de l'économie est assuré</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d’étudiants pour 100 000 habitants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611</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829</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d’étudiant ayant achevé le cycle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28%</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547"/>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Durée moyenne pour un sortant de l’enseignant supérieur pour trouver un premier emploi (en années)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w:t>
            </w:r>
          </w:p>
        </w:tc>
      </w:tr>
      <w:tr w:rsidR="00917260" w:rsidRPr="00422183" w:rsidTr="00937F70">
        <w:trPr>
          <w:trHeight w:val="469"/>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étudiants inscrits dans des filières professionnelles adaptées au processus de transformation structurelle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filières professionnalisantes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r>
      <w:tr w:rsidR="00917260" w:rsidRPr="00422183" w:rsidTr="00EA7383">
        <w:trPr>
          <w:trHeight w:val="319"/>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d’étudiants en situation de handicap bénéficiant d’un appui spécifique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11</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416"/>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2.3  Promouvoir la recherche et l'innovation au service de la transformation structurelle de l'économie</w:t>
            </w:r>
          </w:p>
        </w:tc>
      </w:tr>
      <w:tr w:rsidR="00917260" w:rsidRPr="00422183" w:rsidTr="00EA7383">
        <w:trPr>
          <w:trHeight w:val="349"/>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2.3.1 : La recherche et l'innovation sont davantage au service de la transformation structurelle de l'économie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Nombre </w:t>
            </w:r>
            <w:r w:rsidR="00937F70" w:rsidRPr="00422183">
              <w:rPr>
                <w:rFonts w:ascii="Rockwell" w:hAnsi="Rockwell"/>
                <w:sz w:val="18"/>
                <w:szCs w:val="18"/>
              </w:rPr>
              <w:t xml:space="preserve">de </w:t>
            </w:r>
            <w:r w:rsidRPr="00422183">
              <w:rPr>
                <w:rFonts w:ascii="Rockwell" w:hAnsi="Rockwell"/>
                <w:sz w:val="18"/>
                <w:szCs w:val="18"/>
              </w:rPr>
              <w:t>technologies générées au profit de la production (fiches techniques)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600</w:t>
            </w:r>
          </w:p>
        </w:tc>
      </w:tr>
      <w:tr w:rsidR="00917260" w:rsidRPr="00422183" w:rsidTr="00EA7383">
        <w:trPr>
          <w:trHeight w:val="55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Nombre de résultats de recherche et d’innovations valorisés au profit de la transformation structurelle de l’économie</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150</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350</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600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d’adoption des technologies et innovations générées par la recherche scientifique et technologique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71%</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95%</w:t>
            </w:r>
          </w:p>
        </w:tc>
      </w:tr>
      <w:tr w:rsidR="00917260" w:rsidRPr="00422183" w:rsidTr="00EA7383">
        <w:trPr>
          <w:trHeight w:val="300"/>
        </w:trPr>
        <w:tc>
          <w:tcPr>
            <w:tcW w:w="14000" w:type="dxa"/>
            <w:gridSpan w:val="7"/>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 xml:space="preserve">Objectif stratégique 2.4  Promouvoir l'emploi décent et la protection sociale pour tous </w:t>
            </w:r>
            <w:r w:rsidR="00937F70" w:rsidRPr="00422183">
              <w:rPr>
                <w:rFonts w:ascii="Rockwell" w:hAnsi="Rockwell"/>
                <w:b/>
                <w:sz w:val="18"/>
                <w:szCs w:val="18"/>
              </w:rPr>
              <w:t>y compris pour les jeunes et les femmes</w:t>
            </w:r>
          </w:p>
        </w:tc>
        <w:tc>
          <w:tcPr>
            <w:tcW w:w="1559" w:type="dxa"/>
            <w:noWrap/>
            <w:hideMark/>
          </w:tcPr>
          <w:p w:rsidR="00917260" w:rsidRPr="00422183" w:rsidRDefault="00917260" w:rsidP="00917260">
            <w:pPr>
              <w:jc w:val="both"/>
              <w:rPr>
                <w:rFonts w:ascii="Rockwell" w:hAnsi="Rockwell"/>
                <w:b/>
                <w:sz w:val="18"/>
                <w:szCs w:val="18"/>
              </w:rPr>
            </w:pPr>
          </w:p>
        </w:tc>
      </w:tr>
      <w:tr w:rsidR="00917260" w:rsidRPr="00422183" w:rsidTr="00EA7383">
        <w:trPr>
          <w:trHeight w:val="339"/>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2.4.1 : L'emploi décent et la protection </w:t>
            </w:r>
            <w:r w:rsidR="00937F70" w:rsidRPr="00422183">
              <w:rPr>
                <w:rFonts w:ascii="Rockwell" w:hAnsi="Rockwell"/>
                <w:sz w:val="18"/>
                <w:szCs w:val="18"/>
              </w:rPr>
              <w:t xml:space="preserve">sociale </w:t>
            </w:r>
            <w:r w:rsidRPr="00422183">
              <w:rPr>
                <w:rFonts w:ascii="Rockwell" w:hAnsi="Rockwell"/>
                <w:sz w:val="18"/>
                <w:szCs w:val="18"/>
              </w:rPr>
              <w:t>sont garantis à tous</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d'insertion des jeunes et des femmes via le service public d'emploi</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w:t>
            </w:r>
          </w:p>
        </w:tc>
      </w:tr>
      <w:tr w:rsidR="00917260" w:rsidRPr="00422183" w:rsidTr="00937F70">
        <w:trPr>
          <w:trHeight w:val="268"/>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 l’emploi privé formel dans le total de l’emploi</w:t>
            </w:r>
          </w:p>
        </w:tc>
        <w:tc>
          <w:tcPr>
            <w:tcW w:w="1601" w:type="dxa"/>
            <w:gridSpan w:val="2"/>
            <w:noWrap/>
            <w:hideMark/>
          </w:tcPr>
          <w:p w:rsidR="00917260" w:rsidRPr="00422183" w:rsidRDefault="00656091" w:rsidP="00917260">
            <w:pPr>
              <w:jc w:val="both"/>
              <w:rPr>
                <w:rFonts w:ascii="Rockwell" w:hAnsi="Rockwell"/>
                <w:sz w:val="18"/>
                <w:szCs w:val="18"/>
              </w:rPr>
            </w:pPr>
            <w:r w:rsidRPr="00422183">
              <w:rPr>
                <w:rFonts w:ascii="Rockwell" w:hAnsi="Rockwell"/>
                <w:sz w:val="18"/>
                <w:szCs w:val="18"/>
              </w:rPr>
              <w:t>6,6% (2014)</w:t>
            </w:r>
          </w:p>
        </w:tc>
        <w:tc>
          <w:tcPr>
            <w:tcW w:w="1495" w:type="dxa"/>
            <w:gridSpan w:val="2"/>
            <w:noWrap/>
            <w:hideMark/>
          </w:tcPr>
          <w:p w:rsidR="00917260" w:rsidRPr="00422183" w:rsidRDefault="00656091" w:rsidP="00917260">
            <w:pPr>
              <w:jc w:val="both"/>
              <w:rPr>
                <w:rFonts w:ascii="Rockwell" w:hAnsi="Rockwell"/>
                <w:sz w:val="18"/>
                <w:szCs w:val="18"/>
              </w:rPr>
            </w:pPr>
            <w:r w:rsidRPr="00422183">
              <w:rPr>
                <w:rFonts w:ascii="Rockwell" w:hAnsi="Rockwell"/>
                <w:sz w:val="18"/>
                <w:szCs w:val="18"/>
              </w:rPr>
              <w:t>10%</w:t>
            </w:r>
          </w:p>
        </w:tc>
        <w:tc>
          <w:tcPr>
            <w:tcW w:w="1571" w:type="dxa"/>
            <w:gridSpan w:val="2"/>
            <w:noWrap/>
            <w:hideMark/>
          </w:tcPr>
          <w:p w:rsidR="00917260" w:rsidRPr="00422183" w:rsidRDefault="00656091" w:rsidP="00917260">
            <w:pPr>
              <w:jc w:val="both"/>
              <w:rPr>
                <w:rFonts w:ascii="Rockwell" w:hAnsi="Rockwell"/>
                <w:sz w:val="18"/>
                <w:szCs w:val="18"/>
              </w:rPr>
            </w:pPr>
            <w:r w:rsidRPr="00422183">
              <w:rPr>
                <w:rFonts w:ascii="Rockwell" w:hAnsi="Rockwell"/>
                <w:sz w:val="18"/>
                <w:szCs w:val="18"/>
              </w:rPr>
              <w:t>15%</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Taux de chômage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6,6% (2014)</w:t>
            </w:r>
          </w:p>
        </w:tc>
        <w:tc>
          <w:tcPr>
            <w:tcW w:w="1495" w:type="dxa"/>
            <w:gridSpan w:val="2"/>
            <w:noWrap/>
            <w:hideMark/>
          </w:tcPr>
          <w:p w:rsidR="00917260" w:rsidRPr="00422183" w:rsidRDefault="0093449C" w:rsidP="00917260">
            <w:pPr>
              <w:jc w:val="both"/>
              <w:rPr>
                <w:rFonts w:ascii="Rockwell" w:hAnsi="Rockwell"/>
                <w:sz w:val="18"/>
                <w:szCs w:val="18"/>
              </w:rPr>
            </w:pPr>
            <w:r w:rsidRPr="00422183">
              <w:rPr>
                <w:rFonts w:ascii="Rockwell" w:hAnsi="Rockwell"/>
                <w:sz w:val="18"/>
                <w:szCs w:val="18"/>
              </w:rPr>
              <w:t>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sous-emploi</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64% (2014)</w:t>
            </w:r>
          </w:p>
        </w:tc>
        <w:tc>
          <w:tcPr>
            <w:tcW w:w="1495" w:type="dxa"/>
            <w:gridSpan w:val="2"/>
            <w:noWrap/>
            <w:hideMark/>
          </w:tcPr>
          <w:p w:rsidR="00917260" w:rsidRPr="00422183" w:rsidRDefault="0093449C" w:rsidP="00917260">
            <w:pPr>
              <w:jc w:val="both"/>
              <w:rPr>
                <w:rFonts w:ascii="Rockwell" w:hAnsi="Rockwell"/>
                <w:sz w:val="18"/>
                <w:szCs w:val="18"/>
              </w:rPr>
            </w:pPr>
            <w:r w:rsidRPr="00422183">
              <w:rPr>
                <w:rFonts w:ascii="Rockwell" w:hAnsi="Rockwell"/>
                <w:sz w:val="18"/>
                <w:szCs w:val="18"/>
              </w:rPr>
              <w:t>55%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48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Pourcentage de prévalence des enfants de 5 à 17 ans impliqués dans les activités économiques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41% (2008)</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travailleurs affiliés à la CNSS et à la CARFO</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100%</w:t>
            </w: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Nombre d’accidents de travail pour 1 million de travailleurs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6063,85 (2014)</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Nombre de conflits individuels pour 10 milles salariés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131,15</w:t>
            </w:r>
          </w:p>
        </w:tc>
        <w:tc>
          <w:tcPr>
            <w:tcW w:w="1495" w:type="dxa"/>
            <w:gridSpan w:val="2"/>
            <w:noWrap/>
          </w:tcPr>
          <w:p w:rsidR="00917260" w:rsidRPr="00422183" w:rsidRDefault="00917260" w:rsidP="00917260">
            <w:pPr>
              <w:jc w:val="both"/>
              <w:rPr>
                <w:rFonts w:ascii="Rockwell" w:hAnsi="Rockwell"/>
                <w:sz w:val="18"/>
                <w:szCs w:val="18"/>
              </w:rPr>
            </w:pPr>
          </w:p>
        </w:tc>
        <w:tc>
          <w:tcPr>
            <w:tcW w:w="1571" w:type="dxa"/>
            <w:gridSpan w:val="2"/>
            <w:noWrap/>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couverture du Régime d’Assurance Maladie Universelle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r>
      <w:tr w:rsidR="00917260" w:rsidRPr="00422183" w:rsidTr="00EA7383">
        <w:trPr>
          <w:trHeight w:val="286"/>
        </w:trPr>
        <w:tc>
          <w:tcPr>
            <w:tcW w:w="3989" w:type="dxa"/>
            <w:vMerge w:val="restart"/>
            <w:noWrap/>
            <w:vAlign w:val="center"/>
            <w:hideMark/>
          </w:tcPr>
          <w:p w:rsidR="00917260" w:rsidRPr="00422183" w:rsidRDefault="00917260" w:rsidP="00937F70">
            <w:pPr>
              <w:rPr>
                <w:rFonts w:ascii="Rockwell" w:hAnsi="Rockwell"/>
                <w:sz w:val="18"/>
                <w:szCs w:val="18"/>
              </w:rPr>
            </w:pPr>
            <w:r w:rsidRPr="00422183">
              <w:rPr>
                <w:rFonts w:ascii="Rockwell" w:hAnsi="Rockwell"/>
                <w:sz w:val="18"/>
                <w:szCs w:val="18"/>
              </w:rPr>
              <w:t xml:space="preserve">EA 2.4.2: les inégalités sociales et de genre sont réduites </w:t>
            </w:r>
            <w:r w:rsidR="0003395F" w:rsidRPr="00422183">
              <w:rPr>
                <w:rFonts w:ascii="Rockwell" w:hAnsi="Rockwell"/>
                <w:sz w:val="18"/>
                <w:szCs w:val="18"/>
              </w:rPr>
              <w:t xml:space="preserve">et la femme est promue comme </w:t>
            </w:r>
            <w:r w:rsidR="00937F70" w:rsidRPr="00422183">
              <w:rPr>
                <w:rFonts w:ascii="Rockwell" w:hAnsi="Rockwell"/>
                <w:sz w:val="18"/>
                <w:szCs w:val="18"/>
              </w:rPr>
              <w:t>actrice</w:t>
            </w:r>
            <w:r w:rsidR="0003395F" w:rsidRPr="00422183">
              <w:rPr>
                <w:rFonts w:ascii="Rockwell" w:hAnsi="Rockwell"/>
                <w:sz w:val="18"/>
                <w:szCs w:val="18"/>
              </w:rPr>
              <w:t xml:space="preserve"> dynamique de développement</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personnes marginalisées identifiées insérées</w:t>
            </w:r>
          </w:p>
        </w:tc>
        <w:tc>
          <w:tcPr>
            <w:tcW w:w="1548" w:type="dxa"/>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Non Disponible</w:t>
            </w:r>
          </w:p>
        </w:tc>
        <w:tc>
          <w:tcPr>
            <w:tcW w:w="1548" w:type="dxa"/>
            <w:gridSpan w:val="3"/>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Proportion des handicapés actifs </w:t>
            </w:r>
            <w:r w:rsidR="00937F70" w:rsidRPr="00422183">
              <w:rPr>
                <w:rFonts w:ascii="Rockwell" w:hAnsi="Rockwell"/>
                <w:sz w:val="18"/>
                <w:szCs w:val="18"/>
              </w:rPr>
              <w:t>occupés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2,2% </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43"/>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d’enfants vulnérables identifiées prise en charge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d’enfants en situation de rue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5721 (2010) </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4000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2860</w:t>
            </w:r>
          </w:p>
        </w:tc>
      </w:tr>
      <w:tr w:rsidR="00917260" w:rsidRPr="00422183" w:rsidTr="00EA7383">
        <w:trPr>
          <w:trHeight w:val="34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femmes propriétaire d’entreprise parmi les entrepreneurs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21%</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2.5 : Améliorer le cadre de vie, l'accès à l'eau, l'assainissement et aux services énergétiques de qualité</w:t>
            </w:r>
          </w:p>
        </w:tc>
      </w:tr>
      <w:tr w:rsidR="00F23764" w:rsidRPr="00422183" w:rsidTr="00EA7383">
        <w:trPr>
          <w:trHeight w:val="300"/>
        </w:trPr>
        <w:tc>
          <w:tcPr>
            <w:tcW w:w="3989" w:type="dxa"/>
            <w:vMerge w:val="restart"/>
            <w:noWrap/>
            <w:vAlign w:val="center"/>
            <w:hideMark/>
          </w:tcPr>
          <w:p w:rsidR="00F23764" w:rsidRPr="00422183" w:rsidRDefault="00F23764" w:rsidP="00EA7383">
            <w:pPr>
              <w:rPr>
                <w:rFonts w:ascii="Rockwell" w:hAnsi="Rockwell"/>
                <w:sz w:val="18"/>
                <w:szCs w:val="18"/>
              </w:rPr>
            </w:pPr>
            <w:r w:rsidRPr="00422183">
              <w:rPr>
                <w:rFonts w:ascii="Rockwell" w:hAnsi="Rockwell"/>
                <w:sz w:val="18"/>
                <w:szCs w:val="18"/>
              </w:rPr>
              <w:t>EA 2.5.1 : L'accès de tous à un cadre de vie décent, à l'eau et à l'assainissement de qualité est garanti</w:t>
            </w:r>
          </w:p>
        </w:tc>
        <w:tc>
          <w:tcPr>
            <w:tcW w:w="6903" w:type="dxa"/>
            <w:hideMark/>
          </w:tcPr>
          <w:p w:rsidR="00F23764" w:rsidRPr="00422183" w:rsidRDefault="00F23764" w:rsidP="00917260">
            <w:pPr>
              <w:jc w:val="both"/>
              <w:rPr>
                <w:rFonts w:ascii="Rockwell" w:hAnsi="Rockwell"/>
                <w:sz w:val="18"/>
                <w:szCs w:val="18"/>
              </w:rPr>
            </w:pPr>
            <w:r w:rsidRPr="00422183">
              <w:rPr>
                <w:rFonts w:ascii="Rockwell" w:hAnsi="Rockwell"/>
                <w:sz w:val="18"/>
                <w:szCs w:val="18"/>
              </w:rPr>
              <w:t xml:space="preserve">Taux d'accès à l'eau potable </w:t>
            </w:r>
          </w:p>
        </w:tc>
        <w:tc>
          <w:tcPr>
            <w:tcW w:w="160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71%</w:t>
            </w:r>
          </w:p>
        </w:tc>
        <w:tc>
          <w:tcPr>
            <w:tcW w:w="1495"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90%</w:t>
            </w:r>
          </w:p>
        </w:tc>
        <w:tc>
          <w:tcPr>
            <w:tcW w:w="157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100</w:t>
            </w:r>
          </w:p>
        </w:tc>
      </w:tr>
      <w:tr w:rsidR="00F23764" w:rsidRPr="00422183" w:rsidTr="00EA7383">
        <w:trPr>
          <w:trHeight w:val="300"/>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917260">
            <w:pPr>
              <w:jc w:val="both"/>
              <w:rPr>
                <w:rFonts w:ascii="Rockwell" w:hAnsi="Rockwell"/>
                <w:sz w:val="18"/>
                <w:szCs w:val="18"/>
              </w:rPr>
            </w:pPr>
            <w:r w:rsidRPr="00422183">
              <w:rPr>
                <w:rFonts w:ascii="Rockwell" w:hAnsi="Rockwell"/>
                <w:sz w:val="18"/>
                <w:szCs w:val="18"/>
              </w:rPr>
              <w:t>Taux d'assainissement</w:t>
            </w:r>
          </w:p>
        </w:tc>
        <w:tc>
          <w:tcPr>
            <w:tcW w:w="160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18%</w:t>
            </w:r>
          </w:p>
        </w:tc>
        <w:tc>
          <w:tcPr>
            <w:tcW w:w="1495"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27%</w:t>
            </w:r>
          </w:p>
        </w:tc>
        <w:tc>
          <w:tcPr>
            <w:tcW w:w="157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34%</w:t>
            </w:r>
          </w:p>
        </w:tc>
      </w:tr>
      <w:tr w:rsidR="00F23764" w:rsidRPr="00422183" w:rsidTr="00EA7383">
        <w:trPr>
          <w:trHeight w:val="366"/>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917260">
            <w:pPr>
              <w:jc w:val="both"/>
              <w:rPr>
                <w:rFonts w:ascii="Rockwell" w:hAnsi="Rockwell"/>
                <w:sz w:val="18"/>
                <w:szCs w:val="18"/>
              </w:rPr>
            </w:pPr>
            <w:r w:rsidRPr="00422183">
              <w:rPr>
                <w:rFonts w:ascii="Rockwell" w:hAnsi="Rockwell"/>
                <w:sz w:val="18"/>
                <w:szCs w:val="18"/>
              </w:rPr>
              <w:t>Pourcentage de communes dotées d’un système fonctionnel de gestion des déchets solides</w:t>
            </w:r>
          </w:p>
        </w:tc>
        <w:tc>
          <w:tcPr>
            <w:tcW w:w="160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13%</w:t>
            </w:r>
          </w:p>
        </w:tc>
        <w:tc>
          <w:tcPr>
            <w:tcW w:w="1495"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20%</w:t>
            </w:r>
          </w:p>
        </w:tc>
        <w:tc>
          <w:tcPr>
            <w:tcW w:w="157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25%</w:t>
            </w:r>
          </w:p>
        </w:tc>
      </w:tr>
      <w:tr w:rsidR="00F23764" w:rsidRPr="00422183" w:rsidTr="00937F70">
        <w:trPr>
          <w:trHeight w:val="300"/>
        </w:trPr>
        <w:tc>
          <w:tcPr>
            <w:tcW w:w="3989" w:type="dxa"/>
            <w:vMerge/>
            <w:noWrap/>
            <w:vAlign w:val="center"/>
            <w:hideMark/>
          </w:tcPr>
          <w:p w:rsidR="00F23764" w:rsidRPr="00422183" w:rsidRDefault="00F23764" w:rsidP="00EA7383">
            <w:pPr>
              <w:rPr>
                <w:rFonts w:ascii="Rockwell" w:hAnsi="Rockwell"/>
                <w:sz w:val="18"/>
                <w:szCs w:val="18"/>
              </w:rPr>
            </w:pPr>
          </w:p>
        </w:tc>
        <w:tc>
          <w:tcPr>
            <w:tcW w:w="6903" w:type="dxa"/>
            <w:hideMark/>
          </w:tcPr>
          <w:p w:rsidR="00F23764" w:rsidRPr="00422183" w:rsidRDefault="00F23764" w:rsidP="00917260">
            <w:pPr>
              <w:jc w:val="both"/>
              <w:rPr>
                <w:rFonts w:ascii="Rockwell" w:hAnsi="Rockwell"/>
                <w:sz w:val="18"/>
                <w:szCs w:val="18"/>
              </w:rPr>
            </w:pPr>
            <w:r w:rsidRPr="00422183">
              <w:rPr>
                <w:rFonts w:ascii="Rockwell" w:hAnsi="Rockwell"/>
                <w:sz w:val="18"/>
                <w:szCs w:val="18"/>
              </w:rPr>
              <w:t>Superficie d’espace vert reboisé dans les communes urbaines (ha)</w:t>
            </w:r>
          </w:p>
        </w:tc>
        <w:tc>
          <w:tcPr>
            <w:tcW w:w="160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75</w:t>
            </w:r>
          </w:p>
        </w:tc>
        <w:tc>
          <w:tcPr>
            <w:tcW w:w="1495"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110</w:t>
            </w:r>
          </w:p>
        </w:tc>
        <w:tc>
          <w:tcPr>
            <w:tcW w:w="1571" w:type="dxa"/>
            <w:gridSpan w:val="2"/>
            <w:noWrap/>
            <w:hideMark/>
          </w:tcPr>
          <w:p w:rsidR="00F23764" w:rsidRPr="00422183" w:rsidRDefault="00F23764" w:rsidP="00917260">
            <w:pPr>
              <w:jc w:val="both"/>
              <w:rPr>
                <w:rFonts w:ascii="Rockwell" w:hAnsi="Rockwell"/>
                <w:sz w:val="18"/>
                <w:szCs w:val="18"/>
              </w:rPr>
            </w:pPr>
            <w:r w:rsidRPr="00422183">
              <w:rPr>
                <w:rFonts w:ascii="Rockwell" w:hAnsi="Rockwell"/>
                <w:sz w:val="18"/>
                <w:szCs w:val="18"/>
              </w:rPr>
              <w:t>150</w:t>
            </w:r>
          </w:p>
        </w:tc>
      </w:tr>
      <w:tr w:rsidR="00F23764" w:rsidRPr="00422183" w:rsidTr="00EA7383">
        <w:trPr>
          <w:trHeight w:val="418"/>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917260">
            <w:pPr>
              <w:jc w:val="both"/>
              <w:rPr>
                <w:rFonts w:ascii="Rockwell" w:hAnsi="Rockwell"/>
                <w:sz w:val="18"/>
                <w:szCs w:val="18"/>
              </w:rPr>
            </w:pPr>
            <w:r w:rsidRPr="00422183">
              <w:rPr>
                <w:rFonts w:ascii="Rockwell" w:hAnsi="Rockwell"/>
                <w:sz w:val="18"/>
                <w:szCs w:val="18"/>
              </w:rPr>
              <w:t>Proportion d’établissements primaires et secondaires où l’éducation environnementale est enseignée</w:t>
            </w:r>
          </w:p>
        </w:tc>
        <w:tc>
          <w:tcPr>
            <w:tcW w:w="160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3%</w:t>
            </w:r>
          </w:p>
        </w:tc>
        <w:tc>
          <w:tcPr>
            <w:tcW w:w="1495"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5%</w:t>
            </w:r>
          </w:p>
        </w:tc>
        <w:tc>
          <w:tcPr>
            <w:tcW w:w="157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7%</w:t>
            </w:r>
          </w:p>
        </w:tc>
      </w:tr>
      <w:tr w:rsidR="00F23764" w:rsidRPr="00422183" w:rsidTr="00EA7383">
        <w:trPr>
          <w:trHeight w:val="418"/>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917260">
            <w:pPr>
              <w:jc w:val="both"/>
              <w:rPr>
                <w:rFonts w:ascii="Rockwell" w:hAnsi="Rockwell"/>
                <w:sz w:val="18"/>
                <w:szCs w:val="18"/>
              </w:rPr>
            </w:pPr>
            <w:r w:rsidRPr="00422183">
              <w:rPr>
                <w:rFonts w:ascii="Rockwell" w:hAnsi="Rockwell"/>
                <w:sz w:val="18"/>
                <w:szCs w:val="18"/>
              </w:rPr>
              <w:t>Proportion des agences de l’eau disposant d’un schéma directeur d’aménagement et de gestion de l’eau (SDAGE)</w:t>
            </w:r>
          </w:p>
        </w:tc>
        <w:tc>
          <w:tcPr>
            <w:tcW w:w="160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40%</w:t>
            </w:r>
          </w:p>
        </w:tc>
        <w:tc>
          <w:tcPr>
            <w:tcW w:w="1495"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60%</w:t>
            </w:r>
          </w:p>
        </w:tc>
        <w:tc>
          <w:tcPr>
            <w:tcW w:w="157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100%</w:t>
            </w:r>
          </w:p>
        </w:tc>
      </w:tr>
      <w:tr w:rsidR="00F23764" w:rsidRPr="00422183" w:rsidTr="00FC243B">
        <w:trPr>
          <w:trHeight w:val="290"/>
        </w:trPr>
        <w:tc>
          <w:tcPr>
            <w:tcW w:w="3989" w:type="dxa"/>
            <w:vMerge/>
            <w:noWrap/>
            <w:vAlign w:val="center"/>
          </w:tcPr>
          <w:p w:rsidR="00F23764" w:rsidRPr="00422183" w:rsidRDefault="00F23764" w:rsidP="00EA7383">
            <w:pPr>
              <w:rPr>
                <w:rFonts w:ascii="Rockwell" w:hAnsi="Rockwell"/>
                <w:sz w:val="18"/>
                <w:szCs w:val="18"/>
              </w:rPr>
            </w:pPr>
          </w:p>
        </w:tc>
        <w:tc>
          <w:tcPr>
            <w:tcW w:w="6903" w:type="dxa"/>
          </w:tcPr>
          <w:p w:rsidR="00F23764" w:rsidRPr="00422183" w:rsidRDefault="00F23764" w:rsidP="00917260">
            <w:pPr>
              <w:jc w:val="both"/>
              <w:rPr>
                <w:rFonts w:ascii="Rockwell" w:hAnsi="Rockwell"/>
                <w:sz w:val="18"/>
                <w:szCs w:val="18"/>
              </w:rPr>
            </w:pPr>
            <w:r w:rsidRPr="00422183">
              <w:rPr>
                <w:rFonts w:ascii="Rockwell" w:hAnsi="Rockwell"/>
                <w:sz w:val="18"/>
                <w:szCs w:val="18"/>
              </w:rPr>
              <w:t xml:space="preserve">Pourcentage des retenues d’eau de surface avec protection des berges </w:t>
            </w:r>
          </w:p>
        </w:tc>
        <w:tc>
          <w:tcPr>
            <w:tcW w:w="160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13%</w:t>
            </w:r>
          </w:p>
        </w:tc>
        <w:tc>
          <w:tcPr>
            <w:tcW w:w="1495"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19%</w:t>
            </w:r>
          </w:p>
        </w:tc>
        <w:tc>
          <w:tcPr>
            <w:tcW w:w="1571" w:type="dxa"/>
            <w:gridSpan w:val="2"/>
            <w:noWrap/>
          </w:tcPr>
          <w:p w:rsidR="00F23764" w:rsidRPr="00422183" w:rsidRDefault="00F23764" w:rsidP="00917260">
            <w:pPr>
              <w:jc w:val="both"/>
              <w:rPr>
                <w:rFonts w:ascii="Rockwell" w:hAnsi="Rockwell"/>
                <w:sz w:val="18"/>
                <w:szCs w:val="18"/>
              </w:rPr>
            </w:pPr>
            <w:r w:rsidRPr="00422183">
              <w:rPr>
                <w:rFonts w:ascii="Rockwell" w:hAnsi="Rockwell"/>
                <w:sz w:val="18"/>
                <w:szCs w:val="18"/>
              </w:rPr>
              <w:t>25%</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2.5.2 : L'accès aux services énergétiques de qualité est garanti</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d'accès des ménages à l'électricité</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24,4 %</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w:t>
            </w:r>
          </w:p>
        </w:tc>
      </w:tr>
      <w:tr w:rsidR="00917260" w:rsidRPr="00422183" w:rsidTr="00FC243B">
        <w:trPr>
          <w:trHeight w:val="315"/>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Part des énergies renouvelables dans la production totale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6,4%</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r>
      <w:tr w:rsidR="00917260" w:rsidRPr="00422183" w:rsidTr="00EA7383">
        <w:trPr>
          <w:trHeight w:val="214"/>
        </w:trPr>
        <w:tc>
          <w:tcPr>
            <w:tcW w:w="3989" w:type="dxa"/>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2.5.3 : la croissance urbaine est planifiée et maitrisée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 villes disposant de SDAU</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12</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37</w:t>
            </w:r>
          </w:p>
        </w:tc>
      </w:tr>
      <w:tr w:rsidR="00917260" w:rsidRPr="00422183" w:rsidTr="00EA7383">
        <w:trPr>
          <w:trHeight w:val="306"/>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2.5.4 : L'accès à des logements décents et aux bâtiments publics est assuré pour tous</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 villes ayant des zones d’habitats spontanés restructurées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13</w:t>
            </w:r>
          </w:p>
        </w:tc>
      </w:tr>
      <w:tr w:rsidR="00917260" w:rsidRPr="00422183" w:rsidTr="00EA7383">
        <w:trPr>
          <w:trHeight w:val="37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Proportion des populations urbaines  vivant en zone non lotie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17,2%</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w:t>
            </w:r>
          </w:p>
        </w:tc>
      </w:tr>
      <w:tr w:rsidR="00917260" w:rsidRPr="00422183" w:rsidTr="00EA7383">
        <w:trPr>
          <w:trHeight w:val="28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 ménages ayant accès à un logement décent</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4572</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35 000</w:t>
            </w:r>
          </w:p>
        </w:tc>
      </w:tr>
      <w:tr w:rsidR="00917260" w:rsidRPr="00422183" w:rsidTr="00EA7383">
        <w:trPr>
          <w:trHeight w:val="36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de ménages assistés dans l’auto-construction</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 100</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 50000</w:t>
            </w:r>
          </w:p>
        </w:tc>
      </w:tr>
      <w:tr w:rsidR="00917260" w:rsidRPr="00422183" w:rsidTr="00EA7383">
        <w:trPr>
          <w:trHeight w:val="300"/>
        </w:trPr>
        <w:tc>
          <w:tcPr>
            <w:tcW w:w="12510" w:type="dxa"/>
            <w:gridSpan w:val="5"/>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Axe 3 : Dynamiser les secteurs porteurs pour l’économie et l’emploi</w:t>
            </w:r>
          </w:p>
        </w:tc>
        <w:tc>
          <w:tcPr>
            <w:tcW w:w="1490" w:type="dxa"/>
            <w:gridSpan w:val="2"/>
            <w:noWrap/>
            <w:hideMark/>
          </w:tcPr>
          <w:p w:rsidR="00917260" w:rsidRPr="00422183" w:rsidRDefault="00917260" w:rsidP="00917260">
            <w:pPr>
              <w:jc w:val="both"/>
              <w:rPr>
                <w:rFonts w:ascii="Rockwell" w:hAnsi="Rockwell"/>
                <w:b/>
                <w:sz w:val="18"/>
                <w:szCs w:val="18"/>
              </w:rPr>
            </w:pPr>
          </w:p>
        </w:tc>
        <w:tc>
          <w:tcPr>
            <w:tcW w:w="1559" w:type="dxa"/>
            <w:noWrap/>
            <w:hideMark/>
          </w:tcPr>
          <w:p w:rsidR="00917260" w:rsidRPr="00422183" w:rsidRDefault="00917260" w:rsidP="00917260">
            <w:pPr>
              <w:jc w:val="both"/>
              <w:rPr>
                <w:rFonts w:ascii="Rockwell" w:hAnsi="Rockwell"/>
                <w:b/>
                <w:sz w:val="18"/>
                <w:szCs w:val="18"/>
              </w:rPr>
            </w:pPr>
          </w:p>
        </w:tc>
      </w:tr>
      <w:tr w:rsidR="00917260" w:rsidRPr="00422183" w:rsidTr="00EA7383">
        <w:trPr>
          <w:trHeight w:val="300"/>
        </w:trPr>
        <w:tc>
          <w:tcPr>
            <w:tcW w:w="15559" w:type="dxa"/>
            <w:gridSpan w:val="8"/>
            <w:noWrap/>
            <w:vAlign w:val="center"/>
            <w:hideMark/>
          </w:tcPr>
          <w:p w:rsidR="00917260" w:rsidRPr="00422183" w:rsidRDefault="00917260" w:rsidP="00FC243B">
            <w:pPr>
              <w:rPr>
                <w:rFonts w:ascii="Rockwell" w:hAnsi="Rockwell"/>
                <w:b/>
                <w:sz w:val="18"/>
                <w:szCs w:val="18"/>
              </w:rPr>
            </w:pPr>
            <w:r w:rsidRPr="00422183">
              <w:rPr>
                <w:rFonts w:ascii="Rockwell" w:hAnsi="Rockwell"/>
                <w:b/>
                <w:sz w:val="18"/>
                <w:szCs w:val="18"/>
              </w:rPr>
              <w:t>Objectif stratégique 3.1. Développer un secteu</w:t>
            </w:r>
            <w:r w:rsidR="00FC243B" w:rsidRPr="00422183">
              <w:rPr>
                <w:rFonts w:ascii="Rockwell" w:hAnsi="Rockwell"/>
                <w:b/>
                <w:sz w:val="18"/>
                <w:szCs w:val="18"/>
              </w:rPr>
              <w:t>r agro-sylvo-pastoral, faunique</w:t>
            </w:r>
            <w:r w:rsidRPr="00422183">
              <w:rPr>
                <w:rFonts w:ascii="Rockwell" w:hAnsi="Rockwell"/>
                <w:b/>
                <w:sz w:val="18"/>
                <w:szCs w:val="18"/>
              </w:rPr>
              <w:t xml:space="preserve"> et halieutique</w:t>
            </w:r>
            <w:r w:rsidR="00FC243B" w:rsidRPr="00422183">
              <w:rPr>
                <w:rFonts w:ascii="Rockwell" w:hAnsi="Rockwell"/>
                <w:b/>
                <w:sz w:val="18"/>
                <w:szCs w:val="18"/>
              </w:rPr>
              <w:t xml:space="preserve"> productif et résilient,</w:t>
            </w:r>
            <w:r w:rsidRPr="00422183">
              <w:rPr>
                <w:rFonts w:ascii="Rockwell" w:hAnsi="Rockwell"/>
                <w:b/>
                <w:sz w:val="18"/>
                <w:szCs w:val="18"/>
              </w:rPr>
              <w:t xml:space="preserve"> davantage orienté vers le marché et basé sur les principes de développement durable</w:t>
            </w:r>
          </w:p>
        </w:tc>
      </w:tr>
      <w:tr w:rsidR="00FC243B" w:rsidRPr="00422183" w:rsidTr="00EA7383">
        <w:trPr>
          <w:trHeight w:val="343"/>
        </w:trPr>
        <w:tc>
          <w:tcPr>
            <w:tcW w:w="3989" w:type="dxa"/>
            <w:vMerge w:val="restart"/>
            <w:noWrap/>
            <w:vAlign w:val="center"/>
            <w:hideMark/>
          </w:tcPr>
          <w:p w:rsidR="00FC243B" w:rsidRPr="00422183" w:rsidRDefault="00FC243B" w:rsidP="00EA7383">
            <w:pPr>
              <w:rPr>
                <w:rFonts w:ascii="Rockwell" w:hAnsi="Rockwell"/>
                <w:sz w:val="18"/>
                <w:szCs w:val="18"/>
              </w:rPr>
            </w:pPr>
            <w:r w:rsidRPr="00422183">
              <w:rPr>
                <w:rFonts w:ascii="Rockwell" w:hAnsi="Rockwell"/>
                <w:sz w:val="18"/>
                <w:szCs w:val="18"/>
              </w:rPr>
              <w:t xml:space="preserve">EA 3.1.1 : Le secteur primaire contribue à la sécurité alimentaire, à l'emploi productif et à l'approvisionnement de l'agro-industrie locale et est respectueux des principes de développement durable </w:t>
            </w:r>
          </w:p>
        </w:tc>
        <w:tc>
          <w:tcPr>
            <w:tcW w:w="6903" w:type="dxa"/>
            <w:hideMark/>
          </w:tcPr>
          <w:p w:rsidR="00FC243B" w:rsidRPr="00422183" w:rsidRDefault="00FC243B" w:rsidP="00917260">
            <w:pPr>
              <w:jc w:val="both"/>
              <w:rPr>
                <w:rFonts w:ascii="Rockwell" w:hAnsi="Rockwell"/>
                <w:sz w:val="18"/>
                <w:szCs w:val="18"/>
              </w:rPr>
            </w:pPr>
            <w:r w:rsidRPr="00422183">
              <w:rPr>
                <w:rFonts w:ascii="Rockwell" w:hAnsi="Rockwell"/>
                <w:sz w:val="18"/>
                <w:szCs w:val="18"/>
              </w:rPr>
              <w:t>La part des productions irriguées dans la production agricole totale</w:t>
            </w:r>
          </w:p>
        </w:tc>
        <w:tc>
          <w:tcPr>
            <w:tcW w:w="160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15%</w:t>
            </w:r>
          </w:p>
        </w:tc>
        <w:tc>
          <w:tcPr>
            <w:tcW w:w="1495" w:type="dxa"/>
            <w:gridSpan w:val="2"/>
            <w:noWrap/>
            <w:hideMark/>
          </w:tcPr>
          <w:p w:rsidR="00FC243B" w:rsidRPr="00422183" w:rsidRDefault="00FC243B" w:rsidP="00917260">
            <w:pPr>
              <w:jc w:val="both"/>
              <w:rPr>
                <w:rFonts w:ascii="Rockwell" w:hAnsi="Rockwell"/>
                <w:sz w:val="18"/>
                <w:szCs w:val="18"/>
              </w:rPr>
            </w:pPr>
          </w:p>
        </w:tc>
        <w:tc>
          <w:tcPr>
            <w:tcW w:w="157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25%</w:t>
            </w:r>
          </w:p>
        </w:tc>
      </w:tr>
      <w:tr w:rsidR="00FC243B" w:rsidRPr="00422183" w:rsidTr="00EA7383">
        <w:trPr>
          <w:trHeight w:val="300"/>
        </w:trPr>
        <w:tc>
          <w:tcPr>
            <w:tcW w:w="3989" w:type="dxa"/>
            <w:vMerge/>
            <w:noWrap/>
            <w:vAlign w:val="center"/>
            <w:hideMark/>
          </w:tcPr>
          <w:p w:rsidR="00FC243B" w:rsidRPr="00422183" w:rsidRDefault="00FC243B" w:rsidP="00EA7383">
            <w:pPr>
              <w:rPr>
                <w:rFonts w:ascii="Rockwell" w:hAnsi="Rockwell"/>
                <w:sz w:val="18"/>
                <w:szCs w:val="18"/>
              </w:rPr>
            </w:pPr>
          </w:p>
        </w:tc>
        <w:tc>
          <w:tcPr>
            <w:tcW w:w="6903" w:type="dxa"/>
            <w:hideMark/>
          </w:tcPr>
          <w:p w:rsidR="00FC243B" w:rsidRPr="00422183" w:rsidRDefault="00FC243B" w:rsidP="00917260">
            <w:pPr>
              <w:jc w:val="both"/>
              <w:rPr>
                <w:rFonts w:ascii="Rockwell" w:hAnsi="Rockwell"/>
                <w:sz w:val="18"/>
                <w:szCs w:val="18"/>
              </w:rPr>
            </w:pPr>
            <w:r w:rsidRPr="00422183">
              <w:rPr>
                <w:rFonts w:ascii="Rockwell" w:hAnsi="Rockwell"/>
                <w:sz w:val="18"/>
                <w:szCs w:val="18"/>
              </w:rPr>
              <w:t>Taux de couverture des besoins céréaliers</w:t>
            </w:r>
          </w:p>
        </w:tc>
        <w:tc>
          <w:tcPr>
            <w:tcW w:w="160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96%</w:t>
            </w:r>
          </w:p>
        </w:tc>
        <w:tc>
          <w:tcPr>
            <w:tcW w:w="1495"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120%</w:t>
            </w:r>
          </w:p>
        </w:tc>
        <w:tc>
          <w:tcPr>
            <w:tcW w:w="157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140%</w:t>
            </w:r>
          </w:p>
        </w:tc>
      </w:tr>
      <w:tr w:rsidR="00FC243B" w:rsidRPr="00422183" w:rsidTr="00EA7383">
        <w:trPr>
          <w:trHeight w:val="342"/>
        </w:trPr>
        <w:tc>
          <w:tcPr>
            <w:tcW w:w="3989" w:type="dxa"/>
            <w:vMerge/>
            <w:noWrap/>
            <w:vAlign w:val="center"/>
            <w:hideMark/>
          </w:tcPr>
          <w:p w:rsidR="00FC243B" w:rsidRPr="00422183" w:rsidRDefault="00FC243B" w:rsidP="00EA7383">
            <w:pPr>
              <w:rPr>
                <w:rFonts w:ascii="Rockwell" w:hAnsi="Rockwell"/>
                <w:sz w:val="18"/>
                <w:szCs w:val="18"/>
              </w:rPr>
            </w:pPr>
          </w:p>
        </w:tc>
        <w:tc>
          <w:tcPr>
            <w:tcW w:w="6903" w:type="dxa"/>
            <w:hideMark/>
          </w:tcPr>
          <w:p w:rsidR="00FC243B" w:rsidRPr="00422183" w:rsidRDefault="00FC243B" w:rsidP="00917260">
            <w:pPr>
              <w:jc w:val="both"/>
              <w:rPr>
                <w:rFonts w:ascii="Rockwell" w:hAnsi="Rockwell"/>
                <w:sz w:val="18"/>
                <w:szCs w:val="18"/>
              </w:rPr>
            </w:pPr>
            <w:r w:rsidRPr="00422183">
              <w:rPr>
                <w:rFonts w:ascii="Rockwell" w:hAnsi="Rockwell"/>
                <w:sz w:val="18"/>
                <w:szCs w:val="18"/>
              </w:rPr>
              <w:t>Productivité de l'emploi du secteur primaire (en milliers FCFA)</w:t>
            </w:r>
          </w:p>
        </w:tc>
        <w:tc>
          <w:tcPr>
            <w:tcW w:w="160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357</w:t>
            </w:r>
          </w:p>
        </w:tc>
        <w:tc>
          <w:tcPr>
            <w:tcW w:w="1495"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415</w:t>
            </w:r>
          </w:p>
        </w:tc>
        <w:tc>
          <w:tcPr>
            <w:tcW w:w="157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535</w:t>
            </w:r>
          </w:p>
        </w:tc>
      </w:tr>
      <w:tr w:rsidR="00FC243B" w:rsidRPr="00422183" w:rsidTr="00EA7383">
        <w:trPr>
          <w:trHeight w:val="394"/>
        </w:trPr>
        <w:tc>
          <w:tcPr>
            <w:tcW w:w="3989" w:type="dxa"/>
            <w:vMerge/>
            <w:noWrap/>
            <w:vAlign w:val="center"/>
            <w:hideMark/>
          </w:tcPr>
          <w:p w:rsidR="00FC243B" w:rsidRPr="00422183" w:rsidRDefault="00FC243B" w:rsidP="00EA7383">
            <w:pPr>
              <w:rPr>
                <w:rFonts w:ascii="Rockwell" w:hAnsi="Rockwell"/>
                <w:sz w:val="18"/>
                <w:szCs w:val="18"/>
              </w:rPr>
            </w:pPr>
          </w:p>
        </w:tc>
        <w:tc>
          <w:tcPr>
            <w:tcW w:w="6903" w:type="dxa"/>
            <w:hideMark/>
          </w:tcPr>
          <w:p w:rsidR="00FC243B" w:rsidRPr="00422183" w:rsidRDefault="00FC243B" w:rsidP="00917260">
            <w:pPr>
              <w:jc w:val="both"/>
              <w:rPr>
                <w:rFonts w:ascii="Rockwell" w:hAnsi="Rockwell"/>
                <w:sz w:val="18"/>
                <w:szCs w:val="18"/>
              </w:rPr>
            </w:pPr>
            <w:r w:rsidRPr="00422183">
              <w:rPr>
                <w:rFonts w:ascii="Rockwell" w:hAnsi="Rockwell"/>
                <w:sz w:val="18"/>
                <w:szCs w:val="18"/>
              </w:rPr>
              <w:t>Taux de commercialisation des produits agricoles (y/compris culture de rente)</w:t>
            </w:r>
          </w:p>
        </w:tc>
        <w:tc>
          <w:tcPr>
            <w:tcW w:w="160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25% (moy. 2005-2010)</w:t>
            </w:r>
          </w:p>
        </w:tc>
        <w:tc>
          <w:tcPr>
            <w:tcW w:w="1495" w:type="dxa"/>
            <w:gridSpan w:val="2"/>
          </w:tcPr>
          <w:p w:rsidR="00FC243B" w:rsidRPr="00422183" w:rsidRDefault="00EF7E41"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37,5%</w:t>
            </w:r>
          </w:p>
        </w:tc>
      </w:tr>
      <w:tr w:rsidR="00FC243B" w:rsidRPr="00422183" w:rsidTr="00EA7383">
        <w:trPr>
          <w:trHeight w:val="394"/>
        </w:trPr>
        <w:tc>
          <w:tcPr>
            <w:tcW w:w="3989" w:type="dxa"/>
            <w:vMerge/>
            <w:noWrap/>
            <w:vAlign w:val="center"/>
          </w:tcPr>
          <w:p w:rsidR="00FC243B" w:rsidRPr="00422183" w:rsidRDefault="00FC243B" w:rsidP="00EA7383">
            <w:pPr>
              <w:rPr>
                <w:rFonts w:ascii="Rockwell" w:hAnsi="Rockwell"/>
                <w:sz w:val="18"/>
                <w:szCs w:val="18"/>
              </w:rPr>
            </w:pPr>
          </w:p>
        </w:tc>
        <w:tc>
          <w:tcPr>
            <w:tcW w:w="6903" w:type="dxa"/>
          </w:tcPr>
          <w:p w:rsidR="00FC243B" w:rsidRPr="00422183" w:rsidRDefault="00FC243B" w:rsidP="00917260">
            <w:pPr>
              <w:jc w:val="both"/>
              <w:rPr>
                <w:rFonts w:ascii="Rockwell" w:hAnsi="Rockwell"/>
                <w:sz w:val="18"/>
                <w:szCs w:val="18"/>
              </w:rPr>
            </w:pPr>
            <w:r w:rsidRPr="00422183">
              <w:rPr>
                <w:rFonts w:ascii="Rockwell" w:hAnsi="Rockwell"/>
                <w:sz w:val="18"/>
                <w:szCs w:val="18"/>
              </w:rPr>
              <w:t>Taux d’accroissement de l’approvisionnement de l’agro-industrie</w:t>
            </w:r>
          </w:p>
        </w:tc>
        <w:tc>
          <w:tcPr>
            <w:tcW w:w="1601" w:type="dxa"/>
            <w:gridSpan w:val="2"/>
            <w:noWrap/>
          </w:tcPr>
          <w:p w:rsidR="00FC243B" w:rsidRPr="00422183" w:rsidRDefault="00FC243B" w:rsidP="00917260">
            <w:pPr>
              <w:jc w:val="both"/>
              <w:rPr>
                <w:rFonts w:ascii="Rockwell" w:hAnsi="Rockwell"/>
                <w:sz w:val="18"/>
                <w:szCs w:val="18"/>
              </w:rPr>
            </w:pPr>
            <w:r w:rsidRPr="00422183">
              <w:rPr>
                <w:rFonts w:ascii="Rockwell" w:hAnsi="Rockwell"/>
                <w:sz w:val="18"/>
                <w:szCs w:val="18"/>
              </w:rPr>
              <w:t>ND</w:t>
            </w:r>
          </w:p>
        </w:tc>
        <w:tc>
          <w:tcPr>
            <w:tcW w:w="1495" w:type="dxa"/>
            <w:gridSpan w:val="2"/>
          </w:tcPr>
          <w:p w:rsidR="00FC243B" w:rsidRPr="00422183" w:rsidRDefault="00FC243B" w:rsidP="00917260">
            <w:pPr>
              <w:jc w:val="both"/>
              <w:rPr>
                <w:rFonts w:ascii="Rockwell" w:hAnsi="Rockwell"/>
                <w:sz w:val="18"/>
                <w:szCs w:val="18"/>
              </w:rPr>
            </w:pPr>
            <w:r w:rsidRPr="00422183">
              <w:rPr>
                <w:rFonts w:ascii="Rockwell" w:hAnsi="Rockwell"/>
                <w:sz w:val="18"/>
                <w:szCs w:val="18"/>
              </w:rPr>
              <w:t>20%</w:t>
            </w:r>
          </w:p>
        </w:tc>
        <w:tc>
          <w:tcPr>
            <w:tcW w:w="1571" w:type="dxa"/>
            <w:gridSpan w:val="2"/>
            <w:noWrap/>
          </w:tcPr>
          <w:p w:rsidR="00FC243B" w:rsidRPr="00422183" w:rsidRDefault="00FC243B" w:rsidP="00917260">
            <w:pPr>
              <w:jc w:val="both"/>
              <w:rPr>
                <w:rFonts w:ascii="Rockwell" w:hAnsi="Rockwell"/>
                <w:sz w:val="18"/>
                <w:szCs w:val="18"/>
              </w:rPr>
            </w:pPr>
            <w:r w:rsidRPr="00422183">
              <w:rPr>
                <w:rFonts w:ascii="Rockwell" w:hAnsi="Rockwell"/>
                <w:sz w:val="18"/>
                <w:szCs w:val="18"/>
              </w:rPr>
              <w:t>50%</w:t>
            </w:r>
          </w:p>
        </w:tc>
      </w:tr>
      <w:tr w:rsidR="00FC243B" w:rsidRPr="00422183" w:rsidTr="00EA7383">
        <w:trPr>
          <w:trHeight w:val="332"/>
        </w:trPr>
        <w:tc>
          <w:tcPr>
            <w:tcW w:w="3989" w:type="dxa"/>
            <w:vMerge/>
            <w:noWrap/>
            <w:vAlign w:val="center"/>
            <w:hideMark/>
          </w:tcPr>
          <w:p w:rsidR="00FC243B" w:rsidRPr="00422183" w:rsidRDefault="00FC243B" w:rsidP="00EA7383">
            <w:pPr>
              <w:rPr>
                <w:rFonts w:ascii="Rockwell" w:hAnsi="Rockwell"/>
                <w:sz w:val="18"/>
                <w:szCs w:val="18"/>
              </w:rPr>
            </w:pPr>
          </w:p>
        </w:tc>
        <w:tc>
          <w:tcPr>
            <w:tcW w:w="6903" w:type="dxa"/>
            <w:hideMark/>
          </w:tcPr>
          <w:p w:rsidR="00FC243B" w:rsidRPr="00422183" w:rsidRDefault="00FC243B" w:rsidP="00917260">
            <w:pPr>
              <w:jc w:val="both"/>
              <w:rPr>
                <w:rFonts w:ascii="Rockwell" w:hAnsi="Rockwell"/>
                <w:sz w:val="18"/>
                <w:szCs w:val="18"/>
              </w:rPr>
            </w:pPr>
            <w:r w:rsidRPr="00422183">
              <w:rPr>
                <w:rFonts w:ascii="Rockwell" w:hAnsi="Rockwell"/>
                <w:sz w:val="18"/>
                <w:szCs w:val="18"/>
              </w:rPr>
              <w:t>Proportion des actes fonciers délivrés sur les demandes d’actes</w:t>
            </w:r>
          </w:p>
        </w:tc>
        <w:tc>
          <w:tcPr>
            <w:tcW w:w="160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4,9%</w:t>
            </w:r>
          </w:p>
        </w:tc>
        <w:tc>
          <w:tcPr>
            <w:tcW w:w="1495"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FC243B" w:rsidRPr="00422183" w:rsidRDefault="00FC243B" w:rsidP="00917260">
            <w:pPr>
              <w:jc w:val="both"/>
              <w:rPr>
                <w:rFonts w:ascii="Rockwell" w:hAnsi="Rockwell"/>
                <w:sz w:val="18"/>
                <w:szCs w:val="18"/>
              </w:rPr>
            </w:pPr>
            <w:r w:rsidRPr="00422183">
              <w:rPr>
                <w:rFonts w:ascii="Rockwell" w:hAnsi="Rockwell"/>
                <w:sz w:val="18"/>
                <w:szCs w:val="18"/>
              </w:rPr>
              <w:t>45%</w:t>
            </w:r>
          </w:p>
        </w:tc>
      </w:tr>
      <w:tr w:rsidR="00FC243B" w:rsidRPr="00422183" w:rsidTr="00EA7383">
        <w:trPr>
          <w:trHeight w:val="332"/>
        </w:trPr>
        <w:tc>
          <w:tcPr>
            <w:tcW w:w="3989" w:type="dxa"/>
            <w:vMerge/>
            <w:noWrap/>
            <w:vAlign w:val="center"/>
          </w:tcPr>
          <w:p w:rsidR="00FC243B" w:rsidRPr="00422183" w:rsidRDefault="00FC243B" w:rsidP="00EA7383">
            <w:pPr>
              <w:rPr>
                <w:rFonts w:ascii="Rockwell" w:hAnsi="Rockwell"/>
                <w:sz w:val="18"/>
                <w:szCs w:val="18"/>
              </w:rPr>
            </w:pPr>
          </w:p>
        </w:tc>
        <w:tc>
          <w:tcPr>
            <w:tcW w:w="6903" w:type="dxa"/>
          </w:tcPr>
          <w:p w:rsidR="00FC243B" w:rsidRPr="00422183" w:rsidRDefault="00FC243B" w:rsidP="00917260">
            <w:pPr>
              <w:jc w:val="both"/>
              <w:rPr>
                <w:rFonts w:ascii="Rockwell" w:hAnsi="Rockwell"/>
                <w:sz w:val="18"/>
                <w:szCs w:val="18"/>
              </w:rPr>
            </w:pPr>
            <w:r w:rsidRPr="00422183">
              <w:rPr>
                <w:rFonts w:ascii="Rockwell" w:hAnsi="Rockwell"/>
                <w:sz w:val="18"/>
                <w:szCs w:val="18"/>
              </w:rPr>
              <w:t>Nombre d’emplois créés dans le secteur primaire</w:t>
            </w:r>
          </w:p>
        </w:tc>
        <w:tc>
          <w:tcPr>
            <w:tcW w:w="1601" w:type="dxa"/>
            <w:gridSpan w:val="2"/>
            <w:noWrap/>
          </w:tcPr>
          <w:p w:rsidR="00FC243B" w:rsidRPr="00422183" w:rsidRDefault="001D6E31" w:rsidP="00917260">
            <w:pPr>
              <w:jc w:val="both"/>
              <w:rPr>
                <w:rFonts w:ascii="Rockwell" w:hAnsi="Rockwell"/>
                <w:sz w:val="18"/>
                <w:szCs w:val="18"/>
              </w:rPr>
            </w:pPr>
            <w:r w:rsidRPr="00422183">
              <w:rPr>
                <w:rFonts w:ascii="Rockwell" w:hAnsi="Rockwell"/>
                <w:sz w:val="18"/>
                <w:szCs w:val="18"/>
              </w:rPr>
              <w:t>39 000</w:t>
            </w:r>
          </w:p>
        </w:tc>
        <w:tc>
          <w:tcPr>
            <w:tcW w:w="1495" w:type="dxa"/>
            <w:gridSpan w:val="2"/>
            <w:noWrap/>
          </w:tcPr>
          <w:p w:rsidR="00FC243B" w:rsidRPr="00422183" w:rsidRDefault="001D6E31" w:rsidP="00917260">
            <w:pPr>
              <w:jc w:val="both"/>
              <w:rPr>
                <w:rFonts w:ascii="Rockwell" w:hAnsi="Rockwell"/>
                <w:sz w:val="18"/>
                <w:szCs w:val="18"/>
              </w:rPr>
            </w:pPr>
            <w:r w:rsidRPr="00422183">
              <w:rPr>
                <w:rFonts w:ascii="Rockwell" w:hAnsi="Rockwell"/>
                <w:sz w:val="18"/>
                <w:szCs w:val="18"/>
              </w:rPr>
              <w:t>65 000</w:t>
            </w:r>
          </w:p>
        </w:tc>
        <w:tc>
          <w:tcPr>
            <w:tcW w:w="1571" w:type="dxa"/>
            <w:gridSpan w:val="2"/>
            <w:noWrap/>
          </w:tcPr>
          <w:p w:rsidR="00FC243B" w:rsidRPr="00422183" w:rsidRDefault="00FC243B" w:rsidP="00917260">
            <w:pPr>
              <w:jc w:val="both"/>
              <w:rPr>
                <w:rFonts w:ascii="Rockwell" w:hAnsi="Rockwell"/>
                <w:sz w:val="18"/>
                <w:szCs w:val="18"/>
              </w:rPr>
            </w:pPr>
            <w:r w:rsidRPr="00422183">
              <w:rPr>
                <w:rFonts w:ascii="Rockwell" w:hAnsi="Rockwell"/>
                <w:sz w:val="18"/>
                <w:szCs w:val="18"/>
              </w:rPr>
              <w:t>110 000</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3.2. Développer un secteur industriel et artisanal compétitif, à forte valeur ajoutée et créateur d'emplois décents.</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3.2.1 : le secteur industriel et artisanal est davantage dynamique en matière de création de richesse, d’emplois et d’exportation.</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Contribution du secteur secondaire dans le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20,1%</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21,5%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24%</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 l'industrie manufacturière dans le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6,6%</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12%</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de transformation des produits agricoles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12%</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17%</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r>
      <w:tr w:rsidR="00917260" w:rsidRPr="00422183" w:rsidTr="00EA7383">
        <w:trPr>
          <w:trHeight w:val="27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Nombre moyen d'emplois formels créés dans le secteur secondaire par an</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2 200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2 800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3 600</w:t>
            </w:r>
          </w:p>
        </w:tc>
      </w:tr>
      <w:tr w:rsidR="00917260" w:rsidRPr="00422183" w:rsidTr="00EF7E41">
        <w:trPr>
          <w:trHeight w:val="32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d’accroissement de la productivité moyenne de l’artisanat</w:t>
            </w:r>
          </w:p>
        </w:tc>
        <w:tc>
          <w:tcPr>
            <w:tcW w:w="1601" w:type="dxa"/>
            <w:gridSpan w:val="2"/>
            <w:noWrap/>
            <w:hideMark/>
          </w:tcPr>
          <w:p w:rsidR="00917260" w:rsidRPr="00422183" w:rsidRDefault="001D6E31"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r>
      <w:tr w:rsidR="00917260" w:rsidRPr="00422183" w:rsidTr="001D6E31">
        <w:trPr>
          <w:trHeight w:val="343"/>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3.2.2 : La contribution des industries culturelle, touristique et sportive à l’économie est améliorée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 l'industrie touristique dans le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3,7%</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w:t>
            </w:r>
          </w:p>
        </w:tc>
      </w:tr>
      <w:tr w:rsidR="00917260" w:rsidRPr="00422183" w:rsidTr="001D6E31">
        <w:trPr>
          <w:trHeight w:val="235"/>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 l'industrie culturelle dans le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2,3%</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w:t>
            </w:r>
          </w:p>
        </w:tc>
      </w:tr>
      <w:tr w:rsidR="00917260" w:rsidRPr="00422183" w:rsidTr="001D6E31">
        <w:trPr>
          <w:trHeight w:val="25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d’accroissement de la part de l'industrie sportive dans le PIB</w:t>
            </w:r>
          </w:p>
        </w:tc>
        <w:tc>
          <w:tcPr>
            <w:tcW w:w="1601" w:type="dxa"/>
            <w:gridSpan w:val="2"/>
            <w:noWrap/>
            <w:hideMark/>
          </w:tcPr>
          <w:p w:rsidR="00917260" w:rsidRPr="00422183" w:rsidRDefault="00827741"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827741" w:rsidP="00917260">
            <w:pPr>
              <w:jc w:val="both"/>
              <w:rPr>
                <w:rFonts w:ascii="Rockwell" w:hAnsi="Rockwell"/>
                <w:sz w:val="18"/>
                <w:szCs w:val="18"/>
              </w:rPr>
            </w:pPr>
            <w:r w:rsidRPr="00422183">
              <w:rPr>
                <w:rFonts w:ascii="Rockwell" w:hAnsi="Rockwell"/>
                <w:sz w:val="18"/>
                <w:szCs w:val="18"/>
              </w:rPr>
              <w:t>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w:t>
            </w:r>
          </w:p>
        </w:tc>
      </w:tr>
      <w:tr w:rsidR="00827741" w:rsidRPr="00422183" w:rsidTr="001D6E31">
        <w:trPr>
          <w:trHeight w:val="371"/>
        </w:trPr>
        <w:tc>
          <w:tcPr>
            <w:tcW w:w="3989" w:type="dxa"/>
            <w:vMerge/>
            <w:noWrap/>
            <w:vAlign w:val="center"/>
          </w:tcPr>
          <w:p w:rsidR="00827741" w:rsidRPr="00422183" w:rsidRDefault="00827741" w:rsidP="00EA7383">
            <w:pPr>
              <w:rPr>
                <w:rFonts w:ascii="Rockwell" w:hAnsi="Rockwell"/>
                <w:sz w:val="18"/>
                <w:szCs w:val="18"/>
              </w:rPr>
            </w:pPr>
          </w:p>
        </w:tc>
        <w:tc>
          <w:tcPr>
            <w:tcW w:w="6903" w:type="dxa"/>
          </w:tcPr>
          <w:p w:rsidR="00827741" w:rsidRPr="00422183" w:rsidRDefault="00827741" w:rsidP="00917260">
            <w:pPr>
              <w:jc w:val="both"/>
              <w:rPr>
                <w:rFonts w:ascii="Rockwell" w:hAnsi="Rockwell"/>
                <w:sz w:val="18"/>
                <w:szCs w:val="18"/>
              </w:rPr>
            </w:pPr>
            <w:r w:rsidRPr="00422183">
              <w:rPr>
                <w:rFonts w:ascii="Rockwell" w:hAnsi="Rockwell"/>
                <w:sz w:val="18"/>
                <w:szCs w:val="18"/>
              </w:rPr>
              <w:t>Nombre de centres de sport et de loisir de proximité réalisé</w:t>
            </w:r>
          </w:p>
        </w:tc>
        <w:tc>
          <w:tcPr>
            <w:tcW w:w="1601" w:type="dxa"/>
            <w:gridSpan w:val="2"/>
            <w:noWrap/>
          </w:tcPr>
          <w:p w:rsidR="00827741" w:rsidRPr="00422183" w:rsidRDefault="00827741" w:rsidP="00917260">
            <w:pPr>
              <w:jc w:val="both"/>
              <w:rPr>
                <w:rFonts w:ascii="Rockwell" w:hAnsi="Rockwell"/>
                <w:sz w:val="18"/>
                <w:szCs w:val="18"/>
              </w:rPr>
            </w:pPr>
            <w:r w:rsidRPr="00422183">
              <w:rPr>
                <w:rFonts w:ascii="Rockwell" w:hAnsi="Rockwell"/>
                <w:sz w:val="18"/>
                <w:szCs w:val="18"/>
              </w:rPr>
              <w:t>0</w:t>
            </w:r>
          </w:p>
        </w:tc>
        <w:tc>
          <w:tcPr>
            <w:tcW w:w="1495" w:type="dxa"/>
            <w:gridSpan w:val="2"/>
            <w:noWrap/>
          </w:tcPr>
          <w:p w:rsidR="00827741" w:rsidRPr="00422183" w:rsidRDefault="00827741" w:rsidP="00917260">
            <w:pPr>
              <w:jc w:val="both"/>
              <w:rPr>
                <w:rFonts w:ascii="Rockwell" w:hAnsi="Rockwell"/>
                <w:sz w:val="18"/>
                <w:szCs w:val="18"/>
              </w:rPr>
            </w:pPr>
            <w:r w:rsidRPr="00422183">
              <w:rPr>
                <w:rFonts w:ascii="Rockwell" w:hAnsi="Rockwell"/>
                <w:sz w:val="18"/>
                <w:szCs w:val="18"/>
              </w:rPr>
              <w:t>10</w:t>
            </w:r>
          </w:p>
        </w:tc>
        <w:tc>
          <w:tcPr>
            <w:tcW w:w="1571" w:type="dxa"/>
            <w:gridSpan w:val="2"/>
            <w:noWrap/>
          </w:tcPr>
          <w:p w:rsidR="00827741" w:rsidRPr="00422183" w:rsidRDefault="00827741" w:rsidP="00917260">
            <w:pPr>
              <w:jc w:val="both"/>
              <w:rPr>
                <w:rFonts w:ascii="Rockwell" w:hAnsi="Rockwell"/>
                <w:sz w:val="18"/>
                <w:szCs w:val="18"/>
              </w:rPr>
            </w:pPr>
            <w:r w:rsidRPr="00422183">
              <w:rPr>
                <w:rFonts w:ascii="Rockwell" w:hAnsi="Rockwell"/>
                <w:sz w:val="18"/>
                <w:szCs w:val="18"/>
              </w:rPr>
              <w:t>26</w:t>
            </w:r>
          </w:p>
        </w:tc>
      </w:tr>
      <w:tr w:rsidR="00917260" w:rsidRPr="00422183" w:rsidTr="00EA7383">
        <w:trPr>
          <w:trHeight w:val="323"/>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Taux d’accroissement de l’emplois dans les industries culturelle et touristique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lang w:val="fr-BE"/>
              </w:rPr>
              <w:t>&lt; à 5%</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5,6%</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w:t>
            </w:r>
          </w:p>
        </w:tc>
      </w:tr>
      <w:tr w:rsidR="00917260" w:rsidRPr="00422183" w:rsidTr="00EA7383">
        <w:trPr>
          <w:trHeight w:val="37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3.2.3 : L’impact du secteur minier sur le reste de l’économie est accru</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achats locaux dans les consommations alimentaires des industries minières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des industries extractives dans le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7,9%</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10,2%</w:t>
            </w:r>
          </w:p>
        </w:tc>
      </w:tr>
      <w:tr w:rsidR="00917260" w:rsidRPr="00422183" w:rsidTr="001D6E31">
        <w:trPr>
          <w:trHeight w:val="33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des achats dans les zones minières par les industries minières</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4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Montant des investissements locaux réalisés par les industries minières</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94"/>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Nombre d’emplois directs et indirects créés par les industries minières </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3.3. Promouvoir l'expansion des industries de services à forte valeur ajoutée et créatrices d'emplois décents.</w:t>
            </w:r>
          </w:p>
        </w:tc>
      </w:tr>
      <w:tr w:rsidR="007514FB" w:rsidRPr="00422183" w:rsidTr="00EA7383">
        <w:trPr>
          <w:trHeight w:val="300"/>
        </w:trPr>
        <w:tc>
          <w:tcPr>
            <w:tcW w:w="3989" w:type="dxa"/>
            <w:vMerge w:val="restart"/>
            <w:noWrap/>
            <w:vAlign w:val="center"/>
            <w:hideMark/>
          </w:tcPr>
          <w:p w:rsidR="007514FB" w:rsidRPr="00422183" w:rsidRDefault="007514FB" w:rsidP="00EA7383">
            <w:pPr>
              <w:rPr>
                <w:rFonts w:ascii="Rockwell" w:hAnsi="Rockwell"/>
                <w:sz w:val="18"/>
                <w:szCs w:val="18"/>
              </w:rPr>
            </w:pPr>
            <w:r w:rsidRPr="00422183">
              <w:rPr>
                <w:rFonts w:ascii="Rockwell" w:hAnsi="Rockwell"/>
                <w:sz w:val="18"/>
                <w:szCs w:val="18"/>
              </w:rPr>
              <w:t>EA 3.3.1 : Le secteur tertiaire se formalise et est davantage dynamique et créateur d'emplois décents</w:t>
            </w:r>
          </w:p>
        </w:tc>
        <w:tc>
          <w:tcPr>
            <w:tcW w:w="6903" w:type="dxa"/>
            <w:hideMark/>
          </w:tcPr>
          <w:p w:rsidR="007514FB" w:rsidRPr="00422183" w:rsidRDefault="007514FB" w:rsidP="00917260">
            <w:pPr>
              <w:jc w:val="both"/>
              <w:rPr>
                <w:rFonts w:ascii="Rockwell" w:hAnsi="Rockwell"/>
                <w:sz w:val="18"/>
                <w:szCs w:val="18"/>
              </w:rPr>
            </w:pPr>
            <w:r w:rsidRPr="00422183">
              <w:rPr>
                <w:rFonts w:ascii="Rockwell" w:hAnsi="Rockwell"/>
                <w:sz w:val="18"/>
                <w:szCs w:val="18"/>
              </w:rPr>
              <w:t xml:space="preserve">Taux d’accès aux TIC </w:t>
            </w:r>
          </w:p>
        </w:tc>
        <w:tc>
          <w:tcPr>
            <w:tcW w:w="1601" w:type="dxa"/>
            <w:gridSpan w:val="2"/>
            <w:noWrap/>
            <w:hideMark/>
          </w:tcPr>
          <w:p w:rsidR="007514FB" w:rsidRPr="00422183" w:rsidRDefault="007514FB" w:rsidP="00917260">
            <w:pPr>
              <w:jc w:val="both"/>
              <w:rPr>
                <w:rFonts w:ascii="Rockwell" w:hAnsi="Rockwell"/>
                <w:sz w:val="18"/>
                <w:szCs w:val="18"/>
              </w:rPr>
            </w:pPr>
          </w:p>
        </w:tc>
        <w:tc>
          <w:tcPr>
            <w:tcW w:w="1495" w:type="dxa"/>
            <w:gridSpan w:val="2"/>
            <w:noWrap/>
            <w:hideMark/>
          </w:tcPr>
          <w:p w:rsidR="007514FB" w:rsidRPr="00422183" w:rsidRDefault="007514FB" w:rsidP="00917260">
            <w:pPr>
              <w:jc w:val="both"/>
              <w:rPr>
                <w:rFonts w:ascii="Rockwell" w:hAnsi="Rockwell"/>
                <w:sz w:val="18"/>
                <w:szCs w:val="18"/>
              </w:rPr>
            </w:pPr>
          </w:p>
        </w:tc>
        <w:tc>
          <w:tcPr>
            <w:tcW w:w="1571" w:type="dxa"/>
            <w:gridSpan w:val="2"/>
            <w:noWrap/>
            <w:hideMark/>
          </w:tcPr>
          <w:p w:rsidR="007514FB" w:rsidRPr="00422183" w:rsidRDefault="007514FB" w:rsidP="00917260">
            <w:pPr>
              <w:jc w:val="both"/>
              <w:rPr>
                <w:rFonts w:ascii="Rockwell" w:hAnsi="Rockwell"/>
                <w:sz w:val="18"/>
                <w:szCs w:val="18"/>
              </w:rPr>
            </w:pPr>
          </w:p>
        </w:tc>
      </w:tr>
      <w:tr w:rsidR="007514FB" w:rsidRPr="00422183" w:rsidTr="00EA7383">
        <w:trPr>
          <w:trHeight w:val="343"/>
        </w:trPr>
        <w:tc>
          <w:tcPr>
            <w:tcW w:w="3989" w:type="dxa"/>
            <w:vMerge/>
            <w:noWrap/>
            <w:vAlign w:val="center"/>
            <w:hideMark/>
          </w:tcPr>
          <w:p w:rsidR="007514FB" w:rsidRPr="00422183" w:rsidRDefault="007514FB" w:rsidP="00EA7383">
            <w:pPr>
              <w:rPr>
                <w:rFonts w:ascii="Rockwell" w:hAnsi="Rockwell"/>
                <w:sz w:val="18"/>
                <w:szCs w:val="18"/>
              </w:rPr>
            </w:pPr>
          </w:p>
        </w:tc>
        <w:tc>
          <w:tcPr>
            <w:tcW w:w="6903" w:type="dxa"/>
            <w:hideMark/>
          </w:tcPr>
          <w:p w:rsidR="007514FB" w:rsidRPr="00422183" w:rsidRDefault="007514FB" w:rsidP="00917260">
            <w:pPr>
              <w:jc w:val="both"/>
              <w:rPr>
                <w:rFonts w:ascii="Rockwell" w:hAnsi="Rockwell"/>
                <w:sz w:val="18"/>
                <w:szCs w:val="18"/>
              </w:rPr>
            </w:pPr>
            <w:r w:rsidRPr="00422183">
              <w:rPr>
                <w:rFonts w:ascii="Rockwell" w:hAnsi="Rockwell"/>
                <w:sz w:val="18"/>
                <w:szCs w:val="18"/>
              </w:rPr>
              <w:t>Contribution des postes et télécommunications au PIB</w:t>
            </w:r>
          </w:p>
        </w:tc>
        <w:tc>
          <w:tcPr>
            <w:tcW w:w="160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2,4%</w:t>
            </w:r>
          </w:p>
        </w:tc>
        <w:tc>
          <w:tcPr>
            <w:tcW w:w="1495" w:type="dxa"/>
            <w:gridSpan w:val="2"/>
            <w:noWrap/>
            <w:hideMark/>
          </w:tcPr>
          <w:p w:rsidR="007514FB" w:rsidRPr="00422183" w:rsidRDefault="007514FB" w:rsidP="00917260">
            <w:pPr>
              <w:jc w:val="both"/>
              <w:rPr>
                <w:rFonts w:ascii="Rockwell" w:hAnsi="Rockwell"/>
                <w:sz w:val="18"/>
                <w:szCs w:val="18"/>
              </w:rPr>
            </w:pPr>
          </w:p>
        </w:tc>
        <w:tc>
          <w:tcPr>
            <w:tcW w:w="1571" w:type="dxa"/>
            <w:gridSpan w:val="2"/>
            <w:noWrap/>
            <w:hideMark/>
          </w:tcPr>
          <w:p w:rsidR="007514FB" w:rsidRPr="00422183" w:rsidRDefault="007514FB" w:rsidP="00917260">
            <w:pPr>
              <w:jc w:val="both"/>
              <w:rPr>
                <w:rFonts w:ascii="Rockwell" w:hAnsi="Rockwell"/>
                <w:sz w:val="18"/>
                <w:szCs w:val="18"/>
              </w:rPr>
            </w:pPr>
          </w:p>
        </w:tc>
      </w:tr>
      <w:tr w:rsidR="007514FB" w:rsidRPr="00422183" w:rsidTr="00EA7383">
        <w:trPr>
          <w:trHeight w:val="376"/>
        </w:trPr>
        <w:tc>
          <w:tcPr>
            <w:tcW w:w="3989" w:type="dxa"/>
            <w:vMerge/>
            <w:noWrap/>
            <w:vAlign w:val="center"/>
            <w:hideMark/>
          </w:tcPr>
          <w:p w:rsidR="007514FB" w:rsidRPr="00422183" w:rsidRDefault="007514FB" w:rsidP="00EA7383">
            <w:pPr>
              <w:rPr>
                <w:rFonts w:ascii="Rockwell" w:hAnsi="Rockwell"/>
                <w:sz w:val="18"/>
                <w:szCs w:val="18"/>
              </w:rPr>
            </w:pPr>
          </w:p>
        </w:tc>
        <w:tc>
          <w:tcPr>
            <w:tcW w:w="6903" w:type="dxa"/>
            <w:hideMark/>
          </w:tcPr>
          <w:p w:rsidR="007514FB" w:rsidRPr="00422183" w:rsidRDefault="007514FB" w:rsidP="00917260">
            <w:pPr>
              <w:jc w:val="both"/>
              <w:rPr>
                <w:rFonts w:ascii="Rockwell" w:hAnsi="Rockwell"/>
                <w:sz w:val="18"/>
                <w:szCs w:val="18"/>
              </w:rPr>
            </w:pPr>
            <w:r w:rsidRPr="00422183">
              <w:rPr>
                <w:rFonts w:ascii="Rockwell" w:hAnsi="Rockwell"/>
                <w:sz w:val="18"/>
                <w:szCs w:val="18"/>
              </w:rPr>
              <w:t>Part du secteur informel dans la valeur ajoutée du secteur tertiaire</w:t>
            </w:r>
          </w:p>
        </w:tc>
        <w:tc>
          <w:tcPr>
            <w:tcW w:w="160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20,7%</w:t>
            </w:r>
          </w:p>
        </w:tc>
        <w:tc>
          <w:tcPr>
            <w:tcW w:w="1495"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18,5%</w:t>
            </w:r>
          </w:p>
        </w:tc>
        <w:tc>
          <w:tcPr>
            <w:tcW w:w="157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15%</w:t>
            </w:r>
          </w:p>
        </w:tc>
      </w:tr>
      <w:tr w:rsidR="007514FB" w:rsidRPr="00422183" w:rsidTr="00EF7E41">
        <w:trPr>
          <w:trHeight w:val="218"/>
        </w:trPr>
        <w:tc>
          <w:tcPr>
            <w:tcW w:w="3989" w:type="dxa"/>
            <w:vMerge/>
            <w:noWrap/>
            <w:vAlign w:val="center"/>
            <w:hideMark/>
          </w:tcPr>
          <w:p w:rsidR="007514FB" w:rsidRPr="00422183" w:rsidRDefault="007514FB" w:rsidP="00EA7383">
            <w:pPr>
              <w:rPr>
                <w:rFonts w:ascii="Rockwell" w:hAnsi="Rockwell"/>
                <w:sz w:val="18"/>
                <w:szCs w:val="18"/>
              </w:rPr>
            </w:pPr>
          </w:p>
        </w:tc>
        <w:tc>
          <w:tcPr>
            <w:tcW w:w="6903" w:type="dxa"/>
            <w:hideMark/>
          </w:tcPr>
          <w:p w:rsidR="007514FB" w:rsidRPr="00422183" w:rsidRDefault="007514FB" w:rsidP="00917260">
            <w:pPr>
              <w:jc w:val="both"/>
              <w:rPr>
                <w:rFonts w:ascii="Rockwell" w:hAnsi="Rockwell"/>
                <w:sz w:val="18"/>
                <w:szCs w:val="18"/>
              </w:rPr>
            </w:pPr>
            <w:r w:rsidRPr="00422183">
              <w:rPr>
                <w:rFonts w:ascii="Rockwell" w:hAnsi="Rockwell"/>
                <w:sz w:val="18"/>
                <w:szCs w:val="18"/>
              </w:rPr>
              <w:t>Taux de croissance de la valeur ajoutée des services marchands</w:t>
            </w:r>
          </w:p>
        </w:tc>
        <w:tc>
          <w:tcPr>
            <w:tcW w:w="160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6,6%</w:t>
            </w:r>
          </w:p>
        </w:tc>
        <w:tc>
          <w:tcPr>
            <w:tcW w:w="1495"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7,5%</w:t>
            </w:r>
          </w:p>
        </w:tc>
        <w:tc>
          <w:tcPr>
            <w:tcW w:w="157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8%</w:t>
            </w:r>
          </w:p>
        </w:tc>
      </w:tr>
      <w:tr w:rsidR="007514FB" w:rsidRPr="00422183" w:rsidTr="00EA7383">
        <w:trPr>
          <w:trHeight w:val="530"/>
        </w:trPr>
        <w:tc>
          <w:tcPr>
            <w:tcW w:w="3989" w:type="dxa"/>
            <w:vMerge/>
            <w:noWrap/>
            <w:vAlign w:val="center"/>
            <w:hideMark/>
          </w:tcPr>
          <w:p w:rsidR="007514FB" w:rsidRPr="00422183" w:rsidRDefault="007514FB" w:rsidP="00EA7383">
            <w:pPr>
              <w:rPr>
                <w:rFonts w:ascii="Rockwell" w:hAnsi="Rockwell"/>
                <w:sz w:val="18"/>
                <w:szCs w:val="18"/>
              </w:rPr>
            </w:pPr>
          </w:p>
        </w:tc>
        <w:tc>
          <w:tcPr>
            <w:tcW w:w="6903" w:type="dxa"/>
            <w:hideMark/>
          </w:tcPr>
          <w:p w:rsidR="007514FB" w:rsidRPr="00422183" w:rsidRDefault="007514FB" w:rsidP="00917260">
            <w:pPr>
              <w:jc w:val="both"/>
              <w:rPr>
                <w:rFonts w:ascii="Rockwell" w:hAnsi="Rockwell"/>
                <w:sz w:val="18"/>
                <w:szCs w:val="18"/>
              </w:rPr>
            </w:pPr>
            <w:r w:rsidRPr="00422183">
              <w:rPr>
                <w:rFonts w:ascii="Rockwell" w:hAnsi="Rockwell"/>
                <w:sz w:val="18"/>
                <w:szCs w:val="18"/>
              </w:rPr>
              <w:t>Nombre moyen d'emplois formels créés dans les services tertiaires marchands par an (milliers FCFA)</w:t>
            </w:r>
          </w:p>
        </w:tc>
        <w:tc>
          <w:tcPr>
            <w:tcW w:w="160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12 100</w:t>
            </w:r>
          </w:p>
        </w:tc>
        <w:tc>
          <w:tcPr>
            <w:tcW w:w="1495"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15 000</w:t>
            </w:r>
          </w:p>
        </w:tc>
        <w:tc>
          <w:tcPr>
            <w:tcW w:w="1571" w:type="dxa"/>
            <w:gridSpan w:val="2"/>
            <w:noWrap/>
            <w:hideMark/>
          </w:tcPr>
          <w:p w:rsidR="007514FB" w:rsidRPr="00422183" w:rsidRDefault="007514FB" w:rsidP="00917260">
            <w:pPr>
              <w:jc w:val="both"/>
              <w:rPr>
                <w:rFonts w:ascii="Rockwell" w:hAnsi="Rockwell"/>
                <w:sz w:val="18"/>
                <w:szCs w:val="18"/>
              </w:rPr>
            </w:pPr>
            <w:r w:rsidRPr="00422183">
              <w:rPr>
                <w:rFonts w:ascii="Rockwell" w:hAnsi="Rockwell"/>
                <w:sz w:val="18"/>
                <w:szCs w:val="18"/>
              </w:rPr>
              <w:t>20 000</w:t>
            </w:r>
          </w:p>
        </w:tc>
      </w:tr>
      <w:tr w:rsidR="007514FB" w:rsidRPr="00422183" w:rsidTr="007514FB">
        <w:trPr>
          <w:trHeight w:val="359"/>
        </w:trPr>
        <w:tc>
          <w:tcPr>
            <w:tcW w:w="3989" w:type="dxa"/>
            <w:vMerge/>
            <w:noWrap/>
            <w:vAlign w:val="center"/>
          </w:tcPr>
          <w:p w:rsidR="007514FB" w:rsidRPr="00422183" w:rsidRDefault="007514FB" w:rsidP="00EA7383">
            <w:pPr>
              <w:rPr>
                <w:rFonts w:ascii="Rockwell" w:hAnsi="Rockwell"/>
                <w:sz w:val="18"/>
                <w:szCs w:val="18"/>
              </w:rPr>
            </w:pPr>
          </w:p>
        </w:tc>
        <w:tc>
          <w:tcPr>
            <w:tcW w:w="6903" w:type="dxa"/>
          </w:tcPr>
          <w:p w:rsidR="007514FB" w:rsidRPr="00422183" w:rsidRDefault="007514FB" w:rsidP="00917260">
            <w:pPr>
              <w:jc w:val="both"/>
              <w:rPr>
                <w:rFonts w:ascii="Rockwell" w:hAnsi="Rockwell"/>
                <w:sz w:val="18"/>
                <w:szCs w:val="18"/>
              </w:rPr>
            </w:pPr>
            <w:r w:rsidRPr="00422183">
              <w:rPr>
                <w:rFonts w:ascii="Rockwell" w:hAnsi="Rockwell"/>
                <w:sz w:val="18"/>
                <w:szCs w:val="18"/>
              </w:rPr>
              <w:t xml:space="preserve">Taux de crédit à l’économie </w:t>
            </w:r>
          </w:p>
        </w:tc>
        <w:tc>
          <w:tcPr>
            <w:tcW w:w="1601"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29%</w:t>
            </w:r>
          </w:p>
        </w:tc>
        <w:tc>
          <w:tcPr>
            <w:tcW w:w="1495"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31,5%</w:t>
            </w:r>
          </w:p>
        </w:tc>
        <w:tc>
          <w:tcPr>
            <w:tcW w:w="1571"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35%</w:t>
            </w:r>
          </w:p>
        </w:tc>
      </w:tr>
      <w:tr w:rsidR="007514FB" w:rsidRPr="00422183" w:rsidTr="007514FB">
        <w:trPr>
          <w:trHeight w:val="359"/>
        </w:trPr>
        <w:tc>
          <w:tcPr>
            <w:tcW w:w="3989" w:type="dxa"/>
            <w:vMerge/>
            <w:noWrap/>
            <w:vAlign w:val="center"/>
          </w:tcPr>
          <w:p w:rsidR="007514FB" w:rsidRPr="00422183" w:rsidRDefault="007514FB" w:rsidP="00EA7383">
            <w:pPr>
              <w:rPr>
                <w:rFonts w:ascii="Rockwell" w:hAnsi="Rockwell"/>
                <w:sz w:val="18"/>
                <w:szCs w:val="18"/>
              </w:rPr>
            </w:pPr>
          </w:p>
        </w:tc>
        <w:tc>
          <w:tcPr>
            <w:tcW w:w="6903" w:type="dxa"/>
          </w:tcPr>
          <w:p w:rsidR="007514FB" w:rsidRPr="00422183" w:rsidRDefault="007514FB" w:rsidP="00917260">
            <w:pPr>
              <w:jc w:val="both"/>
              <w:rPr>
                <w:rFonts w:ascii="Rockwell" w:hAnsi="Rockwell"/>
                <w:sz w:val="18"/>
                <w:szCs w:val="18"/>
              </w:rPr>
            </w:pPr>
            <w:r w:rsidRPr="00422183">
              <w:rPr>
                <w:rFonts w:ascii="Rockwell" w:hAnsi="Rockwell"/>
                <w:sz w:val="18"/>
                <w:szCs w:val="18"/>
              </w:rPr>
              <w:t>Taux élargi de bancarisation</w:t>
            </w:r>
          </w:p>
        </w:tc>
        <w:tc>
          <w:tcPr>
            <w:tcW w:w="1601"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30,1%</w:t>
            </w:r>
          </w:p>
        </w:tc>
        <w:tc>
          <w:tcPr>
            <w:tcW w:w="1495"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32%</w:t>
            </w:r>
          </w:p>
        </w:tc>
        <w:tc>
          <w:tcPr>
            <w:tcW w:w="1571" w:type="dxa"/>
            <w:gridSpan w:val="2"/>
            <w:noWrap/>
          </w:tcPr>
          <w:p w:rsidR="007514FB" w:rsidRPr="00422183" w:rsidRDefault="007514FB" w:rsidP="00917260">
            <w:pPr>
              <w:jc w:val="both"/>
              <w:rPr>
                <w:rFonts w:ascii="Rockwell" w:hAnsi="Rockwell"/>
                <w:sz w:val="18"/>
                <w:szCs w:val="18"/>
              </w:rPr>
            </w:pPr>
            <w:r w:rsidRPr="00422183">
              <w:rPr>
                <w:rFonts w:ascii="Rockwell" w:hAnsi="Rockwell"/>
                <w:sz w:val="18"/>
                <w:szCs w:val="18"/>
              </w:rPr>
              <w:t>35%</w:t>
            </w:r>
          </w:p>
        </w:tc>
      </w:tr>
      <w:tr w:rsidR="00917260" w:rsidRPr="00422183" w:rsidTr="00EF7E41">
        <w:trPr>
          <w:trHeight w:val="359"/>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3.3.2 : La mise en marché des produits nationaux est renforcée </w:t>
            </w:r>
          </w:p>
        </w:tc>
        <w:tc>
          <w:tcPr>
            <w:tcW w:w="6903" w:type="dxa"/>
            <w:hideMark/>
          </w:tcPr>
          <w:p w:rsidR="00917260" w:rsidRPr="00422183" w:rsidRDefault="009E077E" w:rsidP="009E077E">
            <w:pPr>
              <w:jc w:val="both"/>
              <w:rPr>
                <w:rFonts w:ascii="Rockwell" w:hAnsi="Rockwell"/>
                <w:sz w:val="18"/>
                <w:szCs w:val="18"/>
              </w:rPr>
            </w:pPr>
            <w:r w:rsidRPr="00422183">
              <w:rPr>
                <w:rFonts w:ascii="Rockwell" w:hAnsi="Rockwell"/>
                <w:sz w:val="18"/>
                <w:szCs w:val="18"/>
              </w:rPr>
              <w:t xml:space="preserve">Part des produits alimentaire de consommation </w:t>
            </w:r>
            <w:r w:rsidR="00917260" w:rsidRPr="00422183">
              <w:rPr>
                <w:rFonts w:ascii="Rockwell" w:hAnsi="Rockwell"/>
                <w:sz w:val="18"/>
                <w:szCs w:val="18"/>
              </w:rPr>
              <w:t>dans les importations</w:t>
            </w:r>
            <w:r w:rsidRPr="00422183">
              <w:rPr>
                <w:rFonts w:ascii="Rockwell" w:hAnsi="Rockwell"/>
                <w:sz w:val="18"/>
                <w:szCs w:val="18"/>
              </w:rPr>
              <w:t xml:space="preserve"> de bien</w:t>
            </w:r>
          </w:p>
        </w:tc>
        <w:tc>
          <w:tcPr>
            <w:tcW w:w="1601" w:type="dxa"/>
            <w:gridSpan w:val="2"/>
            <w:noWrap/>
            <w:hideMark/>
          </w:tcPr>
          <w:p w:rsidR="00917260" w:rsidRPr="00422183" w:rsidRDefault="009E077E" w:rsidP="00917260">
            <w:pPr>
              <w:jc w:val="both"/>
              <w:rPr>
                <w:rFonts w:ascii="Rockwell" w:hAnsi="Rockwell"/>
                <w:sz w:val="18"/>
                <w:szCs w:val="18"/>
              </w:rPr>
            </w:pPr>
            <w:r w:rsidRPr="00422183">
              <w:rPr>
                <w:rFonts w:ascii="Rockwell" w:hAnsi="Rockwell"/>
                <w:sz w:val="18"/>
                <w:szCs w:val="18"/>
              </w:rPr>
              <w:t>10,1%</w:t>
            </w:r>
          </w:p>
        </w:tc>
        <w:tc>
          <w:tcPr>
            <w:tcW w:w="1495" w:type="dxa"/>
            <w:gridSpan w:val="2"/>
            <w:noWrap/>
            <w:hideMark/>
          </w:tcPr>
          <w:p w:rsidR="00917260" w:rsidRPr="00422183" w:rsidRDefault="009E077E" w:rsidP="00917260">
            <w:pPr>
              <w:jc w:val="both"/>
              <w:rPr>
                <w:rFonts w:ascii="Rockwell" w:hAnsi="Rockwell"/>
                <w:sz w:val="18"/>
                <w:szCs w:val="18"/>
              </w:rPr>
            </w:pPr>
            <w:r w:rsidRPr="00422183">
              <w:rPr>
                <w:rFonts w:ascii="Rockwell" w:hAnsi="Rockwell"/>
                <w:sz w:val="18"/>
                <w:szCs w:val="18"/>
              </w:rPr>
              <w:t>8%</w:t>
            </w:r>
          </w:p>
        </w:tc>
        <w:tc>
          <w:tcPr>
            <w:tcW w:w="1571" w:type="dxa"/>
            <w:gridSpan w:val="2"/>
            <w:noWrap/>
            <w:hideMark/>
          </w:tcPr>
          <w:p w:rsidR="00917260" w:rsidRPr="00422183" w:rsidRDefault="009E077E" w:rsidP="00917260">
            <w:pPr>
              <w:jc w:val="both"/>
              <w:rPr>
                <w:rFonts w:ascii="Rockwell" w:hAnsi="Rockwell"/>
                <w:sz w:val="18"/>
                <w:szCs w:val="18"/>
              </w:rPr>
            </w:pPr>
            <w:r w:rsidRPr="00422183">
              <w:rPr>
                <w:rFonts w:ascii="Rockwell" w:hAnsi="Rockwell"/>
                <w:sz w:val="18"/>
                <w:szCs w:val="18"/>
              </w:rPr>
              <w:t>6%</w:t>
            </w:r>
          </w:p>
        </w:tc>
      </w:tr>
      <w:tr w:rsidR="00917260" w:rsidRPr="00422183" w:rsidTr="00EA7383">
        <w:trPr>
          <w:trHeight w:val="37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Part des exportations des produits nationaux dans le PIB </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EA7383">
        <w:trPr>
          <w:trHeight w:val="379"/>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Part des deux premiers produits d’exportation dans le total des exportations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85%</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65%</w:t>
            </w:r>
          </w:p>
        </w:tc>
      </w:tr>
      <w:tr w:rsidR="00917260" w:rsidRPr="00422183" w:rsidTr="00EA7383">
        <w:trPr>
          <w:trHeight w:val="365"/>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Part des produits manufacturés dans les exportations de biens (WDI)</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10,6% (2014)</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w:t>
            </w:r>
          </w:p>
        </w:tc>
      </w:tr>
      <w:tr w:rsidR="00917260" w:rsidRPr="00422183" w:rsidTr="00EA7383">
        <w:trPr>
          <w:trHeight w:val="300"/>
        </w:trPr>
        <w:tc>
          <w:tcPr>
            <w:tcW w:w="15559" w:type="dxa"/>
            <w:gridSpan w:val="8"/>
            <w:noWrap/>
            <w:vAlign w:val="center"/>
            <w:hideMark/>
          </w:tcPr>
          <w:p w:rsidR="00917260" w:rsidRPr="00422183" w:rsidRDefault="00917260" w:rsidP="00EF7E41">
            <w:pPr>
              <w:rPr>
                <w:rFonts w:ascii="Rockwell" w:hAnsi="Rockwell"/>
                <w:b/>
                <w:sz w:val="18"/>
                <w:szCs w:val="18"/>
              </w:rPr>
            </w:pPr>
            <w:r w:rsidRPr="00422183">
              <w:rPr>
                <w:rFonts w:ascii="Rockwell" w:hAnsi="Rockwell"/>
                <w:b/>
                <w:sz w:val="18"/>
                <w:szCs w:val="18"/>
              </w:rPr>
              <w:t xml:space="preserve">Objectif stratégique 3.4: développer des infrastructures de qualité et résilientes pour </w:t>
            </w:r>
            <w:r w:rsidR="00EF7E41" w:rsidRPr="00422183">
              <w:rPr>
                <w:rFonts w:ascii="Rockwell" w:hAnsi="Rockwell"/>
                <w:b/>
                <w:sz w:val="18"/>
                <w:szCs w:val="18"/>
              </w:rPr>
              <w:t>faciliter</w:t>
            </w:r>
            <w:r w:rsidRPr="00422183">
              <w:rPr>
                <w:rFonts w:ascii="Rockwell" w:hAnsi="Rockwell"/>
                <w:b/>
                <w:sz w:val="18"/>
                <w:szCs w:val="18"/>
              </w:rPr>
              <w:t xml:space="preserve"> la transformation structurelle de l’économie</w:t>
            </w:r>
          </w:p>
        </w:tc>
      </w:tr>
      <w:tr w:rsidR="00917260" w:rsidRPr="00422183" w:rsidTr="00EA7383">
        <w:trPr>
          <w:trHeight w:val="343"/>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3.4.1 : La qualité, la fiabilité et l'accessibilité des infrastructures sont accrues pour faciliter la transformation structurelle de l’économie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Proportion de routes bitumées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24%</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42%</w:t>
            </w:r>
          </w:p>
        </w:tc>
      </w:tr>
      <w:tr w:rsidR="00917260" w:rsidRPr="00422183" w:rsidTr="00EA7383">
        <w:trPr>
          <w:trHeight w:val="343"/>
        </w:trPr>
        <w:tc>
          <w:tcPr>
            <w:tcW w:w="3989" w:type="dxa"/>
            <w:vMerge/>
            <w:noWrap/>
            <w:vAlign w:val="center"/>
          </w:tcPr>
          <w:p w:rsidR="00917260" w:rsidRPr="00422183" w:rsidRDefault="00917260" w:rsidP="00EA7383">
            <w:pPr>
              <w:rPr>
                <w:rFonts w:ascii="Rockwell" w:hAnsi="Rockwell"/>
                <w:sz w:val="18"/>
                <w:szCs w:val="18"/>
              </w:rPr>
            </w:pPr>
          </w:p>
        </w:tc>
        <w:tc>
          <w:tcPr>
            <w:tcW w:w="6903" w:type="dxa"/>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pistes rurales aménagées</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27%</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36,5%</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43%</w:t>
            </w:r>
          </w:p>
        </w:tc>
      </w:tr>
      <w:tr w:rsidR="00917260" w:rsidRPr="00422183" w:rsidTr="00BF4230">
        <w:trPr>
          <w:trHeight w:val="26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Proportion des routes où les vitesses de référence ne peuvent pas être pratiquées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18%</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12%</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6%</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Puissance installée (en Megawatts)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300</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Coût du Kwh d'électricité des hautes tensions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75</w:t>
            </w:r>
          </w:p>
        </w:tc>
        <w:tc>
          <w:tcPr>
            <w:tcW w:w="1495" w:type="dxa"/>
            <w:gridSpan w:val="2"/>
            <w:noWrap/>
            <w:hideMark/>
          </w:tcPr>
          <w:p w:rsidR="00917260" w:rsidRPr="00422183" w:rsidRDefault="00EF7E41" w:rsidP="00917260">
            <w:pPr>
              <w:jc w:val="both"/>
              <w:rPr>
                <w:rFonts w:ascii="Rockwell" w:hAnsi="Rockwell"/>
                <w:sz w:val="18"/>
                <w:szCs w:val="18"/>
              </w:rPr>
            </w:pPr>
            <w:r w:rsidRPr="00422183">
              <w:rPr>
                <w:rFonts w:ascii="Rockwell" w:hAnsi="Rockwell"/>
                <w:sz w:val="18"/>
                <w:szCs w:val="18"/>
              </w:rPr>
              <w:t>55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Largeur de la bande internet intérieur</w:t>
            </w:r>
          </w:p>
        </w:tc>
        <w:tc>
          <w:tcPr>
            <w:tcW w:w="1601" w:type="dxa"/>
            <w:gridSpan w:val="2"/>
            <w:noWrap/>
            <w:hideMark/>
          </w:tcPr>
          <w:p w:rsidR="00917260" w:rsidRPr="00422183" w:rsidRDefault="00917260" w:rsidP="00917260">
            <w:pPr>
              <w:jc w:val="both"/>
              <w:rPr>
                <w:rFonts w:ascii="Rockwell" w:hAnsi="Rockwell"/>
                <w:sz w:val="18"/>
                <w:szCs w:val="18"/>
              </w:rPr>
            </w:pP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100 Go</w:t>
            </w:r>
          </w:p>
        </w:tc>
      </w:tr>
      <w:tr w:rsidR="00917260" w:rsidRPr="00422183" w:rsidTr="00BF4230">
        <w:trPr>
          <w:trHeight w:val="339"/>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Taux d’accès à l’internet des personnes de plus de 15 ans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15%</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EA 3.4.2 : La contribution des Pôles de croissance (Agro pôles, technopoles, Zones d’économie spéciales) dans l’économie est accrue</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Contribution des pôles de croissance au PIB</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p>
        </w:tc>
      </w:tr>
      <w:tr w:rsidR="00917260" w:rsidRPr="00422183" w:rsidTr="00BF4230">
        <w:trPr>
          <w:trHeight w:val="522"/>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emplois locaux créés par les pôles de croissance dans les régions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00"/>
        </w:trPr>
        <w:tc>
          <w:tcPr>
            <w:tcW w:w="15559" w:type="dxa"/>
            <w:gridSpan w:val="8"/>
            <w:noWrap/>
            <w:vAlign w:val="center"/>
            <w:hideMark/>
          </w:tcPr>
          <w:p w:rsidR="00917260" w:rsidRPr="00422183" w:rsidRDefault="00917260" w:rsidP="00EA7383">
            <w:pPr>
              <w:rPr>
                <w:rFonts w:ascii="Rockwell" w:hAnsi="Rockwell"/>
                <w:b/>
                <w:sz w:val="18"/>
                <w:szCs w:val="18"/>
              </w:rPr>
            </w:pPr>
            <w:r w:rsidRPr="00422183">
              <w:rPr>
                <w:rFonts w:ascii="Rockwell" w:hAnsi="Rockwell"/>
                <w:b/>
                <w:sz w:val="18"/>
                <w:szCs w:val="18"/>
              </w:rPr>
              <w:t>Objectif stratégique 3.5 : Inverser la tendance de la dégradation de l'environnement et assurer durablement la gestion des ressources naturelles</w:t>
            </w:r>
          </w:p>
        </w:tc>
      </w:tr>
      <w:tr w:rsidR="00917260" w:rsidRPr="00422183" w:rsidTr="00EA7383">
        <w:trPr>
          <w:trHeight w:val="337"/>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3.5.1 : L'environnement et les ressources naturelles sont gérés durablement </w:t>
            </w: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espaces de conservation sous aménagement</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27%</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31%</w:t>
            </w:r>
          </w:p>
        </w:tc>
      </w:tr>
      <w:tr w:rsidR="00917260" w:rsidRPr="00422183" w:rsidTr="00EA7383">
        <w:trPr>
          <w:trHeight w:val="261"/>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Proportion des aires de protection faunique sous aménagement</w:t>
            </w:r>
          </w:p>
        </w:tc>
        <w:tc>
          <w:tcPr>
            <w:tcW w:w="160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40%</w:t>
            </w:r>
          </w:p>
        </w:tc>
        <w:tc>
          <w:tcPr>
            <w:tcW w:w="1495"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55%</w:t>
            </w:r>
          </w:p>
        </w:tc>
        <w:tc>
          <w:tcPr>
            <w:tcW w:w="1571" w:type="dxa"/>
            <w:gridSpan w:val="2"/>
            <w:noWrap/>
          </w:tcPr>
          <w:p w:rsidR="00917260" w:rsidRPr="00422183" w:rsidRDefault="00917260" w:rsidP="00917260">
            <w:pPr>
              <w:jc w:val="both"/>
              <w:rPr>
                <w:rFonts w:ascii="Rockwell" w:hAnsi="Rockwell"/>
                <w:sz w:val="18"/>
                <w:szCs w:val="18"/>
              </w:rPr>
            </w:pPr>
            <w:r w:rsidRPr="00422183">
              <w:rPr>
                <w:rFonts w:ascii="Rockwell" w:hAnsi="Rockwell"/>
                <w:sz w:val="18"/>
                <w:szCs w:val="18"/>
              </w:rPr>
              <w:t>70%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Superficies des terres dégradées des zones protégées récupérées (ha)</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10 500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17 000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25 000</w:t>
            </w:r>
          </w:p>
        </w:tc>
      </w:tr>
      <w:tr w:rsidR="00917260" w:rsidRPr="00422183" w:rsidTr="00EA7383">
        <w:trPr>
          <w:trHeight w:val="300"/>
        </w:trPr>
        <w:tc>
          <w:tcPr>
            <w:tcW w:w="3989" w:type="dxa"/>
            <w:vMerge w:val="restart"/>
            <w:noWrap/>
            <w:vAlign w:val="center"/>
            <w:hideMark/>
          </w:tcPr>
          <w:p w:rsidR="00917260" w:rsidRPr="00422183" w:rsidRDefault="00917260" w:rsidP="00EA7383">
            <w:pPr>
              <w:rPr>
                <w:rFonts w:ascii="Rockwell" w:hAnsi="Rockwell"/>
                <w:sz w:val="18"/>
                <w:szCs w:val="18"/>
              </w:rPr>
            </w:pPr>
            <w:r w:rsidRPr="00422183">
              <w:rPr>
                <w:rFonts w:ascii="Rockwell" w:hAnsi="Rockwell"/>
                <w:sz w:val="18"/>
                <w:szCs w:val="18"/>
              </w:rPr>
              <w:t xml:space="preserve">EA 3.5.2 : Les capacités d’atténuation et d’adaptation aux effets </w:t>
            </w:r>
            <w:r w:rsidR="00577FCA" w:rsidRPr="00422183">
              <w:rPr>
                <w:rFonts w:ascii="Rockwell" w:hAnsi="Rockwell"/>
                <w:sz w:val="18"/>
                <w:szCs w:val="18"/>
              </w:rPr>
              <w:t xml:space="preserve">néfastes </w:t>
            </w:r>
            <w:r w:rsidRPr="00422183">
              <w:rPr>
                <w:rFonts w:ascii="Rockwell" w:hAnsi="Rockwell"/>
                <w:sz w:val="18"/>
                <w:szCs w:val="18"/>
              </w:rPr>
              <w:t xml:space="preserve">du changement climatique sont renforcées dans une optique de transition vers l'économie verte </w:t>
            </w:r>
          </w:p>
        </w:tc>
        <w:tc>
          <w:tcPr>
            <w:tcW w:w="6903" w:type="dxa"/>
            <w:hideMark/>
          </w:tcPr>
          <w:p w:rsidR="00917260" w:rsidRPr="00422183" w:rsidRDefault="00917260" w:rsidP="004B4A7B">
            <w:pPr>
              <w:jc w:val="both"/>
              <w:rPr>
                <w:rFonts w:ascii="Rockwell" w:hAnsi="Rockwell"/>
                <w:sz w:val="18"/>
                <w:szCs w:val="18"/>
              </w:rPr>
            </w:pPr>
            <w:r w:rsidRPr="00422183">
              <w:rPr>
                <w:rFonts w:ascii="Rockwell" w:hAnsi="Rockwell"/>
                <w:sz w:val="18"/>
                <w:szCs w:val="18"/>
              </w:rPr>
              <w:t>Proportion de politiques sectorielles, de plans régionaux et communaux de développement intégrant les principes et les problématiques émergeantes de développement durable</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17%</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35%</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w:t>
            </w:r>
          </w:p>
        </w:tc>
      </w:tr>
      <w:tr w:rsidR="00917260" w:rsidRPr="00422183" w:rsidTr="00EA7383">
        <w:trPr>
          <w:trHeight w:val="300"/>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4B4A7B" w:rsidP="00917260">
            <w:pPr>
              <w:jc w:val="both"/>
              <w:rPr>
                <w:rFonts w:ascii="Rockwell" w:hAnsi="Rockwell"/>
                <w:sz w:val="18"/>
                <w:szCs w:val="18"/>
              </w:rPr>
            </w:pPr>
            <w:r w:rsidRPr="00422183">
              <w:rPr>
                <w:rFonts w:ascii="Rockwell" w:hAnsi="Rockwell"/>
                <w:sz w:val="18"/>
                <w:szCs w:val="18"/>
              </w:rPr>
              <w:t>Nombre d’éco villages créé</w:t>
            </w:r>
            <w:r w:rsidR="00917260" w:rsidRPr="00422183">
              <w:rPr>
                <w:rFonts w:ascii="Rockwell" w:hAnsi="Rockwell"/>
                <w:sz w:val="18"/>
                <w:szCs w:val="18"/>
              </w:rPr>
              <w:t>s</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0</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500</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2000</w:t>
            </w:r>
          </w:p>
        </w:tc>
      </w:tr>
      <w:tr w:rsidR="00917260" w:rsidRPr="00422183" w:rsidTr="00EA7383">
        <w:trPr>
          <w:trHeight w:val="336"/>
        </w:trPr>
        <w:tc>
          <w:tcPr>
            <w:tcW w:w="3989" w:type="dxa"/>
            <w:vMerge/>
            <w:noWrap/>
            <w:vAlign w:val="center"/>
            <w:hideMark/>
          </w:tcPr>
          <w:p w:rsidR="00917260" w:rsidRPr="00422183" w:rsidRDefault="00917260" w:rsidP="00EA7383">
            <w:pPr>
              <w:rPr>
                <w:rFonts w:ascii="Rockwell" w:hAnsi="Rockwell"/>
                <w:sz w:val="18"/>
                <w:szCs w:val="18"/>
              </w:rPr>
            </w:pPr>
          </w:p>
        </w:tc>
        <w:tc>
          <w:tcPr>
            <w:tcW w:w="6903" w:type="dxa"/>
            <w:hideMark/>
          </w:tcPr>
          <w:p w:rsidR="00917260" w:rsidRPr="00422183" w:rsidRDefault="00917260" w:rsidP="00917260">
            <w:pPr>
              <w:jc w:val="both"/>
              <w:rPr>
                <w:rFonts w:ascii="Rockwell" w:hAnsi="Rockwell"/>
                <w:sz w:val="18"/>
                <w:szCs w:val="18"/>
              </w:rPr>
            </w:pPr>
            <w:r w:rsidRPr="00422183">
              <w:rPr>
                <w:rFonts w:ascii="Rockwell" w:hAnsi="Rockwell"/>
                <w:sz w:val="18"/>
                <w:szCs w:val="18"/>
              </w:rPr>
              <w:t xml:space="preserve">Quantité de carbones séquestrés en millions de tonnes </w:t>
            </w:r>
          </w:p>
        </w:tc>
        <w:tc>
          <w:tcPr>
            <w:tcW w:w="160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ND</w:t>
            </w:r>
          </w:p>
        </w:tc>
        <w:tc>
          <w:tcPr>
            <w:tcW w:w="1495"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2</w:t>
            </w:r>
          </w:p>
        </w:tc>
        <w:tc>
          <w:tcPr>
            <w:tcW w:w="1571" w:type="dxa"/>
            <w:gridSpan w:val="2"/>
            <w:noWrap/>
            <w:hideMark/>
          </w:tcPr>
          <w:p w:rsidR="00917260" w:rsidRPr="00422183" w:rsidRDefault="00917260" w:rsidP="00917260">
            <w:pPr>
              <w:jc w:val="both"/>
              <w:rPr>
                <w:rFonts w:ascii="Rockwell" w:hAnsi="Rockwell"/>
                <w:sz w:val="18"/>
                <w:szCs w:val="18"/>
              </w:rPr>
            </w:pPr>
            <w:r w:rsidRPr="00422183">
              <w:rPr>
                <w:rFonts w:ascii="Rockwell" w:hAnsi="Rockwell"/>
                <w:sz w:val="18"/>
                <w:szCs w:val="18"/>
              </w:rPr>
              <w:t>8</w:t>
            </w:r>
          </w:p>
        </w:tc>
      </w:tr>
    </w:tbl>
    <w:p w:rsidR="00912504" w:rsidRPr="00422183" w:rsidRDefault="00912504" w:rsidP="003A0820">
      <w:pPr>
        <w:spacing w:after="0" w:line="240" w:lineRule="auto"/>
        <w:jc w:val="both"/>
        <w:rPr>
          <w:rFonts w:ascii="Rockwell" w:hAnsi="Rockwell"/>
          <w:b/>
        </w:rPr>
      </w:pPr>
      <w:r w:rsidRPr="00422183">
        <w:rPr>
          <w:rFonts w:ascii="Rockwell" w:hAnsi="Rockwell"/>
          <w:b/>
        </w:rPr>
        <w:br w:type="page"/>
      </w:r>
    </w:p>
    <w:p w:rsidR="00912504" w:rsidRPr="00422183" w:rsidRDefault="00A20044" w:rsidP="003A0820">
      <w:pPr>
        <w:spacing w:after="0" w:line="240" w:lineRule="auto"/>
        <w:jc w:val="both"/>
        <w:rPr>
          <w:rFonts w:ascii="Rockwell" w:hAnsi="Rockwell"/>
          <w:b/>
          <w:sz w:val="24"/>
          <w:szCs w:val="24"/>
        </w:rPr>
      </w:pPr>
      <w:r w:rsidRPr="00422183">
        <w:rPr>
          <w:rFonts w:ascii="Rockwell" w:hAnsi="Rockwell"/>
          <w:b/>
          <w:sz w:val="24"/>
          <w:szCs w:val="24"/>
        </w:rPr>
        <w:t>Annexe 4</w:t>
      </w:r>
      <w:r w:rsidR="00C117DF" w:rsidRPr="00422183">
        <w:rPr>
          <w:rFonts w:ascii="Rockwell" w:hAnsi="Rockwell"/>
          <w:b/>
          <w:sz w:val="24"/>
          <w:szCs w:val="24"/>
        </w:rPr>
        <w:t xml:space="preserve"> : </w:t>
      </w:r>
      <w:r w:rsidRPr="00422183">
        <w:rPr>
          <w:rFonts w:ascii="Rockwell" w:hAnsi="Rockwell"/>
          <w:b/>
          <w:sz w:val="24"/>
          <w:szCs w:val="24"/>
        </w:rPr>
        <w:t>c</w:t>
      </w:r>
      <w:r w:rsidR="00912504" w:rsidRPr="00422183">
        <w:rPr>
          <w:rFonts w:ascii="Rockwell" w:hAnsi="Rockwell"/>
          <w:b/>
          <w:sz w:val="24"/>
          <w:szCs w:val="24"/>
        </w:rPr>
        <w:t>adre de mesure de performances du PNDES</w:t>
      </w:r>
    </w:p>
    <w:p w:rsidR="00A20044" w:rsidRPr="00422183" w:rsidRDefault="00A20044" w:rsidP="003A0820">
      <w:pPr>
        <w:spacing w:after="0" w:line="240" w:lineRule="auto"/>
        <w:jc w:val="both"/>
        <w:rPr>
          <w:rFonts w:ascii="Rockwell" w:hAnsi="Rockwell"/>
          <w:sz w:val="24"/>
          <w:szCs w:val="24"/>
        </w:rPr>
      </w:pPr>
    </w:p>
    <w:tbl>
      <w:tblPr>
        <w:tblStyle w:val="Grilledutableau"/>
        <w:tblW w:w="15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6"/>
        <w:gridCol w:w="2587"/>
        <w:gridCol w:w="17"/>
        <w:gridCol w:w="1362"/>
        <w:gridCol w:w="8"/>
        <w:gridCol w:w="1360"/>
        <w:gridCol w:w="13"/>
        <w:gridCol w:w="1174"/>
        <w:gridCol w:w="974"/>
        <w:gridCol w:w="870"/>
        <w:gridCol w:w="614"/>
        <w:gridCol w:w="614"/>
        <w:gridCol w:w="1049"/>
        <w:gridCol w:w="1225"/>
        <w:gridCol w:w="1211"/>
      </w:tblGrid>
      <w:tr w:rsidR="00B3094D" w:rsidRPr="00422183" w:rsidTr="00E8632D">
        <w:trPr>
          <w:trHeight w:val="449"/>
          <w:tblHeader/>
        </w:trPr>
        <w:tc>
          <w:tcPr>
            <w:tcW w:w="2421" w:type="dxa"/>
            <w:gridSpan w:val="2"/>
            <w:vMerge w:val="restart"/>
            <w:shd w:val="clear" w:color="auto" w:fill="D9D9D9" w:themeFill="background1" w:themeFillShade="D9"/>
          </w:tcPr>
          <w:p w:rsidR="00912504" w:rsidRPr="00422183" w:rsidRDefault="00912504" w:rsidP="003A0820">
            <w:pPr>
              <w:jc w:val="both"/>
              <w:rPr>
                <w:rFonts w:ascii="Rockwell" w:hAnsi="Rockwell"/>
                <w:b/>
                <w:sz w:val="18"/>
                <w:szCs w:val="18"/>
              </w:rPr>
            </w:pPr>
          </w:p>
        </w:tc>
        <w:tc>
          <w:tcPr>
            <w:tcW w:w="2604" w:type="dxa"/>
            <w:gridSpan w:val="2"/>
            <w:vMerge w:val="restart"/>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Indicateurs </w:t>
            </w:r>
          </w:p>
        </w:tc>
        <w:tc>
          <w:tcPr>
            <w:tcW w:w="1362" w:type="dxa"/>
            <w:vMerge w:val="restart"/>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Source de l</w:t>
            </w:r>
            <w:r w:rsidR="006C72DE" w:rsidRPr="00422183">
              <w:rPr>
                <w:rFonts w:ascii="Rockwell" w:hAnsi="Rockwell"/>
                <w:b/>
                <w:sz w:val="18"/>
                <w:szCs w:val="18"/>
              </w:rPr>
              <w:t>'</w:t>
            </w:r>
            <w:r w:rsidRPr="00422183">
              <w:rPr>
                <w:rFonts w:ascii="Rockwell" w:hAnsi="Rockwell"/>
                <w:b/>
                <w:sz w:val="18"/>
                <w:szCs w:val="18"/>
              </w:rPr>
              <w:t>indicateur</w:t>
            </w:r>
          </w:p>
        </w:tc>
        <w:tc>
          <w:tcPr>
            <w:tcW w:w="1381" w:type="dxa"/>
            <w:gridSpan w:val="3"/>
            <w:vMerge w:val="restart"/>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Structure responsable de l</w:t>
            </w:r>
            <w:r w:rsidR="006C72DE" w:rsidRPr="00422183">
              <w:rPr>
                <w:rFonts w:ascii="Rockwell" w:hAnsi="Rockwell"/>
                <w:b/>
                <w:sz w:val="18"/>
                <w:szCs w:val="18"/>
              </w:rPr>
              <w:t>'</w:t>
            </w:r>
            <w:r w:rsidRPr="00422183">
              <w:rPr>
                <w:rFonts w:ascii="Rockwell" w:hAnsi="Rockwell"/>
                <w:b/>
                <w:sz w:val="18"/>
                <w:szCs w:val="18"/>
              </w:rPr>
              <w:t>indicateur</w:t>
            </w:r>
          </w:p>
        </w:tc>
        <w:tc>
          <w:tcPr>
            <w:tcW w:w="1174" w:type="dxa"/>
            <w:vMerge w:val="restart"/>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Réf. 2015</w:t>
            </w:r>
          </w:p>
        </w:tc>
        <w:tc>
          <w:tcPr>
            <w:tcW w:w="1844" w:type="dxa"/>
            <w:gridSpan w:val="2"/>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w:t>
            </w:r>
          </w:p>
        </w:tc>
        <w:tc>
          <w:tcPr>
            <w:tcW w:w="1228" w:type="dxa"/>
            <w:gridSpan w:val="2"/>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Résultats obtenus</w:t>
            </w:r>
          </w:p>
        </w:tc>
        <w:tc>
          <w:tcPr>
            <w:tcW w:w="1049" w:type="dxa"/>
            <w:vMerge w:val="restart"/>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Ecarts constatés </w:t>
            </w:r>
          </w:p>
        </w:tc>
        <w:tc>
          <w:tcPr>
            <w:tcW w:w="1225" w:type="dxa"/>
            <w:vMerge w:val="restart"/>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des écarts</w:t>
            </w:r>
          </w:p>
        </w:tc>
        <w:tc>
          <w:tcPr>
            <w:tcW w:w="1211" w:type="dxa"/>
            <w:vMerge w:val="restart"/>
            <w:shd w:val="clear" w:color="auto" w:fill="D9D9D9" w:themeFill="background1" w:themeFillShade="D9"/>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r>
      <w:tr w:rsidR="00912504" w:rsidRPr="00422183" w:rsidTr="00E8632D">
        <w:trPr>
          <w:trHeight w:val="449"/>
          <w:tblHeader/>
        </w:trPr>
        <w:tc>
          <w:tcPr>
            <w:tcW w:w="2421" w:type="dxa"/>
            <w:gridSpan w:val="2"/>
            <w:vMerge/>
            <w:vAlign w:val="center"/>
          </w:tcPr>
          <w:p w:rsidR="00912504" w:rsidRPr="00422183" w:rsidRDefault="00912504" w:rsidP="003A0820">
            <w:pPr>
              <w:jc w:val="both"/>
              <w:rPr>
                <w:rFonts w:ascii="Rockwell" w:hAnsi="Rockwell"/>
                <w:b/>
                <w:sz w:val="18"/>
                <w:szCs w:val="18"/>
              </w:rPr>
            </w:pPr>
          </w:p>
        </w:tc>
        <w:tc>
          <w:tcPr>
            <w:tcW w:w="2604" w:type="dxa"/>
            <w:gridSpan w:val="2"/>
            <w:vMerge/>
            <w:vAlign w:val="center"/>
          </w:tcPr>
          <w:p w:rsidR="00912504" w:rsidRPr="00422183" w:rsidRDefault="00912504" w:rsidP="003A0820">
            <w:pPr>
              <w:jc w:val="both"/>
              <w:rPr>
                <w:rFonts w:ascii="Rockwell" w:hAnsi="Rockwell"/>
                <w:b/>
                <w:sz w:val="18"/>
                <w:szCs w:val="18"/>
              </w:rPr>
            </w:pPr>
          </w:p>
        </w:tc>
        <w:tc>
          <w:tcPr>
            <w:tcW w:w="1362" w:type="dxa"/>
            <w:vMerge/>
          </w:tcPr>
          <w:p w:rsidR="00912504" w:rsidRPr="00422183" w:rsidRDefault="00912504" w:rsidP="003A0820">
            <w:pPr>
              <w:jc w:val="both"/>
              <w:rPr>
                <w:rFonts w:ascii="Rockwell" w:hAnsi="Rockwell"/>
                <w:b/>
                <w:sz w:val="18"/>
                <w:szCs w:val="18"/>
              </w:rPr>
            </w:pPr>
          </w:p>
        </w:tc>
        <w:tc>
          <w:tcPr>
            <w:tcW w:w="1381" w:type="dxa"/>
            <w:gridSpan w:val="3"/>
            <w:vMerge/>
          </w:tcPr>
          <w:p w:rsidR="00912504" w:rsidRPr="00422183" w:rsidRDefault="00912504" w:rsidP="003A0820">
            <w:pPr>
              <w:jc w:val="both"/>
              <w:rPr>
                <w:rFonts w:ascii="Rockwell" w:hAnsi="Rockwell"/>
                <w:b/>
                <w:sz w:val="18"/>
                <w:szCs w:val="18"/>
              </w:rPr>
            </w:pPr>
          </w:p>
        </w:tc>
        <w:tc>
          <w:tcPr>
            <w:tcW w:w="1174" w:type="dxa"/>
            <w:vMerge/>
            <w:vAlign w:val="center"/>
          </w:tcPr>
          <w:p w:rsidR="00912504" w:rsidRPr="00422183" w:rsidRDefault="00912504" w:rsidP="003A0820">
            <w:pPr>
              <w:jc w:val="both"/>
              <w:rPr>
                <w:rFonts w:ascii="Rockwell" w:hAnsi="Rockwell"/>
                <w:b/>
                <w:sz w:val="18"/>
                <w:szCs w:val="18"/>
              </w:rPr>
            </w:pPr>
          </w:p>
        </w:tc>
        <w:tc>
          <w:tcPr>
            <w:tcW w:w="974" w:type="dxa"/>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2018</w:t>
            </w:r>
          </w:p>
        </w:tc>
        <w:tc>
          <w:tcPr>
            <w:tcW w:w="870" w:type="dxa"/>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2020</w:t>
            </w:r>
          </w:p>
        </w:tc>
        <w:tc>
          <w:tcPr>
            <w:tcW w:w="614" w:type="dxa"/>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2018</w:t>
            </w:r>
          </w:p>
        </w:tc>
        <w:tc>
          <w:tcPr>
            <w:tcW w:w="614" w:type="dxa"/>
            <w:shd w:val="clear" w:color="auto" w:fill="D9D9D9" w:themeFill="background1" w:themeFillShade="D9"/>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2020</w:t>
            </w:r>
          </w:p>
        </w:tc>
        <w:tc>
          <w:tcPr>
            <w:tcW w:w="1049" w:type="dxa"/>
            <w:vMerge/>
            <w:shd w:val="clear" w:color="auto" w:fill="D9D9D9" w:themeFill="background1" w:themeFillShade="D9"/>
          </w:tcPr>
          <w:p w:rsidR="00912504" w:rsidRPr="00422183" w:rsidRDefault="00912504" w:rsidP="003A0820">
            <w:pPr>
              <w:jc w:val="both"/>
              <w:rPr>
                <w:rFonts w:ascii="Rockwell" w:hAnsi="Rockwell"/>
                <w:b/>
                <w:sz w:val="18"/>
                <w:szCs w:val="18"/>
              </w:rPr>
            </w:pPr>
          </w:p>
        </w:tc>
        <w:tc>
          <w:tcPr>
            <w:tcW w:w="1225" w:type="dxa"/>
            <w:vMerge/>
          </w:tcPr>
          <w:p w:rsidR="00912504" w:rsidRPr="00422183" w:rsidRDefault="00912504" w:rsidP="003A0820">
            <w:pPr>
              <w:jc w:val="both"/>
              <w:rPr>
                <w:rFonts w:ascii="Rockwell" w:hAnsi="Rockwell"/>
                <w:b/>
                <w:sz w:val="18"/>
                <w:szCs w:val="18"/>
              </w:rPr>
            </w:pPr>
          </w:p>
        </w:tc>
        <w:tc>
          <w:tcPr>
            <w:tcW w:w="1211" w:type="dxa"/>
            <w:vMerge/>
          </w:tcPr>
          <w:p w:rsidR="00912504" w:rsidRPr="00422183" w:rsidRDefault="00912504" w:rsidP="003A0820">
            <w:pPr>
              <w:jc w:val="both"/>
              <w:rPr>
                <w:rFonts w:ascii="Rockwell" w:hAnsi="Rockwell"/>
                <w:b/>
                <w:sz w:val="18"/>
                <w:szCs w:val="18"/>
              </w:rPr>
            </w:pPr>
          </w:p>
        </w:tc>
      </w:tr>
      <w:tr w:rsidR="00912504" w:rsidRPr="00422183" w:rsidTr="00E8632D">
        <w:trPr>
          <w:trHeight w:val="192"/>
        </w:trPr>
        <w:tc>
          <w:tcPr>
            <w:tcW w:w="2421" w:type="dxa"/>
            <w:gridSpan w:val="2"/>
            <w:vMerge w:val="restart"/>
          </w:tcPr>
          <w:p w:rsidR="00912504" w:rsidRPr="00422183" w:rsidRDefault="00912504" w:rsidP="00516FB0">
            <w:pPr>
              <w:jc w:val="both"/>
              <w:rPr>
                <w:rFonts w:ascii="Rockwell" w:hAnsi="Rockwell"/>
                <w:sz w:val="18"/>
                <w:szCs w:val="18"/>
              </w:rPr>
            </w:pPr>
          </w:p>
          <w:p w:rsidR="00912504" w:rsidRPr="00422183" w:rsidRDefault="00912504" w:rsidP="00516FB0">
            <w:pPr>
              <w:jc w:val="both"/>
              <w:rPr>
                <w:rFonts w:ascii="Rockwell" w:hAnsi="Rockwell"/>
                <w:b/>
                <w:sz w:val="18"/>
                <w:szCs w:val="18"/>
              </w:rPr>
            </w:pPr>
            <w:r w:rsidRPr="00422183">
              <w:rPr>
                <w:rFonts w:ascii="Rockwell" w:hAnsi="Rockwell"/>
                <w:b/>
                <w:sz w:val="18"/>
                <w:szCs w:val="18"/>
              </w:rPr>
              <w:t>Impacts attendus :</w:t>
            </w:r>
          </w:p>
          <w:p w:rsidR="00912504" w:rsidRPr="00422183" w:rsidRDefault="00912504" w:rsidP="003A0820">
            <w:pPr>
              <w:jc w:val="both"/>
              <w:rPr>
                <w:rFonts w:ascii="Rockwell" w:hAnsi="Rockwell"/>
                <w:sz w:val="18"/>
                <w:szCs w:val="18"/>
              </w:rPr>
            </w:pPr>
          </w:p>
          <w:p w:rsidR="00912504" w:rsidRPr="00422183" w:rsidRDefault="00912504" w:rsidP="00A36DF1">
            <w:pPr>
              <w:jc w:val="both"/>
              <w:rPr>
                <w:rFonts w:ascii="Rockwell" w:hAnsi="Rockwell"/>
                <w:sz w:val="18"/>
                <w:szCs w:val="18"/>
              </w:rPr>
            </w:pPr>
            <w:r w:rsidRPr="00422183">
              <w:rPr>
                <w:rFonts w:ascii="Rockwell" w:hAnsi="Rockwell"/>
                <w:sz w:val="18"/>
                <w:szCs w:val="18"/>
              </w:rPr>
              <w:t>L</w:t>
            </w:r>
            <w:r w:rsidR="006C72DE" w:rsidRPr="00422183">
              <w:rPr>
                <w:rFonts w:ascii="Rockwell" w:hAnsi="Rockwell"/>
                <w:sz w:val="18"/>
                <w:szCs w:val="18"/>
              </w:rPr>
              <w:t>'</w:t>
            </w:r>
            <w:r w:rsidRPr="00422183">
              <w:rPr>
                <w:rFonts w:ascii="Rockwell" w:hAnsi="Rockwell"/>
                <w:sz w:val="18"/>
                <w:szCs w:val="18"/>
              </w:rPr>
              <w:t>émergence d</w:t>
            </w:r>
            <w:r w:rsidR="006C72DE" w:rsidRPr="00422183">
              <w:rPr>
                <w:rFonts w:ascii="Rockwell" w:hAnsi="Rockwell"/>
                <w:sz w:val="18"/>
                <w:szCs w:val="18"/>
              </w:rPr>
              <w:t>'</w:t>
            </w:r>
            <w:r w:rsidRPr="00422183">
              <w:rPr>
                <w:rFonts w:ascii="Rockwell" w:hAnsi="Rockwell"/>
                <w:sz w:val="18"/>
                <w:szCs w:val="18"/>
              </w:rPr>
              <w:t xml:space="preserve">une économie moderne, basée sur un secteur primaire évolutif et des industries de transformation et de services de plus en plus dynamiques, avec une croissance économique soutenue de </w:t>
            </w:r>
            <w:r w:rsidR="00A36DF1" w:rsidRPr="00422183">
              <w:rPr>
                <w:rFonts w:ascii="Rockwell" w:hAnsi="Rockwell"/>
                <w:sz w:val="18"/>
                <w:szCs w:val="18"/>
              </w:rPr>
              <w:t>8,5</w:t>
            </w:r>
            <w:r w:rsidRPr="00422183">
              <w:rPr>
                <w:rFonts w:ascii="Rockwell" w:hAnsi="Rockwell"/>
                <w:sz w:val="18"/>
                <w:szCs w:val="18"/>
              </w:rPr>
              <w:t>%, créatrice d</w:t>
            </w:r>
            <w:r w:rsidR="006C72DE" w:rsidRPr="00422183">
              <w:rPr>
                <w:rFonts w:ascii="Rockwell" w:hAnsi="Rockwell"/>
                <w:sz w:val="18"/>
                <w:szCs w:val="18"/>
              </w:rPr>
              <w:t>'</w:t>
            </w:r>
            <w:r w:rsidRPr="00422183">
              <w:rPr>
                <w:rFonts w:ascii="Rockwell" w:hAnsi="Rockwell"/>
                <w:sz w:val="18"/>
                <w:szCs w:val="18"/>
              </w:rPr>
              <w:t>au moins 130 000 emplois productifs par an, susceptible de faire baisser l</w:t>
            </w:r>
            <w:r w:rsidR="006C72DE" w:rsidRPr="00422183">
              <w:rPr>
                <w:rFonts w:ascii="Rockwell" w:hAnsi="Rockwell"/>
                <w:sz w:val="18"/>
                <w:szCs w:val="18"/>
              </w:rPr>
              <w:t>'</w:t>
            </w:r>
            <w:r w:rsidRPr="00422183">
              <w:rPr>
                <w:rFonts w:ascii="Rockwell" w:hAnsi="Rockwell"/>
                <w:sz w:val="18"/>
                <w:szCs w:val="18"/>
              </w:rPr>
              <w:t>incidence de pauvreté à moins de 35% et maitrisant la croissance démographique à 2,7% à l</w:t>
            </w:r>
            <w:r w:rsidR="006C72DE" w:rsidRPr="00422183">
              <w:rPr>
                <w:rFonts w:ascii="Rockwell" w:hAnsi="Rockwell"/>
                <w:sz w:val="18"/>
                <w:szCs w:val="18"/>
              </w:rPr>
              <w:t>'</w:t>
            </w:r>
            <w:r w:rsidRPr="00422183">
              <w:rPr>
                <w:rFonts w:ascii="Rockwell" w:hAnsi="Rockwell"/>
                <w:sz w:val="18"/>
                <w:szCs w:val="18"/>
              </w:rPr>
              <w:t>horizon 2020.</w:t>
            </w: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Incidence de pauvreté</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Enquête ménage</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40,1%</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38%</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35%</w:t>
            </w:r>
          </w:p>
        </w:tc>
        <w:tc>
          <w:tcPr>
            <w:tcW w:w="614" w:type="dxa"/>
          </w:tcPr>
          <w:p w:rsidR="00912504" w:rsidRPr="00422183" w:rsidRDefault="00912504" w:rsidP="003A0820">
            <w:pPr>
              <w:jc w:val="both"/>
              <w:rPr>
                <w:rFonts w:ascii="Rockwell" w:hAnsi="Rockwell"/>
                <w:b/>
                <w:sz w:val="18"/>
                <w:szCs w:val="18"/>
              </w:rPr>
            </w:pPr>
          </w:p>
        </w:tc>
        <w:tc>
          <w:tcPr>
            <w:tcW w:w="614" w:type="dxa"/>
          </w:tcPr>
          <w:p w:rsidR="00912504" w:rsidRPr="00422183" w:rsidRDefault="00912504" w:rsidP="003A0820">
            <w:pPr>
              <w:jc w:val="both"/>
              <w:rPr>
                <w:rFonts w:ascii="Rockwell" w:hAnsi="Rockwell"/>
                <w:b/>
                <w:sz w:val="18"/>
                <w:szCs w:val="18"/>
              </w:rPr>
            </w:pPr>
          </w:p>
        </w:tc>
        <w:tc>
          <w:tcPr>
            <w:tcW w:w="1049" w:type="dxa"/>
          </w:tcPr>
          <w:p w:rsidR="00912504" w:rsidRPr="00422183" w:rsidRDefault="00912504" w:rsidP="003A0820">
            <w:pPr>
              <w:jc w:val="both"/>
              <w:rPr>
                <w:rFonts w:ascii="Rockwell" w:hAnsi="Rockwell"/>
                <w:b/>
                <w:sz w:val="18"/>
                <w:szCs w:val="18"/>
              </w:rPr>
            </w:pPr>
          </w:p>
        </w:tc>
        <w:tc>
          <w:tcPr>
            <w:tcW w:w="1225" w:type="dxa"/>
          </w:tcPr>
          <w:p w:rsidR="00912504" w:rsidRPr="00422183" w:rsidRDefault="00912504" w:rsidP="003A0820">
            <w:pPr>
              <w:jc w:val="both"/>
              <w:rPr>
                <w:rFonts w:ascii="Rockwell" w:hAnsi="Rockwell"/>
                <w:b/>
                <w:sz w:val="18"/>
                <w:szCs w:val="18"/>
              </w:rPr>
            </w:pPr>
          </w:p>
        </w:tc>
        <w:tc>
          <w:tcPr>
            <w:tcW w:w="1211" w:type="dxa"/>
          </w:tcPr>
          <w:p w:rsidR="00912504" w:rsidRPr="00422183" w:rsidRDefault="00912504" w:rsidP="003A0820">
            <w:pPr>
              <w:jc w:val="both"/>
              <w:rPr>
                <w:rFonts w:ascii="Rockwell" w:hAnsi="Rockwell"/>
                <w:b/>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Incidence de pauvreté en milieu rural</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Enquête ménage</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47,5%</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44%</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38%</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Profondeur de la pauvreté</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Enquête ménage</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 xml:space="preserve"> 3,3%</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2,7%</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1,6%</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Taux de croissance économique</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Comptes nationaux &amp; IAP</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DGEP &amp; INSD</w:t>
            </w:r>
          </w:p>
        </w:tc>
        <w:tc>
          <w:tcPr>
            <w:tcW w:w="1174" w:type="dxa"/>
          </w:tcPr>
          <w:p w:rsidR="00912504" w:rsidRPr="00422183" w:rsidRDefault="00A36DF1" w:rsidP="003A0820">
            <w:pPr>
              <w:jc w:val="both"/>
              <w:rPr>
                <w:rFonts w:ascii="Rockwell" w:hAnsi="Rockwell"/>
                <w:sz w:val="18"/>
                <w:szCs w:val="18"/>
              </w:rPr>
            </w:pPr>
            <w:r w:rsidRPr="00422183">
              <w:rPr>
                <w:rFonts w:ascii="Rockwell" w:hAnsi="Rockwell"/>
                <w:sz w:val="18"/>
                <w:szCs w:val="18"/>
              </w:rPr>
              <w:t>4,0</w:t>
            </w:r>
            <w:r w:rsidR="00912504" w:rsidRPr="00422183">
              <w:rPr>
                <w:rFonts w:ascii="Rockwell" w:hAnsi="Rockwell"/>
                <w:sz w:val="18"/>
                <w:szCs w:val="18"/>
              </w:rPr>
              <w:t>%</w:t>
            </w:r>
          </w:p>
        </w:tc>
        <w:tc>
          <w:tcPr>
            <w:tcW w:w="974" w:type="dxa"/>
          </w:tcPr>
          <w:p w:rsidR="00912504" w:rsidRPr="00422183" w:rsidRDefault="00A36DF1" w:rsidP="003A0820">
            <w:pPr>
              <w:jc w:val="both"/>
              <w:rPr>
                <w:rFonts w:ascii="Rockwell" w:hAnsi="Rockwell"/>
                <w:sz w:val="18"/>
                <w:szCs w:val="18"/>
              </w:rPr>
            </w:pPr>
            <w:r w:rsidRPr="00422183">
              <w:rPr>
                <w:rFonts w:ascii="Rockwell" w:hAnsi="Rockwell"/>
                <w:sz w:val="18"/>
                <w:szCs w:val="18"/>
              </w:rPr>
              <w:t xml:space="preserve">9,5 </w:t>
            </w:r>
            <w:r w:rsidR="00912504" w:rsidRPr="00422183">
              <w:rPr>
                <w:rFonts w:ascii="Rockwell" w:hAnsi="Rockwell"/>
                <w:sz w:val="18"/>
                <w:szCs w:val="18"/>
              </w:rPr>
              <w:t>%</w:t>
            </w:r>
          </w:p>
        </w:tc>
        <w:tc>
          <w:tcPr>
            <w:tcW w:w="870" w:type="dxa"/>
          </w:tcPr>
          <w:p w:rsidR="00912504" w:rsidRPr="00422183" w:rsidRDefault="00A36DF1" w:rsidP="003A0820">
            <w:pPr>
              <w:jc w:val="both"/>
              <w:rPr>
                <w:rFonts w:ascii="Rockwell" w:hAnsi="Rockwell"/>
                <w:sz w:val="18"/>
                <w:szCs w:val="18"/>
              </w:rPr>
            </w:pPr>
            <w:r w:rsidRPr="00422183">
              <w:rPr>
                <w:rFonts w:ascii="Rockwell" w:hAnsi="Rockwell"/>
                <w:sz w:val="18"/>
                <w:szCs w:val="18"/>
              </w:rPr>
              <w:t xml:space="preserve">8,9 </w:t>
            </w:r>
            <w:r w:rsidR="00912504" w:rsidRPr="00422183">
              <w:rPr>
                <w:rFonts w:ascii="Rockwell" w:hAnsi="Rockwell"/>
                <w:sz w:val="18"/>
                <w:szCs w:val="18"/>
              </w:rPr>
              <w:t>%</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Part de l</w:t>
            </w:r>
            <w:r w:rsidR="006C72DE" w:rsidRPr="00422183">
              <w:rPr>
                <w:rFonts w:ascii="Rockwell" w:hAnsi="Rockwell"/>
                <w:sz w:val="18"/>
                <w:szCs w:val="18"/>
              </w:rPr>
              <w:t>'</w:t>
            </w:r>
            <w:r w:rsidRPr="00422183">
              <w:rPr>
                <w:rFonts w:ascii="Rockwell" w:hAnsi="Rockwell"/>
                <w:sz w:val="18"/>
                <w:szCs w:val="18"/>
              </w:rPr>
              <w:t>industrie manufacturière dans le PIB</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Comptes nationaux &amp; IAP</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DGEP &amp; 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6,6%</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8%</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12%</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Part des produits manufacturés dans les exportations de biens</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Comptes nationaux &amp; IAP</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DGEP &amp; 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10,6%</w:t>
            </w:r>
            <w:r w:rsidR="00A36DF1" w:rsidRPr="00422183">
              <w:rPr>
                <w:rFonts w:ascii="Rockwell" w:hAnsi="Rockwell"/>
                <w:sz w:val="18"/>
                <w:szCs w:val="18"/>
              </w:rPr>
              <w:t xml:space="preserve"> (2014)</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15%</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20%</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Productivité de la main-d</w:t>
            </w:r>
            <w:r w:rsidR="006C72DE" w:rsidRPr="00422183">
              <w:rPr>
                <w:rFonts w:ascii="Rockwell" w:hAnsi="Rockwell"/>
                <w:sz w:val="18"/>
                <w:szCs w:val="18"/>
              </w:rPr>
              <w:t>'</w:t>
            </w:r>
            <w:r w:rsidRPr="00422183">
              <w:rPr>
                <w:rFonts w:ascii="Rockwell" w:hAnsi="Rockwell"/>
                <w:sz w:val="18"/>
                <w:szCs w:val="18"/>
              </w:rPr>
              <w:t>œuvre occupée (en milliers de FCFA)</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Comptes nationaux &amp; IAP</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DGEP &amp; INSD</w:t>
            </w:r>
          </w:p>
        </w:tc>
        <w:tc>
          <w:tcPr>
            <w:tcW w:w="1174" w:type="dxa"/>
          </w:tcPr>
          <w:p w:rsidR="00912504" w:rsidRPr="00422183" w:rsidRDefault="00912504" w:rsidP="003A0820">
            <w:pPr>
              <w:jc w:val="both"/>
              <w:rPr>
                <w:rFonts w:ascii="Rockwell" w:hAnsi="Rockwell"/>
                <w:sz w:val="18"/>
                <w:szCs w:val="18"/>
              </w:rPr>
            </w:pPr>
            <w:r w:rsidRPr="00422183">
              <w:rPr>
                <w:rFonts w:ascii="Rockwell" w:hAnsi="Rockwell"/>
                <w:sz w:val="18"/>
                <w:szCs w:val="18"/>
              </w:rPr>
              <w:t>818,6</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950</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1050</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912504" w:rsidRPr="00422183" w:rsidTr="00E8632D">
        <w:trPr>
          <w:trHeight w:val="192"/>
        </w:trPr>
        <w:tc>
          <w:tcPr>
            <w:tcW w:w="2421" w:type="dxa"/>
            <w:gridSpan w:val="2"/>
            <w:vMerge/>
          </w:tcPr>
          <w:p w:rsidR="00912504" w:rsidRPr="00422183" w:rsidRDefault="00912504" w:rsidP="003A0820">
            <w:pPr>
              <w:jc w:val="both"/>
              <w:rPr>
                <w:rFonts w:ascii="Rockwell" w:hAnsi="Rockwell"/>
                <w:sz w:val="18"/>
                <w:szCs w:val="18"/>
              </w:rPr>
            </w:pPr>
          </w:p>
        </w:tc>
        <w:tc>
          <w:tcPr>
            <w:tcW w:w="2604" w:type="dxa"/>
            <w:gridSpan w:val="2"/>
          </w:tcPr>
          <w:p w:rsidR="00912504" w:rsidRPr="00422183" w:rsidRDefault="00912504" w:rsidP="003A0820">
            <w:pPr>
              <w:jc w:val="both"/>
              <w:rPr>
                <w:rFonts w:ascii="Rockwell" w:hAnsi="Rockwell"/>
                <w:sz w:val="18"/>
                <w:szCs w:val="18"/>
              </w:rPr>
            </w:pPr>
            <w:r w:rsidRPr="00422183">
              <w:rPr>
                <w:rFonts w:ascii="Rockwell" w:hAnsi="Rockwell"/>
                <w:sz w:val="18"/>
                <w:szCs w:val="18"/>
              </w:rPr>
              <w:t>Nombre moyen d</w:t>
            </w:r>
            <w:r w:rsidR="006C72DE" w:rsidRPr="00422183">
              <w:rPr>
                <w:rFonts w:ascii="Rockwell" w:hAnsi="Rockwell"/>
                <w:sz w:val="18"/>
                <w:szCs w:val="18"/>
              </w:rPr>
              <w:t>'</w:t>
            </w:r>
            <w:r w:rsidRPr="00422183">
              <w:rPr>
                <w:rFonts w:ascii="Rockwell" w:hAnsi="Rockwell"/>
                <w:sz w:val="18"/>
                <w:szCs w:val="18"/>
              </w:rPr>
              <w:t>emplois productifs créés par an (en milliers)</w:t>
            </w:r>
          </w:p>
        </w:tc>
        <w:tc>
          <w:tcPr>
            <w:tcW w:w="1362" w:type="dxa"/>
          </w:tcPr>
          <w:p w:rsidR="00912504" w:rsidRPr="00422183" w:rsidRDefault="00912504" w:rsidP="003A0820">
            <w:pPr>
              <w:jc w:val="both"/>
              <w:rPr>
                <w:rFonts w:ascii="Rockwell" w:hAnsi="Rockwell"/>
                <w:sz w:val="18"/>
                <w:szCs w:val="18"/>
              </w:rPr>
            </w:pPr>
            <w:r w:rsidRPr="00422183">
              <w:rPr>
                <w:rFonts w:ascii="Rockwell" w:hAnsi="Rockwell"/>
                <w:sz w:val="18"/>
                <w:szCs w:val="18"/>
              </w:rPr>
              <w:t>Enquête ménages</w:t>
            </w:r>
          </w:p>
        </w:tc>
        <w:tc>
          <w:tcPr>
            <w:tcW w:w="1381" w:type="dxa"/>
            <w:gridSpan w:val="3"/>
          </w:tcPr>
          <w:p w:rsidR="00912504" w:rsidRPr="00422183" w:rsidRDefault="00912504" w:rsidP="003A0820">
            <w:pPr>
              <w:jc w:val="both"/>
              <w:rPr>
                <w:rFonts w:ascii="Rockwell" w:hAnsi="Rockwell"/>
                <w:sz w:val="18"/>
                <w:szCs w:val="18"/>
              </w:rPr>
            </w:pPr>
            <w:r w:rsidRPr="00422183">
              <w:rPr>
                <w:rFonts w:ascii="Rockwell" w:hAnsi="Rockwell"/>
                <w:sz w:val="18"/>
                <w:szCs w:val="18"/>
              </w:rPr>
              <w:t>INSD</w:t>
            </w:r>
          </w:p>
        </w:tc>
        <w:tc>
          <w:tcPr>
            <w:tcW w:w="1174" w:type="dxa"/>
          </w:tcPr>
          <w:p w:rsidR="00912504" w:rsidRPr="00422183" w:rsidRDefault="00A36DF1" w:rsidP="00A36DF1">
            <w:pPr>
              <w:jc w:val="both"/>
              <w:rPr>
                <w:rFonts w:ascii="Rockwell" w:hAnsi="Rockwell"/>
                <w:sz w:val="18"/>
                <w:szCs w:val="18"/>
              </w:rPr>
            </w:pPr>
            <w:r w:rsidRPr="00422183">
              <w:rPr>
                <w:rFonts w:ascii="Rockwell" w:hAnsi="Rockwell"/>
                <w:sz w:val="18"/>
                <w:szCs w:val="18"/>
              </w:rPr>
              <w:t>53, 2</w:t>
            </w:r>
          </w:p>
        </w:tc>
        <w:tc>
          <w:tcPr>
            <w:tcW w:w="974" w:type="dxa"/>
          </w:tcPr>
          <w:p w:rsidR="00912504" w:rsidRPr="00422183" w:rsidRDefault="00912504" w:rsidP="003A0820">
            <w:pPr>
              <w:jc w:val="both"/>
              <w:rPr>
                <w:rFonts w:ascii="Rockwell" w:hAnsi="Rockwell"/>
                <w:sz w:val="18"/>
                <w:szCs w:val="18"/>
              </w:rPr>
            </w:pPr>
            <w:r w:rsidRPr="00422183">
              <w:rPr>
                <w:rFonts w:ascii="Rockwell" w:hAnsi="Rockwell"/>
                <w:sz w:val="18"/>
                <w:szCs w:val="18"/>
              </w:rPr>
              <w:t>80</w:t>
            </w:r>
          </w:p>
        </w:tc>
        <w:tc>
          <w:tcPr>
            <w:tcW w:w="870" w:type="dxa"/>
          </w:tcPr>
          <w:p w:rsidR="00912504" w:rsidRPr="00422183" w:rsidRDefault="00912504" w:rsidP="003A0820">
            <w:pPr>
              <w:jc w:val="both"/>
              <w:rPr>
                <w:rFonts w:ascii="Rockwell" w:hAnsi="Rockwell"/>
                <w:sz w:val="18"/>
                <w:szCs w:val="18"/>
              </w:rPr>
            </w:pPr>
            <w:r w:rsidRPr="00422183">
              <w:rPr>
                <w:rFonts w:ascii="Rockwell" w:hAnsi="Rockwell"/>
                <w:sz w:val="18"/>
                <w:szCs w:val="18"/>
              </w:rPr>
              <w:t>130</w:t>
            </w:r>
          </w:p>
        </w:tc>
        <w:tc>
          <w:tcPr>
            <w:tcW w:w="614" w:type="dxa"/>
          </w:tcPr>
          <w:p w:rsidR="00912504" w:rsidRPr="00422183" w:rsidRDefault="00912504" w:rsidP="003A0820">
            <w:pPr>
              <w:jc w:val="both"/>
              <w:rPr>
                <w:rFonts w:ascii="Rockwell" w:hAnsi="Rockwell"/>
                <w:sz w:val="18"/>
                <w:szCs w:val="18"/>
              </w:rPr>
            </w:pPr>
          </w:p>
        </w:tc>
        <w:tc>
          <w:tcPr>
            <w:tcW w:w="614" w:type="dxa"/>
          </w:tcPr>
          <w:p w:rsidR="00912504" w:rsidRPr="00422183" w:rsidRDefault="00912504" w:rsidP="003A0820">
            <w:pPr>
              <w:jc w:val="both"/>
              <w:rPr>
                <w:rFonts w:ascii="Rockwell" w:hAnsi="Rockwell"/>
                <w:sz w:val="18"/>
                <w:szCs w:val="18"/>
              </w:rPr>
            </w:pPr>
          </w:p>
        </w:tc>
        <w:tc>
          <w:tcPr>
            <w:tcW w:w="1049" w:type="dxa"/>
          </w:tcPr>
          <w:p w:rsidR="00912504" w:rsidRPr="00422183" w:rsidRDefault="00912504" w:rsidP="003A0820">
            <w:pPr>
              <w:jc w:val="both"/>
              <w:rPr>
                <w:rFonts w:ascii="Rockwell" w:hAnsi="Rockwell"/>
                <w:sz w:val="18"/>
                <w:szCs w:val="18"/>
              </w:rPr>
            </w:pPr>
          </w:p>
        </w:tc>
        <w:tc>
          <w:tcPr>
            <w:tcW w:w="1225" w:type="dxa"/>
          </w:tcPr>
          <w:p w:rsidR="00912504" w:rsidRPr="00422183" w:rsidRDefault="00912504" w:rsidP="003A0820">
            <w:pPr>
              <w:jc w:val="both"/>
              <w:rPr>
                <w:rFonts w:ascii="Rockwell" w:hAnsi="Rockwell"/>
                <w:sz w:val="18"/>
                <w:szCs w:val="18"/>
              </w:rPr>
            </w:pPr>
          </w:p>
        </w:tc>
        <w:tc>
          <w:tcPr>
            <w:tcW w:w="1211" w:type="dxa"/>
          </w:tcPr>
          <w:p w:rsidR="00912504" w:rsidRPr="00422183" w:rsidRDefault="00912504" w:rsidP="003A0820">
            <w:pPr>
              <w:jc w:val="both"/>
              <w:rPr>
                <w:rFonts w:ascii="Rockwell" w:hAnsi="Rockwell"/>
                <w:sz w:val="18"/>
                <w:szCs w:val="18"/>
              </w:rPr>
            </w:pPr>
          </w:p>
        </w:tc>
      </w:tr>
      <w:tr w:rsidR="003B6634" w:rsidRPr="00422183" w:rsidTr="00E8632D">
        <w:trPr>
          <w:trHeight w:val="192"/>
        </w:trPr>
        <w:tc>
          <w:tcPr>
            <w:tcW w:w="15499" w:type="dxa"/>
            <w:gridSpan w:val="16"/>
            <w:shd w:val="clear" w:color="auto" w:fill="D9D9D9" w:themeFill="background1" w:themeFillShade="D9"/>
          </w:tcPr>
          <w:p w:rsidR="003B6634" w:rsidRPr="00422183" w:rsidRDefault="003B6634" w:rsidP="003B6634">
            <w:pPr>
              <w:jc w:val="center"/>
              <w:rPr>
                <w:rFonts w:ascii="Rockwell" w:hAnsi="Rockwell"/>
                <w:b/>
                <w:sz w:val="22"/>
              </w:rPr>
            </w:pPr>
            <w:r w:rsidRPr="00422183">
              <w:rPr>
                <w:rFonts w:ascii="Rockwell" w:hAnsi="Rockwell"/>
                <w:b/>
                <w:sz w:val="22"/>
              </w:rPr>
              <w:t>EFFETS ATTENDUS</w:t>
            </w:r>
          </w:p>
        </w:tc>
      </w:tr>
      <w:tr w:rsidR="003B6634" w:rsidRPr="00422183" w:rsidTr="00E8632D">
        <w:trPr>
          <w:trHeight w:val="300"/>
          <w:tblHeader/>
        </w:trPr>
        <w:tc>
          <w:tcPr>
            <w:tcW w:w="2395" w:type="dxa"/>
            <w:vMerge w:val="restart"/>
            <w:shd w:val="clear" w:color="auto" w:fill="DBE5F1" w:themeFill="accent1" w:themeFillTint="33"/>
            <w:noWrap/>
            <w:hideMark/>
          </w:tcPr>
          <w:p w:rsidR="003B6634" w:rsidRPr="00422183" w:rsidRDefault="003B6634" w:rsidP="00D42A61">
            <w:pPr>
              <w:rPr>
                <w:rFonts w:ascii="Rockwell" w:hAnsi="Rockwell"/>
                <w:b/>
                <w:sz w:val="18"/>
              </w:rPr>
            </w:pPr>
            <w:r w:rsidRPr="00422183">
              <w:rPr>
                <w:rFonts w:ascii="Rockwell" w:hAnsi="Rockwell"/>
                <w:b/>
                <w:sz w:val="18"/>
              </w:rPr>
              <w:t>Effets attendus (EA)</w:t>
            </w:r>
          </w:p>
        </w:tc>
        <w:tc>
          <w:tcPr>
            <w:tcW w:w="2613" w:type="dxa"/>
            <w:gridSpan w:val="2"/>
            <w:vMerge w:val="restart"/>
            <w:shd w:val="clear" w:color="auto" w:fill="DBE5F1" w:themeFill="accent1" w:themeFillTint="33"/>
            <w:hideMark/>
          </w:tcPr>
          <w:p w:rsidR="003B6634" w:rsidRPr="00422183" w:rsidRDefault="003B6634" w:rsidP="00D42A61">
            <w:pPr>
              <w:rPr>
                <w:rFonts w:ascii="Rockwell" w:hAnsi="Rockwell"/>
                <w:b/>
                <w:sz w:val="18"/>
              </w:rPr>
            </w:pPr>
            <w:r w:rsidRPr="00422183">
              <w:rPr>
                <w:rFonts w:ascii="Rockwell" w:hAnsi="Rockwell"/>
                <w:b/>
                <w:sz w:val="18"/>
              </w:rPr>
              <w:t>Indicateurs d’effets</w:t>
            </w:r>
          </w:p>
        </w:tc>
        <w:tc>
          <w:tcPr>
            <w:tcW w:w="1387" w:type="dxa"/>
            <w:gridSpan w:val="3"/>
            <w:vMerge w:val="restart"/>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Source de l’indicateur</w:t>
            </w:r>
          </w:p>
        </w:tc>
        <w:tc>
          <w:tcPr>
            <w:tcW w:w="1360" w:type="dxa"/>
            <w:vMerge w:val="restart"/>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Structure responsable</w:t>
            </w:r>
          </w:p>
        </w:tc>
        <w:tc>
          <w:tcPr>
            <w:tcW w:w="1187" w:type="dxa"/>
            <w:gridSpan w:val="2"/>
            <w:vMerge w:val="restart"/>
            <w:shd w:val="clear" w:color="auto" w:fill="DBE5F1" w:themeFill="accent1" w:themeFillTint="33"/>
            <w:noWrap/>
            <w:hideMark/>
          </w:tcPr>
          <w:p w:rsidR="003B6634" w:rsidRPr="00422183" w:rsidRDefault="003B6634" w:rsidP="00D42A61">
            <w:pPr>
              <w:rPr>
                <w:rFonts w:ascii="Rockwell" w:hAnsi="Rockwell"/>
                <w:b/>
                <w:sz w:val="18"/>
              </w:rPr>
            </w:pPr>
            <w:r w:rsidRPr="00422183">
              <w:rPr>
                <w:rFonts w:ascii="Rockwell" w:hAnsi="Rockwell"/>
                <w:b/>
                <w:sz w:val="18"/>
              </w:rPr>
              <w:t xml:space="preserve">Réf. </w:t>
            </w:r>
          </w:p>
          <w:p w:rsidR="003B6634" w:rsidRPr="00422183" w:rsidRDefault="003B6634" w:rsidP="00D42A61">
            <w:pPr>
              <w:rPr>
                <w:rFonts w:ascii="Rockwell" w:hAnsi="Rockwell"/>
                <w:b/>
                <w:sz w:val="18"/>
              </w:rPr>
            </w:pPr>
            <w:r w:rsidRPr="00422183">
              <w:rPr>
                <w:rFonts w:ascii="Rockwell" w:hAnsi="Rockwell"/>
                <w:b/>
                <w:sz w:val="18"/>
              </w:rPr>
              <w:t>(année )</w:t>
            </w:r>
          </w:p>
        </w:tc>
        <w:tc>
          <w:tcPr>
            <w:tcW w:w="1844" w:type="dxa"/>
            <w:gridSpan w:val="2"/>
            <w:shd w:val="clear" w:color="auto" w:fill="DBE5F1" w:themeFill="accent1" w:themeFillTint="33"/>
            <w:noWrap/>
            <w:hideMark/>
          </w:tcPr>
          <w:p w:rsidR="003B6634" w:rsidRPr="00422183" w:rsidRDefault="003B6634" w:rsidP="00D42A61">
            <w:pPr>
              <w:rPr>
                <w:rFonts w:ascii="Rockwell" w:hAnsi="Rockwell"/>
                <w:b/>
                <w:sz w:val="18"/>
              </w:rPr>
            </w:pPr>
            <w:r w:rsidRPr="00422183">
              <w:rPr>
                <w:rFonts w:ascii="Rockwell" w:hAnsi="Rockwell"/>
                <w:b/>
                <w:sz w:val="18"/>
              </w:rPr>
              <w:t xml:space="preserve">Cibles </w:t>
            </w:r>
          </w:p>
          <w:p w:rsidR="003B6634" w:rsidRPr="00422183" w:rsidRDefault="003B6634" w:rsidP="00D42A61">
            <w:pPr>
              <w:rPr>
                <w:rFonts w:ascii="Rockwell" w:hAnsi="Rockwell"/>
                <w:b/>
                <w:sz w:val="18"/>
              </w:rPr>
            </w:pPr>
            <w:r w:rsidRPr="00422183">
              <w:rPr>
                <w:rFonts w:ascii="Rockwell" w:hAnsi="Rockwell"/>
                <w:b/>
                <w:sz w:val="18"/>
              </w:rPr>
              <w:t xml:space="preserve"> </w:t>
            </w:r>
          </w:p>
        </w:tc>
        <w:tc>
          <w:tcPr>
            <w:tcW w:w="1228" w:type="dxa"/>
            <w:gridSpan w:val="2"/>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Résultats obtenus</w:t>
            </w:r>
          </w:p>
        </w:tc>
        <w:tc>
          <w:tcPr>
            <w:tcW w:w="1049" w:type="dxa"/>
            <w:vMerge w:val="restart"/>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Ecarts constatés</w:t>
            </w:r>
          </w:p>
        </w:tc>
        <w:tc>
          <w:tcPr>
            <w:tcW w:w="1225" w:type="dxa"/>
            <w:vMerge w:val="restart"/>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 xml:space="preserve">Explication des écarts </w:t>
            </w:r>
          </w:p>
        </w:tc>
        <w:tc>
          <w:tcPr>
            <w:tcW w:w="1211" w:type="dxa"/>
            <w:vMerge w:val="restart"/>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Leçons tirées et mesures correctives</w:t>
            </w:r>
          </w:p>
        </w:tc>
      </w:tr>
      <w:tr w:rsidR="003B6634" w:rsidRPr="00422183" w:rsidTr="00E8632D">
        <w:trPr>
          <w:trHeight w:val="300"/>
          <w:tblHeader/>
        </w:trPr>
        <w:tc>
          <w:tcPr>
            <w:tcW w:w="2395" w:type="dxa"/>
            <w:vMerge/>
            <w:shd w:val="clear" w:color="auto" w:fill="DBE5F1" w:themeFill="accent1" w:themeFillTint="33"/>
            <w:noWrap/>
          </w:tcPr>
          <w:p w:rsidR="003B6634" w:rsidRPr="00422183" w:rsidRDefault="003B6634" w:rsidP="00D42A61">
            <w:pPr>
              <w:rPr>
                <w:rFonts w:ascii="Rockwell" w:hAnsi="Rockwell"/>
                <w:b/>
                <w:sz w:val="18"/>
              </w:rPr>
            </w:pPr>
          </w:p>
        </w:tc>
        <w:tc>
          <w:tcPr>
            <w:tcW w:w="2613" w:type="dxa"/>
            <w:gridSpan w:val="2"/>
            <w:vMerge/>
            <w:shd w:val="clear" w:color="auto" w:fill="DBE5F1" w:themeFill="accent1" w:themeFillTint="33"/>
          </w:tcPr>
          <w:p w:rsidR="003B6634" w:rsidRPr="00422183" w:rsidRDefault="003B6634" w:rsidP="00D42A61">
            <w:pPr>
              <w:rPr>
                <w:rFonts w:ascii="Rockwell" w:hAnsi="Rockwell"/>
                <w:b/>
                <w:sz w:val="18"/>
              </w:rPr>
            </w:pPr>
          </w:p>
        </w:tc>
        <w:tc>
          <w:tcPr>
            <w:tcW w:w="1387" w:type="dxa"/>
            <w:gridSpan w:val="3"/>
            <w:vMerge/>
            <w:shd w:val="clear" w:color="auto" w:fill="DBE5F1" w:themeFill="accent1" w:themeFillTint="33"/>
          </w:tcPr>
          <w:p w:rsidR="003B6634" w:rsidRPr="00422183" w:rsidRDefault="003B6634" w:rsidP="00D42A61">
            <w:pPr>
              <w:rPr>
                <w:rFonts w:ascii="Rockwell" w:hAnsi="Rockwell"/>
                <w:b/>
                <w:sz w:val="18"/>
              </w:rPr>
            </w:pPr>
          </w:p>
        </w:tc>
        <w:tc>
          <w:tcPr>
            <w:tcW w:w="1360" w:type="dxa"/>
            <w:vMerge/>
            <w:shd w:val="clear" w:color="auto" w:fill="DBE5F1" w:themeFill="accent1" w:themeFillTint="33"/>
          </w:tcPr>
          <w:p w:rsidR="003B6634" w:rsidRPr="00422183" w:rsidRDefault="003B6634" w:rsidP="00D42A61">
            <w:pPr>
              <w:rPr>
                <w:rFonts w:ascii="Rockwell" w:hAnsi="Rockwell"/>
                <w:b/>
                <w:sz w:val="18"/>
              </w:rPr>
            </w:pPr>
          </w:p>
        </w:tc>
        <w:tc>
          <w:tcPr>
            <w:tcW w:w="1187" w:type="dxa"/>
            <w:gridSpan w:val="2"/>
            <w:vMerge/>
            <w:shd w:val="clear" w:color="auto" w:fill="DBE5F1" w:themeFill="accent1" w:themeFillTint="33"/>
            <w:noWrap/>
          </w:tcPr>
          <w:p w:rsidR="003B6634" w:rsidRPr="00422183" w:rsidRDefault="003B6634" w:rsidP="00D42A61">
            <w:pPr>
              <w:rPr>
                <w:rFonts w:ascii="Rockwell" w:hAnsi="Rockwell"/>
                <w:b/>
                <w:sz w:val="18"/>
              </w:rPr>
            </w:pPr>
          </w:p>
        </w:tc>
        <w:tc>
          <w:tcPr>
            <w:tcW w:w="974" w:type="dxa"/>
            <w:shd w:val="clear" w:color="auto" w:fill="DBE5F1" w:themeFill="accent1" w:themeFillTint="33"/>
            <w:noWrap/>
          </w:tcPr>
          <w:p w:rsidR="003B6634" w:rsidRPr="00422183" w:rsidRDefault="003B6634" w:rsidP="00D42A61">
            <w:pPr>
              <w:rPr>
                <w:rFonts w:ascii="Rockwell" w:hAnsi="Rockwell"/>
                <w:b/>
                <w:sz w:val="18"/>
              </w:rPr>
            </w:pPr>
            <w:r w:rsidRPr="00422183">
              <w:rPr>
                <w:rFonts w:ascii="Rockwell" w:hAnsi="Rockwell"/>
                <w:b/>
                <w:sz w:val="18"/>
              </w:rPr>
              <w:t>2018</w:t>
            </w:r>
          </w:p>
        </w:tc>
        <w:tc>
          <w:tcPr>
            <w:tcW w:w="870" w:type="dxa"/>
            <w:shd w:val="clear" w:color="auto" w:fill="DBE5F1" w:themeFill="accent1" w:themeFillTint="33"/>
            <w:noWrap/>
          </w:tcPr>
          <w:p w:rsidR="003B6634" w:rsidRPr="00422183" w:rsidRDefault="003B6634" w:rsidP="00D42A61">
            <w:pPr>
              <w:rPr>
                <w:rFonts w:ascii="Rockwell" w:hAnsi="Rockwell"/>
                <w:b/>
                <w:sz w:val="18"/>
              </w:rPr>
            </w:pPr>
            <w:r w:rsidRPr="00422183">
              <w:rPr>
                <w:rFonts w:ascii="Rockwell" w:hAnsi="Rockwell"/>
                <w:b/>
                <w:sz w:val="18"/>
              </w:rPr>
              <w:t>2020</w:t>
            </w:r>
          </w:p>
        </w:tc>
        <w:tc>
          <w:tcPr>
            <w:tcW w:w="614" w:type="dxa"/>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2018</w:t>
            </w:r>
          </w:p>
        </w:tc>
        <w:tc>
          <w:tcPr>
            <w:tcW w:w="614" w:type="dxa"/>
            <w:shd w:val="clear" w:color="auto" w:fill="DBE5F1" w:themeFill="accent1" w:themeFillTint="33"/>
          </w:tcPr>
          <w:p w:rsidR="003B6634" w:rsidRPr="00422183" w:rsidRDefault="003B6634" w:rsidP="00D42A61">
            <w:pPr>
              <w:rPr>
                <w:rFonts w:ascii="Rockwell" w:hAnsi="Rockwell"/>
                <w:b/>
                <w:sz w:val="18"/>
              </w:rPr>
            </w:pPr>
            <w:r w:rsidRPr="00422183">
              <w:rPr>
                <w:rFonts w:ascii="Rockwell" w:hAnsi="Rockwell"/>
                <w:b/>
                <w:sz w:val="18"/>
              </w:rPr>
              <w:t>2020</w:t>
            </w:r>
          </w:p>
        </w:tc>
        <w:tc>
          <w:tcPr>
            <w:tcW w:w="1049" w:type="dxa"/>
            <w:vMerge/>
            <w:shd w:val="clear" w:color="auto" w:fill="DBE5F1" w:themeFill="accent1" w:themeFillTint="33"/>
          </w:tcPr>
          <w:p w:rsidR="003B6634" w:rsidRPr="00422183" w:rsidRDefault="003B6634" w:rsidP="00D42A61">
            <w:pPr>
              <w:rPr>
                <w:rFonts w:ascii="Rockwell" w:hAnsi="Rockwell"/>
                <w:b/>
                <w:sz w:val="18"/>
              </w:rPr>
            </w:pPr>
          </w:p>
        </w:tc>
        <w:tc>
          <w:tcPr>
            <w:tcW w:w="1225" w:type="dxa"/>
            <w:vMerge/>
            <w:shd w:val="clear" w:color="auto" w:fill="DBE5F1" w:themeFill="accent1" w:themeFillTint="33"/>
          </w:tcPr>
          <w:p w:rsidR="003B6634" w:rsidRPr="00422183" w:rsidRDefault="003B6634" w:rsidP="00D42A61">
            <w:pPr>
              <w:rPr>
                <w:rFonts w:ascii="Rockwell" w:hAnsi="Rockwell"/>
                <w:b/>
                <w:sz w:val="18"/>
              </w:rPr>
            </w:pPr>
          </w:p>
        </w:tc>
        <w:tc>
          <w:tcPr>
            <w:tcW w:w="1211" w:type="dxa"/>
            <w:vMerge/>
            <w:shd w:val="clear" w:color="auto" w:fill="DBE5F1" w:themeFill="accent1" w:themeFillTint="33"/>
          </w:tcPr>
          <w:p w:rsidR="003B6634" w:rsidRPr="00422183" w:rsidRDefault="003B6634" w:rsidP="00D42A61">
            <w:pPr>
              <w:rPr>
                <w:rFonts w:ascii="Rockwell" w:hAnsi="Rockwell"/>
                <w:b/>
                <w:sz w:val="18"/>
              </w:rPr>
            </w:pPr>
          </w:p>
        </w:tc>
      </w:tr>
      <w:tr w:rsidR="003B6634" w:rsidRPr="00422183" w:rsidTr="00E8632D">
        <w:trPr>
          <w:trHeight w:val="300"/>
        </w:trPr>
        <w:tc>
          <w:tcPr>
            <w:tcW w:w="2395" w:type="dxa"/>
            <w:vMerge w:val="restart"/>
            <w:noWrap/>
            <w:hideMark/>
          </w:tcPr>
          <w:p w:rsidR="003B6634" w:rsidRPr="00422183" w:rsidRDefault="003B6634" w:rsidP="00D42A61">
            <w:pPr>
              <w:rPr>
                <w:rFonts w:ascii="Rockwell" w:hAnsi="Rockwell"/>
                <w:sz w:val="18"/>
              </w:rPr>
            </w:pPr>
            <w:r w:rsidRPr="00422183">
              <w:rPr>
                <w:rFonts w:ascii="Rockwell" w:hAnsi="Rockwell"/>
                <w:sz w:val="18"/>
              </w:rPr>
              <w:t>EA 1.1.1 La démocratie, la paix, la sécurité, les droits humains et la justice sont renforcées</w:t>
            </w: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Qualité globale des institutions nationales (CPIA)</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szCs w:val="18"/>
              </w:rPr>
              <w:t>SP/PNDES</w:t>
            </w:r>
          </w:p>
        </w:tc>
        <w:tc>
          <w:tcPr>
            <w:tcW w:w="1187" w:type="dxa"/>
            <w:gridSpan w:val="2"/>
            <w:noWrap/>
            <w:hideMark/>
          </w:tcPr>
          <w:p w:rsidR="003B6634" w:rsidRPr="00422183" w:rsidRDefault="003B6634" w:rsidP="00D42A61">
            <w:pPr>
              <w:rPr>
                <w:rFonts w:ascii="Rockwell" w:hAnsi="Rockwell"/>
                <w:sz w:val="18"/>
              </w:rPr>
            </w:pPr>
            <w:r w:rsidRPr="00422183">
              <w:rPr>
                <w:rFonts w:ascii="Rockwell" w:hAnsi="Rockwell"/>
                <w:sz w:val="18"/>
              </w:rPr>
              <w:t>4,11</w:t>
            </w:r>
          </w:p>
        </w:tc>
        <w:tc>
          <w:tcPr>
            <w:tcW w:w="974" w:type="dxa"/>
            <w:noWrap/>
            <w:hideMark/>
          </w:tcPr>
          <w:p w:rsidR="003B6634" w:rsidRPr="00422183" w:rsidRDefault="003B6634" w:rsidP="00D42A61">
            <w:pPr>
              <w:rPr>
                <w:rFonts w:ascii="Rockwell" w:hAnsi="Rockwell"/>
                <w:sz w:val="18"/>
              </w:rPr>
            </w:pPr>
            <w:r w:rsidRPr="00422183">
              <w:rPr>
                <w:rFonts w:ascii="Rockwell" w:hAnsi="Rockwell"/>
                <w:sz w:val="18"/>
              </w:rPr>
              <w:t>4,5</w:t>
            </w:r>
          </w:p>
        </w:tc>
        <w:tc>
          <w:tcPr>
            <w:tcW w:w="870" w:type="dxa"/>
            <w:noWrap/>
            <w:hideMark/>
          </w:tcPr>
          <w:p w:rsidR="003B6634" w:rsidRPr="00422183" w:rsidRDefault="003B6634" w:rsidP="00D42A61">
            <w:pPr>
              <w:rPr>
                <w:rFonts w:ascii="Rockwell" w:hAnsi="Rockwell"/>
                <w:sz w:val="18"/>
              </w:rPr>
            </w:pPr>
            <w:r w:rsidRPr="00422183">
              <w:rPr>
                <w:rFonts w:ascii="Rockwell" w:hAnsi="Rockwell"/>
                <w:sz w:val="18"/>
              </w:rPr>
              <w:t>4,8</w:t>
            </w: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600"/>
        </w:trPr>
        <w:tc>
          <w:tcPr>
            <w:tcW w:w="2395" w:type="dxa"/>
            <w:vMerge/>
            <w:noWrap/>
            <w:hideMark/>
          </w:tcPr>
          <w:p w:rsidR="003B6634" w:rsidRPr="00422183" w:rsidRDefault="003B6634" w:rsidP="00D42A61">
            <w:pPr>
              <w:rPr>
                <w:rFonts w:ascii="Rockwell" w:hAnsi="Rockwell"/>
                <w:sz w:val="18"/>
              </w:rPr>
            </w:pP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 xml:space="preserve">Taux de mise en œuvre des recommandations de l’examen périodique universel </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rPr>
              <w:t>MJDHPC</w:t>
            </w:r>
          </w:p>
        </w:tc>
        <w:tc>
          <w:tcPr>
            <w:tcW w:w="1187" w:type="dxa"/>
            <w:gridSpan w:val="2"/>
            <w:noWrap/>
            <w:hideMark/>
          </w:tcPr>
          <w:p w:rsidR="003B6634" w:rsidRPr="00422183" w:rsidRDefault="003B6634" w:rsidP="00D42A61">
            <w:pPr>
              <w:rPr>
                <w:rFonts w:ascii="Rockwell" w:hAnsi="Rockwell"/>
                <w:sz w:val="18"/>
              </w:rPr>
            </w:pPr>
            <w:r w:rsidRPr="00422183">
              <w:rPr>
                <w:rFonts w:ascii="Rockwell" w:hAnsi="Rockwell"/>
                <w:sz w:val="18"/>
              </w:rPr>
              <w:t>35%</w:t>
            </w:r>
          </w:p>
        </w:tc>
        <w:tc>
          <w:tcPr>
            <w:tcW w:w="974" w:type="dxa"/>
            <w:noWrap/>
            <w:hideMark/>
          </w:tcPr>
          <w:p w:rsidR="003B6634" w:rsidRPr="00422183" w:rsidRDefault="003B6634" w:rsidP="00D42A61">
            <w:pPr>
              <w:rPr>
                <w:rFonts w:ascii="Rockwell" w:hAnsi="Rockwell"/>
                <w:sz w:val="18"/>
              </w:rPr>
            </w:pPr>
            <w:r w:rsidRPr="00422183">
              <w:rPr>
                <w:rFonts w:ascii="Rockwell" w:hAnsi="Rockwell"/>
                <w:sz w:val="18"/>
              </w:rPr>
              <w:t>15%</w:t>
            </w:r>
          </w:p>
        </w:tc>
        <w:tc>
          <w:tcPr>
            <w:tcW w:w="870" w:type="dxa"/>
            <w:noWrap/>
            <w:hideMark/>
          </w:tcPr>
          <w:p w:rsidR="003B6634" w:rsidRPr="00422183" w:rsidRDefault="00F76D7F" w:rsidP="00D42A61">
            <w:pPr>
              <w:rPr>
                <w:rFonts w:ascii="Rockwell" w:hAnsi="Rockwell"/>
                <w:sz w:val="18"/>
              </w:rPr>
            </w:pPr>
            <w:r w:rsidRPr="00422183">
              <w:rPr>
                <w:rFonts w:ascii="Rockwell" w:hAnsi="Rockwell"/>
                <w:sz w:val="18"/>
              </w:rPr>
              <w:t>45%</w:t>
            </w: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600"/>
        </w:trPr>
        <w:tc>
          <w:tcPr>
            <w:tcW w:w="2395" w:type="dxa"/>
            <w:vMerge/>
            <w:noWrap/>
            <w:hideMark/>
          </w:tcPr>
          <w:p w:rsidR="003B6634" w:rsidRPr="00422183" w:rsidRDefault="003B6634" w:rsidP="00D42A61">
            <w:pPr>
              <w:rPr>
                <w:rFonts w:ascii="Rockwell" w:hAnsi="Rockwell"/>
                <w:sz w:val="18"/>
              </w:rPr>
            </w:pP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Nombre de cas de conflits sociaux constatés (MATDSI)</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rPr>
              <w:t>MATDSI</w:t>
            </w:r>
          </w:p>
        </w:tc>
        <w:tc>
          <w:tcPr>
            <w:tcW w:w="1187" w:type="dxa"/>
            <w:gridSpan w:val="2"/>
            <w:noWrap/>
            <w:hideMark/>
          </w:tcPr>
          <w:p w:rsidR="003B6634" w:rsidRPr="00422183" w:rsidRDefault="003B6634" w:rsidP="00D42A61">
            <w:pPr>
              <w:rPr>
                <w:rFonts w:ascii="Rockwell" w:hAnsi="Rockwell"/>
                <w:sz w:val="18"/>
              </w:rPr>
            </w:pPr>
          </w:p>
        </w:tc>
        <w:tc>
          <w:tcPr>
            <w:tcW w:w="974" w:type="dxa"/>
            <w:noWrap/>
            <w:hideMark/>
          </w:tcPr>
          <w:p w:rsidR="003B6634" w:rsidRPr="00422183" w:rsidRDefault="003B6634" w:rsidP="00D42A61">
            <w:pPr>
              <w:rPr>
                <w:rFonts w:ascii="Rockwell" w:hAnsi="Rockwell"/>
                <w:sz w:val="18"/>
              </w:rPr>
            </w:pPr>
          </w:p>
        </w:tc>
        <w:tc>
          <w:tcPr>
            <w:tcW w:w="870" w:type="dxa"/>
            <w:noWrap/>
            <w:hideMark/>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600"/>
        </w:trPr>
        <w:tc>
          <w:tcPr>
            <w:tcW w:w="2395" w:type="dxa"/>
            <w:vMerge/>
            <w:noWrap/>
            <w:hideMark/>
          </w:tcPr>
          <w:p w:rsidR="003B6634" w:rsidRPr="00422183" w:rsidRDefault="003B6634" w:rsidP="00D42A61">
            <w:pPr>
              <w:rPr>
                <w:rFonts w:ascii="Rockwell" w:hAnsi="Rockwell"/>
                <w:sz w:val="18"/>
              </w:rPr>
            </w:pP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Rayon moyen d’accès à un tribunal de grande instance</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rPr>
              <w:t>MJDHPC</w:t>
            </w:r>
          </w:p>
        </w:tc>
        <w:tc>
          <w:tcPr>
            <w:tcW w:w="1187" w:type="dxa"/>
            <w:gridSpan w:val="2"/>
            <w:noWrap/>
            <w:hideMark/>
          </w:tcPr>
          <w:p w:rsidR="003B6634" w:rsidRPr="00422183" w:rsidRDefault="003B6634" w:rsidP="00D42A61">
            <w:pPr>
              <w:rPr>
                <w:rFonts w:ascii="Rockwell" w:hAnsi="Rockwell"/>
                <w:sz w:val="18"/>
              </w:rPr>
            </w:pPr>
          </w:p>
        </w:tc>
        <w:tc>
          <w:tcPr>
            <w:tcW w:w="974" w:type="dxa"/>
            <w:noWrap/>
            <w:hideMark/>
          </w:tcPr>
          <w:p w:rsidR="003B6634" w:rsidRPr="00422183" w:rsidRDefault="003B6634" w:rsidP="00D42A61">
            <w:pPr>
              <w:rPr>
                <w:rFonts w:ascii="Rockwell" w:hAnsi="Rockwell"/>
                <w:sz w:val="18"/>
              </w:rPr>
            </w:pPr>
          </w:p>
        </w:tc>
        <w:tc>
          <w:tcPr>
            <w:tcW w:w="870" w:type="dxa"/>
            <w:noWrap/>
            <w:hideMark/>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F76D7F" w:rsidRPr="00422183" w:rsidTr="00E8632D">
        <w:trPr>
          <w:trHeight w:val="600"/>
        </w:trPr>
        <w:tc>
          <w:tcPr>
            <w:tcW w:w="2395" w:type="dxa"/>
            <w:vMerge/>
            <w:noWrap/>
          </w:tcPr>
          <w:p w:rsidR="00F76D7F" w:rsidRPr="00422183" w:rsidRDefault="00F76D7F" w:rsidP="00D42A61">
            <w:pPr>
              <w:rPr>
                <w:rFonts w:ascii="Rockwell" w:hAnsi="Rockwell"/>
                <w:sz w:val="18"/>
              </w:rPr>
            </w:pPr>
          </w:p>
        </w:tc>
        <w:tc>
          <w:tcPr>
            <w:tcW w:w="2613" w:type="dxa"/>
            <w:gridSpan w:val="2"/>
          </w:tcPr>
          <w:p w:rsidR="00F76D7F" w:rsidRPr="00422183" w:rsidRDefault="00F76D7F" w:rsidP="00D42A61">
            <w:pPr>
              <w:rPr>
                <w:rFonts w:ascii="Rockwell" w:hAnsi="Rockwell"/>
                <w:sz w:val="18"/>
              </w:rPr>
            </w:pPr>
            <w:r w:rsidRPr="00422183">
              <w:rPr>
                <w:rFonts w:ascii="Rockwell" w:hAnsi="Rockwell"/>
                <w:sz w:val="18"/>
              </w:rPr>
              <w:t xml:space="preserve">Durée moyenne de prise des actes </w:t>
            </w:r>
            <w:r w:rsidR="008E5F5D" w:rsidRPr="00422183">
              <w:rPr>
                <w:rFonts w:ascii="Rockwell" w:hAnsi="Rockwell"/>
                <w:sz w:val="18"/>
              </w:rPr>
              <w:t>de gestion des carrières dans l’administration publique</w:t>
            </w:r>
          </w:p>
        </w:tc>
        <w:tc>
          <w:tcPr>
            <w:tcW w:w="1387" w:type="dxa"/>
            <w:gridSpan w:val="3"/>
          </w:tcPr>
          <w:p w:rsidR="00F76D7F" w:rsidRPr="00422183" w:rsidRDefault="008E5F5D" w:rsidP="00D42A61">
            <w:pPr>
              <w:rPr>
                <w:rFonts w:ascii="Rockwell" w:hAnsi="Rockwell"/>
                <w:sz w:val="18"/>
              </w:rPr>
            </w:pPr>
            <w:r w:rsidRPr="00422183">
              <w:rPr>
                <w:rFonts w:ascii="Rockwell" w:hAnsi="Rockwell"/>
                <w:sz w:val="18"/>
              </w:rPr>
              <w:t>Rapport du secteur concerné</w:t>
            </w:r>
          </w:p>
        </w:tc>
        <w:tc>
          <w:tcPr>
            <w:tcW w:w="1360" w:type="dxa"/>
          </w:tcPr>
          <w:p w:rsidR="00F76D7F" w:rsidRPr="00422183" w:rsidRDefault="008E5F5D" w:rsidP="008E5F5D">
            <w:pPr>
              <w:rPr>
                <w:rFonts w:ascii="Rockwell" w:hAnsi="Rockwell"/>
                <w:sz w:val="18"/>
              </w:rPr>
            </w:pPr>
            <w:r w:rsidRPr="00422183">
              <w:rPr>
                <w:rFonts w:ascii="Rockwell" w:hAnsi="Rockwell"/>
                <w:sz w:val="18"/>
              </w:rPr>
              <w:t>MFPTPS</w:t>
            </w:r>
          </w:p>
        </w:tc>
        <w:tc>
          <w:tcPr>
            <w:tcW w:w="1187" w:type="dxa"/>
            <w:gridSpan w:val="2"/>
            <w:noWrap/>
          </w:tcPr>
          <w:p w:rsidR="00F76D7F" w:rsidRPr="00422183" w:rsidRDefault="00F76D7F" w:rsidP="00D42A61">
            <w:pPr>
              <w:rPr>
                <w:rFonts w:ascii="Rockwell" w:hAnsi="Rockwell"/>
                <w:sz w:val="18"/>
              </w:rPr>
            </w:pPr>
          </w:p>
        </w:tc>
        <w:tc>
          <w:tcPr>
            <w:tcW w:w="974" w:type="dxa"/>
            <w:noWrap/>
          </w:tcPr>
          <w:p w:rsidR="00F76D7F" w:rsidRPr="00422183" w:rsidRDefault="00F76D7F" w:rsidP="00D42A61">
            <w:pPr>
              <w:rPr>
                <w:rFonts w:ascii="Rockwell" w:hAnsi="Rockwell"/>
                <w:sz w:val="18"/>
              </w:rPr>
            </w:pPr>
          </w:p>
        </w:tc>
        <w:tc>
          <w:tcPr>
            <w:tcW w:w="870" w:type="dxa"/>
            <w:noWrap/>
          </w:tcPr>
          <w:p w:rsidR="00F76D7F" w:rsidRPr="00422183" w:rsidRDefault="00F76D7F" w:rsidP="00D42A61">
            <w:pPr>
              <w:rPr>
                <w:rFonts w:ascii="Rockwell" w:hAnsi="Rockwell"/>
                <w:sz w:val="18"/>
              </w:rPr>
            </w:pPr>
          </w:p>
        </w:tc>
        <w:tc>
          <w:tcPr>
            <w:tcW w:w="614" w:type="dxa"/>
          </w:tcPr>
          <w:p w:rsidR="00F76D7F" w:rsidRPr="00422183" w:rsidRDefault="00F76D7F" w:rsidP="00D42A61">
            <w:pPr>
              <w:rPr>
                <w:rFonts w:ascii="Rockwell" w:hAnsi="Rockwell"/>
                <w:sz w:val="18"/>
              </w:rPr>
            </w:pPr>
          </w:p>
        </w:tc>
        <w:tc>
          <w:tcPr>
            <w:tcW w:w="614" w:type="dxa"/>
          </w:tcPr>
          <w:p w:rsidR="00F76D7F" w:rsidRPr="00422183" w:rsidRDefault="00F76D7F" w:rsidP="00D42A61">
            <w:pPr>
              <w:rPr>
                <w:rFonts w:ascii="Rockwell" w:hAnsi="Rockwell"/>
                <w:sz w:val="18"/>
              </w:rPr>
            </w:pPr>
          </w:p>
        </w:tc>
        <w:tc>
          <w:tcPr>
            <w:tcW w:w="1049" w:type="dxa"/>
          </w:tcPr>
          <w:p w:rsidR="00F76D7F" w:rsidRPr="00422183" w:rsidRDefault="00F76D7F" w:rsidP="00D42A61">
            <w:pPr>
              <w:rPr>
                <w:rFonts w:ascii="Rockwell" w:hAnsi="Rockwell"/>
                <w:sz w:val="18"/>
              </w:rPr>
            </w:pPr>
          </w:p>
        </w:tc>
        <w:tc>
          <w:tcPr>
            <w:tcW w:w="1225" w:type="dxa"/>
          </w:tcPr>
          <w:p w:rsidR="00F76D7F" w:rsidRPr="00422183" w:rsidRDefault="00F76D7F" w:rsidP="00D42A61">
            <w:pPr>
              <w:rPr>
                <w:rFonts w:ascii="Rockwell" w:hAnsi="Rockwell"/>
                <w:sz w:val="18"/>
              </w:rPr>
            </w:pPr>
          </w:p>
        </w:tc>
        <w:tc>
          <w:tcPr>
            <w:tcW w:w="1211" w:type="dxa"/>
          </w:tcPr>
          <w:p w:rsidR="00F76D7F" w:rsidRPr="00422183" w:rsidRDefault="00F76D7F" w:rsidP="00D42A61">
            <w:pPr>
              <w:rPr>
                <w:rFonts w:ascii="Rockwell" w:hAnsi="Rockwell"/>
                <w:sz w:val="18"/>
              </w:rPr>
            </w:pPr>
          </w:p>
        </w:tc>
      </w:tr>
      <w:tr w:rsidR="008E5F5D" w:rsidRPr="00422183" w:rsidTr="00E8632D">
        <w:trPr>
          <w:trHeight w:val="600"/>
        </w:trPr>
        <w:tc>
          <w:tcPr>
            <w:tcW w:w="2395" w:type="dxa"/>
            <w:vMerge/>
            <w:noWrap/>
          </w:tcPr>
          <w:p w:rsidR="008E5F5D" w:rsidRPr="00422183" w:rsidRDefault="008E5F5D" w:rsidP="00D42A61">
            <w:pPr>
              <w:rPr>
                <w:rFonts w:ascii="Rockwell" w:hAnsi="Rockwell"/>
                <w:sz w:val="18"/>
              </w:rPr>
            </w:pPr>
          </w:p>
        </w:tc>
        <w:tc>
          <w:tcPr>
            <w:tcW w:w="2613" w:type="dxa"/>
            <w:gridSpan w:val="2"/>
          </w:tcPr>
          <w:p w:rsidR="008E5F5D" w:rsidRPr="00422183" w:rsidRDefault="008E5F5D" w:rsidP="00D42A61">
            <w:pPr>
              <w:rPr>
                <w:rFonts w:ascii="Rockwell" w:hAnsi="Rockwell"/>
                <w:sz w:val="18"/>
              </w:rPr>
            </w:pPr>
            <w:r w:rsidRPr="00422183">
              <w:rPr>
                <w:rFonts w:ascii="Rockwell" w:hAnsi="Rockwell"/>
                <w:sz w:val="18"/>
              </w:rPr>
              <w:t>Rayon moyen à un tribunal de grande instance</w:t>
            </w:r>
          </w:p>
        </w:tc>
        <w:tc>
          <w:tcPr>
            <w:tcW w:w="1387" w:type="dxa"/>
            <w:gridSpan w:val="3"/>
          </w:tcPr>
          <w:p w:rsidR="008E5F5D" w:rsidRPr="00422183" w:rsidRDefault="008E5F5D" w:rsidP="00D42A61">
            <w:pPr>
              <w:rPr>
                <w:rFonts w:ascii="Rockwell" w:hAnsi="Rockwell"/>
                <w:sz w:val="18"/>
              </w:rPr>
            </w:pPr>
            <w:r w:rsidRPr="00422183">
              <w:rPr>
                <w:rFonts w:ascii="Rockwell" w:hAnsi="Rockwell"/>
                <w:sz w:val="18"/>
              </w:rPr>
              <w:t>Rapport du secteur concerné</w:t>
            </w:r>
          </w:p>
        </w:tc>
        <w:tc>
          <w:tcPr>
            <w:tcW w:w="1360" w:type="dxa"/>
          </w:tcPr>
          <w:p w:rsidR="008E5F5D" w:rsidRPr="00422183" w:rsidRDefault="008E5F5D" w:rsidP="00D42A61">
            <w:pPr>
              <w:rPr>
                <w:rFonts w:ascii="Rockwell" w:hAnsi="Rockwell"/>
                <w:sz w:val="18"/>
              </w:rPr>
            </w:pPr>
            <w:r w:rsidRPr="00422183">
              <w:rPr>
                <w:rFonts w:ascii="Rockwell" w:hAnsi="Rockwell"/>
                <w:sz w:val="18"/>
              </w:rPr>
              <w:t>MJDHPC</w:t>
            </w:r>
          </w:p>
        </w:tc>
        <w:tc>
          <w:tcPr>
            <w:tcW w:w="1187" w:type="dxa"/>
            <w:gridSpan w:val="2"/>
            <w:noWrap/>
          </w:tcPr>
          <w:p w:rsidR="008E5F5D" w:rsidRPr="00422183" w:rsidRDefault="008E5F5D" w:rsidP="00D42A61">
            <w:pPr>
              <w:rPr>
                <w:rFonts w:ascii="Rockwell" w:hAnsi="Rockwell"/>
                <w:sz w:val="18"/>
              </w:rPr>
            </w:pPr>
          </w:p>
        </w:tc>
        <w:tc>
          <w:tcPr>
            <w:tcW w:w="974" w:type="dxa"/>
            <w:noWrap/>
          </w:tcPr>
          <w:p w:rsidR="008E5F5D" w:rsidRPr="00422183" w:rsidRDefault="008E5F5D" w:rsidP="00D42A61">
            <w:pPr>
              <w:rPr>
                <w:rFonts w:ascii="Rockwell" w:hAnsi="Rockwell"/>
                <w:sz w:val="18"/>
              </w:rPr>
            </w:pPr>
          </w:p>
        </w:tc>
        <w:tc>
          <w:tcPr>
            <w:tcW w:w="870" w:type="dxa"/>
            <w:noWrap/>
          </w:tcPr>
          <w:p w:rsidR="008E5F5D" w:rsidRPr="00422183" w:rsidRDefault="008E5F5D" w:rsidP="00D42A61">
            <w:pPr>
              <w:rPr>
                <w:rFonts w:ascii="Rockwell" w:hAnsi="Rockwell"/>
                <w:sz w:val="18"/>
              </w:rPr>
            </w:pPr>
          </w:p>
        </w:tc>
        <w:tc>
          <w:tcPr>
            <w:tcW w:w="614" w:type="dxa"/>
          </w:tcPr>
          <w:p w:rsidR="008E5F5D" w:rsidRPr="00422183" w:rsidRDefault="008E5F5D" w:rsidP="00D42A61">
            <w:pPr>
              <w:rPr>
                <w:rFonts w:ascii="Rockwell" w:hAnsi="Rockwell"/>
                <w:sz w:val="18"/>
              </w:rPr>
            </w:pPr>
          </w:p>
        </w:tc>
        <w:tc>
          <w:tcPr>
            <w:tcW w:w="614" w:type="dxa"/>
          </w:tcPr>
          <w:p w:rsidR="008E5F5D" w:rsidRPr="00422183" w:rsidRDefault="008E5F5D" w:rsidP="00D42A61">
            <w:pPr>
              <w:rPr>
                <w:rFonts w:ascii="Rockwell" w:hAnsi="Rockwell"/>
                <w:sz w:val="18"/>
              </w:rPr>
            </w:pPr>
          </w:p>
        </w:tc>
        <w:tc>
          <w:tcPr>
            <w:tcW w:w="1049" w:type="dxa"/>
          </w:tcPr>
          <w:p w:rsidR="008E5F5D" w:rsidRPr="00422183" w:rsidRDefault="008E5F5D" w:rsidP="00D42A61">
            <w:pPr>
              <w:rPr>
                <w:rFonts w:ascii="Rockwell" w:hAnsi="Rockwell"/>
                <w:sz w:val="18"/>
              </w:rPr>
            </w:pPr>
          </w:p>
        </w:tc>
        <w:tc>
          <w:tcPr>
            <w:tcW w:w="1225" w:type="dxa"/>
          </w:tcPr>
          <w:p w:rsidR="008E5F5D" w:rsidRPr="00422183" w:rsidRDefault="008E5F5D" w:rsidP="00D42A61">
            <w:pPr>
              <w:rPr>
                <w:rFonts w:ascii="Rockwell" w:hAnsi="Rockwell"/>
                <w:sz w:val="18"/>
              </w:rPr>
            </w:pPr>
          </w:p>
        </w:tc>
        <w:tc>
          <w:tcPr>
            <w:tcW w:w="1211" w:type="dxa"/>
          </w:tcPr>
          <w:p w:rsidR="008E5F5D" w:rsidRPr="00422183" w:rsidRDefault="008E5F5D" w:rsidP="00D42A61">
            <w:pPr>
              <w:rPr>
                <w:rFonts w:ascii="Rockwell" w:hAnsi="Rockwell"/>
                <w:sz w:val="18"/>
              </w:rPr>
            </w:pPr>
          </w:p>
        </w:tc>
      </w:tr>
      <w:tr w:rsidR="003B6634" w:rsidRPr="00422183" w:rsidTr="00E8632D">
        <w:trPr>
          <w:trHeight w:val="300"/>
        </w:trPr>
        <w:tc>
          <w:tcPr>
            <w:tcW w:w="2395" w:type="dxa"/>
            <w:vMerge/>
            <w:noWrap/>
            <w:hideMark/>
          </w:tcPr>
          <w:p w:rsidR="003B6634" w:rsidRPr="00422183" w:rsidRDefault="003B6634" w:rsidP="00D42A61">
            <w:pPr>
              <w:rPr>
                <w:rFonts w:ascii="Rockwell" w:hAnsi="Rockwell"/>
                <w:sz w:val="18"/>
              </w:rPr>
            </w:pP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Délai moyen de traitement des dossiers</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rPr>
              <w:t>MJDHPC</w:t>
            </w:r>
          </w:p>
        </w:tc>
        <w:tc>
          <w:tcPr>
            <w:tcW w:w="1187" w:type="dxa"/>
            <w:gridSpan w:val="2"/>
            <w:noWrap/>
            <w:hideMark/>
          </w:tcPr>
          <w:p w:rsidR="003B6634" w:rsidRPr="00422183" w:rsidRDefault="003B6634" w:rsidP="00D42A61">
            <w:pPr>
              <w:rPr>
                <w:rFonts w:ascii="Rockwell" w:hAnsi="Rockwell"/>
                <w:sz w:val="18"/>
              </w:rPr>
            </w:pPr>
          </w:p>
        </w:tc>
        <w:tc>
          <w:tcPr>
            <w:tcW w:w="974" w:type="dxa"/>
            <w:noWrap/>
            <w:hideMark/>
          </w:tcPr>
          <w:p w:rsidR="003B6634" w:rsidRPr="00422183" w:rsidRDefault="003B6634" w:rsidP="00D42A61">
            <w:pPr>
              <w:rPr>
                <w:rFonts w:ascii="Rockwell" w:hAnsi="Rockwell"/>
                <w:sz w:val="18"/>
              </w:rPr>
            </w:pPr>
          </w:p>
        </w:tc>
        <w:tc>
          <w:tcPr>
            <w:tcW w:w="870" w:type="dxa"/>
            <w:noWrap/>
            <w:hideMark/>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300"/>
        </w:trPr>
        <w:tc>
          <w:tcPr>
            <w:tcW w:w="2395" w:type="dxa"/>
            <w:vMerge w:val="restart"/>
            <w:noWrap/>
            <w:hideMark/>
          </w:tcPr>
          <w:p w:rsidR="003B6634" w:rsidRPr="00422183" w:rsidRDefault="003B6634" w:rsidP="008D0108">
            <w:pPr>
              <w:rPr>
                <w:rFonts w:ascii="Rockwell" w:hAnsi="Rockwell"/>
                <w:sz w:val="18"/>
              </w:rPr>
            </w:pPr>
            <w:r w:rsidRPr="00422183">
              <w:rPr>
                <w:rFonts w:ascii="Rockwell" w:hAnsi="Rockwell"/>
                <w:sz w:val="18"/>
              </w:rPr>
              <w:t xml:space="preserve">EA 1.1.2 La sécurité </w:t>
            </w:r>
            <w:r w:rsidR="008D0108" w:rsidRPr="00422183">
              <w:rPr>
                <w:rFonts w:ascii="Rockwell" w:hAnsi="Rockwell"/>
                <w:sz w:val="18"/>
              </w:rPr>
              <w:t>est</w:t>
            </w:r>
            <w:r w:rsidRPr="00422183">
              <w:rPr>
                <w:rFonts w:ascii="Rockwell" w:hAnsi="Rockwell"/>
                <w:sz w:val="18"/>
              </w:rPr>
              <w:t xml:space="preserve"> renforcée </w:t>
            </w:r>
          </w:p>
        </w:tc>
        <w:tc>
          <w:tcPr>
            <w:tcW w:w="2613" w:type="dxa"/>
            <w:gridSpan w:val="2"/>
          </w:tcPr>
          <w:p w:rsidR="003B6634" w:rsidRPr="00422183" w:rsidRDefault="008E5F5D" w:rsidP="00D42A61">
            <w:pPr>
              <w:rPr>
                <w:rFonts w:ascii="Rockwell" w:hAnsi="Rockwell"/>
                <w:sz w:val="18"/>
              </w:rPr>
            </w:pPr>
            <w:r w:rsidRPr="00422183">
              <w:rPr>
                <w:rFonts w:ascii="Rockwell" w:hAnsi="Rockwell"/>
                <w:sz w:val="18"/>
              </w:rPr>
              <w:t>Taux de couverture des régions en plan ORSEC</w:t>
            </w:r>
          </w:p>
        </w:tc>
        <w:tc>
          <w:tcPr>
            <w:tcW w:w="1387" w:type="dxa"/>
            <w:gridSpan w:val="3"/>
          </w:tcPr>
          <w:p w:rsidR="003B6634" w:rsidRPr="00422183" w:rsidRDefault="008E5F5D"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8E5F5D" w:rsidP="00D42A61">
            <w:pPr>
              <w:rPr>
                <w:rFonts w:ascii="Rockwell" w:hAnsi="Rockwell"/>
                <w:sz w:val="18"/>
              </w:rPr>
            </w:pPr>
            <w:r w:rsidRPr="00422183">
              <w:rPr>
                <w:rFonts w:ascii="Rockwell" w:hAnsi="Rockwell"/>
                <w:sz w:val="18"/>
              </w:rPr>
              <w:t>MATDSI</w:t>
            </w:r>
          </w:p>
        </w:tc>
        <w:tc>
          <w:tcPr>
            <w:tcW w:w="1187" w:type="dxa"/>
            <w:gridSpan w:val="2"/>
            <w:noWrap/>
            <w:hideMark/>
          </w:tcPr>
          <w:p w:rsidR="003B6634" w:rsidRPr="00422183" w:rsidRDefault="008E5F5D" w:rsidP="00D42A61">
            <w:pPr>
              <w:rPr>
                <w:rFonts w:ascii="Rockwell" w:hAnsi="Rockwell"/>
                <w:sz w:val="18"/>
              </w:rPr>
            </w:pPr>
            <w:r w:rsidRPr="00422183">
              <w:rPr>
                <w:rFonts w:ascii="Rockwell" w:hAnsi="Rockwell"/>
                <w:sz w:val="18"/>
              </w:rPr>
              <w:t>53%</w:t>
            </w:r>
          </w:p>
        </w:tc>
        <w:tc>
          <w:tcPr>
            <w:tcW w:w="974" w:type="dxa"/>
            <w:noWrap/>
            <w:hideMark/>
          </w:tcPr>
          <w:p w:rsidR="003B6634" w:rsidRPr="00422183" w:rsidRDefault="008E5F5D" w:rsidP="00D42A61">
            <w:pPr>
              <w:rPr>
                <w:rFonts w:ascii="Rockwell" w:hAnsi="Rockwell"/>
                <w:sz w:val="18"/>
              </w:rPr>
            </w:pPr>
            <w:r w:rsidRPr="00422183">
              <w:rPr>
                <w:rFonts w:ascii="Rockwell" w:hAnsi="Rockwell"/>
                <w:sz w:val="18"/>
              </w:rPr>
              <w:t>78%</w:t>
            </w:r>
          </w:p>
        </w:tc>
        <w:tc>
          <w:tcPr>
            <w:tcW w:w="870" w:type="dxa"/>
            <w:noWrap/>
            <w:hideMark/>
          </w:tcPr>
          <w:p w:rsidR="003B6634" w:rsidRPr="00422183" w:rsidRDefault="008E5F5D" w:rsidP="00D42A61">
            <w:pPr>
              <w:rPr>
                <w:rFonts w:ascii="Rockwell" w:hAnsi="Rockwell"/>
                <w:sz w:val="18"/>
              </w:rPr>
            </w:pPr>
            <w:r w:rsidRPr="00422183">
              <w:rPr>
                <w:rFonts w:ascii="Rockwell" w:hAnsi="Rockwell"/>
                <w:sz w:val="18"/>
              </w:rPr>
              <w:t>100%</w:t>
            </w: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300"/>
        </w:trPr>
        <w:tc>
          <w:tcPr>
            <w:tcW w:w="2395" w:type="dxa"/>
            <w:vMerge/>
            <w:noWrap/>
            <w:hideMark/>
          </w:tcPr>
          <w:p w:rsidR="003B6634" w:rsidRPr="00422183" w:rsidRDefault="003B6634" w:rsidP="00D42A61">
            <w:pPr>
              <w:rPr>
                <w:rFonts w:ascii="Rockwell" w:hAnsi="Rockwell"/>
                <w:sz w:val="18"/>
              </w:rPr>
            </w:pPr>
          </w:p>
        </w:tc>
        <w:tc>
          <w:tcPr>
            <w:tcW w:w="2613" w:type="dxa"/>
            <w:gridSpan w:val="2"/>
          </w:tcPr>
          <w:p w:rsidR="003B6634" w:rsidRPr="00422183" w:rsidRDefault="008E5F5D" w:rsidP="00D42A61">
            <w:pPr>
              <w:rPr>
                <w:rFonts w:ascii="Rockwell" w:hAnsi="Rockwell"/>
                <w:sz w:val="18"/>
              </w:rPr>
            </w:pPr>
            <w:r w:rsidRPr="00422183">
              <w:rPr>
                <w:rFonts w:ascii="Rockwell" w:hAnsi="Rockwell"/>
                <w:sz w:val="18"/>
              </w:rPr>
              <w:t>Ratio agent de sécurité sur population (norme 1 pour 400 habitants)</w:t>
            </w:r>
          </w:p>
        </w:tc>
        <w:tc>
          <w:tcPr>
            <w:tcW w:w="1387" w:type="dxa"/>
            <w:gridSpan w:val="3"/>
          </w:tcPr>
          <w:p w:rsidR="003B6634" w:rsidRPr="00422183" w:rsidRDefault="008E5F5D"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8E5F5D" w:rsidP="00D42A61">
            <w:pPr>
              <w:rPr>
                <w:rFonts w:ascii="Rockwell" w:hAnsi="Rockwell"/>
                <w:sz w:val="18"/>
              </w:rPr>
            </w:pPr>
            <w:r w:rsidRPr="00422183">
              <w:rPr>
                <w:rFonts w:ascii="Rockwell" w:hAnsi="Rockwell"/>
                <w:sz w:val="18"/>
              </w:rPr>
              <w:t>MATDSI</w:t>
            </w:r>
          </w:p>
        </w:tc>
        <w:tc>
          <w:tcPr>
            <w:tcW w:w="1187" w:type="dxa"/>
            <w:gridSpan w:val="2"/>
            <w:noWrap/>
          </w:tcPr>
          <w:p w:rsidR="003B6634" w:rsidRPr="00422183" w:rsidRDefault="008E5F5D" w:rsidP="00D42A61">
            <w:pPr>
              <w:rPr>
                <w:rFonts w:ascii="Rockwell" w:hAnsi="Rockwell"/>
                <w:sz w:val="18"/>
              </w:rPr>
            </w:pPr>
            <w:r w:rsidRPr="00422183">
              <w:rPr>
                <w:rFonts w:ascii="Rockwell" w:hAnsi="Rockwell"/>
                <w:sz w:val="18"/>
              </w:rPr>
              <w:t>1 pour 948 habitants</w:t>
            </w:r>
          </w:p>
        </w:tc>
        <w:tc>
          <w:tcPr>
            <w:tcW w:w="974" w:type="dxa"/>
            <w:noWrap/>
            <w:hideMark/>
          </w:tcPr>
          <w:p w:rsidR="003B6634" w:rsidRPr="00422183" w:rsidRDefault="008E5F5D" w:rsidP="00D42A61">
            <w:pPr>
              <w:rPr>
                <w:rFonts w:ascii="Rockwell" w:hAnsi="Rockwell"/>
                <w:sz w:val="18"/>
              </w:rPr>
            </w:pPr>
            <w:r w:rsidRPr="00422183">
              <w:rPr>
                <w:rFonts w:ascii="Rockwell" w:hAnsi="Rockwell"/>
                <w:sz w:val="18"/>
              </w:rPr>
              <w:t>1 pour 930 habitants</w:t>
            </w:r>
          </w:p>
        </w:tc>
        <w:tc>
          <w:tcPr>
            <w:tcW w:w="870" w:type="dxa"/>
            <w:noWrap/>
            <w:hideMark/>
          </w:tcPr>
          <w:p w:rsidR="003B6634" w:rsidRPr="00422183" w:rsidRDefault="008E5F5D" w:rsidP="00D42A61">
            <w:pPr>
              <w:rPr>
                <w:rFonts w:ascii="Rockwell" w:hAnsi="Rockwell"/>
                <w:sz w:val="18"/>
              </w:rPr>
            </w:pPr>
            <w:r w:rsidRPr="00422183">
              <w:rPr>
                <w:rFonts w:ascii="Rockwell" w:hAnsi="Rockwell"/>
                <w:sz w:val="18"/>
              </w:rPr>
              <w:t>1 pour 910</w:t>
            </w: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3B6634" w:rsidRPr="00422183" w:rsidTr="00E8632D">
        <w:trPr>
          <w:trHeight w:val="600"/>
        </w:trPr>
        <w:tc>
          <w:tcPr>
            <w:tcW w:w="2395" w:type="dxa"/>
            <w:vMerge/>
            <w:noWrap/>
            <w:hideMark/>
          </w:tcPr>
          <w:p w:rsidR="003B6634" w:rsidRPr="00422183" w:rsidRDefault="003B6634" w:rsidP="00D42A61">
            <w:pPr>
              <w:rPr>
                <w:rFonts w:ascii="Rockwell" w:hAnsi="Rockwell"/>
                <w:sz w:val="18"/>
              </w:rPr>
            </w:pPr>
          </w:p>
        </w:tc>
        <w:tc>
          <w:tcPr>
            <w:tcW w:w="2613" w:type="dxa"/>
            <w:gridSpan w:val="2"/>
            <w:hideMark/>
          </w:tcPr>
          <w:p w:rsidR="003B6634" w:rsidRPr="00422183" w:rsidRDefault="003B6634" w:rsidP="00D42A61">
            <w:pPr>
              <w:rPr>
                <w:rFonts w:ascii="Rockwell" w:hAnsi="Rockwell"/>
                <w:sz w:val="18"/>
              </w:rPr>
            </w:pPr>
            <w:r w:rsidRPr="00422183">
              <w:rPr>
                <w:rFonts w:ascii="Rockwell" w:hAnsi="Rockwell"/>
                <w:sz w:val="18"/>
              </w:rPr>
              <w:t>Taux de maillage du territoire national en services de sécurité opérationnels</w:t>
            </w:r>
          </w:p>
        </w:tc>
        <w:tc>
          <w:tcPr>
            <w:tcW w:w="1387" w:type="dxa"/>
            <w:gridSpan w:val="3"/>
          </w:tcPr>
          <w:p w:rsidR="003B6634" w:rsidRPr="00422183" w:rsidRDefault="003B6634" w:rsidP="00D42A61">
            <w:pPr>
              <w:rPr>
                <w:rFonts w:ascii="Rockwell" w:hAnsi="Rockwell"/>
                <w:sz w:val="18"/>
              </w:rPr>
            </w:pPr>
            <w:r w:rsidRPr="00422183">
              <w:rPr>
                <w:rFonts w:ascii="Rockwell" w:hAnsi="Rockwell"/>
                <w:sz w:val="18"/>
              </w:rPr>
              <w:t>Rapport du secteur concerné</w:t>
            </w:r>
          </w:p>
        </w:tc>
        <w:tc>
          <w:tcPr>
            <w:tcW w:w="1360" w:type="dxa"/>
          </w:tcPr>
          <w:p w:rsidR="003B6634" w:rsidRPr="00422183" w:rsidRDefault="003B6634" w:rsidP="00D42A61">
            <w:pPr>
              <w:rPr>
                <w:rFonts w:ascii="Rockwell" w:hAnsi="Rockwell"/>
                <w:sz w:val="18"/>
              </w:rPr>
            </w:pPr>
            <w:r w:rsidRPr="00422183">
              <w:rPr>
                <w:rFonts w:ascii="Rockwell" w:hAnsi="Rockwell"/>
                <w:sz w:val="18"/>
              </w:rPr>
              <w:t>MATDSI</w:t>
            </w:r>
          </w:p>
        </w:tc>
        <w:tc>
          <w:tcPr>
            <w:tcW w:w="1187" w:type="dxa"/>
            <w:gridSpan w:val="2"/>
            <w:noWrap/>
            <w:hideMark/>
          </w:tcPr>
          <w:p w:rsidR="003B6634" w:rsidRPr="00422183" w:rsidRDefault="003B6634" w:rsidP="00D42A61">
            <w:pPr>
              <w:rPr>
                <w:rFonts w:ascii="Rockwell" w:hAnsi="Rockwell"/>
                <w:sz w:val="18"/>
              </w:rPr>
            </w:pPr>
            <w:r w:rsidRPr="00422183">
              <w:rPr>
                <w:rFonts w:ascii="Rockwell" w:hAnsi="Rockwell"/>
                <w:sz w:val="18"/>
              </w:rPr>
              <w:t>56,8%</w:t>
            </w:r>
          </w:p>
        </w:tc>
        <w:tc>
          <w:tcPr>
            <w:tcW w:w="974" w:type="dxa"/>
            <w:noWrap/>
            <w:hideMark/>
          </w:tcPr>
          <w:p w:rsidR="003B6634" w:rsidRPr="00422183" w:rsidRDefault="003B6634" w:rsidP="00D42A61">
            <w:pPr>
              <w:rPr>
                <w:rFonts w:ascii="Rockwell" w:hAnsi="Rockwell"/>
                <w:sz w:val="18"/>
              </w:rPr>
            </w:pPr>
            <w:r w:rsidRPr="00422183">
              <w:rPr>
                <w:rFonts w:ascii="Rockwell" w:hAnsi="Rockwell"/>
                <w:sz w:val="18"/>
              </w:rPr>
              <w:t>64%</w:t>
            </w:r>
          </w:p>
        </w:tc>
        <w:tc>
          <w:tcPr>
            <w:tcW w:w="870" w:type="dxa"/>
            <w:noWrap/>
            <w:hideMark/>
          </w:tcPr>
          <w:p w:rsidR="003B6634" w:rsidRPr="00422183" w:rsidRDefault="003B6634" w:rsidP="00D42A61">
            <w:pPr>
              <w:rPr>
                <w:rFonts w:ascii="Rockwell" w:hAnsi="Rockwell"/>
                <w:sz w:val="18"/>
              </w:rPr>
            </w:pPr>
            <w:r w:rsidRPr="00422183">
              <w:rPr>
                <w:rFonts w:ascii="Rockwell" w:hAnsi="Rockwell"/>
                <w:sz w:val="18"/>
              </w:rPr>
              <w:t>75%</w:t>
            </w:r>
          </w:p>
        </w:tc>
        <w:tc>
          <w:tcPr>
            <w:tcW w:w="614" w:type="dxa"/>
          </w:tcPr>
          <w:p w:rsidR="003B6634" w:rsidRPr="00422183" w:rsidRDefault="003B6634" w:rsidP="00D42A61">
            <w:pPr>
              <w:rPr>
                <w:rFonts w:ascii="Rockwell" w:hAnsi="Rockwell"/>
                <w:sz w:val="18"/>
              </w:rPr>
            </w:pPr>
          </w:p>
        </w:tc>
        <w:tc>
          <w:tcPr>
            <w:tcW w:w="614" w:type="dxa"/>
          </w:tcPr>
          <w:p w:rsidR="003B6634" w:rsidRPr="00422183" w:rsidRDefault="003B6634" w:rsidP="00D42A61">
            <w:pPr>
              <w:rPr>
                <w:rFonts w:ascii="Rockwell" w:hAnsi="Rockwell"/>
                <w:sz w:val="18"/>
              </w:rPr>
            </w:pPr>
          </w:p>
        </w:tc>
        <w:tc>
          <w:tcPr>
            <w:tcW w:w="1049" w:type="dxa"/>
          </w:tcPr>
          <w:p w:rsidR="003B6634" w:rsidRPr="00422183" w:rsidRDefault="003B6634" w:rsidP="00D42A61">
            <w:pPr>
              <w:rPr>
                <w:rFonts w:ascii="Rockwell" w:hAnsi="Rockwell"/>
                <w:sz w:val="18"/>
              </w:rPr>
            </w:pPr>
          </w:p>
        </w:tc>
        <w:tc>
          <w:tcPr>
            <w:tcW w:w="1225" w:type="dxa"/>
          </w:tcPr>
          <w:p w:rsidR="003B6634" w:rsidRPr="00422183" w:rsidRDefault="003B6634" w:rsidP="00D42A61">
            <w:pPr>
              <w:rPr>
                <w:rFonts w:ascii="Rockwell" w:hAnsi="Rockwell"/>
                <w:sz w:val="18"/>
              </w:rPr>
            </w:pPr>
          </w:p>
        </w:tc>
        <w:tc>
          <w:tcPr>
            <w:tcW w:w="1211" w:type="dxa"/>
          </w:tcPr>
          <w:p w:rsidR="003B6634" w:rsidRPr="00422183" w:rsidRDefault="003B6634" w:rsidP="00D42A61">
            <w:pPr>
              <w:rPr>
                <w:rFonts w:ascii="Rockwell" w:hAnsi="Rockwell"/>
                <w:sz w:val="18"/>
              </w:rPr>
            </w:pPr>
          </w:p>
        </w:tc>
      </w:tr>
      <w:tr w:rsidR="008D0108" w:rsidRPr="00422183" w:rsidTr="00E8632D">
        <w:trPr>
          <w:trHeight w:val="600"/>
        </w:trPr>
        <w:tc>
          <w:tcPr>
            <w:tcW w:w="2395" w:type="dxa"/>
            <w:noWrap/>
          </w:tcPr>
          <w:p w:rsidR="008D0108" w:rsidRPr="00422183" w:rsidRDefault="008D0108" w:rsidP="009E077E">
            <w:pPr>
              <w:rPr>
                <w:rFonts w:ascii="Rockwell" w:hAnsi="Rockwell"/>
                <w:sz w:val="18"/>
              </w:rPr>
            </w:pPr>
            <w:r w:rsidRPr="00422183">
              <w:rPr>
                <w:rFonts w:ascii="Rockwell" w:hAnsi="Rockwell"/>
                <w:sz w:val="18"/>
              </w:rPr>
              <w:t>EA 1.1.</w:t>
            </w:r>
            <w:r w:rsidR="009E077E" w:rsidRPr="00422183">
              <w:rPr>
                <w:rFonts w:ascii="Rockwell" w:hAnsi="Rockwell"/>
                <w:sz w:val="18"/>
              </w:rPr>
              <w:t>3</w:t>
            </w:r>
            <w:r w:rsidRPr="00422183">
              <w:rPr>
                <w:rFonts w:ascii="Rockwell" w:hAnsi="Rockwell"/>
                <w:sz w:val="18"/>
              </w:rPr>
              <w:t xml:space="preserve"> la défense est renforcée</w:t>
            </w:r>
          </w:p>
        </w:tc>
        <w:tc>
          <w:tcPr>
            <w:tcW w:w="2613" w:type="dxa"/>
            <w:gridSpan w:val="2"/>
          </w:tcPr>
          <w:p w:rsidR="008D0108" w:rsidRPr="00422183" w:rsidRDefault="008D0108" w:rsidP="00D42A61">
            <w:pPr>
              <w:rPr>
                <w:rFonts w:ascii="Rockwell" w:hAnsi="Rockwell"/>
                <w:sz w:val="18"/>
              </w:rPr>
            </w:pPr>
            <w:r w:rsidRPr="00422183">
              <w:rPr>
                <w:rFonts w:ascii="Rockwell" w:hAnsi="Rockwell"/>
                <w:sz w:val="18"/>
              </w:rPr>
              <w:t>Nombre d’agressions armées</w:t>
            </w:r>
          </w:p>
        </w:tc>
        <w:tc>
          <w:tcPr>
            <w:tcW w:w="1387" w:type="dxa"/>
            <w:gridSpan w:val="3"/>
          </w:tcPr>
          <w:p w:rsidR="008D0108" w:rsidRPr="00422183" w:rsidRDefault="008D0108" w:rsidP="00D42A61">
            <w:pPr>
              <w:rPr>
                <w:rFonts w:ascii="Rockwell" w:hAnsi="Rockwell"/>
                <w:sz w:val="18"/>
              </w:rPr>
            </w:pPr>
            <w:r w:rsidRPr="00422183">
              <w:rPr>
                <w:rFonts w:ascii="Rockwell" w:hAnsi="Rockwell"/>
                <w:sz w:val="18"/>
              </w:rPr>
              <w:t>Rapport du secteur concerné</w:t>
            </w:r>
          </w:p>
        </w:tc>
        <w:tc>
          <w:tcPr>
            <w:tcW w:w="1360" w:type="dxa"/>
          </w:tcPr>
          <w:p w:rsidR="008D0108" w:rsidRPr="00422183" w:rsidRDefault="008D0108" w:rsidP="00D42A61">
            <w:pPr>
              <w:rPr>
                <w:rFonts w:ascii="Rockwell" w:hAnsi="Rockwell"/>
                <w:sz w:val="18"/>
              </w:rPr>
            </w:pPr>
            <w:r w:rsidRPr="00422183">
              <w:rPr>
                <w:rFonts w:ascii="Rockwell" w:hAnsi="Rockwell"/>
                <w:sz w:val="18"/>
              </w:rPr>
              <w:t>MDNAC</w:t>
            </w:r>
          </w:p>
        </w:tc>
        <w:tc>
          <w:tcPr>
            <w:tcW w:w="1187" w:type="dxa"/>
            <w:gridSpan w:val="2"/>
            <w:noWrap/>
          </w:tcPr>
          <w:p w:rsidR="008D0108" w:rsidRPr="00422183" w:rsidRDefault="008D0108" w:rsidP="00D42A61">
            <w:pPr>
              <w:rPr>
                <w:rFonts w:ascii="Rockwell" w:hAnsi="Rockwell"/>
                <w:sz w:val="18"/>
              </w:rPr>
            </w:pPr>
          </w:p>
        </w:tc>
        <w:tc>
          <w:tcPr>
            <w:tcW w:w="974" w:type="dxa"/>
            <w:noWrap/>
          </w:tcPr>
          <w:p w:rsidR="008D0108" w:rsidRPr="00422183" w:rsidRDefault="008D0108" w:rsidP="00D42A61">
            <w:pPr>
              <w:rPr>
                <w:rFonts w:ascii="Rockwell" w:hAnsi="Rockwell"/>
                <w:sz w:val="18"/>
              </w:rPr>
            </w:pPr>
          </w:p>
        </w:tc>
        <w:tc>
          <w:tcPr>
            <w:tcW w:w="870" w:type="dxa"/>
            <w:noWrap/>
          </w:tcPr>
          <w:p w:rsidR="008D0108" w:rsidRPr="00422183" w:rsidRDefault="008D0108" w:rsidP="00D42A61">
            <w:pPr>
              <w:rPr>
                <w:rFonts w:ascii="Rockwell" w:hAnsi="Rockwell"/>
                <w:sz w:val="18"/>
              </w:rPr>
            </w:pPr>
          </w:p>
        </w:tc>
        <w:tc>
          <w:tcPr>
            <w:tcW w:w="614" w:type="dxa"/>
          </w:tcPr>
          <w:p w:rsidR="008D0108" w:rsidRPr="00422183" w:rsidRDefault="008D0108" w:rsidP="00D42A61">
            <w:pPr>
              <w:rPr>
                <w:rFonts w:ascii="Rockwell" w:hAnsi="Rockwell"/>
                <w:sz w:val="18"/>
              </w:rPr>
            </w:pPr>
          </w:p>
        </w:tc>
        <w:tc>
          <w:tcPr>
            <w:tcW w:w="614" w:type="dxa"/>
          </w:tcPr>
          <w:p w:rsidR="008D0108" w:rsidRPr="00422183" w:rsidRDefault="008D0108" w:rsidP="00D42A61">
            <w:pPr>
              <w:rPr>
                <w:rFonts w:ascii="Rockwell" w:hAnsi="Rockwell"/>
                <w:sz w:val="18"/>
              </w:rPr>
            </w:pPr>
          </w:p>
        </w:tc>
        <w:tc>
          <w:tcPr>
            <w:tcW w:w="1049" w:type="dxa"/>
          </w:tcPr>
          <w:p w:rsidR="008D0108" w:rsidRPr="00422183" w:rsidRDefault="008D0108" w:rsidP="00D42A61">
            <w:pPr>
              <w:rPr>
                <w:rFonts w:ascii="Rockwell" w:hAnsi="Rockwell"/>
                <w:sz w:val="18"/>
              </w:rPr>
            </w:pPr>
          </w:p>
        </w:tc>
        <w:tc>
          <w:tcPr>
            <w:tcW w:w="1225" w:type="dxa"/>
          </w:tcPr>
          <w:p w:rsidR="008D0108" w:rsidRPr="00422183" w:rsidRDefault="008D0108" w:rsidP="00D42A61">
            <w:pPr>
              <w:rPr>
                <w:rFonts w:ascii="Rockwell" w:hAnsi="Rockwell"/>
                <w:sz w:val="18"/>
              </w:rPr>
            </w:pPr>
          </w:p>
        </w:tc>
        <w:tc>
          <w:tcPr>
            <w:tcW w:w="1211" w:type="dxa"/>
          </w:tcPr>
          <w:p w:rsidR="008D0108" w:rsidRPr="00422183" w:rsidRDefault="008D0108" w:rsidP="00D42A61">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9E077E" w:rsidP="00E8632D">
            <w:pPr>
              <w:rPr>
                <w:rFonts w:ascii="Rockwell" w:hAnsi="Rockwell"/>
                <w:sz w:val="18"/>
              </w:rPr>
            </w:pPr>
            <w:r w:rsidRPr="00422183">
              <w:rPr>
                <w:rFonts w:ascii="Rockwell" w:hAnsi="Rockwell"/>
                <w:sz w:val="18"/>
              </w:rPr>
              <w:t>EA 1.1.4</w:t>
            </w:r>
            <w:r w:rsidR="00E8632D" w:rsidRPr="00422183">
              <w:rPr>
                <w:rFonts w:ascii="Rockwell" w:hAnsi="Rockwell"/>
                <w:sz w:val="18"/>
              </w:rPr>
              <w:t xml:space="preserve">. L'accès à l'information juste est assurée pour tous </w:t>
            </w:r>
          </w:p>
        </w:tc>
        <w:tc>
          <w:tcPr>
            <w:tcW w:w="2613" w:type="dxa"/>
            <w:gridSpan w:val="2"/>
            <w:hideMark/>
          </w:tcPr>
          <w:p w:rsidR="00E8632D" w:rsidRPr="00422183" w:rsidRDefault="00E8632D" w:rsidP="00D42A61">
            <w:pPr>
              <w:rPr>
                <w:rFonts w:ascii="Rockwell" w:hAnsi="Rockwell"/>
                <w:sz w:val="18"/>
              </w:rPr>
            </w:pPr>
            <w:r w:rsidRPr="00422183">
              <w:rPr>
                <w:rFonts w:ascii="Rockwell" w:hAnsi="Rockwell"/>
                <w:sz w:val="18"/>
              </w:rPr>
              <w:t>Taux de couverture du territoire par la télévision</w:t>
            </w:r>
          </w:p>
        </w:tc>
        <w:tc>
          <w:tcPr>
            <w:tcW w:w="1387" w:type="dxa"/>
            <w:gridSpan w:val="3"/>
          </w:tcPr>
          <w:p w:rsidR="00E8632D" w:rsidRPr="00422183" w:rsidRDefault="00E8632D" w:rsidP="00D42A61">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D42A61">
            <w:pPr>
              <w:rPr>
                <w:rFonts w:ascii="Rockwell" w:hAnsi="Rockwell"/>
                <w:sz w:val="18"/>
              </w:rPr>
            </w:pPr>
            <w:r w:rsidRPr="00422183">
              <w:rPr>
                <w:rFonts w:ascii="Rockwell" w:hAnsi="Rockwell"/>
                <w:sz w:val="18"/>
              </w:rPr>
              <w:t>MCRP</w:t>
            </w:r>
          </w:p>
        </w:tc>
        <w:tc>
          <w:tcPr>
            <w:tcW w:w="1187" w:type="dxa"/>
            <w:gridSpan w:val="2"/>
            <w:noWrap/>
            <w:hideMark/>
          </w:tcPr>
          <w:p w:rsidR="00E8632D" w:rsidRPr="00422183" w:rsidRDefault="00E8632D" w:rsidP="00D42A61">
            <w:pPr>
              <w:rPr>
                <w:rFonts w:ascii="Rockwell" w:hAnsi="Rockwell"/>
                <w:sz w:val="18"/>
              </w:rPr>
            </w:pPr>
            <w:r w:rsidRPr="00422183">
              <w:rPr>
                <w:rFonts w:ascii="Rockwell" w:hAnsi="Rockwell"/>
                <w:sz w:val="18"/>
              </w:rPr>
              <w:t>53%</w:t>
            </w:r>
          </w:p>
        </w:tc>
        <w:tc>
          <w:tcPr>
            <w:tcW w:w="974" w:type="dxa"/>
            <w:noWrap/>
            <w:hideMark/>
          </w:tcPr>
          <w:p w:rsidR="00E8632D" w:rsidRPr="00422183" w:rsidRDefault="00E8632D" w:rsidP="00D42A61">
            <w:pPr>
              <w:rPr>
                <w:rFonts w:ascii="Rockwell" w:hAnsi="Rockwell"/>
                <w:sz w:val="18"/>
              </w:rPr>
            </w:pPr>
          </w:p>
        </w:tc>
        <w:tc>
          <w:tcPr>
            <w:tcW w:w="870" w:type="dxa"/>
            <w:noWrap/>
            <w:hideMark/>
          </w:tcPr>
          <w:p w:rsidR="00E8632D" w:rsidRPr="00422183" w:rsidRDefault="00E8632D" w:rsidP="00D42A61">
            <w:pPr>
              <w:rPr>
                <w:rFonts w:ascii="Rockwell" w:hAnsi="Rockwell"/>
                <w:sz w:val="18"/>
              </w:rPr>
            </w:pPr>
            <w:r w:rsidRPr="00422183">
              <w:rPr>
                <w:rFonts w:ascii="Rockwell" w:hAnsi="Rockwell"/>
                <w:sz w:val="18"/>
              </w:rPr>
              <w:t>100%</w:t>
            </w:r>
          </w:p>
        </w:tc>
        <w:tc>
          <w:tcPr>
            <w:tcW w:w="614" w:type="dxa"/>
          </w:tcPr>
          <w:p w:rsidR="00E8632D" w:rsidRPr="00422183" w:rsidRDefault="00E8632D" w:rsidP="00D42A61">
            <w:pPr>
              <w:rPr>
                <w:rFonts w:ascii="Rockwell" w:hAnsi="Rockwell"/>
                <w:sz w:val="18"/>
              </w:rPr>
            </w:pPr>
          </w:p>
        </w:tc>
        <w:tc>
          <w:tcPr>
            <w:tcW w:w="614" w:type="dxa"/>
          </w:tcPr>
          <w:p w:rsidR="00E8632D" w:rsidRPr="00422183" w:rsidRDefault="00E8632D" w:rsidP="00D42A61">
            <w:pPr>
              <w:rPr>
                <w:rFonts w:ascii="Rockwell" w:hAnsi="Rockwell"/>
                <w:sz w:val="18"/>
              </w:rPr>
            </w:pPr>
          </w:p>
        </w:tc>
        <w:tc>
          <w:tcPr>
            <w:tcW w:w="1049" w:type="dxa"/>
          </w:tcPr>
          <w:p w:rsidR="00E8632D" w:rsidRPr="00422183" w:rsidRDefault="00E8632D" w:rsidP="00D42A61">
            <w:pPr>
              <w:rPr>
                <w:rFonts w:ascii="Rockwell" w:hAnsi="Rockwell"/>
                <w:sz w:val="18"/>
              </w:rPr>
            </w:pPr>
          </w:p>
        </w:tc>
        <w:tc>
          <w:tcPr>
            <w:tcW w:w="1225" w:type="dxa"/>
          </w:tcPr>
          <w:p w:rsidR="00E8632D" w:rsidRPr="00422183" w:rsidRDefault="00E8632D" w:rsidP="00D42A61">
            <w:pPr>
              <w:rPr>
                <w:rFonts w:ascii="Rockwell" w:hAnsi="Rockwell"/>
                <w:sz w:val="18"/>
              </w:rPr>
            </w:pPr>
          </w:p>
        </w:tc>
        <w:tc>
          <w:tcPr>
            <w:tcW w:w="1211" w:type="dxa"/>
          </w:tcPr>
          <w:p w:rsidR="00E8632D" w:rsidRPr="00422183" w:rsidRDefault="00E8632D" w:rsidP="00D42A61">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D42A61">
            <w:pPr>
              <w:rPr>
                <w:rFonts w:ascii="Rockwell" w:hAnsi="Rockwell"/>
                <w:sz w:val="18"/>
              </w:rPr>
            </w:pPr>
          </w:p>
        </w:tc>
        <w:tc>
          <w:tcPr>
            <w:tcW w:w="2613" w:type="dxa"/>
            <w:gridSpan w:val="2"/>
            <w:hideMark/>
          </w:tcPr>
          <w:p w:rsidR="00E8632D" w:rsidRPr="00422183" w:rsidRDefault="00E8632D" w:rsidP="00D42A61">
            <w:pPr>
              <w:rPr>
                <w:rFonts w:ascii="Rockwell" w:hAnsi="Rockwell"/>
                <w:sz w:val="18"/>
              </w:rPr>
            </w:pPr>
            <w:r w:rsidRPr="00422183">
              <w:rPr>
                <w:rFonts w:ascii="Rockwell" w:hAnsi="Rockwell"/>
                <w:sz w:val="18"/>
              </w:rPr>
              <w:t>Taux de couverture du territoire par la radio</w:t>
            </w:r>
          </w:p>
        </w:tc>
        <w:tc>
          <w:tcPr>
            <w:tcW w:w="1387" w:type="dxa"/>
            <w:gridSpan w:val="3"/>
          </w:tcPr>
          <w:p w:rsidR="00E8632D" w:rsidRPr="00422183" w:rsidRDefault="00E8632D" w:rsidP="00D42A61">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D42A61">
            <w:pPr>
              <w:rPr>
                <w:rFonts w:ascii="Rockwell" w:hAnsi="Rockwell"/>
                <w:sz w:val="18"/>
              </w:rPr>
            </w:pPr>
            <w:r w:rsidRPr="00422183">
              <w:rPr>
                <w:rFonts w:ascii="Rockwell" w:hAnsi="Rockwell"/>
                <w:sz w:val="18"/>
              </w:rPr>
              <w:t>MCRP</w:t>
            </w:r>
          </w:p>
        </w:tc>
        <w:tc>
          <w:tcPr>
            <w:tcW w:w="1187" w:type="dxa"/>
            <w:gridSpan w:val="2"/>
            <w:noWrap/>
            <w:hideMark/>
          </w:tcPr>
          <w:p w:rsidR="00E8632D" w:rsidRPr="00422183" w:rsidRDefault="00E8632D" w:rsidP="00D42A61">
            <w:pPr>
              <w:rPr>
                <w:rFonts w:ascii="Rockwell" w:hAnsi="Rockwell"/>
                <w:sz w:val="18"/>
              </w:rPr>
            </w:pPr>
            <w:r w:rsidRPr="00422183">
              <w:rPr>
                <w:rFonts w:ascii="Rockwell" w:hAnsi="Rockwell"/>
                <w:sz w:val="18"/>
              </w:rPr>
              <w:t>48%</w:t>
            </w:r>
          </w:p>
        </w:tc>
        <w:tc>
          <w:tcPr>
            <w:tcW w:w="974" w:type="dxa"/>
            <w:noWrap/>
            <w:hideMark/>
          </w:tcPr>
          <w:p w:rsidR="00E8632D" w:rsidRPr="00422183" w:rsidRDefault="00E8632D" w:rsidP="00D42A61">
            <w:pPr>
              <w:rPr>
                <w:rFonts w:ascii="Rockwell" w:hAnsi="Rockwell"/>
                <w:sz w:val="18"/>
              </w:rPr>
            </w:pPr>
          </w:p>
        </w:tc>
        <w:tc>
          <w:tcPr>
            <w:tcW w:w="870" w:type="dxa"/>
            <w:noWrap/>
            <w:hideMark/>
          </w:tcPr>
          <w:p w:rsidR="00E8632D" w:rsidRPr="00422183" w:rsidRDefault="00E8632D" w:rsidP="00D42A61">
            <w:pPr>
              <w:rPr>
                <w:rFonts w:ascii="Rockwell" w:hAnsi="Rockwell"/>
                <w:sz w:val="18"/>
              </w:rPr>
            </w:pPr>
            <w:r w:rsidRPr="00422183">
              <w:rPr>
                <w:rFonts w:ascii="Rockwell" w:hAnsi="Rockwell"/>
                <w:sz w:val="18"/>
              </w:rPr>
              <w:t>80%</w:t>
            </w:r>
          </w:p>
        </w:tc>
        <w:tc>
          <w:tcPr>
            <w:tcW w:w="614" w:type="dxa"/>
          </w:tcPr>
          <w:p w:rsidR="00E8632D" w:rsidRPr="00422183" w:rsidRDefault="00E8632D" w:rsidP="00D42A61">
            <w:pPr>
              <w:rPr>
                <w:rFonts w:ascii="Rockwell" w:hAnsi="Rockwell"/>
                <w:sz w:val="18"/>
              </w:rPr>
            </w:pPr>
          </w:p>
        </w:tc>
        <w:tc>
          <w:tcPr>
            <w:tcW w:w="614" w:type="dxa"/>
          </w:tcPr>
          <w:p w:rsidR="00E8632D" w:rsidRPr="00422183" w:rsidRDefault="00E8632D" w:rsidP="00D42A61">
            <w:pPr>
              <w:rPr>
                <w:rFonts w:ascii="Rockwell" w:hAnsi="Rockwell"/>
                <w:sz w:val="18"/>
              </w:rPr>
            </w:pPr>
          </w:p>
        </w:tc>
        <w:tc>
          <w:tcPr>
            <w:tcW w:w="1049" w:type="dxa"/>
          </w:tcPr>
          <w:p w:rsidR="00E8632D" w:rsidRPr="00422183" w:rsidRDefault="00E8632D" w:rsidP="00D42A61">
            <w:pPr>
              <w:rPr>
                <w:rFonts w:ascii="Rockwell" w:hAnsi="Rockwell"/>
                <w:sz w:val="18"/>
              </w:rPr>
            </w:pPr>
          </w:p>
        </w:tc>
        <w:tc>
          <w:tcPr>
            <w:tcW w:w="1225" w:type="dxa"/>
          </w:tcPr>
          <w:p w:rsidR="00E8632D" w:rsidRPr="00422183" w:rsidRDefault="00E8632D" w:rsidP="00D42A61">
            <w:pPr>
              <w:rPr>
                <w:rFonts w:ascii="Rockwell" w:hAnsi="Rockwell"/>
                <w:sz w:val="18"/>
              </w:rPr>
            </w:pPr>
          </w:p>
        </w:tc>
        <w:tc>
          <w:tcPr>
            <w:tcW w:w="1211" w:type="dxa"/>
          </w:tcPr>
          <w:p w:rsidR="00E8632D" w:rsidRPr="00422183" w:rsidRDefault="00E8632D" w:rsidP="00D42A61">
            <w:pPr>
              <w:rPr>
                <w:rFonts w:ascii="Rockwell" w:hAnsi="Rockwell"/>
                <w:sz w:val="18"/>
              </w:rPr>
            </w:pPr>
          </w:p>
        </w:tc>
      </w:tr>
      <w:tr w:rsidR="00E8632D" w:rsidRPr="00422183" w:rsidTr="00E8632D">
        <w:trPr>
          <w:trHeight w:val="3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Taux de couverture du territoire national par la presse écrite publique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MCRP</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51%</w:t>
            </w:r>
          </w:p>
        </w:tc>
        <w:tc>
          <w:tcPr>
            <w:tcW w:w="974" w:type="dxa"/>
            <w:noWrap/>
          </w:tcPr>
          <w:p w:rsidR="00E8632D" w:rsidRPr="00422183" w:rsidRDefault="00E8632D" w:rsidP="00E8632D">
            <w:pPr>
              <w:rPr>
                <w:rFonts w:ascii="Rockwell" w:hAnsi="Rockwell"/>
                <w:sz w:val="18"/>
              </w:rPr>
            </w:pPr>
          </w:p>
        </w:tc>
        <w:tc>
          <w:tcPr>
            <w:tcW w:w="870" w:type="dxa"/>
            <w:noWrap/>
          </w:tcPr>
          <w:p w:rsidR="00E8632D" w:rsidRPr="00422183" w:rsidRDefault="00E8632D" w:rsidP="00E8632D">
            <w:pPr>
              <w:rPr>
                <w:rFonts w:ascii="Rockwell" w:hAnsi="Rockwell"/>
                <w:sz w:val="18"/>
              </w:rPr>
            </w:pPr>
            <w:r w:rsidRPr="00422183">
              <w:rPr>
                <w:rFonts w:ascii="Rockwell" w:hAnsi="Rockwell"/>
                <w:sz w:val="18"/>
              </w:rPr>
              <w:t>95%</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E8632D" w:rsidP="009E077E">
            <w:pPr>
              <w:rPr>
                <w:rFonts w:ascii="Rockwell" w:hAnsi="Rockwell"/>
                <w:sz w:val="18"/>
              </w:rPr>
            </w:pPr>
            <w:r w:rsidRPr="00422183">
              <w:rPr>
                <w:rFonts w:ascii="Rockwell" w:hAnsi="Rockwell"/>
                <w:sz w:val="18"/>
              </w:rPr>
              <w:t>EA 1.1.</w:t>
            </w:r>
            <w:r w:rsidR="009E077E" w:rsidRPr="00422183">
              <w:rPr>
                <w:rFonts w:ascii="Rockwell" w:hAnsi="Rockwell"/>
                <w:sz w:val="18"/>
              </w:rPr>
              <w:t>5</w:t>
            </w:r>
            <w:r w:rsidRPr="00422183">
              <w:rPr>
                <w:rFonts w:ascii="Rockwell" w:hAnsi="Rockwell"/>
                <w:sz w:val="18"/>
              </w:rPr>
              <w:t>. Les coopérations régionale et internationale sont améliorées</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d’internalisation des textes communautaires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La part contributive de la diaspora aux investissements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  MAECBE</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d’évolution du volume de l’aide publique au développement</w:t>
            </w:r>
          </w:p>
        </w:tc>
        <w:tc>
          <w:tcPr>
            <w:tcW w:w="1387" w:type="dxa"/>
            <w:gridSpan w:val="3"/>
          </w:tcPr>
          <w:p w:rsidR="00E8632D" w:rsidRPr="00422183" w:rsidRDefault="00E8632D" w:rsidP="00E8632D">
            <w:pPr>
              <w:rPr>
                <w:rFonts w:ascii="Rockwell" w:hAnsi="Rockwell"/>
                <w:sz w:val="18"/>
              </w:rPr>
            </w:pPr>
            <w:r w:rsidRPr="00422183">
              <w:rPr>
                <w:rFonts w:ascii="Rockwell" w:hAnsi="Rockwell"/>
                <w:sz w:val="16"/>
              </w:rPr>
              <w:t>Rapport sur la coopération au développement</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9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des avis de conformité émis par rapport aux nouveaux projets et programmes à financement extérieur</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9E077E" w:rsidP="00E8632D">
            <w:pPr>
              <w:rPr>
                <w:rFonts w:ascii="Rockwell" w:hAnsi="Rockwell"/>
                <w:sz w:val="18"/>
              </w:rPr>
            </w:pPr>
            <w:r w:rsidRPr="00422183">
              <w:rPr>
                <w:rFonts w:ascii="Rockwell" w:hAnsi="Rockwell"/>
                <w:sz w:val="18"/>
              </w:rPr>
              <w:t>EA 1.1.6</w:t>
            </w:r>
            <w:r w:rsidR="00E8632D" w:rsidRPr="00422183">
              <w:rPr>
                <w:rFonts w:ascii="Rockwell" w:hAnsi="Rockwell"/>
                <w:sz w:val="18"/>
              </w:rPr>
              <w:t xml:space="preserve"> : L’organisation et les méthodes de travail de l’administration publique sont mises à niveau et modernisées</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Niveau de satisfaction des usagers/clients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Enquête usagers</w:t>
            </w:r>
          </w:p>
        </w:tc>
        <w:tc>
          <w:tcPr>
            <w:tcW w:w="1360" w:type="dxa"/>
          </w:tcPr>
          <w:p w:rsidR="00E8632D" w:rsidRPr="00422183" w:rsidRDefault="00E8632D" w:rsidP="00E8632D">
            <w:pPr>
              <w:rPr>
                <w:rFonts w:ascii="Rockwell" w:hAnsi="Rockwell"/>
                <w:sz w:val="18"/>
              </w:rPr>
            </w:pPr>
            <w:r w:rsidRPr="00422183">
              <w:rPr>
                <w:rFonts w:ascii="Rockwell" w:hAnsi="Rockwell"/>
                <w:sz w:val="18"/>
              </w:rPr>
              <w:t>MFPTPS</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50%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Degré de délégation de pouvoir et de crédit aux chefs de circonscriptions administratives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MATDSI</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tcPr>
          <w:p w:rsidR="00E8632D" w:rsidRPr="00422183" w:rsidRDefault="00E8632D" w:rsidP="00E8632D">
            <w:pPr>
              <w:rPr>
                <w:rFonts w:ascii="Rockwell" w:hAnsi="Rockwell"/>
                <w:sz w:val="18"/>
              </w:rPr>
            </w:pPr>
          </w:p>
        </w:tc>
        <w:tc>
          <w:tcPr>
            <w:tcW w:w="870" w:type="dxa"/>
            <w:noWrap/>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 xml:space="preserve">Taux d’OSC suivi </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MATDSI</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tcPr>
          <w:p w:rsidR="00E8632D" w:rsidRPr="00422183" w:rsidRDefault="00E8632D" w:rsidP="00E8632D">
            <w:pPr>
              <w:rPr>
                <w:rFonts w:ascii="Rockwell" w:hAnsi="Rockwell"/>
                <w:sz w:val="18"/>
              </w:rPr>
            </w:pPr>
          </w:p>
        </w:tc>
        <w:tc>
          <w:tcPr>
            <w:tcW w:w="870" w:type="dxa"/>
            <w:noWrap/>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9E077E" w:rsidP="00E8632D">
            <w:pPr>
              <w:rPr>
                <w:rFonts w:ascii="Rockwell" w:hAnsi="Rockwell"/>
                <w:sz w:val="18"/>
              </w:rPr>
            </w:pPr>
            <w:r w:rsidRPr="00422183">
              <w:rPr>
                <w:rFonts w:ascii="Rockwell" w:hAnsi="Rockwell"/>
                <w:sz w:val="18"/>
              </w:rPr>
              <w:t>EA 1.1.7</w:t>
            </w:r>
            <w:r w:rsidR="00E8632D" w:rsidRPr="00422183">
              <w:rPr>
                <w:rFonts w:ascii="Rockwell" w:hAnsi="Rockwell"/>
                <w:sz w:val="18"/>
              </w:rPr>
              <w:t xml:space="preserve"> : le système de redevabilité est développé à tous les niveaux</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Indice sur le budget Ouvert (IBP)</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IBP</w:t>
            </w:r>
          </w:p>
        </w:tc>
        <w:tc>
          <w:tcPr>
            <w:tcW w:w="1360" w:type="dxa"/>
          </w:tcPr>
          <w:p w:rsidR="00E8632D" w:rsidRPr="00422183" w:rsidRDefault="00E8632D" w:rsidP="00E8632D">
            <w:pPr>
              <w:rPr>
                <w:rFonts w:ascii="Rockwell" w:hAnsi="Rockwell"/>
                <w:sz w:val="18"/>
              </w:rPr>
            </w:pPr>
            <w:r w:rsidRPr="00422183">
              <w:rPr>
                <w:rFonts w:ascii="Rockwell" w:hAnsi="Rockwell"/>
                <w:sz w:val="18"/>
              </w:rPr>
              <w:t>CGD 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43/100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50/100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55/100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Indice de perception de la corruption (IPC)</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transparency</w:t>
            </w:r>
          </w:p>
        </w:tc>
        <w:tc>
          <w:tcPr>
            <w:tcW w:w="1360" w:type="dxa"/>
          </w:tcPr>
          <w:p w:rsidR="00E8632D" w:rsidRPr="00422183" w:rsidRDefault="00E8632D" w:rsidP="00E8632D">
            <w:pPr>
              <w:rPr>
                <w:rFonts w:ascii="Rockwell" w:hAnsi="Rockwell"/>
                <w:sz w:val="18"/>
              </w:rPr>
            </w:pPr>
            <w:r w:rsidRPr="00422183">
              <w:rPr>
                <w:rFonts w:ascii="Rockwell" w:hAnsi="Rockwell"/>
                <w:sz w:val="18"/>
              </w:rPr>
              <w:t>Transparency International RENLAC</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38/100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42/100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60/100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Indice Ibrahim pour la gouvernance en Afrique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fondation Mo ibrahim</w:t>
            </w:r>
          </w:p>
        </w:tc>
        <w:tc>
          <w:tcPr>
            <w:tcW w:w="1360" w:type="dxa"/>
          </w:tcPr>
          <w:p w:rsidR="00E8632D" w:rsidRPr="00422183" w:rsidRDefault="00E8632D" w:rsidP="00E8632D">
            <w:pPr>
              <w:rPr>
                <w:rFonts w:ascii="Rockwell" w:hAnsi="Rockwell"/>
                <w:sz w:val="18"/>
              </w:rPr>
            </w:pPr>
            <w:r w:rsidRPr="00422183">
              <w:rPr>
                <w:rFonts w:ascii="Rockwell" w:hAnsi="Rockwell"/>
                <w:sz w:val="18"/>
              </w:rPr>
              <w:t>Fondation Mo Ibrahim</w:t>
            </w:r>
          </w:p>
        </w:tc>
        <w:tc>
          <w:tcPr>
            <w:tcW w:w="1187" w:type="dxa"/>
            <w:gridSpan w:val="2"/>
            <w:noWrap/>
            <w:hideMark/>
          </w:tcPr>
          <w:p w:rsidR="00E8632D" w:rsidRPr="00422183" w:rsidRDefault="00E8632D" w:rsidP="00E8632D">
            <w:pPr>
              <w:rPr>
                <w:rFonts w:ascii="Rockwell" w:hAnsi="Rockwell"/>
                <w:sz w:val="18"/>
              </w:rPr>
            </w:pP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val="restart"/>
            <w:noWrap/>
            <w:hideMark/>
          </w:tcPr>
          <w:p w:rsidR="00E8632D" w:rsidRPr="00422183" w:rsidRDefault="00E8632D" w:rsidP="00E8632D">
            <w:pPr>
              <w:rPr>
                <w:rFonts w:ascii="Rockwell" w:hAnsi="Rockwell"/>
                <w:sz w:val="18"/>
              </w:rPr>
            </w:pPr>
            <w:r w:rsidRPr="00422183">
              <w:rPr>
                <w:rFonts w:ascii="Rockwell" w:hAnsi="Rockwell"/>
                <w:sz w:val="18"/>
              </w:rPr>
              <w:t>EA 1.2.1 : La planification, la gestion et le financement du processus de développement sont efficaces</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des référentiels de planification/programmation validés par la CNPD</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des départements ministériels appliquant le Budget-programme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MINEFID </w:t>
            </w:r>
          </w:p>
          <w:p w:rsidR="00E8632D" w:rsidRPr="00422183" w:rsidRDefault="00E8632D" w:rsidP="00E8632D">
            <w:pPr>
              <w:rPr>
                <w:rFonts w:ascii="Rockwell" w:hAnsi="Rockwell"/>
                <w:sz w:val="18"/>
              </w:rPr>
            </w:pPr>
            <w:r w:rsidRPr="00422183">
              <w:rPr>
                <w:rFonts w:ascii="Rockwell" w:hAnsi="Rockwell"/>
                <w:sz w:val="18"/>
              </w:rPr>
              <w:t>toutes structures</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de pression fiscale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14,2%</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19,1%</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20,1%</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d’absorption des ressources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59% (2014)</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 xml:space="preserve">Taux de prévisibilité de l’aide </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RCD</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60%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80%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Proportion des PTF appliquant la division du travail</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RCD</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tcPr>
          <w:p w:rsidR="00E8632D" w:rsidRPr="00422183" w:rsidRDefault="00E8632D" w:rsidP="00E8632D">
            <w:pPr>
              <w:rPr>
                <w:rFonts w:ascii="Rockwell" w:hAnsi="Rockwell"/>
                <w:sz w:val="18"/>
              </w:rPr>
            </w:pPr>
            <w:r w:rsidRPr="00422183">
              <w:rPr>
                <w:rFonts w:ascii="Rockwell" w:hAnsi="Rockwell"/>
                <w:sz w:val="18"/>
              </w:rPr>
              <w:t>65%</w:t>
            </w:r>
          </w:p>
        </w:tc>
        <w:tc>
          <w:tcPr>
            <w:tcW w:w="870" w:type="dxa"/>
            <w:noWrap/>
          </w:tcPr>
          <w:p w:rsidR="00E8632D" w:rsidRPr="00422183" w:rsidRDefault="00E8632D" w:rsidP="00E8632D">
            <w:pPr>
              <w:rPr>
                <w:rFonts w:ascii="Rockwell" w:hAnsi="Rockwell"/>
                <w:sz w:val="18"/>
              </w:rPr>
            </w:pPr>
            <w:r w:rsidRPr="00422183">
              <w:rPr>
                <w:rFonts w:ascii="Rockwell" w:hAnsi="Rockwell"/>
                <w:sz w:val="18"/>
              </w:rPr>
              <w:t>90%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des dossiers judiciaires sur la fraude, le faux et le blanchiment classés sans suite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ASCE-LC</w:t>
            </w:r>
          </w:p>
        </w:tc>
        <w:tc>
          <w:tcPr>
            <w:tcW w:w="1360" w:type="dxa"/>
          </w:tcPr>
          <w:p w:rsidR="00E8632D" w:rsidRPr="00422183" w:rsidRDefault="00E8632D" w:rsidP="00E8632D">
            <w:pPr>
              <w:rPr>
                <w:rFonts w:ascii="Rockwell" w:hAnsi="Rockwell"/>
                <w:sz w:val="18"/>
              </w:rPr>
            </w:pPr>
            <w:r w:rsidRPr="00422183">
              <w:rPr>
                <w:rFonts w:ascii="Rockwell" w:hAnsi="Rockwell"/>
                <w:sz w:val="18"/>
              </w:rPr>
              <w:t>ASCE-LC</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E8632D" w:rsidP="00E8632D">
            <w:pPr>
              <w:rPr>
                <w:rFonts w:ascii="Rockwell" w:hAnsi="Rockwell"/>
                <w:sz w:val="18"/>
              </w:rPr>
            </w:pPr>
            <w:r w:rsidRPr="00422183">
              <w:rPr>
                <w:rFonts w:ascii="Rockwell" w:hAnsi="Rockwell"/>
                <w:sz w:val="18"/>
              </w:rPr>
              <w:t>EA 1.2.2 : l’environnement des affaires est plus incitatif et le secteur privé renforcé dans ses capacités d’initiatives et de gestion</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Classement Doing business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doing business</w:t>
            </w:r>
          </w:p>
        </w:tc>
        <w:tc>
          <w:tcPr>
            <w:tcW w:w="1360" w:type="dxa"/>
          </w:tcPr>
          <w:p w:rsidR="00E8632D" w:rsidRPr="00422183" w:rsidRDefault="00E8632D" w:rsidP="00E8632D">
            <w:pPr>
              <w:rPr>
                <w:rFonts w:ascii="Rockwell" w:hAnsi="Rockwell"/>
                <w:sz w:val="18"/>
              </w:rPr>
            </w:pPr>
            <w:r w:rsidRPr="00422183">
              <w:rPr>
                <w:rFonts w:ascii="Rockwell" w:hAnsi="Rockwell"/>
                <w:sz w:val="18"/>
              </w:rPr>
              <w:t>BM</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 xml:space="preserve">143 sur 189 </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 xml:space="preserve">130 </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La part du secteur informel dans la valeur ajoutée du secteur tertiaire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Comptes Nationaux</w:t>
            </w:r>
          </w:p>
          <w:p w:rsidR="00E8632D" w:rsidRPr="00422183" w:rsidRDefault="00E8632D" w:rsidP="00E8632D">
            <w:pPr>
              <w:rPr>
                <w:rFonts w:ascii="Rockwell" w:hAnsi="Rockwell"/>
                <w:sz w:val="18"/>
              </w:rPr>
            </w:pPr>
            <w:r w:rsidRPr="00422183">
              <w:rPr>
                <w:rFonts w:ascii="Rockwell" w:hAnsi="Rockwell"/>
                <w:sz w:val="18"/>
              </w:rPr>
              <w:t xml:space="preserve">Notes techniques budget-Eco </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20,7%</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15%</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0D7C55" w:rsidRPr="00422183" w:rsidTr="00E8632D">
        <w:trPr>
          <w:trHeight w:val="600"/>
        </w:trPr>
        <w:tc>
          <w:tcPr>
            <w:tcW w:w="2395" w:type="dxa"/>
            <w:vMerge w:val="restart"/>
            <w:noWrap/>
            <w:hideMark/>
          </w:tcPr>
          <w:p w:rsidR="000D7C55" w:rsidRPr="00422183" w:rsidRDefault="000D7C55" w:rsidP="00E8632D">
            <w:pPr>
              <w:rPr>
                <w:rFonts w:ascii="Rockwell" w:hAnsi="Rockwell"/>
                <w:sz w:val="18"/>
              </w:rPr>
            </w:pPr>
            <w:r w:rsidRPr="00422183">
              <w:rPr>
                <w:rFonts w:ascii="Rockwell" w:hAnsi="Rockwell"/>
                <w:sz w:val="18"/>
              </w:rPr>
              <w:t>EA 1.3.1. L'efficacité de la décentralisation et de la gouvernance locale s'est améliorée</w:t>
            </w:r>
          </w:p>
        </w:tc>
        <w:tc>
          <w:tcPr>
            <w:tcW w:w="2613" w:type="dxa"/>
            <w:gridSpan w:val="2"/>
            <w:hideMark/>
          </w:tcPr>
          <w:p w:rsidR="000D7C55" w:rsidRPr="00422183" w:rsidRDefault="000D7C55" w:rsidP="00E8632D">
            <w:pPr>
              <w:rPr>
                <w:rFonts w:ascii="Rockwell" w:hAnsi="Rockwell"/>
                <w:sz w:val="18"/>
              </w:rPr>
            </w:pPr>
            <w:r w:rsidRPr="00422183">
              <w:rPr>
                <w:rFonts w:ascii="Rockwell" w:hAnsi="Rockwell"/>
                <w:sz w:val="18"/>
              </w:rPr>
              <w:t>Part du budget de l'Etat transférée aux collectivités territoriales</w:t>
            </w:r>
          </w:p>
        </w:tc>
        <w:tc>
          <w:tcPr>
            <w:tcW w:w="1387" w:type="dxa"/>
            <w:gridSpan w:val="3"/>
          </w:tcPr>
          <w:p w:rsidR="000D7C55" w:rsidRPr="00422183" w:rsidRDefault="000D7C55" w:rsidP="00E8632D">
            <w:pPr>
              <w:rPr>
                <w:rFonts w:ascii="Rockwell" w:hAnsi="Rockwell"/>
                <w:sz w:val="18"/>
              </w:rPr>
            </w:pPr>
            <w:r w:rsidRPr="00422183">
              <w:rPr>
                <w:rFonts w:ascii="Rockwell" w:hAnsi="Rockwell"/>
                <w:sz w:val="18"/>
              </w:rPr>
              <w:t>Rapport POSEF</w:t>
            </w:r>
          </w:p>
        </w:tc>
        <w:tc>
          <w:tcPr>
            <w:tcW w:w="1360" w:type="dxa"/>
          </w:tcPr>
          <w:p w:rsidR="000D7C55" w:rsidRPr="00422183" w:rsidRDefault="000D7C55" w:rsidP="00E8632D">
            <w:pPr>
              <w:rPr>
                <w:rFonts w:ascii="Rockwell" w:hAnsi="Rockwell"/>
                <w:sz w:val="18"/>
              </w:rPr>
            </w:pPr>
            <w:r w:rsidRPr="00422183">
              <w:rPr>
                <w:rFonts w:ascii="Rockwell" w:hAnsi="Rockwell"/>
                <w:sz w:val="18"/>
              </w:rPr>
              <w:t>MINEFID</w:t>
            </w:r>
          </w:p>
        </w:tc>
        <w:tc>
          <w:tcPr>
            <w:tcW w:w="1187" w:type="dxa"/>
            <w:gridSpan w:val="2"/>
            <w:noWrap/>
            <w:hideMark/>
          </w:tcPr>
          <w:p w:rsidR="000D7C55" w:rsidRPr="00422183" w:rsidRDefault="000D7C55" w:rsidP="00E8632D">
            <w:pPr>
              <w:rPr>
                <w:rFonts w:ascii="Rockwell" w:hAnsi="Rockwell"/>
                <w:sz w:val="18"/>
              </w:rPr>
            </w:pPr>
            <w:r w:rsidRPr="00422183">
              <w:rPr>
                <w:rFonts w:ascii="Rockwell" w:hAnsi="Rockwell"/>
                <w:sz w:val="18"/>
              </w:rPr>
              <w:t>4,65%</w:t>
            </w:r>
          </w:p>
        </w:tc>
        <w:tc>
          <w:tcPr>
            <w:tcW w:w="974" w:type="dxa"/>
            <w:noWrap/>
            <w:hideMark/>
          </w:tcPr>
          <w:p w:rsidR="000D7C55" w:rsidRPr="00422183" w:rsidRDefault="000D7C55" w:rsidP="00E8632D">
            <w:pPr>
              <w:rPr>
                <w:rFonts w:ascii="Rockwell" w:hAnsi="Rockwell"/>
                <w:sz w:val="18"/>
              </w:rPr>
            </w:pPr>
            <w:r w:rsidRPr="00422183">
              <w:rPr>
                <w:rFonts w:ascii="Rockwell" w:hAnsi="Rockwell"/>
                <w:sz w:val="18"/>
              </w:rPr>
              <w:t>7%</w:t>
            </w:r>
          </w:p>
        </w:tc>
        <w:tc>
          <w:tcPr>
            <w:tcW w:w="870" w:type="dxa"/>
            <w:noWrap/>
            <w:hideMark/>
          </w:tcPr>
          <w:p w:rsidR="000D7C55" w:rsidRPr="00422183" w:rsidRDefault="000D7C55" w:rsidP="00E8632D">
            <w:pPr>
              <w:rPr>
                <w:rFonts w:ascii="Rockwell" w:hAnsi="Rockwell"/>
                <w:sz w:val="18"/>
              </w:rPr>
            </w:pPr>
            <w:r w:rsidRPr="00422183">
              <w:rPr>
                <w:rFonts w:ascii="Rockwell" w:hAnsi="Rockwell"/>
                <w:sz w:val="18"/>
              </w:rPr>
              <w:t>10%</w:t>
            </w:r>
          </w:p>
        </w:tc>
        <w:tc>
          <w:tcPr>
            <w:tcW w:w="614" w:type="dxa"/>
          </w:tcPr>
          <w:p w:rsidR="000D7C55" w:rsidRPr="00422183" w:rsidRDefault="000D7C55" w:rsidP="00E8632D">
            <w:pPr>
              <w:rPr>
                <w:rFonts w:ascii="Rockwell" w:hAnsi="Rockwell"/>
                <w:sz w:val="18"/>
              </w:rPr>
            </w:pPr>
          </w:p>
        </w:tc>
        <w:tc>
          <w:tcPr>
            <w:tcW w:w="614" w:type="dxa"/>
          </w:tcPr>
          <w:p w:rsidR="000D7C55" w:rsidRPr="00422183" w:rsidRDefault="000D7C55" w:rsidP="00E8632D">
            <w:pPr>
              <w:rPr>
                <w:rFonts w:ascii="Rockwell" w:hAnsi="Rockwell"/>
                <w:sz w:val="18"/>
              </w:rPr>
            </w:pPr>
          </w:p>
        </w:tc>
        <w:tc>
          <w:tcPr>
            <w:tcW w:w="1049" w:type="dxa"/>
          </w:tcPr>
          <w:p w:rsidR="000D7C55" w:rsidRPr="00422183" w:rsidRDefault="000D7C55" w:rsidP="00E8632D">
            <w:pPr>
              <w:rPr>
                <w:rFonts w:ascii="Rockwell" w:hAnsi="Rockwell"/>
                <w:sz w:val="18"/>
              </w:rPr>
            </w:pPr>
          </w:p>
        </w:tc>
        <w:tc>
          <w:tcPr>
            <w:tcW w:w="1225" w:type="dxa"/>
          </w:tcPr>
          <w:p w:rsidR="000D7C55" w:rsidRPr="00422183" w:rsidRDefault="000D7C55" w:rsidP="00E8632D">
            <w:pPr>
              <w:rPr>
                <w:rFonts w:ascii="Rockwell" w:hAnsi="Rockwell"/>
                <w:sz w:val="18"/>
              </w:rPr>
            </w:pPr>
          </w:p>
        </w:tc>
        <w:tc>
          <w:tcPr>
            <w:tcW w:w="1211" w:type="dxa"/>
          </w:tcPr>
          <w:p w:rsidR="000D7C55" w:rsidRPr="00422183" w:rsidRDefault="000D7C55" w:rsidP="00E8632D">
            <w:pPr>
              <w:rPr>
                <w:rFonts w:ascii="Rockwell" w:hAnsi="Rockwell"/>
                <w:sz w:val="18"/>
              </w:rPr>
            </w:pPr>
          </w:p>
        </w:tc>
      </w:tr>
      <w:tr w:rsidR="000D7C55" w:rsidRPr="00422183" w:rsidTr="00E8632D">
        <w:trPr>
          <w:trHeight w:val="600"/>
        </w:trPr>
        <w:tc>
          <w:tcPr>
            <w:tcW w:w="2395" w:type="dxa"/>
            <w:vMerge/>
            <w:noWrap/>
          </w:tcPr>
          <w:p w:rsidR="000D7C55" w:rsidRPr="00422183" w:rsidRDefault="000D7C55" w:rsidP="00E8632D">
            <w:pPr>
              <w:rPr>
                <w:rFonts w:ascii="Rockwell" w:hAnsi="Rockwell"/>
                <w:sz w:val="18"/>
              </w:rPr>
            </w:pPr>
          </w:p>
        </w:tc>
        <w:tc>
          <w:tcPr>
            <w:tcW w:w="2613" w:type="dxa"/>
            <w:gridSpan w:val="2"/>
          </w:tcPr>
          <w:p w:rsidR="000D7C55" w:rsidRPr="00422183" w:rsidRDefault="000D7C55" w:rsidP="00E8632D">
            <w:pPr>
              <w:rPr>
                <w:rFonts w:ascii="Rockwell" w:hAnsi="Rockwell"/>
                <w:sz w:val="18"/>
              </w:rPr>
            </w:pPr>
            <w:r w:rsidRPr="00422183">
              <w:rPr>
                <w:rFonts w:ascii="Rockwell" w:hAnsi="Rockwell"/>
                <w:sz w:val="18"/>
              </w:rPr>
              <w:t>Pourcentage d’usagers satisfaits des prestations des collectivités territoriales</w:t>
            </w:r>
          </w:p>
        </w:tc>
        <w:tc>
          <w:tcPr>
            <w:tcW w:w="1387" w:type="dxa"/>
            <w:gridSpan w:val="3"/>
          </w:tcPr>
          <w:p w:rsidR="000D7C55" w:rsidRPr="00422183" w:rsidRDefault="000D7C55" w:rsidP="00E8632D">
            <w:pPr>
              <w:rPr>
                <w:rFonts w:ascii="Rockwell" w:hAnsi="Rockwell"/>
                <w:sz w:val="18"/>
              </w:rPr>
            </w:pPr>
            <w:r w:rsidRPr="00422183">
              <w:rPr>
                <w:rFonts w:ascii="Rockwell" w:hAnsi="Rockwell"/>
                <w:sz w:val="18"/>
              </w:rPr>
              <w:t>Rapport d’enquête</w:t>
            </w:r>
          </w:p>
        </w:tc>
        <w:tc>
          <w:tcPr>
            <w:tcW w:w="1360" w:type="dxa"/>
          </w:tcPr>
          <w:p w:rsidR="000D7C55" w:rsidRPr="00422183" w:rsidRDefault="000D7C55" w:rsidP="00E8632D">
            <w:pPr>
              <w:rPr>
                <w:rFonts w:ascii="Rockwell" w:hAnsi="Rockwell"/>
                <w:sz w:val="18"/>
              </w:rPr>
            </w:pPr>
            <w:r w:rsidRPr="00422183">
              <w:rPr>
                <w:rFonts w:ascii="Rockwell" w:hAnsi="Rockwell"/>
                <w:sz w:val="18"/>
              </w:rPr>
              <w:t>MATDSI</w:t>
            </w:r>
          </w:p>
        </w:tc>
        <w:tc>
          <w:tcPr>
            <w:tcW w:w="1187" w:type="dxa"/>
            <w:gridSpan w:val="2"/>
            <w:noWrap/>
          </w:tcPr>
          <w:p w:rsidR="000D7C55" w:rsidRPr="00422183" w:rsidRDefault="000D7C55" w:rsidP="00E8632D">
            <w:pPr>
              <w:rPr>
                <w:rFonts w:ascii="Rockwell" w:hAnsi="Rockwell"/>
                <w:sz w:val="18"/>
              </w:rPr>
            </w:pPr>
            <w:r w:rsidRPr="00422183">
              <w:rPr>
                <w:rFonts w:ascii="Rockwell" w:hAnsi="Rockwell"/>
                <w:sz w:val="18"/>
              </w:rPr>
              <w:t>ND</w:t>
            </w:r>
          </w:p>
        </w:tc>
        <w:tc>
          <w:tcPr>
            <w:tcW w:w="974" w:type="dxa"/>
            <w:noWrap/>
          </w:tcPr>
          <w:p w:rsidR="000D7C55" w:rsidRPr="00422183" w:rsidRDefault="000D7C55" w:rsidP="00E8632D">
            <w:pPr>
              <w:rPr>
                <w:rFonts w:ascii="Rockwell" w:hAnsi="Rockwell"/>
                <w:sz w:val="18"/>
              </w:rPr>
            </w:pPr>
            <w:r w:rsidRPr="00422183">
              <w:rPr>
                <w:rFonts w:ascii="Rockwell" w:hAnsi="Rockwell"/>
                <w:sz w:val="18"/>
              </w:rPr>
              <w:t>50%</w:t>
            </w:r>
          </w:p>
        </w:tc>
        <w:tc>
          <w:tcPr>
            <w:tcW w:w="870" w:type="dxa"/>
            <w:noWrap/>
          </w:tcPr>
          <w:p w:rsidR="000D7C55" w:rsidRPr="00422183" w:rsidRDefault="000D7C55" w:rsidP="00E8632D">
            <w:pPr>
              <w:rPr>
                <w:rFonts w:ascii="Rockwell" w:hAnsi="Rockwell"/>
                <w:sz w:val="18"/>
              </w:rPr>
            </w:pPr>
            <w:r w:rsidRPr="00422183">
              <w:rPr>
                <w:rFonts w:ascii="Rockwell" w:hAnsi="Rockwell"/>
                <w:sz w:val="18"/>
              </w:rPr>
              <w:t>80%</w:t>
            </w:r>
          </w:p>
        </w:tc>
        <w:tc>
          <w:tcPr>
            <w:tcW w:w="614" w:type="dxa"/>
          </w:tcPr>
          <w:p w:rsidR="000D7C55" w:rsidRPr="00422183" w:rsidRDefault="000D7C55" w:rsidP="00E8632D">
            <w:pPr>
              <w:rPr>
                <w:rFonts w:ascii="Rockwell" w:hAnsi="Rockwell"/>
                <w:sz w:val="18"/>
              </w:rPr>
            </w:pPr>
          </w:p>
        </w:tc>
        <w:tc>
          <w:tcPr>
            <w:tcW w:w="614" w:type="dxa"/>
          </w:tcPr>
          <w:p w:rsidR="000D7C55" w:rsidRPr="00422183" w:rsidRDefault="000D7C55" w:rsidP="00E8632D">
            <w:pPr>
              <w:rPr>
                <w:rFonts w:ascii="Rockwell" w:hAnsi="Rockwell"/>
                <w:sz w:val="18"/>
              </w:rPr>
            </w:pPr>
          </w:p>
        </w:tc>
        <w:tc>
          <w:tcPr>
            <w:tcW w:w="1049" w:type="dxa"/>
          </w:tcPr>
          <w:p w:rsidR="000D7C55" w:rsidRPr="00422183" w:rsidRDefault="000D7C55" w:rsidP="00E8632D">
            <w:pPr>
              <w:rPr>
                <w:rFonts w:ascii="Rockwell" w:hAnsi="Rockwell"/>
                <w:sz w:val="18"/>
              </w:rPr>
            </w:pPr>
          </w:p>
        </w:tc>
        <w:tc>
          <w:tcPr>
            <w:tcW w:w="1225" w:type="dxa"/>
          </w:tcPr>
          <w:p w:rsidR="000D7C55" w:rsidRPr="00422183" w:rsidRDefault="000D7C55" w:rsidP="00E8632D">
            <w:pPr>
              <w:rPr>
                <w:rFonts w:ascii="Rockwell" w:hAnsi="Rockwell"/>
                <w:sz w:val="18"/>
              </w:rPr>
            </w:pPr>
          </w:p>
        </w:tc>
        <w:tc>
          <w:tcPr>
            <w:tcW w:w="1211" w:type="dxa"/>
          </w:tcPr>
          <w:p w:rsidR="000D7C55" w:rsidRPr="00422183" w:rsidRDefault="000D7C55" w:rsidP="00E8632D">
            <w:pPr>
              <w:rPr>
                <w:rFonts w:ascii="Rockwell" w:hAnsi="Rockwell"/>
                <w:sz w:val="18"/>
              </w:rPr>
            </w:pPr>
          </w:p>
        </w:tc>
      </w:tr>
      <w:tr w:rsidR="00E8632D" w:rsidRPr="00422183" w:rsidTr="00E8632D">
        <w:trPr>
          <w:trHeight w:val="600"/>
        </w:trPr>
        <w:tc>
          <w:tcPr>
            <w:tcW w:w="2395" w:type="dxa"/>
            <w:vMerge w:val="restart"/>
            <w:noWrap/>
            <w:hideMark/>
          </w:tcPr>
          <w:p w:rsidR="00E8632D" w:rsidRPr="00422183" w:rsidRDefault="00E8632D" w:rsidP="00E8632D">
            <w:pPr>
              <w:rPr>
                <w:rFonts w:ascii="Rockwell" w:hAnsi="Rockwell"/>
                <w:sz w:val="18"/>
              </w:rPr>
            </w:pPr>
            <w:r w:rsidRPr="00422183">
              <w:rPr>
                <w:rFonts w:ascii="Rockwell" w:hAnsi="Rockwell"/>
                <w:sz w:val="18"/>
              </w:rPr>
              <w:t>EA 1.3.2 . La qualité de la gouvernance du développement régional et l'aménagement du territoire créeront des meilleures conditions pour la dynamisation des économies locales et la réduction des disparités régionales </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des référentiels sectoriels et locaux intégrant les orientations du SNADDT</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MINEFID</w:t>
            </w:r>
          </w:p>
        </w:tc>
        <w:tc>
          <w:tcPr>
            <w:tcW w:w="1187" w:type="dxa"/>
            <w:gridSpan w:val="2"/>
            <w:noWrap/>
            <w:hideMark/>
          </w:tcPr>
          <w:p w:rsidR="00E8632D" w:rsidRPr="00422183" w:rsidRDefault="000D7C55" w:rsidP="00E8632D">
            <w:pPr>
              <w:rPr>
                <w:rFonts w:ascii="Rockwell" w:hAnsi="Rockwell"/>
                <w:sz w:val="18"/>
              </w:rPr>
            </w:pPr>
            <w:r w:rsidRPr="00422183">
              <w:rPr>
                <w:rFonts w:ascii="Rockwell" w:hAnsi="Rockwell"/>
                <w:sz w:val="18"/>
              </w:rPr>
              <w:t>0%</w:t>
            </w:r>
          </w:p>
        </w:tc>
        <w:tc>
          <w:tcPr>
            <w:tcW w:w="974" w:type="dxa"/>
            <w:noWrap/>
            <w:hideMark/>
          </w:tcPr>
          <w:p w:rsidR="00E8632D" w:rsidRPr="00422183" w:rsidRDefault="000D7C55" w:rsidP="00E8632D">
            <w:pPr>
              <w:rPr>
                <w:rFonts w:ascii="Rockwell" w:hAnsi="Rockwell"/>
                <w:sz w:val="18"/>
              </w:rPr>
            </w:pPr>
            <w:r w:rsidRPr="00422183">
              <w:rPr>
                <w:rFonts w:ascii="Rockwell" w:hAnsi="Rockwell"/>
                <w:sz w:val="18"/>
              </w:rPr>
              <w:t>100%</w:t>
            </w:r>
          </w:p>
        </w:tc>
        <w:tc>
          <w:tcPr>
            <w:tcW w:w="870" w:type="dxa"/>
            <w:noWrap/>
            <w:hideMark/>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 xml:space="preserve">Taux de réalisation des effets attendus des Plans locaux de développement </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Rapports annuels régionaux</w:t>
            </w:r>
          </w:p>
        </w:tc>
        <w:tc>
          <w:tcPr>
            <w:tcW w:w="1360" w:type="dxa"/>
          </w:tcPr>
          <w:p w:rsidR="00E8632D" w:rsidRPr="00422183" w:rsidRDefault="00E8632D" w:rsidP="00E8632D">
            <w:pPr>
              <w:rPr>
                <w:rFonts w:ascii="Rockwell" w:hAnsi="Rockwell"/>
                <w:sz w:val="18"/>
              </w:rPr>
            </w:pPr>
            <w:r w:rsidRPr="00422183">
              <w:rPr>
                <w:rFonts w:ascii="Rockwell" w:hAnsi="Rockwell"/>
                <w:sz w:val="18"/>
              </w:rPr>
              <w:t>SP-PNDES</w:t>
            </w:r>
          </w:p>
        </w:tc>
        <w:tc>
          <w:tcPr>
            <w:tcW w:w="1187" w:type="dxa"/>
            <w:gridSpan w:val="2"/>
            <w:noWrap/>
            <w:hideMark/>
          </w:tcPr>
          <w:p w:rsidR="00E8632D" w:rsidRPr="00422183" w:rsidRDefault="000D7C55" w:rsidP="00E8632D">
            <w:pPr>
              <w:rPr>
                <w:rFonts w:ascii="Rockwell" w:hAnsi="Rockwell"/>
                <w:sz w:val="18"/>
              </w:rPr>
            </w:pPr>
            <w:r w:rsidRPr="00422183">
              <w:rPr>
                <w:rFonts w:ascii="Rockwell" w:hAnsi="Rockwell"/>
                <w:sz w:val="18"/>
              </w:rPr>
              <w:t>ND</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60%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75%</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E8632D" w:rsidP="00E8632D">
            <w:pPr>
              <w:rPr>
                <w:rFonts w:ascii="Rockwell" w:hAnsi="Rockwell"/>
                <w:sz w:val="18"/>
              </w:rPr>
            </w:pPr>
            <w:r w:rsidRPr="00422183">
              <w:rPr>
                <w:rFonts w:ascii="Rockwell" w:hAnsi="Rockwell"/>
                <w:sz w:val="18"/>
              </w:rPr>
              <w:t xml:space="preserve">EA 2.1.1 : L'accès aux services de santé de qualité est garanti à tous </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de mortalité maternelle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EDS et RGPH</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rPr>
            </w:pPr>
            <w:r w:rsidRPr="00422183">
              <w:rPr>
                <w:rFonts w:ascii="Rockwell" w:hAnsi="Rockwell"/>
                <w:sz w:val="18"/>
              </w:rPr>
              <w:t>INSD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330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290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242</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Quotient de mortalité infanto-juvénile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EDS</w:t>
            </w:r>
          </w:p>
        </w:tc>
        <w:tc>
          <w:tcPr>
            <w:tcW w:w="1360" w:type="dxa"/>
          </w:tcPr>
          <w:p w:rsidR="00E8632D" w:rsidRPr="00422183" w:rsidRDefault="00E8632D" w:rsidP="00E8632D">
            <w:pPr>
              <w:rPr>
                <w:rFonts w:ascii="Rockwell" w:hAnsi="Rockwell"/>
                <w:sz w:val="18"/>
              </w:rPr>
            </w:pPr>
            <w:r w:rsidRPr="00422183">
              <w:rPr>
                <w:rFonts w:ascii="Rockwell" w:hAnsi="Rockwell"/>
                <w:sz w:val="18"/>
              </w:rPr>
              <w:t>INSD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81,6</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69</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54,7</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Taux de létalité du paludisme grave chez les enfants de moins de 5 ans</w:t>
            </w:r>
          </w:p>
        </w:tc>
        <w:tc>
          <w:tcPr>
            <w:tcW w:w="1387" w:type="dxa"/>
            <w:gridSpan w:val="3"/>
          </w:tcPr>
          <w:p w:rsidR="00E8632D" w:rsidRPr="00422183" w:rsidRDefault="00E8632D" w:rsidP="00E8632D">
            <w:pPr>
              <w:rPr>
                <w:rFonts w:ascii="Rockwell" w:hAnsi="Rockwell"/>
                <w:sz w:val="18"/>
                <w:lang w:val="fr-BE"/>
              </w:rPr>
            </w:pPr>
            <w:r w:rsidRPr="00422183">
              <w:rPr>
                <w:rFonts w:ascii="Rockwell" w:hAnsi="Rockwell"/>
                <w:sz w:val="18"/>
              </w:rPr>
              <w:t>EDS / 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lang w:val="fr-BE"/>
              </w:rPr>
            </w:pPr>
            <w:r w:rsidRPr="00422183">
              <w:rPr>
                <w:rFonts w:ascii="Rockwell" w:hAnsi="Rockwell"/>
                <w:sz w:val="18"/>
              </w:rPr>
              <w:t>INSD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lang w:val="fr-BE"/>
              </w:rPr>
              <w:t>1,4% </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1%</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lang w:val="fr-BE"/>
              </w:rPr>
              <w:t>&lt;1%</w:t>
            </w:r>
          </w:p>
        </w:tc>
        <w:tc>
          <w:tcPr>
            <w:tcW w:w="614" w:type="dxa"/>
          </w:tcPr>
          <w:p w:rsidR="00E8632D" w:rsidRPr="00422183" w:rsidRDefault="00E8632D" w:rsidP="00E8632D">
            <w:pPr>
              <w:rPr>
                <w:rFonts w:ascii="Rockwell" w:hAnsi="Rockwell"/>
                <w:sz w:val="18"/>
                <w:lang w:val="fr-BE"/>
              </w:rPr>
            </w:pPr>
          </w:p>
        </w:tc>
        <w:tc>
          <w:tcPr>
            <w:tcW w:w="614" w:type="dxa"/>
          </w:tcPr>
          <w:p w:rsidR="00E8632D" w:rsidRPr="00422183" w:rsidRDefault="00E8632D" w:rsidP="00E8632D">
            <w:pPr>
              <w:rPr>
                <w:rFonts w:ascii="Rockwell" w:hAnsi="Rockwell"/>
                <w:sz w:val="18"/>
                <w:lang w:val="fr-BE"/>
              </w:rPr>
            </w:pPr>
          </w:p>
        </w:tc>
        <w:tc>
          <w:tcPr>
            <w:tcW w:w="1049" w:type="dxa"/>
          </w:tcPr>
          <w:p w:rsidR="00E8632D" w:rsidRPr="00422183" w:rsidRDefault="00E8632D" w:rsidP="00E8632D">
            <w:pPr>
              <w:rPr>
                <w:rFonts w:ascii="Rockwell" w:hAnsi="Rockwell"/>
                <w:sz w:val="18"/>
                <w:lang w:val="fr-BE"/>
              </w:rPr>
            </w:pPr>
          </w:p>
        </w:tc>
        <w:tc>
          <w:tcPr>
            <w:tcW w:w="1225" w:type="dxa"/>
          </w:tcPr>
          <w:p w:rsidR="00E8632D" w:rsidRPr="00422183" w:rsidRDefault="00E8632D" w:rsidP="00E8632D">
            <w:pPr>
              <w:rPr>
                <w:rFonts w:ascii="Rockwell" w:hAnsi="Rockwell"/>
                <w:sz w:val="18"/>
                <w:lang w:val="fr-BE"/>
              </w:rPr>
            </w:pPr>
          </w:p>
        </w:tc>
        <w:tc>
          <w:tcPr>
            <w:tcW w:w="1211" w:type="dxa"/>
          </w:tcPr>
          <w:p w:rsidR="00E8632D" w:rsidRPr="00422183" w:rsidRDefault="00E8632D" w:rsidP="00E8632D">
            <w:pPr>
              <w:rPr>
                <w:rFonts w:ascii="Rockwell" w:hAnsi="Rockwell"/>
                <w:sz w:val="18"/>
                <w:lang w:val="fr-BE"/>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Taux de mortalité intra hospitalière (pour mille) (CHU,CHR, HD)</w:t>
            </w:r>
          </w:p>
        </w:tc>
        <w:tc>
          <w:tcPr>
            <w:tcW w:w="1387" w:type="dxa"/>
            <w:gridSpan w:val="3"/>
          </w:tcPr>
          <w:p w:rsidR="00E8632D" w:rsidRPr="00422183" w:rsidRDefault="00E8632D" w:rsidP="00E8632D">
            <w:pPr>
              <w:rPr>
                <w:rFonts w:ascii="Rockwell" w:hAnsi="Rockwell"/>
                <w:sz w:val="18"/>
                <w:lang w:val="fr-BE"/>
              </w:rPr>
            </w:pPr>
            <w:r w:rsidRPr="00422183">
              <w:rPr>
                <w:rFonts w:ascii="Rockwell" w:hAnsi="Rockwell"/>
                <w:sz w:val="18"/>
              </w:rPr>
              <w:t>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lang w:val="fr-BE"/>
              </w:rPr>
            </w:pPr>
          </w:p>
        </w:tc>
        <w:tc>
          <w:tcPr>
            <w:tcW w:w="1187" w:type="dxa"/>
            <w:gridSpan w:val="2"/>
            <w:noWrap/>
            <w:hideMark/>
          </w:tcPr>
          <w:p w:rsidR="00E8632D" w:rsidRPr="00422183" w:rsidRDefault="000D7C55" w:rsidP="00E8632D">
            <w:pPr>
              <w:rPr>
                <w:rFonts w:ascii="Rockwell" w:hAnsi="Rockwell"/>
                <w:sz w:val="18"/>
              </w:rPr>
            </w:pPr>
            <w:r w:rsidRPr="00422183">
              <w:rPr>
                <w:rFonts w:ascii="Rockwell" w:hAnsi="Rockwell"/>
                <w:sz w:val="18"/>
                <w:lang w:val="fr-BE"/>
              </w:rPr>
              <w:t>63,1</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 xml:space="preserve">57 </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lang w:val="fr-BE"/>
              </w:rPr>
              <w:t xml:space="preserve">&lt;50 </w:t>
            </w:r>
          </w:p>
        </w:tc>
        <w:tc>
          <w:tcPr>
            <w:tcW w:w="614" w:type="dxa"/>
          </w:tcPr>
          <w:p w:rsidR="00E8632D" w:rsidRPr="00422183" w:rsidRDefault="00E8632D" w:rsidP="00E8632D">
            <w:pPr>
              <w:rPr>
                <w:rFonts w:ascii="Rockwell" w:hAnsi="Rockwell"/>
                <w:sz w:val="18"/>
                <w:lang w:val="fr-BE"/>
              </w:rPr>
            </w:pPr>
          </w:p>
        </w:tc>
        <w:tc>
          <w:tcPr>
            <w:tcW w:w="614" w:type="dxa"/>
          </w:tcPr>
          <w:p w:rsidR="00E8632D" w:rsidRPr="00422183" w:rsidRDefault="00E8632D" w:rsidP="00E8632D">
            <w:pPr>
              <w:rPr>
                <w:rFonts w:ascii="Rockwell" w:hAnsi="Rockwell"/>
                <w:sz w:val="18"/>
                <w:lang w:val="fr-BE"/>
              </w:rPr>
            </w:pPr>
          </w:p>
        </w:tc>
        <w:tc>
          <w:tcPr>
            <w:tcW w:w="1049" w:type="dxa"/>
          </w:tcPr>
          <w:p w:rsidR="00E8632D" w:rsidRPr="00422183" w:rsidRDefault="00E8632D" w:rsidP="00E8632D">
            <w:pPr>
              <w:rPr>
                <w:rFonts w:ascii="Rockwell" w:hAnsi="Rockwell"/>
                <w:sz w:val="18"/>
                <w:lang w:val="fr-BE"/>
              </w:rPr>
            </w:pPr>
          </w:p>
        </w:tc>
        <w:tc>
          <w:tcPr>
            <w:tcW w:w="1225" w:type="dxa"/>
          </w:tcPr>
          <w:p w:rsidR="00E8632D" w:rsidRPr="00422183" w:rsidRDefault="00E8632D" w:rsidP="00E8632D">
            <w:pPr>
              <w:rPr>
                <w:rFonts w:ascii="Rockwell" w:hAnsi="Rockwell"/>
                <w:sz w:val="18"/>
                <w:lang w:val="fr-BE"/>
              </w:rPr>
            </w:pPr>
          </w:p>
        </w:tc>
        <w:tc>
          <w:tcPr>
            <w:tcW w:w="1211" w:type="dxa"/>
          </w:tcPr>
          <w:p w:rsidR="00E8632D" w:rsidRPr="00422183" w:rsidRDefault="00E8632D" w:rsidP="00E8632D">
            <w:pPr>
              <w:rPr>
                <w:rFonts w:ascii="Rockwell" w:hAnsi="Rockwell"/>
                <w:sz w:val="18"/>
                <w:lang w:val="fr-BE"/>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Proportion des DMEG n'ayant pas connu de rupture de stock des médicaments traceurs</w:t>
            </w:r>
          </w:p>
        </w:tc>
        <w:tc>
          <w:tcPr>
            <w:tcW w:w="1387" w:type="dxa"/>
            <w:gridSpan w:val="3"/>
          </w:tcPr>
          <w:p w:rsidR="00E8632D" w:rsidRPr="00422183" w:rsidRDefault="00E8632D" w:rsidP="00E8632D">
            <w:pPr>
              <w:rPr>
                <w:rFonts w:ascii="Rockwell" w:hAnsi="Rockwell"/>
                <w:sz w:val="18"/>
                <w:lang w:val="fr-BE"/>
              </w:rPr>
            </w:pPr>
            <w:r w:rsidRPr="00422183">
              <w:rPr>
                <w:rFonts w:ascii="Rockwell" w:hAnsi="Rockwell"/>
                <w:sz w:val="18"/>
              </w:rPr>
              <w:t>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lang w:val="fr-BE"/>
              </w:rPr>
            </w:pPr>
          </w:p>
        </w:tc>
        <w:tc>
          <w:tcPr>
            <w:tcW w:w="1187" w:type="dxa"/>
            <w:gridSpan w:val="2"/>
            <w:noWrap/>
            <w:hideMark/>
          </w:tcPr>
          <w:p w:rsidR="00E8632D" w:rsidRPr="00422183" w:rsidRDefault="000D7C55" w:rsidP="00E8632D">
            <w:pPr>
              <w:rPr>
                <w:rFonts w:ascii="Rockwell" w:hAnsi="Rockwell"/>
                <w:sz w:val="18"/>
              </w:rPr>
            </w:pPr>
            <w:r w:rsidRPr="00422183">
              <w:rPr>
                <w:rFonts w:ascii="Rockwell" w:hAnsi="Rockwell"/>
                <w:sz w:val="18"/>
                <w:lang w:val="fr-BE"/>
              </w:rPr>
              <w:t>88,</w:t>
            </w:r>
            <w:r w:rsidR="00E8632D" w:rsidRPr="00422183">
              <w:rPr>
                <w:rFonts w:ascii="Rockwell" w:hAnsi="Rockwell"/>
                <w:sz w:val="18"/>
                <w:lang w:val="fr-BE"/>
              </w:rPr>
              <w:t>70%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90%</w:t>
            </w:r>
          </w:p>
        </w:tc>
        <w:tc>
          <w:tcPr>
            <w:tcW w:w="870" w:type="dxa"/>
            <w:noWrap/>
            <w:hideMark/>
          </w:tcPr>
          <w:p w:rsidR="00E8632D" w:rsidRPr="00422183" w:rsidRDefault="000D7C55" w:rsidP="00E8632D">
            <w:pPr>
              <w:rPr>
                <w:rFonts w:ascii="Rockwell" w:hAnsi="Rockwell"/>
                <w:sz w:val="18"/>
              </w:rPr>
            </w:pPr>
            <w:r w:rsidRPr="00422183">
              <w:rPr>
                <w:rFonts w:ascii="Rockwell" w:hAnsi="Rockwell"/>
                <w:sz w:val="18"/>
                <w:lang w:val="fr-BE"/>
              </w:rPr>
              <w:t xml:space="preserve">≥ </w:t>
            </w:r>
            <w:r w:rsidR="00E8632D" w:rsidRPr="00422183">
              <w:rPr>
                <w:rFonts w:ascii="Rockwell" w:hAnsi="Rockwell"/>
                <w:sz w:val="18"/>
                <w:lang w:val="fr-BE"/>
              </w:rPr>
              <w:t>95%</w:t>
            </w:r>
          </w:p>
        </w:tc>
        <w:tc>
          <w:tcPr>
            <w:tcW w:w="614" w:type="dxa"/>
          </w:tcPr>
          <w:p w:rsidR="00E8632D" w:rsidRPr="00422183" w:rsidRDefault="00E8632D" w:rsidP="00E8632D">
            <w:pPr>
              <w:rPr>
                <w:rFonts w:ascii="Rockwell" w:hAnsi="Rockwell"/>
                <w:sz w:val="18"/>
                <w:lang w:val="fr-BE"/>
              </w:rPr>
            </w:pPr>
          </w:p>
        </w:tc>
        <w:tc>
          <w:tcPr>
            <w:tcW w:w="614" w:type="dxa"/>
          </w:tcPr>
          <w:p w:rsidR="00E8632D" w:rsidRPr="00422183" w:rsidRDefault="00E8632D" w:rsidP="00E8632D">
            <w:pPr>
              <w:rPr>
                <w:rFonts w:ascii="Rockwell" w:hAnsi="Rockwell"/>
                <w:sz w:val="18"/>
                <w:lang w:val="fr-BE"/>
              </w:rPr>
            </w:pPr>
          </w:p>
        </w:tc>
        <w:tc>
          <w:tcPr>
            <w:tcW w:w="1049" w:type="dxa"/>
          </w:tcPr>
          <w:p w:rsidR="00E8632D" w:rsidRPr="00422183" w:rsidRDefault="00E8632D" w:rsidP="00E8632D">
            <w:pPr>
              <w:rPr>
                <w:rFonts w:ascii="Rockwell" w:hAnsi="Rockwell"/>
                <w:sz w:val="18"/>
                <w:lang w:val="fr-BE"/>
              </w:rPr>
            </w:pPr>
          </w:p>
        </w:tc>
        <w:tc>
          <w:tcPr>
            <w:tcW w:w="1225" w:type="dxa"/>
          </w:tcPr>
          <w:p w:rsidR="00E8632D" w:rsidRPr="00422183" w:rsidRDefault="00E8632D" w:rsidP="00E8632D">
            <w:pPr>
              <w:rPr>
                <w:rFonts w:ascii="Rockwell" w:hAnsi="Rockwell"/>
                <w:sz w:val="18"/>
                <w:lang w:val="fr-BE"/>
              </w:rPr>
            </w:pPr>
          </w:p>
        </w:tc>
        <w:tc>
          <w:tcPr>
            <w:tcW w:w="1211" w:type="dxa"/>
          </w:tcPr>
          <w:p w:rsidR="00E8632D" w:rsidRPr="00422183" w:rsidRDefault="00E8632D" w:rsidP="00E8632D">
            <w:pPr>
              <w:rPr>
                <w:rFonts w:ascii="Rockwell" w:hAnsi="Rockwell"/>
                <w:sz w:val="18"/>
                <w:lang w:val="fr-BE"/>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Taux de mortalité intra hospitalière maternelle pour 100.000 parturientes</w:t>
            </w:r>
          </w:p>
        </w:tc>
        <w:tc>
          <w:tcPr>
            <w:tcW w:w="1387" w:type="dxa"/>
            <w:gridSpan w:val="3"/>
          </w:tcPr>
          <w:p w:rsidR="00E8632D" w:rsidRPr="00422183" w:rsidRDefault="00E8632D" w:rsidP="00E8632D">
            <w:pPr>
              <w:rPr>
                <w:rFonts w:ascii="Rockwell" w:hAnsi="Rockwell"/>
                <w:sz w:val="18"/>
                <w:lang w:val="fr-BE"/>
              </w:rPr>
            </w:pPr>
            <w:r w:rsidRPr="00422183">
              <w:rPr>
                <w:rFonts w:ascii="Rockwell" w:hAnsi="Rockwell"/>
                <w:sz w:val="18"/>
              </w:rPr>
              <w:t>EDS / 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lang w:val="fr-BE"/>
              </w:rPr>
            </w:pP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lang w:val="fr-BE"/>
              </w:rPr>
              <w:t>103,4</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97</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75,8</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Le taux de prévalence du VIH </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Rapport du secteur concerné</w:t>
            </w:r>
          </w:p>
        </w:tc>
        <w:tc>
          <w:tcPr>
            <w:tcW w:w="1360" w:type="dxa"/>
          </w:tcPr>
          <w:p w:rsidR="00E8632D" w:rsidRPr="00422183" w:rsidRDefault="00E8632D" w:rsidP="00E8632D">
            <w:pPr>
              <w:rPr>
                <w:rFonts w:ascii="Rockwell" w:hAnsi="Rockwell"/>
                <w:sz w:val="18"/>
              </w:rPr>
            </w:pPr>
            <w:r w:rsidRPr="00422183">
              <w:rPr>
                <w:rFonts w:ascii="Rockwell" w:hAnsi="Rockwell"/>
                <w:sz w:val="18"/>
              </w:rPr>
              <w:t>SP/CNLS</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1,2%</w:t>
            </w:r>
          </w:p>
        </w:tc>
        <w:tc>
          <w:tcPr>
            <w:tcW w:w="974" w:type="dxa"/>
            <w:noWrap/>
            <w:hideMark/>
          </w:tcPr>
          <w:p w:rsidR="00E8632D" w:rsidRPr="00422183" w:rsidRDefault="000D7C55" w:rsidP="00E8632D">
            <w:pPr>
              <w:rPr>
                <w:rFonts w:ascii="Rockwell" w:hAnsi="Rockwell"/>
                <w:sz w:val="18"/>
              </w:rPr>
            </w:pPr>
            <w:r w:rsidRPr="00422183">
              <w:rPr>
                <w:rFonts w:ascii="Rockwell" w:hAnsi="Rockwell"/>
                <w:sz w:val="18"/>
              </w:rPr>
              <w:t>0,</w:t>
            </w:r>
            <w:r w:rsidR="00E62566" w:rsidRPr="00422183">
              <w:rPr>
                <w:rFonts w:ascii="Rockwell" w:hAnsi="Rockwell"/>
                <w:sz w:val="18"/>
              </w:rPr>
              <w:t>9</w:t>
            </w:r>
            <w:r w:rsidR="00E8632D" w:rsidRPr="00422183">
              <w:rPr>
                <w:rFonts w:ascii="Rockwell" w:hAnsi="Rockwell"/>
                <w:sz w:val="18"/>
              </w:rPr>
              <w:t>%</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0,2</w:t>
            </w:r>
            <w:r w:rsidR="000D7C55" w:rsidRPr="00422183">
              <w:rPr>
                <w:rFonts w:ascii="Rockwell" w:hAnsi="Rockwell"/>
                <w:sz w:val="18"/>
              </w:rPr>
              <w:t>%</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lang w:val="fr-BE"/>
              </w:rPr>
              <w:t>Proportion de formations sanitaires publiques et privées accréditées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rPr>
            </w:pP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50</w:t>
            </w:r>
            <w:r w:rsidR="000D7C55" w:rsidRPr="00422183">
              <w:rPr>
                <w:rFonts w:ascii="Rockwell" w:hAnsi="Rockwell"/>
                <w:sz w:val="18"/>
              </w:rPr>
              <w:t>%</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80</w:t>
            </w:r>
            <w:r w:rsidR="000D7C55" w:rsidRPr="00422183">
              <w:rPr>
                <w:rFonts w:ascii="Rockwell" w:hAnsi="Rockwell"/>
                <w:sz w:val="18"/>
              </w:rPr>
              <w:t>%</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val="restart"/>
            <w:noWrap/>
            <w:hideMark/>
          </w:tcPr>
          <w:p w:rsidR="00E8632D" w:rsidRPr="00422183" w:rsidRDefault="00E8632D" w:rsidP="00E8632D">
            <w:pPr>
              <w:rPr>
                <w:rFonts w:ascii="Rockwell" w:hAnsi="Rockwell"/>
                <w:sz w:val="18"/>
              </w:rPr>
            </w:pPr>
            <w:r w:rsidRPr="00422183">
              <w:rPr>
                <w:rFonts w:ascii="Rockwell" w:hAnsi="Rockwell"/>
                <w:sz w:val="18"/>
              </w:rPr>
              <w:t xml:space="preserve">EA 2.1.2.  L’état nutritionnel de la population en particulier les femmes et les enfants est amélioré </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Proportion de Malnutrition Aigüe Sévère pris en charge par rapport au nombre de cas attendus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Enquête SMART/ 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rPr>
            </w:pP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80%</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90%</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95%</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6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Pourcentage d’enfants avec un retard de croissance parmi les enfants de moins 5 ans</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Enquête SMART/ 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MS</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30,2%</w:t>
            </w:r>
          </w:p>
        </w:tc>
        <w:tc>
          <w:tcPr>
            <w:tcW w:w="974" w:type="dxa"/>
            <w:noWrap/>
          </w:tcPr>
          <w:p w:rsidR="00E8632D" w:rsidRPr="00422183" w:rsidRDefault="00E8632D" w:rsidP="00E8632D">
            <w:pPr>
              <w:rPr>
                <w:rFonts w:ascii="Rockwell" w:hAnsi="Rockwell"/>
                <w:sz w:val="18"/>
              </w:rPr>
            </w:pPr>
            <w:r w:rsidRPr="00422183">
              <w:rPr>
                <w:rFonts w:ascii="Rockwell" w:hAnsi="Rockwell"/>
                <w:sz w:val="18"/>
              </w:rPr>
              <w:t>25%</w:t>
            </w:r>
          </w:p>
        </w:tc>
        <w:tc>
          <w:tcPr>
            <w:tcW w:w="870" w:type="dxa"/>
            <w:noWrap/>
          </w:tcPr>
          <w:p w:rsidR="00E8632D" w:rsidRPr="00422183" w:rsidRDefault="00E8632D" w:rsidP="00E8632D">
            <w:pPr>
              <w:rPr>
                <w:rFonts w:ascii="Rockwell" w:hAnsi="Rockwell"/>
                <w:sz w:val="18"/>
              </w:rPr>
            </w:pPr>
            <w:r w:rsidRPr="00422183">
              <w:rPr>
                <w:rFonts w:ascii="Rockwell" w:hAnsi="Rockwell"/>
                <w:sz w:val="18"/>
              </w:rPr>
              <w:t>15%</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 xml:space="preserve">Proportion de Malnutrition Aigüe Sévère guérie </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Enquête SMART</w:t>
            </w:r>
          </w:p>
        </w:tc>
        <w:tc>
          <w:tcPr>
            <w:tcW w:w="1360" w:type="dxa"/>
          </w:tcPr>
          <w:p w:rsidR="00E8632D" w:rsidRPr="00422183" w:rsidRDefault="00E8632D" w:rsidP="00E8632D">
            <w:pPr>
              <w:rPr>
                <w:rFonts w:ascii="Rockwell" w:hAnsi="Rockwell"/>
                <w:sz w:val="18"/>
              </w:rPr>
            </w:pPr>
            <w:r w:rsidRPr="00422183">
              <w:rPr>
                <w:rFonts w:ascii="Rockwell" w:hAnsi="Rockwell"/>
                <w:sz w:val="18"/>
              </w:rPr>
              <w:t xml:space="preserve">MS </w:t>
            </w:r>
          </w:p>
          <w:p w:rsidR="00E8632D" w:rsidRPr="00422183" w:rsidRDefault="00E8632D" w:rsidP="00E8632D">
            <w:pPr>
              <w:rPr>
                <w:rFonts w:ascii="Rockwell" w:hAnsi="Rockwell"/>
                <w:sz w:val="18"/>
              </w:rPr>
            </w:pP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93,8%</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96%</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100%</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val="restart"/>
            <w:noWrap/>
            <w:hideMark/>
          </w:tcPr>
          <w:p w:rsidR="00E8632D" w:rsidRPr="00422183" w:rsidRDefault="00372284" w:rsidP="00E8632D">
            <w:pPr>
              <w:rPr>
                <w:rFonts w:ascii="Rockwell" w:hAnsi="Rockwell"/>
                <w:sz w:val="18"/>
              </w:rPr>
            </w:pPr>
            <w:r w:rsidRPr="00422183">
              <w:rPr>
                <w:rFonts w:ascii="Rockwell" w:hAnsi="Rockwell"/>
                <w:sz w:val="18"/>
              </w:rPr>
              <w:t>EA 2.1.3 </w:t>
            </w:r>
            <w:r w:rsidR="00E8632D" w:rsidRPr="00422183">
              <w:rPr>
                <w:rFonts w:ascii="Rockwell" w:hAnsi="Rockwell"/>
                <w:sz w:val="18"/>
              </w:rPr>
              <w:t xml:space="preserve">: Le processus d’accélération de la transition démographique est réellement mis en mouvement </w:t>
            </w: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Indice synthétique de fécondité</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RGPH</w:t>
            </w:r>
          </w:p>
        </w:tc>
        <w:tc>
          <w:tcPr>
            <w:tcW w:w="1360" w:type="dxa"/>
          </w:tcPr>
          <w:p w:rsidR="00E8632D" w:rsidRPr="00422183" w:rsidRDefault="00E8632D" w:rsidP="00E8632D">
            <w:pPr>
              <w:rPr>
                <w:rFonts w:ascii="Rockwell" w:hAnsi="Rockwell"/>
                <w:sz w:val="18"/>
              </w:rPr>
            </w:pPr>
            <w:r w:rsidRPr="00422183">
              <w:rPr>
                <w:rFonts w:ascii="Rockwell" w:hAnsi="Rockwell"/>
                <w:sz w:val="18"/>
              </w:rPr>
              <w:t>INSD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5,4 (2014)</w:t>
            </w:r>
          </w:p>
        </w:tc>
        <w:tc>
          <w:tcPr>
            <w:tcW w:w="974" w:type="dxa"/>
            <w:noWrap/>
            <w:hideMark/>
          </w:tcPr>
          <w:p w:rsidR="00E8632D" w:rsidRPr="00422183" w:rsidRDefault="00E8632D" w:rsidP="00E8632D">
            <w:pPr>
              <w:rPr>
                <w:rFonts w:ascii="Rockwell" w:hAnsi="Rockwell"/>
                <w:sz w:val="18"/>
              </w:rPr>
            </w:pPr>
            <w:r w:rsidRPr="00422183">
              <w:rPr>
                <w:rFonts w:ascii="Rockwell" w:hAnsi="Rockwell"/>
                <w:sz w:val="18"/>
              </w:rPr>
              <w:t>5</w:t>
            </w: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4,7</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tcPr>
          <w:p w:rsidR="00E8632D" w:rsidRPr="00422183" w:rsidRDefault="00E8632D" w:rsidP="00E8632D">
            <w:pPr>
              <w:rPr>
                <w:rFonts w:ascii="Rockwell" w:hAnsi="Rockwell"/>
                <w:sz w:val="18"/>
              </w:rPr>
            </w:pPr>
          </w:p>
        </w:tc>
        <w:tc>
          <w:tcPr>
            <w:tcW w:w="2613" w:type="dxa"/>
            <w:gridSpan w:val="2"/>
          </w:tcPr>
          <w:p w:rsidR="00E8632D" w:rsidRPr="00422183" w:rsidRDefault="00E8632D" w:rsidP="00E8632D">
            <w:pPr>
              <w:rPr>
                <w:rFonts w:ascii="Rockwell" w:hAnsi="Rockwell"/>
                <w:sz w:val="18"/>
              </w:rPr>
            </w:pPr>
            <w:r w:rsidRPr="00422183">
              <w:rPr>
                <w:rFonts w:ascii="Rockwell" w:hAnsi="Rockwell"/>
                <w:sz w:val="18"/>
              </w:rPr>
              <w:t>Couple-année protection en pourcentage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Annuaire statistique</w:t>
            </w:r>
          </w:p>
        </w:tc>
        <w:tc>
          <w:tcPr>
            <w:tcW w:w="1360" w:type="dxa"/>
          </w:tcPr>
          <w:p w:rsidR="00E8632D" w:rsidRPr="00422183" w:rsidRDefault="00E8632D" w:rsidP="00E8632D">
            <w:pPr>
              <w:rPr>
                <w:rFonts w:ascii="Rockwell" w:hAnsi="Rockwell"/>
                <w:sz w:val="18"/>
              </w:rPr>
            </w:pPr>
            <w:r w:rsidRPr="00422183">
              <w:rPr>
                <w:rFonts w:ascii="Rockwell" w:hAnsi="Rockwell"/>
                <w:sz w:val="18"/>
              </w:rPr>
              <w:t>MS</w:t>
            </w:r>
          </w:p>
        </w:tc>
        <w:tc>
          <w:tcPr>
            <w:tcW w:w="1187" w:type="dxa"/>
            <w:gridSpan w:val="2"/>
            <w:noWrap/>
          </w:tcPr>
          <w:p w:rsidR="00E8632D" w:rsidRPr="00422183" w:rsidRDefault="00E8632D" w:rsidP="00E8632D">
            <w:pPr>
              <w:rPr>
                <w:rFonts w:ascii="Rockwell" w:hAnsi="Rockwell"/>
                <w:sz w:val="18"/>
              </w:rPr>
            </w:pPr>
            <w:r w:rsidRPr="00422183">
              <w:rPr>
                <w:rFonts w:ascii="Rockwell" w:hAnsi="Rockwell"/>
                <w:sz w:val="18"/>
              </w:rPr>
              <w:t>19,7%</w:t>
            </w:r>
          </w:p>
        </w:tc>
        <w:tc>
          <w:tcPr>
            <w:tcW w:w="974" w:type="dxa"/>
            <w:noWrap/>
          </w:tcPr>
          <w:p w:rsidR="00E8632D" w:rsidRPr="00422183" w:rsidRDefault="00E8632D" w:rsidP="00E8632D">
            <w:pPr>
              <w:rPr>
                <w:rFonts w:ascii="Rockwell" w:hAnsi="Rockwell"/>
                <w:sz w:val="18"/>
              </w:rPr>
            </w:pPr>
            <w:r w:rsidRPr="00422183">
              <w:rPr>
                <w:rFonts w:ascii="Rockwell" w:hAnsi="Rockwell"/>
                <w:sz w:val="18"/>
              </w:rPr>
              <w:t>26,9%</w:t>
            </w:r>
          </w:p>
        </w:tc>
        <w:tc>
          <w:tcPr>
            <w:tcW w:w="870" w:type="dxa"/>
            <w:noWrap/>
          </w:tcPr>
          <w:p w:rsidR="00E8632D" w:rsidRPr="00422183" w:rsidRDefault="00E8632D" w:rsidP="00E8632D">
            <w:pPr>
              <w:rPr>
                <w:rFonts w:ascii="Rockwell" w:hAnsi="Rockwell"/>
                <w:sz w:val="18"/>
              </w:rPr>
            </w:pPr>
            <w:r w:rsidRPr="00422183">
              <w:rPr>
                <w:rFonts w:ascii="Rockwell" w:hAnsi="Rockwell"/>
                <w:sz w:val="18"/>
              </w:rPr>
              <w:t>32,7%</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E8632D" w:rsidRPr="00422183" w:rsidTr="00E8632D">
        <w:trPr>
          <w:trHeight w:val="300"/>
        </w:trPr>
        <w:tc>
          <w:tcPr>
            <w:tcW w:w="2395" w:type="dxa"/>
            <w:vMerge/>
            <w:noWrap/>
            <w:hideMark/>
          </w:tcPr>
          <w:p w:rsidR="00E8632D" w:rsidRPr="00422183" w:rsidRDefault="00E8632D" w:rsidP="00E8632D">
            <w:pPr>
              <w:rPr>
                <w:rFonts w:ascii="Rockwell" w:hAnsi="Rockwell"/>
                <w:sz w:val="18"/>
              </w:rPr>
            </w:pPr>
          </w:p>
        </w:tc>
        <w:tc>
          <w:tcPr>
            <w:tcW w:w="2613" w:type="dxa"/>
            <w:gridSpan w:val="2"/>
            <w:hideMark/>
          </w:tcPr>
          <w:p w:rsidR="00E8632D" w:rsidRPr="00422183" w:rsidRDefault="00E8632D" w:rsidP="00E8632D">
            <w:pPr>
              <w:rPr>
                <w:rFonts w:ascii="Rockwell" w:hAnsi="Rockwell"/>
                <w:sz w:val="18"/>
              </w:rPr>
            </w:pPr>
            <w:r w:rsidRPr="00422183">
              <w:rPr>
                <w:rFonts w:ascii="Rockwell" w:hAnsi="Rockwell"/>
                <w:sz w:val="18"/>
              </w:rPr>
              <w:t>Taux de dépendance démographique</w:t>
            </w:r>
          </w:p>
        </w:tc>
        <w:tc>
          <w:tcPr>
            <w:tcW w:w="1387" w:type="dxa"/>
            <w:gridSpan w:val="3"/>
          </w:tcPr>
          <w:p w:rsidR="00E8632D" w:rsidRPr="00422183" w:rsidRDefault="00E8632D" w:rsidP="00E8632D">
            <w:pPr>
              <w:rPr>
                <w:rFonts w:ascii="Rockwell" w:hAnsi="Rockwell"/>
                <w:sz w:val="18"/>
              </w:rPr>
            </w:pPr>
            <w:r w:rsidRPr="00422183">
              <w:rPr>
                <w:rFonts w:ascii="Rockwell" w:hAnsi="Rockwell"/>
                <w:sz w:val="18"/>
              </w:rPr>
              <w:t xml:space="preserve">Enquête ménage </w:t>
            </w:r>
          </w:p>
        </w:tc>
        <w:tc>
          <w:tcPr>
            <w:tcW w:w="1360" w:type="dxa"/>
          </w:tcPr>
          <w:p w:rsidR="00E8632D" w:rsidRPr="00422183" w:rsidRDefault="00E8632D" w:rsidP="00E8632D">
            <w:pPr>
              <w:rPr>
                <w:rFonts w:ascii="Rockwell" w:hAnsi="Rockwell"/>
                <w:sz w:val="18"/>
              </w:rPr>
            </w:pPr>
            <w:r w:rsidRPr="00422183">
              <w:rPr>
                <w:rFonts w:ascii="Rockwell" w:hAnsi="Rockwell"/>
                <w:sz w:val="18"/>
              </w:rPr>
              <w:t>INSD</w:t>
            </w:r>
          </w:p>
        </w:tc>
        <w:tc>
          <w:tcPr>
            <w:tcW w:w="1187" w:type="dxa"/>
            <w:gridSpan w:val="2"/>
            <w:noWrap/>
            <w:hideMark/>
          </w:tcPr>
          <w:p w:rsidR="00E8632D" w:rsidRPr="00422183" w:rsidRDefault="00E8632D" w:rsidP="00E8632D">
            <w:pPr>
              <w:rPr>
                <w:rFonts w:ascii="Rockwell" w:hAnsi="Rockwell"/>
                <w:sz w:val="18"/>
              </w:rPr>
            </w:pPr>
            <w:r w:rsidRPr="00422183">
              <w:rPr>
                <w:rFonts w:ascii="Rockwell" w:hAnsi="Rockwell"/>
                <w:sz w:val="18"/>
              </w:rPr>
              <w:t>45% (2014)</w:t>
            </w:r>
          </w:p>
        </w:tc>
        <w:tc>
          <w:tcPr>
            <w:tcW w:w="974" w:type="dxa"/>
            <w:noWrap/>
            <w:hideMark/>
          </w:tcPr>
          <w:p w:rsidR="00E8632D" w:rsidRPr="00422183" w:rsidRDefault="00E8632D" w:rsidP="00E8632D">
            <w:pPr>
              <w:rPr>
                <w:rFonts w:ascii="Rockwell" w:hAnsi="Rockwell"/>
                <w:sz w:val="18"/>
              </w:rPr>
            </w:pPr>
          </w:p>
        </w:tc>
        <w:tc>
          <w:tcPr>
            <w:tcW w:w="870" w:type="dxa"/>
            <w:noWrap/>
            <w:hideMark/>
          </w:tcPr>
          <w:p w:rsidR="00E8632D" w:rsidRPr="00422183" w:rsidRDefault="00E8632D" w:rsidP="00E8632D">
            <w:pPr>
              <w:rPr>
                <w:rFonts w:ascii="Rockwell" w:hAnsi="Rockwell"/>
                <w:sz w:val="18"/>
              </w:rPr>
            </w:pPr>
            <w:r w:rsidRPr="00422183">
              <w:rPr>
                <w:rFonts w:ascii="Rockwell" w:hAnsi="Rockwell"/>
                <w:sz w:val="18"/>
              </w:rPr>
              <w:t>47%</w:t>
            </w:r>
          </w:p>
        </w:tc>
        <w:tc>
          <w:tcPr>
            <w:tcW w:w="614" w:type="dxa"/>
          </w:tcPr>
          <w:p w:rsidR="00E8632D" w:rsidRPr="00422183" w:rsidRDefault="00E8632D" w:rsidP="00E8632D">
            <w:pPr>
              <w:rPr>
                <w:rFonts w:ascii="Rockwell" w:hAnsi="Rockwell"/>
                <w:sz w:val="18"/>
              </w:rPr>
            </w:pPr>
          </w:p>
        </w:tc>
        <w:tc>
          <w:tcPr>
            <w:tcW w:w="614" w:type="dxa"/>
          </w:tcPr>
          <w:p w:rsidR="00E8632D" w:rsidRPr="00422183" w:rsidRDefault="00E8632D" w:rsidP="00E8632D">
            <w:pPr>
              <w:rPr>
                <w:rFonts w:ascii="Rockwell" w:hAnsi="Rockwell"/>
                <w:sz w:val="18"/>
              </w:rPr>
            </w:pPr>
          </w:p>
        </w:tc>
        <w:tc>
          <w:tcPr>
            <w:tcW w:w="1049" w:type="dxa"/>
          </w:tcPr>
          <w:p w:rsidR="00E8632D" w:rsidRPr="00422183" w:rsidRDefault="00E8632D" w:rsidP="00E8632D">
            <w:pPr>
              <w:rPr>
                <w:rFonts w:ascii="Rockwell" w:hAnsi="Rockwell"/>
                <w:sz w:val="18"/>
              </w:rPr>
            </w:pPr>
          </w:p>
        </w:tc>
        <w:tc>
          <w:tcPr>
            <w:tcW w:w="1225" w:type="dxa"/>
          </w:tcPr>
          <w:p w:rsidR="00E8632D" w:rsidRPr="00422183" w:rsidRDefault="00E8632D" w:rsidP="00E8632D">
            <w:pPr>
              <w:rPr>
                <w:rFonts w:ascii="Rockwell" w:hAnsi="Rockwell"/>
                <w:sz w:val="18"/>
              </w:rPr>
            </w:pPr>
          </w:p>
        </w:tc>
        <w:tc>
          <w:tcPr>
            <w:tcW w:w="1211" w:type="dxa"/>
          </w:tcPr>
          <w:p w:rsidR="00E8632D" w:rsidRPr="00422183" w:rsidRDefault="00E8632D" w:rsidP="00E8632D">
            <w:pPr>
              <w:rPr>
                <w:rFonts w:ascii="Rockwell" w:hAnsi="Rockwell"/>
                <w:sz w:val="18"/>
              </w:rPr>
            </w:pPr>
          </w:p>
        </w:tc>
      </w:tr>
      <w:tr w:rsidR="009E077E" w:rsidRPr="00422183" w:rsidTr="00E8632D">
        <w:trPr>
          <w:trHeight w:val="300"/>
        </w:trPr>
        <w:tc>
          <w:tcPr>
            <w:tcW w:w="2395" w:type="dxa"/>
            <w:vMerge w:val="restart"/>
            <w:noWrap/>
            <w:hideMark/>
          </w:tcPr>
          <w:p w:rsidR="009E077E" w:rsidRPr="00422183" w:rsidRDefault="009E077E" w:rsidP="00E8632D">
            <w:pPr>
              <w:rPr>
                <w:rFonts w:ascii="Rockwell" w:hAnsi="Rockwell"/>
                <w:sz w:val="18"/>
              </w:rPr>
            </w:pPr>
            <w:r w:rsidRPr="00422183">
              <w:rPr>
                <w:rFonts w:ascii="Rockwell" w:hAnsi="Rockwell"/>
                <w:sz w:val="18"/>
              </w:rPr>
              <w:t xml:space="preserve">EA 2.2.1 : l’accès à tous à une éducation de qualité est amélioré </w:t>
            </w:r>
          </w:p>
        </w:tc>
        <w:tc>
          <w:tcPr>
            <w:tcW w:w="2613" w:type="dxa"/>
            <w:gridSpan w:val="2"/>
            <w:hideMark/>
          </w:tcPr>
          <w:p w:rsidR="009E077E" w:rsidRPr="00422183" w:rsidRDefault="009E077E" w:rsidP="00E8632D">
            <w:pPr>
              <w:rPr>
                <w:rFonts w:ascii="Rockwell" w:hAnsi="Rockwell"/>
                <w:sz w:val="18"/>
              </w:rPr>
            </w:pPr>
            <w:r w:rsidRPr="00422183">
              <w:rPr>
                <w:rFonts w:ascii="Rockwell" w:hAnsi="Rockwell"/>
                <w:sz w:val="18"/>
              </w:rPr>
              <w:t>Taux brut de scolarisation au préscolaire</w:t>
            </w:r>
          </w:p>
        </w:tc>
        <w:tc>
          <w:tcPr>
            <w:tcW w:w="1387" w:type="dxa"/>
            <w:gridSpan w:val="3"/>
          </w:tcPr>
          <w:p w:rsidR="009E077E" w:rsidRPr="00422183" w:rsidRDefault="009E077E" w:rsidP="00E8632D">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E8632D">
            <w:pPr>
              <w:rPr>
                <w:rFonts w:ascii="Rockwell" w:hAnsi="Rockwell"/>
                <w:sz w:val="18"/>
              </w:rPr>
            </w:pPr>
            <w:r w:rsidRPr="00422183">
              <w:rPr>
                <w:rFonts w:ascii="Rockwell" w:hAnsi="Rockwell"/>
                <w:sz w:val="18"/>
              </w:rPr>
              <w:t>MENA</w:t>
            </w:r>
          </w:p>
        </w:tc>
        <w:tc>
          <w:tcPr>
            <w:tcW w:w="1187" w:type="dxa"/>
            <w:gridSpan w:val="2"/>
            <w:noWrap/>
            <w:hideMark/>
          </w:tcPr>
          <w:p w:rsidR="009E077E" w:rsidRPr="00422183" w:rsidRDefault="009E077E" w:rsidP="00E8632D">
            <w:pPr>
              <w:rPr>
                <w:rFonts w:ascii="Rockwell" w:hAnsi="Rockwell"/>
                <w:sz w:val="18"/>
              </w:rPr>
            </w:pPr>
            <w:r w:rsidRPr="00422183">
              <w:rPr>
                <w:rFonts w:ascii="Rockwell" w:hAnsi="Rockwell"/>
                <w:sz w:val="18"/>
              </w:rPr>
              <w:t>3,9%</w:t>
            </w:r>
          </w:p>
        </w:tc>
        <w:tc>
          <w:tcPr>
            <w:tcW w:w="974" w:type="dxa"/>
            <w:noWrap/>
            <w:hideMark/>
          </w:tcPr>
          <w:p w:rsidR="009E077E" w:rsidRPr="00422183" w:rsidRDefault="009E077E" w:rsidP="00E8632D">
            <w:pPr>
              <w:rPr>
                <w:rFonts w:ascii="Rockwell" w:hAnsi="Rockwell"/>
                <w:sz w:val="18"/>
              </w:rPr>
            </w:pPr>
            <w:r w:rsidRPr="00422183">
              <w:rPr>
                <w:rFonts w:ascii="Rockwell" w:hAnsi="Rockwell"/>
                <w:sz w:val="18"/>
              </w:rPr>
              <w:t>6,12%</w:t>
            </w:r>
          </w:p>
        </w:tc>
        <w:tc>
          <w:tcPr>
            <w:tcW w:w="870" w:type="dxa"/>
            <w:noWrap/>
            <w:hideMark/>
          </w:tcPr>
          <w:p w:rsidR="009E077E" w:rsidRPr="00422183" w:rsidRDefault="009E077E" w:rsidP="00E8632D">
            <w:pPr>
              <w:rPr>
                <w:rFonts w:ascii="Rockwell" w:hAnsi="Rockwell"/>
                <w:sz w:val="18"/>
              </w:rPr>
            </w:pPr>
            <w:r w:rsidRPr="00422183">
              <w:rPr>
                <w:rFonts w:ascii="Rockwell" w:hAnsi="Rockwell"/>
                <w:sz w:val="18"/>
              </w:rPr>
              <w:t>7,6%</w:t>
            </w:r>
          </w:p>
        </w:tc>
        <w:tc>
          <w:tcPr>
            <w:tcW w:w="614" w:type="dxa"/>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1049" w:type="dxa"/>
          </w:tcPr>
          <w:p w:rsidR="009E077E" w:rsidRPr="00422183" w:rsidRDefault="009E077E" w:rsidP="00E8632D">
            <w:pPr>
              <w:rPr>
                <w:rFonts w:ascii="Rockwell" w:hAnsi="Rockwell"/>
                <w:sz w:val="18"/>
              </w:rPr>
            </w:pPr>
          </w:p>
        </w:tc>
        <w:tc>
          <w:tcPr>
            <w:tcW w:w="1225" w:type="dxa"/>
          </w:tcPr>
          <w:p w:rsidR="009E077E" w:rsidRPr="00422183" w:rsidRDefault="009E077E" w:rsidP="00E8632D">
            <w:pPr>
              <w:rPr>
                <w:rFonts w:ascii="Rockwell" w:hAnsi="Rockwell"/>
                <w:sz w:val="18"/>
              </w:rPr>
            </w:pPr>
          </w:p>
        </w:tc>
        <w:tc>
          <w:tcPr>
            <w:tcW w:w="1211" w:type="dxa"/>
          </w:tcPr>
          <w:p w:rsidR="009E077E" w:rsidRPr="00422183" w:rsidRDefault="009E077E" w:rsidP="00E8632D">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E8632D">
            <w:pPr>
              <w:rPr>
                <w:rFonts w:ascii="Rockwell" w:hAnsi="Rockwell"/>
                <w:sz w:val="18"/>
              </w:rPr>
            </w:pPr>
          </w:p>
        </w:tc>
        <w:tc>
          <w:tcPr>
            <w:tcW w:w="2613" w:type="dxa"/>
            <w:gridSpan w:val="2"/>
            <w:hideMark/>
          </w:tcPr>
          <w:p w:rsidR="009E077E" w:rsidRPr="00422183" w:rsidRDefault="009E077E" w:rsidP="00E8632D">
            <w:pPr>
              <w:rPr>
                <w:rFonts w:ascii="Rockwell" w:hAnsi="Rockwell"/>
                <w:sz w:val="18"/>
              </w:rPr>
            </w:pPr>
            <w:r w:rsidRPr="00422183">
              <w:rPr>
                <w:rFonts w:ascii="Rockwell" w:hAnsi="Rockwell"/>
                <w:sz w:val="18"/>
              </w:rPr>
              <w:t>Taux d'achèvement au primaire</w:t>
            </w:r>
          </w:p>
        </w:tc>
        <w:tc>
          <w:tcPr>
            <w:tcW w:w="1387" w:type="dxa"/>
            <w:gridSpan w:val="3"/>
          </w:tcPr>
          <w:p w:rsidR="009E077E" w:rsidRPr="00422183" w:rsidRDefault="009E077E" w:rsidP="00E8632D">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E8632D">
            <w:pPr>
              <w:rPr>
                <w:rFonts w:ascii="Rockwell" w:hAnsi="Rockwell"/>
                <w:sz w:val="18"/>
              </w:rPr>
            </w:pPr>
            <w:r w:rsidRPr="00422183">
              <w:rPr>
                <w:rFonts w:ascii="Rockwell" w:hAnsi="Rockwell"/>
                <w:sz w:val="18"/>
              </w:rPr>
              <w:t>MENA</w:t>
            </w:r>
          </w:p>
        </w:tc>
        <w:tc>
          <w:tcPr>
            <w:tcW w:w="1187" w:type="dxa"/>
            <w:gridSpan w:val="2"/>
            <w:noWrap/>
            <w:hideMark/>
          </w:tcPr>
          <w:p w:rsidR="009E077E" w:rsidRPr="00422183" w:rsidRDefault="009E077E" w:rsidP="00E8632D">
            <w:pPr>
              <w:rPr>
                <w:rFonts w:ascii="Rockwell" w:hAnsi="Rockwell"/>
                <w:sz w:val="18"/>
              </w:rPr>
            </w:pPr>
            <w:r w:rsidRPr="00422183">
              <w:rPr>
                <w:rFonts w:ascii="Rockwell" w:hAnsi="Rockwell"/>
                <w:sz w:val="18"/>
              </w:rPr>
              <w:t>58,5%</w:t>
            </w:r>
          </w:p>
        </w:tc>
        <w:tc>
          <w:tcPr>
            <w:tcW w:w="974" w:type="dxa"/>
            <w:noWrap/>
            <w:hideMark/>
          </w:tcPr>
          <w:p w:rsidR="009E077E" w:rsidRPr="00422183" w:rsidRDefault="009E077E" w:rsidP="00E8632D">
            <w:pPr>
              <w:rPr>
                <w:rFonts w:ascii="Rockwell" w:hAnsi="Rockwell"/>
                <w:sz w:val="18"/>
              </w:rPr>
            </w:pPr>
            <w:r w:rsidRPr="00422183">
              <w:rPr>
                <w:rFonts w:ascii="Rockwell" w:hAnsi="Rockwell"/>
                <w:sz w:val="18"/>
              </w:rPr>
              <w:t>68,5%</w:t>
            </w:r>
          </w:p>
        </w:tc>
        <w:tc>
          <w:tcPr>
            <w:tcW w:w="870" w:type="dxa"/>
            <w:noWrap/>
            <w:hideMark/>
          </w:tcPr>
          <w:p w:rsidR="009E077E" w:rsidRPr="00422183" w:rsidRDefault="009E077E" w:rsidP="00E8632D">
            <w:pPr>
              <w:rPr>
                <w:rFonts w:ascii="Rockwell" w:hAnsi="Rockwell"/>
                <w:sz w:val="18"/>
              </w:rPr>
            </w:pPr>
            <w:r w:rsidRPr="00422183">
              <w:rPr>
                <w:rFonts w:ascii="Rockwell" w:hAnsi="Rockwell"/>
                <w:sz w:val="18"/>
              </w:rPr>
              <w:t>75,6%</w:t>
            </w:r>
          </w:p>
        </w:tc>
        <w:tc>
          <w:tcPr>
            <w:tcW w:w="614" w:type="dxa"/>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1049" w:type="dxa"/>
          </w:tcPr>
          <w:p w:rsidR="009E077E" w:rsidRPr="00422183" w:rsidRDefault="009E077E" w:rsidP="00E8632D">
            <w:pPr>
              <w:rPr>
                <w:rFonts w:ascii="Rockwell" w:hAnsi="Rockwell"/>
                <w:sz w:val="18"/>
              </w:rPr>
            </w:pPr>
          </w:p>
        </w:tc>
        <w:tc>
          <w:tcPr>
            <w:tcW w:w="1225" w:type="dxa"/>
          </w:tcPr>
          <w:p w:rsidR="009E077E" w:rsidRPr="00422183" w:rsidRDefault="009E077E" w:rsidP="00E8632D">
            <w:pPr>
              <w:rPr>
                <w:rFonts w:ascii="Rockwell" w:hAnsi="Rockwell"/>
                <w:sz w:val="18"/>
              </w:rPr>
            </w:pPr>
          </w:p>
        </w:tc>
        <w:tc>
          <w:tcPr>
            <w:tcW w:w="1211" w:type="dxa"/>
          </w:tcPr>
          <w:p w:rsidR="009E077E" w:rsidRPr="00422183" w:rsidRDefault="009E077E" w:rsidP="00E8632D">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E8632D">
            <w:pPr>
              <w:rPr>
                <w:rFonts w:ascii="Rockwell" w:hAnsi="Rockwell"/>
                <w:sz w:val="18"/>
              </w:rPr>
            </w:pPr>
          </w:p>
        </w:tc>
        <w:tc>
          <w:tcPr>
            <w:tcW w:w="2613" w:type="dxa"/>
            <w:gridSpan w:val="2"/>
            <w:hideMark/>
          </w:tcPr>
          <w:p w:rsidR="009E077E" w:rsidRPr="00422183" w:rsidRDefault="009E077E" w:rsidP="00E8632D">
            <w:pPr>
              <w:rPr>
                <w:rFonts w:ascii="Rockwell" w:hAnsi="Rockwell"/>
                <w:sz w:val="18"/>
              </w:rPr>
            </w:pPr>
            <w:r w:rsidRPr="00422183">
              <w:rPr>
                <w:rFonts w:ascii="Rockwell" w:hAnsi="Rockwell"/>
                <w:sz w:val="18"/>
              </w:rPr>
              <w:t>taux d'achèvement au post-primaire</w:t>
            </w:r>
          </w:p>
        </w:tc>
        <w:tc>
          <w:tcPr>
            <w:tcW w:w="1387" w:type="dxa"/>
            <w:gridSpan w:val="3"/>
          </w:tcPr>
          <w:p w:rsidR="009E077E" w:rsidRPr="00422183" w:rsidRDefault="009E077E" w:rsidP="00E8632D">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E8632D">
            <w:pPr>
              <w:rPr>
                <w:rFonts w:ascii="Rockwell" w:hAnsi="Rockwell"/>
                <w:sz w:val="18"/>
              </w:rPr>
            </w:pPr>
            <w:r w:rsidRPr="00422183">
              <w:rPr>
                <w:rFonts w:ascii="Rockwell" w:hAnsi="Rockwell"/>
                <w:sz w:val="18"/>
              </w:rPr>
              <w:t>MENA</w:t>
            </w:r>
          </w:p>
        </w:tc>
        <w:tc>
          <w:tcPr>
            <w:tcW w:w="1187" w:type="dxa"/>
            <w:gridSpan w:val="2"/>
            <w:noWrap/>
            <w:hideMark/>
          </w:tcPr>
          <w:p w:rsidR="009E077E" w:rsidRPr="00422183" w:rsidRDefault="009E077E" w:rsidP="00E8632D">
            <w:pPr>
              <w:rPr>
                <w:rFonts w:ascii="Rockwell" w:hAnsi="Rockwell"/>
                <w:sz w:val="18"/>
              </w:rPr>
            </w:pPr>
            <w:r w:rsidRPr="00422183">
              <w:rPr>
                <w:rFonts w:ascii="Rockwell" w:hAnsi="Rockwell"/>
                <w:sz w:val="18"/>
              </w:rPr>
              <w:t>24,2%</w:t>
            </w:r>
          </w:p>
        </w:tc>
        <w:tc>
          <w:tcPr>
            <w:tcW w:w="974" w:type="dxa"/>
            <w:noWrap/>
            <w:hideMark/>
          </w:tcPr>
          <w:p w:rsidR="009E077E" w:rsidRPr="00422183" w:rsidRDefault="009E077E" w:rsidP="00372284">
            <w:pPr>
              <w:rPr>
                <w:rFonts w:ascii="Rockwell" w:hAnsi="Rockwell"/>
                <w:sz w:val="18"/>
              </w:rPr>
            </w:pPr>
            <w:r w:rsidRPr="00422183">
              <w:rPr>
                <w:rFonts w:ascii="Rockwell" w:hAnsi="Rockwell"/>
                <w:sz w:val="18"/>
              </w:rPr>
              <w:t>35,3%</w:t>
            </w:r>
          </w:p>
        </w:tc>
        <w:tc>
          <w:tcPr>
            <w:tcW w:w="870" w:type="dxa"/>
            <w:noWrap/>
            <w:hideMark/>
          </w:tcPr>
          <w:p w:rsidR="009E077E" w:rsidRPr="00422183" w:rsidRDefault="009E077E" w:rsidP="00E8632D">
            <w:pPr>
              <w:rPr>
                <w:rFonts w:ascii="Rockwell" w:hAnsi="Rockwell"/>
                <w:sz w:val="18"/>
              </w:rPr>
            </w:pPr>
            <w:r w:rsidRPr="00422183">
              <w:rPr>
                <w:rFonts w:ascii="Rockwell" w:hAnsi="Rockwell"/>
                <w:sz w:val="18"/>
              </w:rPr>
              <w:t>38,2%</w:t>
            </w:r>
          </w:p>
        </w:tc>
        <w:tc>
          <w:tcPr>
            <w:tcW w:w="614" w:type="dxa"/>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1049" w:type="dxa"/>
          </w:tcPr>
          <w:p w:rsidR="009E077E" w:rsidRPr="00422183" w:rsidRDefault="009E077E" w:rsidP="00E8632D">
            <w:pPr>
              <w:rPr>
                <w:rFonts w:ascii="Rockwell" w:hAnsi="Rockwell"/>
                <w:sz w:val="18"/>
              </w:rPr>
            </w:pPr>
          </w:p>
        </w:tc>
        <w:tc>
          <w:tcPr>
            <w:tcW w:w="1225" w:type="dxa"/>
          </w:tcPr>
          <w:p w:rsidR="009E077E" w:rsidRPr="00422183" w:rsidRDefault="009E077E" w:rsidP="00E8632D">
            <w:pPr>
              <w:rPr>
                <w:rFonts w:ascii="Rockwell" w:hAnsi="Rockwell"/>
                <w:sz w:val="18"/>
              </w:rPr>
            </w:pPr>
          </w:p>
        </w:tc>
        <w:tc>
          <w:tcPr>
            <w:tcW w:w="1211" w:type="dxa"/>
          </w:tcPr>
          <w:p w:rsidR="009E077E" w:rsidRPr="00422183" w:rsidRDefault="009E077E" w:rsidP="00E8632D">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E8632D">
            <w:pPr>
              <w:rPr>
                <w:rFonts w:ascii="Rockwell" w:hAnsi="Rockwell"/>
                <w:sz w:val="18"/>
              </w:rPr>
            </w:pPr>
          </w:p>
        </w:tc>
        <w:tc>
          <w:tcPr>
            <w:tcW w:w="2613" w:type="dxa"/>
            <w:gridSpan w:val="2"/>
            <w:hideMark/>
          </w:tcPr>
          <w:p w:rsidR="009E077E" w:rsidRPr="00422183" w:rsidRDefault="009E077E" w:rsidP="00E8632D">
            <w:pPr>
              <w:rPr>
                <w:rFonts w:ascii="Rockwell" w:hAnsi="Rockwell"/>
                <w:sz w:val="18"/>
              </w:rPr>
            </w:pPr>
            <w:r w:rsidRPr="00422183">
              <w:rPr>
                <w:rFonts w:ascii="Rockwell" w:hAnsi="Rockwell"/>
                <w:sz w:val="18"/>
              </w:rPr>
              <w:t>Nombre d’écoles sous paillote</w:t>
            </w:r>
          </w:p>
        </w:tc>
        <w:tc>
          <w:tcPr>
            <w:tcW w:w="1387" w:type="dxa"/>
            <w:gridSpan w:val="3"/>
          </w:tcPr>
          <w:p w:rsidR="009E077E" w:rsidRPr="00422183" w:rsidRDefault="009E077E" w:rsidP="00E8632D">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E8632D">
            <w:pPr>
              <w:rPr>
                <w:rFonts w:ascii="Rockwell" w:hAnsi="Rockwell"/>
                <w:sz w:val="18"/>
              </w:rPr>
            </w:pPr>
            <w:r w:rsidRPr="00422183">
              <w:rPr>
                <w:rFonts w:ascii="Rockwell" w:hAnsi="Rockwell"/>
                <w:sz w:val="18"/>
              </w:rPr>
              <w:t>MENA</w:t>
            </w:r>
          </w:p>
        </w:tc>
        <w:tc>
          <w:tcPr>
            <w:tcW w:w="1187" w:type="dxa"/>
            <w:gridSpan w:val="2"/>
            <w:noWrap/>
            <w:hideMark/>
          </w:tcPr>
          <w:p w:rsidR="009E077E" w:rsidRPr="00422183" w:rsidRDefault="009E077E" w:rsidP="00E8632D">
            <w:pPr>
              <w:rPr>
                <w:rFonts w:ascii="Rockwell" w:hAnsi="Rockwell"/>
                <w:sz w:val="18"/>
              </w:rPr>
            </w:pPr>
            <w:r w:rsidRPr="00422183">
              <w:rPr>
                <w:rFonts w:ascii="Rockwell" w:hAnsi="Rockwell"/>
                <w:sz w:val="18"/>
              </w:rPr>
              <w:t>43 053</w:t>
            </w:r>
          </w:p>
        </w:tc>
        <w:tc>
          <w:tcPr>
            <w:tcW w:w="974" w:type="dxa"/>
            <w:noWrap/>
            <w:hideMark/>
          </w:tcPr>
          <w:p w:rsidR="009E077E" w:rsidRPr="00422183" w:rsidRDefault="009E077E" w:rsidP="00E8632D">
            <w:pPr>
              <w:rPr>
                <w:rFonts w:ascii="Rockwell" w:hAnsi="Rockwell"/>
                <w:sz w:val="18"/>
              </w:rPr>
            </w:pPr>
            <w:r w:rsidRPr="00422183">
              <w:rPr>
                <w:rFonts w:ascii="Rockwell" w:hAnsi="Rockwell"/>
                <w:sz w:val="18"/>
              </w:rPr>
              <w:t>2 913</w:t>
            </w:r>
          </w:p>
        </w:tc>
        <w:tc>
          <w:tcPr>
            <w:tcW w:w="870" w:type="dxa"/>
            <w:noWrap/>
            <w:hideMark/>
          </w:tcPr>
          <w:p w:rsidR="009E077E" w:rsidRPr="00422183" w:rsidRDefault="009E077E" w:rsidP="00E8632D">
            <w:pPr>
              <w:rPr>
                <w:rFonts w:ascii="Rockwell" w:hAnsi="Rockwell"/>
                <w:sz w:val="18"/>
              </w:rPr>
            </w:pPr>
            <w:r w:rsidRPr="00422183">
              <w:rPr>
                <w:rFonts w:ascii="Rockwell" w:hAnsi="Rockwell"/>
                <w:sz w:val="18"/>
              </w:rPr>
              <w:t>0</w:t>
            </w:r>
          </w:p>
        </w:tc>
        <w:tc>
          <w:tcPr>
            <w:tcW w:w="614" w:type="dxa"/>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1049" w:type="dxa"/>
          </w:tcPr>
          <w:p w:rsidR="009E077E" w:rsidRPr="00422183" w:rsidRDefault="009E077E" w:rsidP="00E8632D">
            <w:pPr>
              <w:rPr>
                <w:rFonts w:ascii="Rockwell" w:hAnsi="Rockwell"/>
                <w:sz w:val="18"/>
              </w:rPr>
            </w:pPr>
          </w:p>
        </w:tc>
        <w:tc>
          <w:tcPr>
            <w:tcW w:w="1225" w:type="dxa"/>
          </w:tcPr>
          <w:p w:rsidR="009E077E" w:rsidRPr="00422183" w:rsidRDefault="009E077E" w:rsidP="00E8632D">
            <w:pPr>
              <w:rPr>
                <w:rFonts w:ascii="Rockwell" w:hAnsi="Rockwell"/>
                <w:sz w:val="18"/>
              </w:rPr>
            </w:pPr>
          </w:p>
        </w:tc>
        <w:tc>
          <w:tcPr>
            <w:tcW w:w="1211" w:type="dxa"/>
          </w:tcPr>
          <w:p w:rsidR="009E077E" w:rsidRPr="00422183" w:rsidRDefault="009E077E" w:rsidP="00E8632D">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E8632D">
            <w:pPr>
              <w:rPr>
                <w:rFonts w:ascii="Rockwell" w:hAnsi="Rockwell"/>
                <w:sz w:val="18"/>
              </w:rPr>
            </w:pPr>
          </w:p>
        </w:tc>
        <w:tc>
          <w:tcPr>
            <w:tcW w:w="2613" w:type="dxa"/>
            <w:gridSpan w:val="2"/>
            <w:hideMark/>
          </w:tcPr>
          <w:p w:rsidR="009E077E" w:rsidRPr="00422183" w:rsidRDefault="009E077E" w:rsidP="00E8632D">
            <w:pPr>
              <w:rPr>
                <w:rFonts w:ascii="Rockwell" w:hAnsi="Rockwell"/>
                <w:sz w:val="18"/>
              </w:rPr>
            </w:pPr>
            <w:r w:rsidRPr="00422183">
              <w:rPr>
                <w:rFonts w:ascii="Rockwell" w:hAnsi="Rockwell"/>
                <w:sz w:val="18"/>
              </w:rPr>
              <w:t>Nombre d’actes d’incivisme en milieu scolaire</w:t>
            </w:r>
          </w:p>
        </w:tc>
        <w:tc>
          <w:tcPr>
            <w:tcW w:w="1387" w:type="dxa"/>
            <w:gridSpan w:val="3"/>
          </w:tcPr>
          <w:p w:rsidR="009E077E" w:rsidRPr="00422183" w:rsidRDefault="009E077E" w:rsidP="00E8632D">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E8632D">
            <w:pPr>
              <w:rPr>
                <w:rFonts w:ascii="Rockwell" w:hAnsi="Rockwell"/>
                <w:sz w:val="18"/>
              </w:rPr>
            </w:pPr>
            <w:r w:rsidRPr="00422183">
              <w:rPr>
                <w:rFonts w:ascii="Rockwell" w:hAnsi="Rockwell"/>
                <w:sz w:val="18"/>
              </w:rPr>
              <w:t>MENA</w:t>
            </w:r>
          </w:p>
        </w:tc>
        <w:tc>
          <w:tcPr>
            <w:tcW w:w="1187" w:type="dxa"/>
            <w:gridSpan w:val="2"/>
            <w:noWrap/>
            <w:hideMark/>
          </w:tcPr>
          <w:p w:rsidR="009E077E" w:rsidRPr="00422183" w:rsidRDefault="009E077E" w:rsidP="00E8632D">
            <w:pPr>
              <w:rPr>
                <w:rFonts w:ascii="Rockwell" w:hAnsi="Rockwell"/>
                <w:sz w:val="18"/>
              </w:rPr>
            </w:pPr>
            <w:r w:rsidRPr="00422183">
              <w:rPr>
                <w:rFonts w:ascii="Rockwell" w:hAnsi="Rockwell"/>
                <w:sz w:val="18"/>
              </w:rPr>
              <w:t>ND</w:t>
            </w:r>
          </w:p>
        </w:tc>
        <w:tc>
          <w:tcPr>
            <w:tcW w:w="974" w:type="dxa"/>
            <w:noWrap/>
            <w:hideMark/>
          </w:tcPr>
          <w:p w:rsidR="009E077E" w:rsidRPr="00422183" w:rsidRDefault="009E077E" w:rsidP="00E8632D">
            <w:pPr>
              <w:rPr>
                <w:rFonts w:ascii="Rockwell" w:hAnsi="Rockwell"/>
                <w:sz w:val="18"/>
              </w:rPr>
            </w:pPr>
          </w:p>
        </w:tc>
        <w:tc>
          <w:tcPr>
            <w:tcW w:w="870" w:type="dxa"/>
            <w:noWrap/>
            <w:hideMark/>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614" w:type="dxa"/>
          </w:tcPr>
          <w:p w:rsidR="009E077E" w:rsidRPr="00422183" w:rsidRDefault="009E077E" w:rsidP="00E8632D">
            <w:pPr>
              <w:rPr>
                <w:rFonts w:ascii="Rockwell" w:hAnsi="Rockwell"/>
                <w:sz w:val="18"/>
              </w:rPr>
            </w:pPr>
          </w:p>
        </w:tc>
        <w:tc>
          <w:tcPr>
            <w:tcW w:w="1049" w:type="dxa"/>
          </w:tcPr>
          <w:p w:rsidR="009E077E" w:rsidRPr="00422183" w:rsidRDefault="009E077E" w:rsidP="00E8632D">
            <w:pPr>
              <w:rPr>
                <w:rFonts w:ascii="Rockwell" w:hAnsi="Rockwell"/>
                <w:sz w:val="18"/>
              </w:rPr>
            </w:pPr>
          </w:p>
        </w:tc>
        <w:tc>
          <w:tcPr>
            <w:tcW w:w="1225" w:type="dxa"/>
          </w:tcPr>
          <w:p w:rsidR="009E077E" w:rsidRPr="00422183" w:rsidRDefault="009E077E" w:rsidP="00E8632D">
            <w:pPr>
              <w:rPr>
                <w:rFonts w:ascii="Rockwell" w:hAnsi="Rockwell"/>
                <w:sz w:val="18"/>
              </w:rPr>
            </w:pPr>
          </w:p>
        </w:tc>
        <w:tc>
          <w:tcPr>
            <w:tcW w:w="1211" w:type="dxa"/>
          </w:tcPr>
          <w:p w:rsidR="009E077E" w:rsidRPr="00422183" w:rsidRDefault="009E077E" w:rsidP="00E8632D">
            <w:pPr>
              <w:rPr>
                <w:rFonts w:ascii="Rockwell" w:hAnsi="Rockwell"/>
                <w:sz w:val="18"/>
              </w:rPr>
            </w:pPr>
          </w:p>
        </w:tc>
      </w:tr>
      <w:tr w:rsidR="009E077E" w:rsidRPr="00422183" w:rsidTr="00E8632D">
        <w:trPr>
          <w:trHeight w:val="300"/>
        </w:trPr>
        <w:tc>
          <w:tcPr>
            <w:tcW w:w="2395" w:type="dxa"/>
            <w:vMerge/>
            <w:noWrap/>
          </w:tcPr>
          <w:p w:rsidR="009E077E" w:rsidRPr="00422183" w:rsidRDefault="009E077E" w:rsidP="00372284">
            <w:pPr>
              <w:rPr>
                <w:rFonts w:ascii="Rockwell" w:hAnsi="Rockwell"/>
                <w:sz w:val="18"/>
              </w:rPr>
            </w:pPr>
          </w:p>
        </w:tc>
        <w:tc>
          <w:tcPr>
            <w:tcW w:w="2613" w:type="dxa"/>
            <w:gridSpan w:val="2"/>
          </w:tcPr>
          <w:p w:rsidR="009E077E" w:rsidRPr="00422183" w:rsidRDefault="009E077E" w:rsidP="00372284">
            <w:pPr>
              <w:rPr>
                <w:rFonts w:ascii="Rockwell" w:hAnsi="Rockwell"/>
                <w:sz w:val="18"/>
              </w:rPr>
            </w:pPr>
            <w:r w:rsidRPr="00422183">
              <w:rPr>
                <w:rFonts w:ascii="Rockwell" w:hAnsi="Rockwell"/>
                <w:sz w:val="18"/>
              </w:rPr>
              <w:t xml:space="preserve">Indice de parité du TBA au primaire </w:t>
            </w:r>
          </w:p>
        </w:tc>
        <w:tc>
          <w:tcPr>
            <w:tcW w:w="1387" w:type="dxa"/>
            <w:gridSpan w:val="3"/>
          </w:tcPr>
          <w:p w:rsidR="009E077E" w:rsidRPr="00422183" w:rsidRDefault="009E077E" w:rsidP="00372284">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372284">
            <w:pPr>
              <w:rPr>
                <w:rFonts w:ascii="Rockwell" w:hAnsi="Rockwell"/>
                <w:sz w:val="18"/>
              </w:rPr>
            </w:pPr>
            <w:r w:rsidRPr="00422183">
              <w:rPr>
                <w:rFonts w:ascii="Rockwell" w:hAnsi="Rockwell"/>
                <w:sz w:val="18"/>
              </w:rPr>
              <w:t>MENA</w:t>
            </w:r>
          </w:p>
        </w:tc>
        <w:tc>
          <w:tcPr>
            <w:tcW w:w="1187" w:type="dxa"/>
            <w:gridSpan w:val="2"/>
            <w:noWrap/>
          </w:tcPr>
          <w:p w:rsidR="009E077E" w:rsidRPr="00422183" w:rsidRDefault="009E077E" w:rsidP="00372284">
            <w:pPr>
              <w:rPr>
                <w:rFonts w:ascii="Rockwell" w:hAnsi="Rockwell"/>
                <w:sz w:val="18"/>
              </w:rPr>
            </w:pPr>
            <w:r w:rsidRPr="00422183">
              <w:rPr>
                <w:rFonts w:ascii="Rockwell" w:hAnsi="Rockwell"/>
                <w:sz w:val="18"/>
              </w:rPr>
              <w:t>0,95</w:t>
            </w:r>
          </w:p>
        </w:tc>
        <w:tc>
          <w:tcPr>
            <w:tcW w:w="974" w:type="dxa"/>
            <w:noWrap/>
          </w:tcPr>
          <w:p w:rsidR="009E077E" w:rsidRPr="00422183" w:rsidRDefault="009E077E" w:rsidP="00372284">
            <w:pPr>
              <w:rPr>
                <w:rFonts w:ascii="Rockwell" w:hAnsi="Rockwell"/>
                <w:sz w:val="18"/>
              </w:rPr>
            </w:pPr>
            <w:r w:rsidRPr="00422183">
              <w:rPr>
                <w:rFonts w:ascii="Rockwell" w:hAnsi="Rockwell"/>
                <w:sz w:val="18"/>
              </w:rPr>
              <w:t>1</w:t>
            </w:r>
          </w:p>
        </w:tc>
        <w:tc>
          <w:tcPr>
            <w:tcW w:w="870" w:type="dxa"/>
            <w:noWrap/>
          </w:tcPr>
          <w:p w:rsidR="009E077E" w:rsidRPr="00422183" w:rsidRDefault="009E077E" w:rsidP="00372284">
            <w:pPr>
              <w:rPr>
                <w:rFonts w:ascii="Rockwell" w:hAnsi="Rockwell"/>
                <w:sz w:val="18"/>
              </w:rPr>
            </w:pPr>
          </w:p>
        </w:tc>
        <w:tc>
          <w:tcPr>
            <w:tcW w:w="614" w:type="dxa"/>
          </w:tcPr>
          <w:p w:rsidR="009E077E" w:rsidRPr="00422183" w:rsidRDefault="009E077E" w:rsidP="00372284">
            <w:pPr>
              <w:rPr>
                <w:rFonts w:ascii="Rockwell" w:hAnsi="Rockwell"/>
                <w:sz w:val="18"/>
              </w:rPr>
            </w:pPr>
          </w:p>
        </w:tc>
        <w:tc>
          <w:tcPr>
            <w:tcW w:w="614" w:type="dxa"/>
          </w:tcPr>
          <w:p w:rsidR="009E077E" w:rsidRPr="00422183" w:rsidRDefault="009E077E" w:rsidP="00372284">
            <w:pPr>
              <w:rPr>
                <w:rFonts w:ascii="Rockwell" w:hAnsi="Rockwell"/>
                <w:sz w:val="18"/>
              </w:rPr>
            </w:pPr>
          </w:p>
        </w:tc>
        <w:tc>
          <w:tcPr>
            <w:tcW w:w="1049" w:type="dxa"/>
          </w:tcPr>
          <w:p w:rsidR="009E077E" w:rsidRPr="00422183" w:rsidRDefault="009E077E" w:rsidP="00372284">
            <w:pPr>
              <w:rPr>
                <w:rFonts w:ascii="Rockwell" w:hAnsi="Rockwell"/>
                <w:sz w:val="18"/>
              </w:rPr>
            </w:pPr>
          </w:p>
        </w:tc>
        <w:tc>
          <w:tcPr>
            <w:tcW w:w="1225" w:type="dxa"/>
          </w:tcPr>
          <w:p w:rsidR="009E077E" w:rsidRPr="00422183" w:rsidRDefault="009E077E" w:rsidP="00372284">
            <w:pPr>
              <w:rPr>
                <w:rFonts w:ascii="Rockwell" w:hAnsi="Rockwell"/>
                <w:sz w:val="18"/>
              </w:rPr>
            </w:pPr>
          </w:p>
        </w:tc>
        <w:tc>
          <w:tcPr>
            <w:tcW w:w="1211" w:type="dxa"/>
          </w:tcPr>
          <w:p w:rsidR="009E077E" w:rsidRPr="00422183" w:rsidRDefault="009E077E" w:rsidP="00372284">
            <w:pPr>
              <w:rPr>
                <w:rFonts w:ascii="Rockwell" w:hAnsi="Rockwell"/>
                <w:sz w:val="18"/>
              </w:rPr>
            </w:pPr>
          </w:p>
        </w:tc>
      </w:tr>
      <w:tr w:rsidR="009E077E" w:rsidRPr="00422183" w:rsidTr="00E8632D">
        <w:trPr>
          <w:trHeight w:val="300"/>
        </w:trPr>
        <w:tc>
          <w:tcPr>
            <w:tcW w:w="2395" w:type="dxa"/>
            <w:vMerge/>
            <w:noWrap/>
          </w:tcPr>
          <w:p w:rsidR="009E077E" w:rsidRPr="00422183" w:rsidRDefault="009E077E" w:rsidP="00372284">
            <w:pPr>
              <w:rPr>
                <w:rFonts w:ascii="Rockwell" w:hAnsi="Rockwell"/>
                <w:sz w:val="18"/>
              </w:rPr>
            </w:pPr>
          </w:p>
        </w:tc>
        <w:tc>
          <w:tcPr>
            <w:tcW w:w="2613" w:type="dxa"/>
            <w:gridSpan w:val="2"/>
          </w:tcPr>
          <w:p w:rsidR="009E077E" w:rsidRPr="00422183" w:rsidRDefault="009E077E" w:rsidP="00372284">
            <w:pPr>
              <w:rPr>
                <w:rFonts w:ascii="Rockwell" w:hAnsi="Rockwell"/>
                <w:sz w:val="18"/>
              </w:rPr>
            </w:pPr>
            <w:r w:rsidRPr="00422183">
              <w:rPr>
                <w:rFonts w:ascii="Rockwell" w:hAnsi="Rockwell"/>
                <w:sz w:val="18"/>
              </w:rPr>
              <w:t>Indice de parité du TBA au secondaire</w:t>
            </w:r>
          </w:p>
        </w:tc>
        <w:tc>
          <w:tcPr>
            <w:tcW w:w="1387" w:type="dxa"/>
            <w:gridSpan w:val="3"/>
          </w:tcPr>
          <w:p w:rsidR="009E077E" w:rsidRPr="00422183" w:rsidRDefault="009E077E" w:rsidP="00372284">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372284">
            <w:pPr>
              <w:rPr>
                <w:rFonts w:ascii="Rockwell" w:hAnsi="Rockwell"/>
                <w:sz w:val="18"/>
              </w:rPr>
            </w:pPr>
            <w:r w:rsidRPr="00422183">
              <w:rPr>
                <w:rFonts w:ascii="Rockwell" w:hAnsi="Rockwell"/>
                <w:sz w:val="18"/>
              </w:rPr>
              <w:t>MENA</w:t>
            </w:r>
          </w:p>
        </w:tc>
        <w:tc>
          <w:tcPr>
            <w:tcW w:w="1187" w:type="dxa"/>
            <w:gridSpan w:val="2"/>
            <w:noWrap/>
          </w:tcPr>
          <w:p w:rsidR="009E077E" w:rsidRPr="00422183" w:rsidRDefault="009E077E" w:rsidP="00372284">
            <w:pPr>
              <w:rPr>
                <w:rFonts w:ascii="Rockwell" w:hAnsi="Rockwell"/>
                <w:sz w:val="18"/>
              </w:rPr>
            </w:pPr>
            <w:r w:rsidRPr="00422183">
              <w:rPr>
                <w:rFonts w:ascii="Rockwell" w:hAnsi="Rockwell"/>
                <w:sz w:val="18"/>
              </w:rPr>
              <w:t>0,66</w:t>
            </w:r>
          </w:p>
        </w:tc>
        <w:tc>
          <w:tcPr>
            <w:tcW w:w="974" w:type="dxa"/>
            <w:noWrap/>
          </w:tcPr>
          <w:p w:rsidR="009E077E" w:rsidRPr="00422183" w:rsidRDefault="009E077E" w:rsidP="00372284">
            <w:pPr>
              <w:rPr>
                <w:rFonts w:ascii="Rockwell" w:hAnsi="Rockwell"/>
                <w:sz w:val="18"/>
              </w:rPr>
            </w:pPr>
            <w:r w:rsidRPr="00422183">
              <w:rPr>
                <w:rFonts w:ascii="Rockwell" w:hAnsi="Rockwell"/>
                <w:sz w:val="18"/>
              </w:rPr>
              <w:t>1</w:t>
            </w:r>
          </w:p>
        </w:tc>
        <w:tc>
          <w:tcPr>
            <w:tcW w:w="870" w:type="dxa"/>
            <w:noWrap/>
          </w:tcPr>
          <w:p w:rsidR="009E077E" w:rsidRPr="00422183" w:rsidRDefault="009E077E" w:rsidP="00372284">
            <w:pPr>
              <w:rPr>
                <w:rFonts w:ascii="Rockwell" w:hAnsi="Rockwell"/>
                <w:sz w:val="18"/>
              </w:rPr>
            </w:pPr>
          </w:p>
        </w:tc>
        <w:tc>
          <w:tcPr>
            <w:tcW w:w="614" w:type="dxa"/>
          </w:tcPr>
          <w:p w:rsidR="009E077E" w:rsidRPr="00422183" w:rsidRDefault="009E077E" w:rsidP="00372284">
            <w:pPr>
              <w:rPr>
                <w:rFonts w:ascii="Rockwell" w:hAnsi="Rockwell"/>
                <w:sz w:val="18"/>
              </w:rPr>
            </w:pPr>
          </w:p>
        </w:tc>
        <w:tc>
          <w:tcPr>
            <w:tcW w:w="614" w:type="dxa"/>
          </w:tcPr>
          <w:p w:rsidR="009E077E" w:rsidRPr="00422183" w:rsidRDefault="009E077E" w:rsidP="00372284">
            <w:pPr>
              <w:rPr>
                <w:rFonts w:ascii="Rockwell" w:hAnsi="Rockwell"/>
                <w:sz w:val="18"/>
              </w:rPr>
            </w:pPr>
          </w:p>
        </w:tc>
        <w:tc>
          <w:tcPr>
            <w:tcW w:w="1049" w:type="dxa"/>
          </w:tcPr>
          <w:p w:rsidR="009E077E" w:rsidRPr="00422183" w:rsidRDefault="009E077E" w:rsidP="00372284">
            <w:pPr>
              <w:rPr>
                <w:rFonts w:ascii="Rockwell" w:hAnsi="Rockwell"/>
                <w:sz w:val="18"/>
              </w:rPr>
            </w:pPr>
          </w:p>
        </w:tc>
        <w:tc>
          <w:tcPr>
            <w:tcW w:w="1225" w:type="dxa"/>
          </w:tcPr>
          <w:p w:rsidR="009E077E" w:rsidRPr="00422183" w:rsidRDefault="009E077E" w:rsidP="00372284">
            <w:pPr>
              <w:rPr>
                <w:rFonts w:ascii="Rockwell" w:hAnsi="Rockwell"/>
                <w:sz w:val="18"/>
              </w:rPr>
            </w:pPr>
          </w:p>
        </w:tc>
        <w:tc>
          <w:tcPr>
            <w:tcW w:w="1211" w:type="dxa"/>
          </w:tcPr>
          <w:p w:rsidR="009E077E" w:rsidRPr="00422183" w:rsidRDefault="009E077E" w:rsidP="00372284">
            <w:pPr>
              <w:rPr>
                <w:rFonts w:ascii="Rockwell" w:hAnsi="Rockwell"/>
                <w:sz w:val="18"/>
              </w:rPr>
            </w:pPr>
          </w:p>
        </w:tc>
      </w:tr>
      <w:tr w:rsidR="004B0B6D" w:rsidRPr="00422183" w:rsidTr="00E8632D">
        <w:trPr>
          <w:trHeight w:val="600"/>
        </w:trPr>
        <w:tc>
          <w:tcPr>
            <w:tcW w:w="2395" w:type="dxa"/>
            <w:vMerge w:val="restart"/>
            <w:noWrap/>
            <w:hideMark/>
          </w:tcPr>
          <w:p w:rsidR="004B0B6D" w:rsidRPr="00422183" w:rsidRDefault="004B0B6D" w:rsidP="00372284">
            <w:pPr>
              <w:rPr>
                <w:rFonts w:ascii="Rockwell" w:hAnsi="Rockwell"/>
                <w:sz w:val="18"/>
              </w:rPr>
            </w:pPr>
            <w:r w:rsidRPr="00422183">
              <w:rPr>
                <w:rFonts w:ascii="Rockwell" w:hAnsi="Rockwell"/>
                <w:sz w:val="18"/>
              </w:rPr>
              <w:t>EA 2.2.2 :: La disponibilité et l'employabilité des ressources humaines sont améliorées</w:t>
            </w:r>
          </w:p>
        </w:tc>
        <w:tc>
          <w:tcPr>
            <w:tcW w:w="2613" w:type="dxa"/>
            <w:gridSpan w:val="2"/>
            <w:hideMark/>
          </w:tcPr>
          <w:p w:rsidR="004B0B6D" w:rsidRPr="00422183" w:rsidRDefault="004B0B6D" w:rsidP="00372284">
            <w:pPr>
              <w:rPr>
                <w:rFonts w:ascii="Rockwell" w:hAnsi="Rockwell"/>
                <w:sz w:val="18"/>
              </w:rPr>
            </w:pPr>
            <w:r w:rsidRPr="00422183">
              <w:rPr>
                <w:rFonts w:ascii="Rockwell" w:hAnsi="Rockwell"/>
                <w:sz w:val="18"/>
              </w:rPr>
              <w:t>Proportion des effectifs de l’éducation et formation technique et professionnelle (EFTP)</w:t>
            </w:r>
          </w:p>
        </w:tc>
        <w:tc>
          <w:tcPr>
            <w:tcW w:w="1387" w:type="dxa"/>
            <w:gridSpan w:val="3"/>
          </w:tcPr>
          <w:p w:rsidR="004B0B6D" w:rsidRPr="00422183" w:rsidRDefault="004B0B6D" w:rsidP="00372284">
            <w:pPr>
              <w:rPr>
                <w:rFonts w:ascii="Rockwell" w:hAnsi="Rockwell"/>
                <w:sz w:val="18"/>
              </w:rPr>
            </w:pPr>
            <w:r w:rsidRPr="00422183">
              <w:rPr>
                <w:rFonts w:ascii="Rockwell" w:hAnsi="Rockwell"/>
                <w:sz w:val="18"/>
              </w:rPr>
              <w:t>Rapport du secteur concerné</w:t>
            </w:r>
          </w:p>
        </w:tc>
        <w:tc>
          <w:tcPr>
            <w:tcW w:w="1360" w:type="dxa"/>
          </w:tcPr>
          <w:p w:rsidR="004B0B6D" w:rsidRPr="00422183" w:rsidRDefault="004B0B6D" w:rsidP="00372284">
            <w:pPr>
              <w:rPr>
                <w:rFonts w:ascii="Rockwell" w:hAnsi="Rockwell"/>
                <w:sz w:val="18"/>
              </w:rPr>
            </w:pPr>
            <w:r w:rsidRPr="00422183">
              <w:rPr>
                <w:rFonts w:ascii="Rockwell" w:hAnsi="Rockwell"/>
                <w:sz w:val="18"/>
              </w:rPr>
              <w:t>MENA et MJFIP</w:t>
            </w:r>
          </w:p>
        </w:tc>
        <w:tc>
          <w:tcPr>
            <w:tcW w:w="1187" w:type="dxa"/>
            <w:gridSpan w:val="2"/>
            <w:noWrap/>
            <w:hideMark/>
          </w:tcPr>
          <w:p w:rsidR="004B0B6D" w:rsidRPr="00422183" w:rsidRDefault="004B0B6D" w:rsidP="00372284">
            <w:pPr>
              <w:rPr>
                <w:rFonts w:ascii="Rockwell" w:hAnsi="Rockwell"/>
                <w:sz w:val="18"/>
              </w:rPr>
            </w:pPr>
            <w:r w:rsidRPr="00422183">
              <w:rPr>
                <w:rFonts w:ascii="Rockwell" w:hAnsi="Rockwell"/>
                <w:sz w:val="18"/>
              </w:rPr>
              <w:t>3,4%</w:t>
            </w:r>
          </w:p>
        </w:tc>
        <w:tc>
          <w:tcPr>
            <w:tcW w:w="974" w:type="dxa"/>
            <w:noWrap/>
            <w:hideMark/>
          </w:tcPr>
          <w:p w:rsidR="004B0B6D" w:rsidRPr="00422183" w:rsidRDefault="004B0B6D" w:rsidP="00372284">
            <w:pPr>
              <w:rPr>
                <w:rFonts w:ascii="Rockwell" w:hAnsi="Rockwell"/>
                <w:sz w:val="18"/>
              </w:rPr>
            </w:pPr>
            <w:r w:rsidRPr="00422183">
              <w:rPr>
                <w:rFonts w:ascii="Rockwell" w:hAnsi="Rockwell"/>
                <w:sz w:val="18"/>
              </w:rPr>
              <w:t>8%</w:t>
            </w:r>
          </w:p>
        </w:tc>
        <w:tc>
          <w:tcPr>
            <w:tcW w:w="870" w:type="dxa"/>
            <w:noWrap/>
            <w:hideMark/>
          </w:tcPr>
          <w:p w:rsidR="004B0B6D" w:rsidRPr="00422183" w:rsidRDefault="004B0B6D" w:rsidP="00372284">
            <w:pPr>
              <w:rPr>
                <w:rFonts w:ascii="Rockwell" w:hAnsi="Rockwell"/>
                <w:sz w:val="18"/>
              </w:rPr>
            </w:pPr>
            <w:r w:rsidRPr="00422183">
              <w:rPr>
                <w:rFonts w:ascii="Rockwell" w:hAnsi="Rockwell"/>
                <w:sz w:val="18"/>
              </w:rPr>
              <w:t>16%</w:t>
            </w:r>
          </w:p>
        </w:tc>
        <w:tc>
          <w:tcPr>
            <w:tcW w:w="614" w:type="dxa"/>
          </w:tcPr>
          <w:p w:rsidR="004B0B6D" w:rsidRPr="00422183" w:rsidRDefault="004B0B6D" w:rsidP="00372284">
            <w:pPr>
              <w:rPr>
                <w:rFonts w:ascii="Rockwell" w:hAnsi="Rockwell"/>
                <w:sz w:val="18"/>
              </w:rPr>
            </w:pPr>
          </w:p>
        </w:tc>
        <w:tc>
          <w:tcPr>
            <w:tcW w:w="614" w:type="dxa"/>
          </w:tcPr>
          <w:p w:rsidR="004B0B6D" w:rsidRPr="00422183" w:rsidRDefault="004B0B6D" w:rsidP="00372284">
            <w:pPr>
              <w:rPr>
                <w:rFonts w:ascii="Rockwell" w:hAnsi="Rockwell"/>
                <w:sz w:val="18"/>
              </w:rPr>
            </w:pPr>
          </w:p>
        </w:tc>
        <w:tc>
          <w:tcPr>
            <w:tcW w:w="1049" w:type="dxa"/>
          </w:tcPr>
          <w:p w:rsidR="004B0B6D" w:rsidRPr="00422183" w:rsidRDefault="004B0B6D" w:rsidP="00372284">
            <w:pPr>
              <w:rPr>
                <w:rFonts w:ascii="Rockwell" w:hAnsi="Rockwell"/>
                <w:sz w:val="18"/>
              </w:rPr>
            </w:pPr>
          </w:p>
        </w:tc>
        <w:tc>
          <w:tcPr>
            <w:tcW w:w="1225" w:type="dxa"/>
          </w:tcPr>
          <w:p w:rsidR="004B0B6D" w:rsidRPr="00422183" w:rsidRDefault="004B0B6D" w:rsidP="00372284">
            <w:pPr>
              <w:rPr>
                <w:rFonts w:ascii="Rockwell" w:hAnsi="Rockwell"/>
                <w:sz w:val="18"/>
              </w:rPr>
            </w:pPr>
          </w:p>
        </w:tc>
        <w:tc>
          <w:tcPr>
            <w:tcW w:w="1211" w:type="dxa"/>
          </w:tcPr>
          <w:p w:rsidR="004B0B6D" w:rsidRPr="00422183" w:rsidRDefault="004B0B6D" w:rsidP="00372284">
            <w:pPr>
              <w:rPr>
                <w:rFonts w:ascii="Rockwell" w:hAnsi="Rockwell"/>
                <w:sz w:val="18"/>
              </w:rPr>
            </w:pPr>
          </w:p>
        </w:tc>
      </w:tr>
      <w:tr w:rsidR="004B0B6D" w:rsidRPr="00422183" w:rsidTr="00E8632D">
        <w:trPr>
          <w:trHeight w:val="900"/>
        </w:trPr>
        <w:tc>
          <w:tcPr>
            <w:tcW w:w="2395" w:type="dxa"/>
            <w:vMerge/>
            <w:noWrap/>
            <w:hideMark/>
          </w:tcPr>
          <w:p w:rsidR="004B0B6D" w:rsidRPr="00422183" w:rsidRDefault="004B0B6D" w:rsidP="00372284">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Proportion de la main-d'œuvre bénéficiaire de la formation technique et professionnelle dans les filières de transformation agro-pastorale</w:t>
            </w:r>
          </w:p>
        </w:tc>
        <w:tc>
          <w:tcPr>
            <w:tcW w:w="1387" w:type="dxa"/>
            <w:gridSpan w:val="3"/>
          </w:tcPr>
          <w:p w:rsidR="004B0B6D" w:rsidRPr="00422183" w:rsidRDefault="004B0B6D" w:rsidP="00372284">
            <w:pPr>
              <w:rPr>
                <w:rFonts w:ascii="Rockwell" w:hAnsi="Rockwell"/>
                <w:sz w:val="18"/>
              </w:rPr>
            </w:pPr>
            <w:r w:rsidRPr="00422183">
              <w:rPr>
                <w:rFonts w:ascii="Rockwell" w:hAnsi="Rockwell"/>
                <w:sz w:val="18"/>
              </w:rPr>
              <w:t>Rapport du secteur concerné</w:t>
            </w:r>
          </w:p>
        </w:tc>
        <w:tc>
          <w:tcPr>
            <w:tcW w:w="1360" w:type="dxa"/>
          </w:tcPr>
          <w:p w:rsidR="004B0B6D" w:rsidRPr="00422183" w:rsidRDefault="004B0B6D" w:rsidP="00372284">
            <w:pPr>
              <w:rPr>
                <w:rFonts w:ascii="Rockwell" w:hAnsi="Rockwell"/>
                <w:sz w:val="18"/>
              </w:rPr>
            </w:pPr>
            <w:r w:rsidRPr="00422183">
              <w:rPr>
                <w:rFonts w:ascii="Rockwell" w:hAnsi="Rockwell"/>
                <w:sz w:val="18"/>
              </w:rPr>
              <w:t>MENA et MJFIP</w:t>
            </w:r>
          </w:p>
        </w:tc>
        <w:tc>
          <w:tcPr>
            <w:tcW w:w="1187" w:type="dxa"/>
            <w:gridSpan w:val="2"/>
            <w:noWrap/>
            <w:hideMark/>
          </w:tcPr>
          <w:p w:rsidR="004B0B6D" w:rsidRPr="00422183" w:rsidRDefault="004B0B6D" w:rsidP="00372284">
            <w:pPr>
              <w:rPr>
                <w:rFonts w:ascii="Rockwell" w:hAnsi="Rockwell"/>
                <w:sz w:val="18"/>
              </w:rPr>
            </w:pPr>
            <w:r w:rsidRPr="00422183">
              <w:rPr>
                <w:rFonts w:ascii="Rockwell" w:hAnsi="Rockwell"/>
                <w:sz w:val="18"/>
              </w:rPr>
              <w:t>1,1%</w:t>
            </w:r>
          </w:p>
        </w:tc>
        <w:tc>
          <w:tcPr>
            <w:tcW w:w="974" w:type="dxa"/>
            <w:noWrap/>
            <w:hideMark/>
          </w:tcPr>
          <w:p w:rsidR="004B0B6D" w:rsidRPr="00422183" w:rsidRDefault="004B0B6D" w:rsidP="00372284">
            <w:pPr>
              <w:rPr>
                <w:rFonts w:ascii="Rockwell" w:hAnsi="Rockwell"/>
                <w:sz w:val="18"/>
              </w:rPr>
            </w:pPr>
            <w:r w:rsidRPr="00422183">
              <w:rPr>
                <w:rFonts w:ascii="Rockwell" w:hAnsi="Rockwell"/>
                <w:sz w:val="18"/>
              </w:rPr>
              <w:t>6%</w:t>
            </w:r>
          </w:p>
        </w:tc>
        <w:tc>
          <w:tcPr>
            <w:tcW w:w="870" w:type="dxa"/>
            <w:noWrap/>
            <w:hideMark/>
          </w:tcPr>
          <w:p w:rsidR="004B0B6D" w:rsidRPr="00422183" w:rsidRDefault="004B0B6D" w:rsidP="00372284">
            <w:pPr>
              <w:rPr>
                <w:rFonts w:ascii="Rockwell" w:hAnsi="Rockwell"/>
                <w:sz w:val="18"/>
              </w:rPr>
            </w:pPr>
            <w:r w:rsidRPr="00422183">
              <w:rPr>
                <w:rFonts w:ascii="Rockwell" w:hAnsi="Rockwell"/>
                <w:sz w:val="18"/>
              </w:rPr>
              <w:t>15%</w:t>
            </w:r>
          </w:p>
        </w:tc>
        <w:tc>
          <w:tcPr>
            <w:tcW w:w="614" w:type="dxa"/>
          </w:tcPr>
          <w:p w:rsidR="004B0B6D" w:rsidRPr="00422183" w:rsidRDefault="004B0B6D" w:rsidP="00372284">
            <w:pPr>
              <w:rPr>
                <w:rFonts w:ascii="Rockwell" w:hAnsi="Rockwell"/>
                <w:sz w:val="18"/>
              </w:rPr>
            </w:pPr>
          </w:p>
        </w:tc>
        <w:tc>
          <w:tcPr>
            <w:tcW w:w="614" w:type="dxa"/>
          </w:tcPr>
          <w:p w:rsidR="004B0B6D" w:rsidRPr="00422183" w:rsidRDefault="004B0B6D" w:rsidP="00372284">
            <w:pPr>
              <w:rPr>
                <w:rFonts w:ascii="Rockwell" w:hAnsi="Rockwell"/>
                <w:sz w:val="18"/>
              </w:rPr>
            </w:pPr>
          </w:p>
        </w:tc>
        <w:tc>
          <w:tcPr>
            <w:tcW w:w="1049" w:type="dxa"/>
          </w:tcPr>
          <w:p w:rsidR="004B0B6D" w:rsidRPr="00422183" w:rsidRDefault="004B0B6D" w:rsidP="00372284">
            <w:pPr>
              <w:rPr>
                <w:rFonts w:ascii="Rockwell" w:hAnsi="Rockwell"/>
                <w:sz w:val="18"/>
              </w:rPr>
            </w:pPr>
          </w:p>
        </w:tc>
        <w:tc>
          <w:tcPr>
            <w:tcW w:w="1225" w:type="dxa"/>
          </w:tcPr>
          <w:p w:rsidR="004B0B6D" w:rsidRPr="00422183" w:rsidRDefault="004B0B6D" w:rsidP="00372284">
            <w:pPr>
              <w:rPr>
                <w:rFonts w:ascii="Rockwell" w:hAnsi="Rockwell"/>
                <w:sz w:val="18"/>
              </w:rPr>
            </w:pPr>
          </w:p>
        </w:tc>
        <w:tc>
          <w:tcPr>
            <w:tcW w:w="1211" w:type="dxa"/>
          </w:tcPr>
          <w:p w:rsidR="004B0B6D" w:rsidRPr="00422183" w:rsidRDefault="004B0B6D" w:rsidP="00372284">
            <w:pPr>
              <w:rPr>
                <w:rFonts w:ascii="Rockwell" w:hAnsi="Rockwell"/>
                <w:sz w:val="18"/>
              </w:rPr>
            </w:pPr>
          </w:p>
        </w:tc>
      </w:tr>
      <w:tr w:rsidR="004B0B6D" w:rsidRPr="00422183" w:rsidTr="00E8632D">
        <w:trPr>
          <w:trHeight w:val="600"/>
        </w:trPr>
        <w:tc>
          <w:tcPr>
            <w:tcW w:w="2395" w:type="dxa"/>
            <w:vMerge/>
            <w:noWrap/>
            <w:hideMark/>
          </w:tcPr>
          <w:p w:rsidR="004B0B6D" w:rsidRPr="00422183" w:rsidRDefault="004B0B6D" w:rsidP="00372284">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Taux d'alphabétisation de la population en âge de travailler (18 ans et plus)</w:t>
            </w:r>
          </w:p>
        </w:tc>
        <w:tc>
          <w:tcPr>
            <w:tcW w:w="1387" w:type="dxa"/>
            <w:gridSpan w:val="3"/>
          </w:tcPr>
          <w:p w:rsidR="004B0B6D" w:rsidRPr="00422183" w:rsidRDefault="004B0B6D" w:rsidP="00372284">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372284">
            <w:pPr>
              <w:rPr>
                <w:rFonts w:ascii="Rockwell" w:hAnsi="Rockwell"/>
                <w:sz w:val="18"/>
              </w:rPr>
            </w:pPr>
            <w:r w:rsidRPr="00422183">
              <w:rPr>
                <w:rFonts w:ascii="Rockwell" w:hAnsi="Rockwell"/>
                <w:sz w:val="18"/>
              </w:rPr>
              <w:t>MENA</w:t>
            </w:r>
          </w:p>
        </w:tc>
        <w:tc>
          <w:tcPr>
            <w:tcW w:w="1187" w:type="dxa"/>
            <w:gridSpan w:val="2"/>
            <w:noWrap/>
            <w:hideMark/>
          </w:tcPr>
          <w:p w:rsidR="004B0B6D" w:rsidRPr="00422183" w:rsidRDefault="004B0B6D" w:rsidP="00372284">
            <w:pPr>
              <w:rPr>
                <w:rFonts w:ascii="Rockwell" w:hAnsi="Rockwell"/>
                <w:sz w:val="18"/>
              </w:rPr>
            </w:pPr>
            <w:r w:rsidRPr="00422183">
              <w:rPr>
                <w:rFonts w:ascii="Rockwell" w:hAnsi="Rockwell"/>
                <w:sz w:val="18"/>
              </w:rPr>
              <w:t>29,5%</w:t>
            </w:r>
          </w:p>
        </w:tc>
        <w:tc>
          <w:tcPr>
            <w:tcW w:w="974" w:type="dxa"/>
            <w:noWrap/>
            <w:hideMark/>
          </w:tcPr>
          <w:p w:rsidR="004B0B6D" w:rsidRPr="00422183" w:rsidRDefault="004B0B6D" w:rsidP="00372284">
            <w:pPr>
              <w:rPr>
                <w:rFonts w:ascii="Rockwell" w:hAnsi="Rockwell"/>
                <w:sz w:val="18"/>
              </w:rPr>
            </w:pPr>
            <w:r w:rsidRPr="00422183">
              <w:rPr>
                <w:rFonts w:ascii="Rockwell" w:hAnsi="Rockwell"/>
                <w:sz w:val="18"/>
              </w:rPr>
              <w:t>31,5%</w:t>
            </w:r>
          </w:p>
        </w:tc>
        <w:tc>
          <w:tcPr>
            <w:tcW w:w="870" w:type="dxa"/>
            <w:noWrap/>
            <w:hideMark/>
          </w:tcPr>
          <w:p w:rsidR="004B0B6D" w:rsidRPr="00422183" w:rsidRDefault="004B0B6D" w:rsidP="00372284">
            <w:pPr>
              <w:rPr>
                <w:rFonts w:ascii="Rockwell" w:hAnsi="Rockwell"/>
                <w:sz w:val="18"/>
              </w:rPr>
            </w:pPr>
            <w:r w:rsidRPr="00422183">
              <w:rPr>
                <w:rFonts w:ascii="Rockwell" w:hAnsi="Rockwell"/>
                <w:sz w:val="18"/>
              </w:rPr>
              <w:t>35%</w:t>
            </w:r>
          </w:p>
        </w:tc>
        <w:tc>
          <w:tcPr>
            <w:tcW w:w="614" w:type="dxa"/>
          </w:tcPr>
          <w:p w:rsidR="004B0B6D" w:rsidRPr="00422183" w:rsidRDefault="004B0B6D" w:rsidP="00372284">
            <w:pPr>
              <w:rPr>
                <w:rFonts w:ascii="Rockwell" w:hAnsi="Rockwell"/>
                <w:sz w:val="18"/>
              </w:rPr>
            </w:pPr>
          </w:p>
        </w:tc>
        <w:tc>
          <w:tcPr>
            <w:tcW w:w="614" w:type="dxa"/>
          </w:tcPr>
          <w:p w:rsidR="004B0B6D" w:rsidRPr="00422183" w:rsidRDefault="004B0B6D" w:rsidP="00372284">
            <w:pPr>
              <w:rPr>
                <w:rFonts w:ascii="Rockwell" w:hAnsi="Rockwell"/>
                <w:sz w:val="18"/>
              </w:rPr>
            </w:pPr>
          </w:p>
        </w:tc>
        <w:tc>
          <w:tcPr>
            <w:tcW w:w="1049" w:type="dxa"/>
          </w:tcPr>
          <w:p w:rsidR="004B0B6D" w:rsidRPr="00422183" w:rsidRDefault="004B0B6D" w:rsidP="00372284">
            <w:pPr>
              <w:rPr>
                <w:rFonts w:ascii="Rockwell" w:hAnsi="Rockwell"/>
                <w:sz w:val="18"/>
              </w:rPr>
            </w:pPr>
          </w:p>
        </w:tc>
        <w:tc>
          <w:tcPr>
            <w:tcW w:w="1225" w:type="dxa"/>
          </w:tcPr>
          <w:p w:rsidR="004B0B6D" w:rsidRPr="00422183" w:rsidRDefault="004B0B6D" w:rsidP="00372284">
            <w:pPr>
              <w:rPr>
                <w:rFonts w:ascii="Rockwell" w:hAnsi="Rockwell"/>
                <w:sz w:val="18"/>
              </w:rPr>
            </w:pPr>
          </w:p>
        </w:tc>
        <w:tc>
          <w:tcPr>
            <w:tcW w:w="1211" w:type="dxa"/>
          </w:tcPr>
          <w:p w:rsidR="004B0B6D" w:rsidRPr="00422183" w:rsidRDefault="004B0B6D" w:rsidP="00372284">
            <w:pPr>
              <w:rPr>
                <w:rFonts w:ascii="Rockwell" w:hAnsi="Rockwell"/>
                <w:sz w:val="18"/>
              </w:rPr>
            </w:pPr>
          </w:p>
        </w:tc>
      </w:tr>
      <w:tr w:rsidR="004B0B6D" w:rsidRPr="00422183" w:rsidTr="00372284">
        <w:trPr>
          <w:trHeight w:val="600"/>
        </w:trPr>
        <w:tc>
          <w:tcPr>
            <w:tcW w:w="2395" w:type="dxa"/>
            <w:vMerge/>
            <w:noWrap/>
            <w:hideMark/>
          </w:tcPr>
          <w:p w:rsidR="004B0B6D" w:rsidRPr="00422183" w:rsidRDefault="004B0B6D" w:rsidP="004B0B6D">
            <w:pPr>
              <w:rPr>
                <w:rFonts w:ascii="Rockwell" w:hAnsi="Rockwell"/>
                <w:sz w:val="18"/>
              </w:rPr>
            </w:pPr>
          </w:p>
        </w:tc>
        <w:tc>
          <w:tcPr>
            <w:tcW w:w="2613" w:type="dxa"/>
            <w:gridSpan w:val="2"/>
          </w:tcPr>
          <w:p w:rsidR="004B0B6D" w:rsidRPr="00422183" w:rsidRDefault="004B0B6D" w:rsidP="004B0B6D">
            <w:pPr>
              <w:rPr>
                <w:rFonts w:ascii="Rockwell" w:hAnsi="Rockwell"/>
                <w:sz w:val="18"/>
              </w:rPr>
            </w:pPr>
            <w:r w:rsidRPr="00422183">
              <w:rPr>
                <w:rFonts w:ascii="Rockwell" w:hAnsi="Rockwell"/>
                <w:sz w:val="18"/>
              </w:rPr>
              <w:t>Proportion des effectifs de la formation technique et professionnelle dans l’effectif total des formés</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Rapport du secteur concerné</w:t>
            </w:r>
          </w:p>
        </w:tc>
        <w:tc>
          <w:tcPr>
            <w:tcW w:w="1360" w:type="dxa"/>
          </w:tcPr>
          <w:p w:rsidR="004B0B6D" w:rsidRPr="00422183" w:rsidRDefault="004B0B6D" w:rsidP="004B0B6D">
            <w:pPr>
              <w:rPr>
                <w:rFonts w:ascii="Rockwell" w:hAnsi="Rockwell"/>
                <w:sz w:val="18"/>
              </w:rPr>
            </w:pPr>
            <w:r w:rsidRPr="00422183">
              <w:rPr>
                <w:rFonts w:ascii="Rockwell" w:hAnsi="Rockwell"/>
                <w:sz w:val="18"/>
              </w:rPr>
              <w:t>MENA et MJFIP</w:t>
            </w:r>
          </w:p>
        </w:tc>
        <w:tc>
          <w:tcPr>
            <w:tcW w:w="1187" w:type="dxa"/>
            <w:gridSpan w:val="2"/>
            <w:noWrap/>
          </w:tcPr>
          <w:p w:rsidR="004B0B6D" w:rsidRPr="00422183" w:rsidRDefault="004B0B6D" w:rsidP="004B0B6D">
            <w:pPr>
              <w:rPr>
                <w:rFonts w:ascii="Rockwell" w:hAnsi="Rockwell"/>
                <w:sz w:val="18"/>
              </w:rPr>
            </w:pPr>
            <w:r w:rsidRPr="00422183">
              <w:rPr>
                <w:rFonts w:ascii="Rockwell" w:hAnsi="Rockwell"/>
                <w:sz w:val="18"/>
              </w:rPr>
              <w:t>4,5%</w:t>
            </w:r>
          </w:p>
        </w:tc>
        <w:tc>
          <w:tcPr>
            <w:tcW w:w="974" w:type="dxa"/>
            <w:noWrap/>
          </w:tcPr>
          <w:p w:rsidR="004B0B6D" w:rsidRPr="00422183" w:rsidRDefault="004B0B6D" w:rsidP="004B0B6D">
            <w:pPr>
              <w:rPr>
                <w:rFonts w:ascii="Rockwell" w:hAnsi="Rockwell"/>
                <w:sz w:val="18"/>
              </w:rPr>
            </w:pPr>
          </w:p>
        </w:tc>
        <w:tc>
          <w:tcPr>
            <w:tcW w:w="870" w:type="dxa"/>
            <w:noWrap/>
          </w:tcPr>
          <w:p w:rsidR="004B0B6D" w:rsidRPr="00422183" w:rsidRDefault="004B0B6D" w:rsidP="004B0B6D">
            <w:pPr>
              <w:rPr>
                <w:rFonts w:ascii="Rockwell" w:hAnsi="Rockwell"/>
                <w:sz w:val="18"/>
              </w:rPr>
            </w:pPr>
            <w:r w:rsidRPr="00422183">
              <w:rPr>
                <w:rFonts w:ascii="Rockwell" w:hAnsi="Rockwell"/>
                <w:sz w:val="18"/>
              </w:rPr>
              <w:t>15%</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372284">
        <w:trPr>
          <w:trHeight w:val="600"/>
        </w:trPr>
        <w:tc>
          <w:tcPr>
            <w:tcW w:w="2395" w:type="dxa"/>
            <w:vMerge/>
            <w:noWrap/>
          </w:tcPr>
          <w:p w:rsidR="004B0B6D" w:rsidRPr="00422183" w:rsidRDefault="004B0B6D" w:rsidP="004B0B6D">
            <w:pPr>
              <w:rPr>
                <w:rFonts w:ascii="Rockwell" w:hAnsi="Rockwell"/>
                <w:sz w:val="18"/>
              </w:rPr>
            </w:pPr>
          </w:p>
        </w:tc>
        <w:tc>
          <w:tcPr>
            <w:tcW w:w="2613" w:type="dxa"/>
            <w:gridSpan w:val="2"/>
          </w:tcPr>
          <w:p w:rsidR="004B0B6D" w:rsidRPr="00422183" w:rsidRDefault="004B0B6D" w:rsidP="004B0B6D">
            <w:pPr>
              <w:rPr>
                <w:rFonts w:ascii="Rockwell" w:hAnsi="Rockwell"/>
                <w:sz w:val="18"/>
              </w:rPr>
            </w:pPr>
            <w:r w:rsidRPr="00422183">
              <w:rPr>
                <w:rFonts w:ascii="Rockwell" w:hAnsi="Rockwell"/>
                <w:sz w:val="18"/>
              </w:rPr>
              <w:t>Nombre de bénéficiaires de l’EFTP pour 100 mille</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Rapport du secteur concerné</w:t>
            </w:r>
          </w:p>
        </w:tc>
        <w:tc>
          <w:tcPr>
            <w:tcW w:w="1360" w:type="dxa"/>
          </w:tcPr>
          <w:p w:rsidR="004B0B6D" w:rsidRPr="00422183" w:rsidRDefault="004B0B6D" w:rsidP="004B0B6D">
            <w:pPr>
              <w:rPr>
                <w:rFonts w:ascii="Rockwell" w:hAnsi="Rockwell"/>
                <w:sz w:val="18"/>
              </w:rPr>
            </w:pPr>
            <w:r w:rsidRPr="00422183">
              <w:rPr>
                <w:rFonts w:ascii="Rockwell" w:hAnsi="Rockwell"/>
                <w:sz w:val="18"/>
              </w:rPr>
              <w:t>MENA et MJFIP</w:t>
            </w:r>
          </w:p>
        </w:tc>
        <w:tc>
          <w:tcPr>
            <w:tcW w:w="1187" w:type="dxa"/>
            <w:gridSpan w:val="2"/>
            <w:noWrap/>
          </w:tcPr>
          <w:p w:rsidR="004B0B6D" w:rsidRPr="00422183" w:rsidRDefault="004B0B6D" w:rsidP="004B0B6D">
            <w:pPr>
              <w:rPr>
                <w:rFonts w:ascii="Rockwell" w:hAnsi="Rockwell"/>
                <w:sz w:val="18"/>
              </w:rPr>
            </w:pPr>
            <w:r w:rsidRPr="00422183">
              <w:rPr>
                <w:rFonts w:ascii="Rockwell" w:hAnsi="Rockwell"/>
                <w:sz w:val="18"/>
              </w:rPr>
              <w:t>ND</w:t>
            </w:r>
          </w:p>
        </w:tc>
        <w:tc>
          <w:tcPr>
            <w:tcW w:w="974" w:type="dxa"/>
            <w:noWrap/>
          </w:tcPr>
          <w:p w:rsidR="004B0B6D" w:rsidRPr="00422183" w:rsidRDefault="004B0B6D" w:rsidP="004B0B6D">
            <w:pPr>
              <w:rPr>
                <w:rFonts w:ascii="Rockwell" w:hAnsi="Rockwell"/>
                <w:sz w:val="18"/>
              </w:rPr>
            </w:pPr>
          </w:p>
        </w:tc>
        <w:tc>
          <w:tcPr>
            <w:tcW w:w="870" w:type="dxa"/>
            <w:noWrap/>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372284">
        <w:trPr>
          <w:trHeight w:val="600"/>
        </w:trPr>
        <w:tc>
          <w:tcPr>
            <w:tcW w:w="2395" w:type="dxa"/>
            <w:vMerge/>
            <w:noWrap/>
          </w:tcPr>
          <w:p w:rsidR="004B0B6D" w:rsidRPr="00422183" w:rsidRDefault="004B0B6D" w:rsidP="004B0B6D">
            <w:pPr>
              <w:rPr>
                <w:rFonts w:ascii="Rockwell" w:hAnsi="Rockwell"/>
                <w:sz w:val="18"/>
              </w:rPr>
            </w:pPr>
          </w:p>
        </w:tc>
        <w:tc>
          <w:tcPr>
            <w:tcW w:w="2613" w:type="dxa"/>
            <w:gridSpan w:val="2"/>
          </w:tcPr>
          <w:p w:rsidR="004B0B6D" w:rsidRPr="00422183" w:rsidRDefault="004B0B6D" w:rsidP="004B0B6D">
            <w:pPr>
              <w:rPr>
                <w:rFonts w:ascii="Rockwell" w:hAnsi="Rockwell"/>
                <w:sz w:val="18"/>
              </w:rPr>
            </w:pPr>
            <w:r w:rsidRPr="00422183">
              <w:rPr>
                <w:rFonts w:ascii="Rockwell" w:hAnsi="Rockwell"/>
                <w:sz w:val="18"/>
              </w:rPr>
              <w:t>Proportion de la population en âge de travailler (18 ans et plus) formée dans les métiers agropastoraux</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Rapport du secteur concerné</w:t>
            </w:r>
          </w:p>
        </w:tc>
        <w:tc>
          <w:tcPr>
            <w:tcW w:w="1360" w:type="dxa"/>
          </w:tcPr>
          <w:p w:rsidR="004B0B6D" w:rsidRPr="00422183" w:rsidRDefault="004B0B6D" w:rsidP="004B0B6D">
            <w:pPr>
              <w:rPr>
                <w:rFonts w:ascii="Rockwell" w:hAnsi="Rockwell"/>
                <w:sz w:val="18"/>
              </w:rPr>
            </w:pPr>
            <w:r w:rsidRPr="00422183">
              <w:rPr>
                <w:rFonts w:ascii="Rockwell" w:hAnsi="Rockwell"/>
                <w:sz w:val="18"/>
              </w:rPr>
              <w:t>MJFIP et MAAH</w:t>
            </w:r>
          </w:p>
        </w:tc>
        <w:tc>
          <w:tcPr>
            <w:tcW w:w="1187" w:type="dxa"/>
            <w:gridSpan w:val="2"/>
            <w:noWrap/>
          </w:tcPr>
          <w:p w:rsidR="004B0B6D" w:rsidRPr="00422183" w:rsidRDefault="004B0B6D" w:rsidP="004B0B6D">
            <w:pPr>
              <w:rPr>
                <w:rFonts w:ascii="Rockwell" w:hAnsi="Rockwell"/>
                <w:sz w:val="18"/>
              </w:rPr>
            </w:pPr>
            <w:r w:rsidRPr="00422183">
              <w:rPr>
                <w:rFonts w:ascii="Rockwell" w:hAnsi="Rockwell"/>
                <w:sz w:val="18"/>
              </w:rPr>
              <w:t>0,2%</w:t>
            </w:r>
          </w:p>
        </w:tc>
        <w:tc>
          <w:tcPr>
            <w:tcW w:w="974" w:type="dxa"/>
            <w:noWrap/>
          </w:tcPr>
          <w:p w:rsidR="004B0B6D" w:rsidRPr="00422183" w:rsidRDefault="004B0B6D" w:rsidP="004B0B6D">
            <w:pPr>
              <w:rPr>
                <w:rFonts w:ascii="Rockwell" w:hAnsi="Rockwell"/>
                <w:sz w:val="18"/>
              </w:rPr>
            </w:pPr>
            <w:r w:rsidRPr="00422183">
              <w:rPr>
                <w:rFonts w:ascii="Rockwell" w:hAnsi="Rockwell"/>
                <w:sz w:val="18"/>
              </w:rPr>
              <w:t>4,5%</w:t>
            </w:r>
          </w:p>
        </w:tc>
        <w:tc>
          <w:tcPr>
            <w:tcW w:w="870" w:type="dxa"/>
            <w:noWrap/>
          </w:tcPr>
          <w:p w:rsidR="004B0B6D" w:rsidRPr="00422183" w:rsidRDefault="004B0B6D" w:rsidP="004B0B6D">
            <w:pPr>
              <w:rPr>
                <w:rFonts w:ascii="Rockwell" w:hAnsi="Rockwell"/>
                <w:sz w:val="18"/>
              </w:rPr>
            </w:pPr>
            <w:r w:rsidRPr="00422183">
              <w:rPr>
                <w:rFonts w:ascii="Rockwell" w:hAnsi="Rockwell"/>
                <w:sz w:val="18"/>
              </w:rPr>
              <w:t>7%</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300"/>
        </w:trPr>
        <w:tc>
          <w:tcPr>
            <w:tcW w:w="2395" w:type="dxa"/>
            <w:vMerge w:val="restart"/>
            <w:noWrap/>
            <w:hideMark/>
          </w:tcPr>
          <w:p w:rsidR="004B0B6D" w:rsidRPr="00422183" w:rsidRDefault="004B0B6D" w:rsidP="004B0B6D">
            <w:pPr>
              <w:rPr>
                <w:rFonts w:ascii="Rockwell" w:hAnsi="Rockwell"/>
                <w:sz w:val="18"/>
              </w:rPr>
            </w:pPr>
            <w:r w:rsidRPr="00422183">
              <w:rPr>
                <w:rFonts w:ascii="Rockwell" w:hAnsi="Rockwell"/>
                <w:sz w:val="18"/>
              </w:rPr>
              <w:t>EA 2.2.3 : L’accès à un enseignement supérieur de qualité adapté aux besoins de transformation structurelle de l'économie est assuré</w:t>
            </w: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Nombre d’étudiants pour 100 000 habitants</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611</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829</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3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Proportion d’étudiants ayant achevé le cycle</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28%</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9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Durée moyenne pour un sortant de l’enseignant supérieur pour trouver un premier emploi (en années)</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5</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3</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9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Proportion des étudiants inscrits dans des filières professionnelles adaptées au processus de transformation structurelle</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8%</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30%</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3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Proportion des filières professionnalisantes</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10%</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30%</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6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Proportion d’étudiants en situation de handicap bénéficiant d’un appui spécifique</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11</w:t>
            </w:r>
            <w:r w:rsidR="002B7090" w:rsidRPr="00422183">
              <w:rPr>
                <w:rFonts w:ascii="Rockwell" w:hAnsi="Rockwell"/>
                <w:sz w:val="18"/>
              </w:rPr>
              <w:t>%</w:t>
            </w:r>
          </w:p>
        </w:tc>
        <w:tc>
          <w:tcPr>
            <w:tcW w:w="974" w:type="dxa"/>
            <w:noWrap/>
            <w:hideMark/>
          </w:tcPr>
          <w:p w:rsidR="004B0B6D" w:rsidRPr="00422183" w:rsidRDefault="004B0B6D" w:rsidP="004B0B6D">
            <w:pPr>
              <w:rPr>
                <w:rFonts w:ascii="Rockwell" w:hAnsi="Rockwell"/>
                <w:sz w:val="18"/>
              </w:rPr>
            </w:pPr>
          </w:p>
        </w:tc>
        <w:tc>
          <w:tcPr>
            <w:tcW w:w="870" w:type="dxa"/>
            <w:noWrap/>
            <w:hideMark/>
          </w:tcPr>
          <w:p w:rsidR="004B0B6D" w:rsidRPr="00422183" w:rsidRDefault="002B7090" w:rsidP="004B0B6D">
            <w:pPr>
              <w:rPr>
                <w:rFonts w:ascii="Rockwell" w:hAnsi="Rockwell"/>
                <w:sz w:val="18"/>
              </w:rPr>
            </w:pPr>
            <w:r w:rsidRPr="00422183">
              <w:rPr>
                <w:rFonts w:ascii="Rockwell" w:hAnsi="Rockwell"/>
                <w:sz w:val="18"/>
              </w:rPr>
              <w:t>50%</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600"/>
        </w:trPr>
        <w:tc>
          <w:tcPr>
            <w:tcW w:w="2395" w:type="dxa"/>
            <w:vMerge w:val="restart"/>
            <w:noWrap/>
            <w:hideMark/>
          </w:tcPr>
          <w:p w:rsidR="004B0B6D" w:rsidRPr="00422183" w:rsidRDefault="004B0B6D" w:rsidP="004B0B6D">
            <w:pPr>
              <w:rPr>
                <w:rFonts w:ascii="Rockwell" w:hAnsi="Rockwell"/>
                <w:sz w:val="18"/>
              </w:rPr>
            </w:pPr>
            <w:r w:rsidRPr="00422183">
              <w:rPr>
                <w:rFonts w:ascii="Rockwell" w:hAnsi="Rockwell"/>
                <w:sz w:val="18"/>
              </w:rPr>
              <w:t>EA 2.3.1 : La recherche et l'innovation sont davantage au service de la transformation structurelle de l'économie</w:t>
            </w: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Nombre de technologies générées au profit de la production (fiches techniques)</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300</w:t>
            </w:r>
          </w:p>
        </w:tc>
        <w:tc>
          <w:tcPr>
            <w:tcW w:w="974" w:type="dxa"/>
            <w:noWrap/>
            <w:hideMark/>
          </w:tcPr>
          <w:p w:rsidR="004B0B6D" w:rsidRPr="00422183" w:rsidRDefault="004B0B6D" w:rsidP="004B0B6D">
            <w:pPr>
              <w:rPr>
                <w:rFonts w:ascii="Rockwell" w:hAnsi="Rockwell"/>
                <w:sz w:val="18"/>
              </w:rPr>
            </w:pPr>
            <w:r w:rsidRPr="00422183">
              <w:rPr>
                <w:rFonts w:ascii="Rockwell" w:hAnsi="Rockwell"/>
                <w:sz w:val="18"/>
              </w:rPr>
              <w:t>450</w:t>
            </w: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600</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4B0B6D" w:rsidRPr="00422183" w:rsidTr="00E8632D">
        <w:trPr>
          <w:trHeight w:val="900"/>
        </w:trPr>
        <w:tc>
          <w:tcPr>
            <w:tcW w:w="2395" w:type="dxa"/>
            <w:vMerge/>
            <w:noWrap/>
            <w:hideMark/>
          </w:tcPr>
          <w:p w:rsidR="004B0B6D" w:rsidRPr="00422183" w:rsidRDefault="004B0B6D" w:rsidP="004B0B6D">
            <w:pPr>
              <w:rPr>
                <w:rFonts w:ascii="Rockwell" w:hAnsi="Rockwell"/>
                <w:sz w:val="18"/>
              </w:rPr>
            </w:pPr>
          </w:p>
        </w:tc>
        <w:tc>
          <w:tcPr>
            <w:tcW w:w="2613" w:type="dxa"/>
            <w:gridSpan w:val="2"/>
            <w:hideMark/>
          </w:tcPr>
          <w:p w:rsidR="004B0B6D" w:rsidRPr="00422183" w:rsidRDefault="004B0B6D" w:rsidP="004B0B6D">
            <w:pPr>
              <w:rPr>
                <w:rFonts w:ascii="Rockwell" w:hAnsi="Rockwell"/>
                <w:sz w:val="18"/>
              </w:rPr>
            </w:pPr>
            <w:r w:rsidRPr="00422183">
              <w:rPr>
                <w:rFonts w:ascii="Rockwell" w:hAnsi="Rockwell"/>
                <w:sz w:val="18"/>
              </w:rPr>
              <w:t>Taux d’adoption des technologies et innovations générées par la recherch</w:t>
            </w:r>
            <w:r w:rsidR="002B7090" w:rsidRPr="00422183">
              <w:rPr>
                <w:rFonts w:ascii="Rockwell" w:hAnsi="Rockwell"/>
                <w:sz w:val="18"/>
              </w:rPr>
              <w:t>e scientifique et technologique</w:t>
            </w:r>
          </w:p>
        </w:tc>
        <w:tc>
          <w:tcPr>
            <w:tcW w:w="1387" w:type="dxa"/>
            <w:gridSpan w:val="3"/>
          </w:tcPr>
          <w:p w:rsidR="004B0B6D" w:rsidRPr="00422183" w:rsidRDefault="004B0B6D" w:rsidP="004B0B6D">
            <w:pPr>
              <w:rPr>
                <w:rFonts w:ascii="Rockwell" w:hAnsi="Rockwell"/>
                <w:sz w:val="18"/>
              </w:rPr>
            </w:pPr>
            <w:r w:rsidRPr="00422183">
              <w:rPr>
                <w:rFonts w:ascii="Rockwell" w:hAnsi="Rockwell"/>
                <w:sz w:val="18"/>
              </w:rPr>
              <w:t>Annuaire statistique</w:t>
            </w:r>
          </w:p>
        </w:tc>
        <w:tc>
          <w:tcPr>
            <w:tcW w:w="1360" w:type="dxa"/>
          </w:tcPr>
          <w:p w:rsidR="004B0B6D" w:rsidRPr="00422183" w:rsidRDefault="004B0B6D" w:rsidP="004B0B6D">
            <w:pPr>
              <w:rPr>
                <w:rFonts w:ascii="Rockwell" w:hAnsi="Rockwell"/>
                <w:sz w:val="18"/>
              </w:rPr>
            </w:pPr>
            <w:r w:rsidRPr="00422183">
              <w:rPr>
                <w:rFonts w:ascii="Rockwell" w:hAnsi="Rockwell"/>
                <w:sz w:val="18"/>
              </w:rPr>
              <w:t>MESRSI</w:t>
            </w:r>
          </w:p>
        </w:tc>
        <w:tc>
          <w:tcPr>
            <w:tcW w:w="1187" w:type="dxa"/>
            <w:gridSpan w:val="2"/>
            <w:noWrap/>
            <w:hideMark/>
          </w:tcPr>
          <w:p w:rsidR="004B0B6D" w:rsidRPr="00422183" w:rsidRDefault="004B0B6D" w:rsidP="004B0B6D">
            <w:pPr>
              <w:rPr>
                <w:rFonts w:ascii="Rockwell" w:hAnsi="Rockwell"/>
                <w:sz w:val="18"/>
              </w:rPr>
            </w:pPr>
            <w:r w:rsidRPr="00422183">
              <w:rPr>
                <w:rFonts w:ascii="Rockwell" w:hAnsi="Rockwell"/>
                <w:sz w:val="18"/>
              </w:rPr>
              <w:t>60</w:t>
            </w:r>
          </w:p>
        </w:tc>
        <w:tc>
          <w:tcPr>
            <w:tcW w:w="974" w:type="dxa"/>
            <w:noWrap/>
            <w:hideMark/>
          </w:tcPr>
          <w:p w:rsidR="004B0B6D" w:rsidRPr="00422183" w:rsidRDefault="004B0B6D" w:rsidP="004B0B6D">
            <w:pPr>
              <w:rPr>
                <w:rFonts w:ascii="Rockwell" w:hAnsi="Rockwell"/>
                <w:sz w:val="18"/>
              </w:rPr>
            </w:pPr>
            <w:r w:rsidRPr="00422183">
              <w:rPr>
                <w:rFonts w:ascii="Rockwell" w:hAnsi="Rockwell"/>
                <w:sz w:val="18"/>
              </w:rPr>
              <w:t>71</w:t>
            </w:r>
          </w:p>
        </w:tc>
        <w:tc>
          <w:tcPr>
            <w:tcW w:w="870" w:type="dxa"/>
            <w:noWrap/>
            <w:hideMark/>
          </w:tcPr>
          <w:p w:rsidR="004B0B6D" w:rsidRPr="00422183" w:rsidRDefault="004B0B6D" w:rsidP="004B0B6D">
            <w:pPr>
              <w:rPr>
                <w:rFonts w:ascii="Rockwell" w:hAnsi="Rockwell"/>
                <w:sz w:val="18"/>
              </w:rPr>
            </w:pPr>
            <w:r w:rsidRPr="00422183">
              <w:rPr>
                <w:rFonts w:ascii="Rockwell" w:hAnsi="Rockwell"/>
                <w:sz w:val="18"/>
              </w:rPr>
              <w:t>95</w:t>
            </w:r>
          </w:p>
        </w:tc>
        <w:tc>
          <w:tcPr>
            <w:tcW w:w="614" w:type="dxa"/>
          </w:tcPr>
          <w:p w:rsidR="004B0B6D" w:rsidRPr="00422183" w:rsidRDefault="004B0B6D" w:rsidP="004B0B6D">
            <w:pPr>
              <w:rPr>
                <w:rFonts w:ascii="Rockwell" w:hAnsi="Rockwell"/>
                <w:sz w:val="18"/>
              </w:rPr>
            </w:pPr>
          </w:p>
        </w:tc>
        <w:tc>
          <w:tcPr>
            <w:tcW w:w="614" w:type="dxa"/>
          </w:tcPr>
          <w:p w:rsidR="004B0B6D" w:rsidRPr="00422183" w:rsidRDefault="004B0B6D" w:rsidP="004B0B6D">
            <w:pPr>
              <w:rPr>
                <w:rFonts w:ascii="Rockwell" w:hAnsi="Rockwell"/>
                <w:sz w:val="18"/>
              </w:rPr>
            </w:pPr>
          </w:p>
        </w:tc>
        <w:tc>
          <w:tcPr>
            <w:tcW w:w="1049" w:type="dxa"/>
          </w:tcPr>
          <w:p w:rsidR="004B0B6D" w:rsidRPr="00422183" w:rsidRDefault="004B0B6D" w:rsidP="004B0B6D">
            <w:pPr>
              <w:rPr>
                <w:rFonts w:ascii="Rockwell" w:hAnsi="Rockwell"/>
                <w:sz w:val="18"/>
              </w:rPr>
            </w:pPr>
          </w:p>
        </w:tc>
        <w:tc>
          <w:tcPr>
            <w:tcW w:w="1225" w:type="dxa"/>
          </w:tcPr>
          <w:p w:rsidR="004B0B6D" w:rsidRPr="00422183" w:rsidRDefault="004B0B6D" w:rsidP="004B0B6D">
            <w:pPr>
              <w:rPr>
                <w:rFonts w:ascii="Rockwell" w:hAnsi="Rockwell"/>
                <w:sz w:val="18"/>
              </w:rPr>
            </w:pPr>
          </w:p>
        </w:tc>
        <w:tc>
          <w:tcPr>
            <w:tcW w:w="1211" w:type="dxa"/>
          </w:tcPr>
          <w:p w:rsidR="004B0B6D" w:rsidRPr="00422183" w:rsidRDefault="004B0B6D" w:rsidP="004B0B6D">
            <w:pPr>
              <w:rPr>
                <w:rFonts w:ascii="Rockwell" w:hAnsi="Rockwell"/>
                <w:sz w:val="18"/>
              </w:rPr>
            </w:pPr>
          </w:p>
        </w:tc>
      </w:tr>
      <w:tr w:rsidR="002B7090" w:rsidRPr="00422183" w:rsidTr="00E8632D">
        <w:trPr>
          <w:trHeight w:val="3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 résultats de recherche et d’innovation valorisés au profit de la transformation structurelle de l’économie</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rPr>
                <w:rFonts w:ascii="Rockwell" w:hAnsi="Rockwell"/>
                <w:sz w:val="18"/>
              </w:rPr>
            </w:pPr>
            <w:r w:rsidRPr="00422183">
              <w:rPr>
                <w:rFonts w:ascii="Rockwell" w:hAnsi="Rockwell"/>
                <w:sz w:val="18"/>
              </w:rPr>
              <w:t>MESRSI</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150</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350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600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9E077E" w:rsidRPr="00422183" w:rsidTr="00E8632D">
        <w:trPr>
          <w:trHeight w:val="600"/>
        </w:trPr>
        <w:tc>
          <w:tcPr>
            <w:tcW w:w="2395" w:type="dxa"/>
            <w:vMerge w:val="restart"/>
            <w:noWrap/>
            <w:hideMark/>
          </w:tcPr>
          <w:p w:rsidR="009E077E" w:rsidRPr="00422183" w:rsidRDefault="009E077E" w:rsidP="002B7090">
            <w:pPr>
              <w:rPr>
                <w:rFonts w:ascii="Rockwell" w:hAnsi="Rockwell"/>
                <w:sz w:val="18"/>
              </w:rPr>
            </w:pPr>
            <w:r w:rsidRPr="00422183">
              <w:rPr>
                <w:rFonts w:ascii="Rockwell" w:hAnsi="Rockwell"/>
                <w:sz w:val="18"/>
              </w:rPr>
              <w:t>EA 2.4.1 : L'emploi décent et la protection sociale sont garantis à tous</w:t>
            </w:r>
          </w:p>
        </w:tc>
        <w:tc>
          <w:tcPr>
            <w:tcW w:w="2613" w:type="dxa"/>
            <w:gridSpan w:val="2"/>
            <w:hideMark/>
          </w:tcPr>
          <w:p w:rsidR="009E077E" w:rsidRPr="00422183" w:rsidRDefault="009E077E" w:rsidP="004B0B6D">
            <w:pPr>
              <w:rPr>
                <w:rFonts w:ascii="Rockwell" w:hAnsi="Rockwell"/>
                <w:sz w:val="18"/>
              </w:rPr>
            </w:pPr>
            <w:r w:rsidRPr="00422183">
              <w:rPr>
                <w:rFonts w:ascii="Rockwell" w:hAnsi="Rockwell"/>
                <w:sz w:val="18"/>
              </w:rPr>
              <w:t>Taux d'insertion des jeunes et des femmes via le service public d'emploi</w:t>
            </w:r>
          </w:p>
        </w:tc>
        <w:tc>
          <w:tcPr>
            <w:tcW w:w="1387" w:type="dxa"/>
            <w:gridSpan w:val="3"/>
          </w:tcPr>
          <w:p w:rsidR="009E077E" w:rsidRPr="00422183" w:rsidRDefault="009E077E" w:rsidP="004B0B6D">
            <w:pPr>
              <w:rPr>
                <w:rFonts w:ascii="Rockwell" w:hAnsi="Rockwell"/>
                <w:sz w:val="18"/>
              </w:rPr>
            </w:pPr>
            <w:r w:rsidRPr="00422183">
              <w:rPr>
                <w:rFonts w:ascii="Rockwell" w:hAnsi="Rockwell"/>
                <w:sz w:val="18"/>
              </w:rPr>
              <w:t>Rapport du secteur concerné</w:t>
            </w:r>
          </w:p>
        </w:tc>
        <w:tc>
          <w:tcPr>
            <w:tcW w:w="1360" w:type="dxa"/>
          </w:tcPr>
          <w:p w:rsidR="009E077E" w:rsidRPr="00422183" w:rsidRDefault="009E077E" w:rsidP="004B0B6D">
            <w:pPr>
              <w:rPr>
                <w:rFonts w:ascii="Rockwell" w:hAnsi="Rockwell"/>
                <w:sz w:val="18"/>
              </w:rPr>
            </w:pPr>
            <w:r w:rsidRPr="00422183">
              <w:rPr>
                <w:rFonts w:ascii="Rockwell" w:hAnsi="Rockwell"/>
                <w:sz w:val="18"/>
              </w:rPr>
              <w:t>MJFIP</w:t>
            </w:r>
          </w:p>
        </w:tc>
        <w:tc>
          <w:tcPr>
            <w:tcW w:w="1187" w:type="dxa"/>
            <w:gridSpan w:val="2"/>
            <w:noWrap/>
            <w:hideMark/>
          </w:tcPr>
          <w:p w:rsidR="009E077E" w:rsidRPr="00422183" w:rsidRDefault="009E077E" w:rsidP="004B0B6D">
            <w:pPr>
              <w:rPr>
                <w:rFonts w:ascii="Rockwell" w:hAnsi="Rockwell"/>
                <w:sz w:val="18"/>
              </w:rPr>
            </w:pPr>
            <w:r w:rsidRPr="00422183">
              <w:rPr>
                <w:rFonts w:ascii="Rockwell" w:hAnsi="Rockwell"/>
                <w:sz w:val="18"/>
              </w:rPr>
              <w:t>10%</w:t>
            </w:r>
          </w:p>
        </w:tc>
        <w:tc>
          <w:tcPr>
            <w:tcW w:w="974" w:type="dxa"/>
            <w:noWrap/>
            <w:hideMark/>
          </w:tcPr>
          <w:p w:rsidR="009E077E" w:rsidRPr="00422183" w:rsidRDefault="009E077E" w:rsidP="004B0B6D">
            <w:pPr>
              <w:rPr>
                <w:rFonts w:ascii="Rockwell" w:hAnsi="Rockwell"/>
                <w:sz w:val="18"/>
              </w:rPr>
            </w:pPr>
            <w:r w:rsidRPr="00422183">
              <w:rPr>
                <w:rFonts w:ascii="Rockwell" w:hAnsi="Rockwell"/>
                <w:sz w:val="18"/>
              </w:rPr>
              <w:t>15%</w:t>
            </w:r>
          </w:p>
        </w:tc>
        <w:tc>
          <w:tcPr>
            <w:tcW w:w="870" w:type="dxa"/>
            <w:noWrap/>
            <w:hideMark/>
          </w:tcPr>
          <w:p w:rsidR="009E077E" w:rsidRPr="00422183" w:rsidRDefault="009E077E" w:rsidP="004B0B6D">
            <w:pPr>
              <w:rPr>
                <w:rFonts w:ascii="Rockwell" w:hAnsi="Rockwell"/>
                <w:sz w:val="18"/>
              </w:rPr>
            </w:pPr>
            <w:r w:rsidRPr="00422183">
              <w:rPr>
                <w:rFonts w:ascii="Rockwell" w:hAnsi="Rockwell"/>
                <w:sz w:val="18"/>
              </w:rPr>
              <w:t>20%</w:t>
            </w:r>
          </w:p>
        </w:tc>
        <w:tc>
          <w:tcPr>
            <w:tcW w:w="614" w:type="dxa"/>
          </w:tcPr>
          <w:p w:rsidR="009E077E" w:rsidRPr="00422183" w:rsidRDefault="009E077E" w:rsidP="004B0B6D">
            <w:pPr>
              <w:rPr>
                <w:rFonts w:ascii="Rockwell" w:hAnsi="Rockwell"/>
                <w:sz w:val="18"/>
              </w:rPr>
            </w:pPr>
          </w:p>
        </w:tc>
        <w:tc>
          <w:tcPr>
            <w:tcW w:w="614" w:type="dxa"/>
          </w:tcPr>
          <w:p w:rsidR="009E077E" w:rsidRPr="00422183" w:rsidRDefault="009E077E" w:rsidP="004B0B6D">
            <w:pPr>
              <w:rPr>
                <w:rFonts w:ascii="Rockwell" w:hAnsi="Rockwell"/>
                <w:sz w:val="18"/>
              </w:rPr>
            </w:pPr>
          </w:p>
        </w:tc>
        <w:tc>
          <w:tcPr>
            <w:tcW w:w="1049" w:type="dxa"/>
          </w:tcPr>
          <w:p w:rsidR="009E077E" w:rsidRPr="00422183" w:rsidRDefault="009E077E" w:rsidP="004B0B6D">
            <w:pPr>
              <w:rPr>
                <w:rFonts w:ascii="Rockwell" w:hAnsi="Rockwell"/>
                <w:sz w:val="18"/>
              </w:rPr>
            </w:pPr>
          </w:p>
        </w:tc>
        <w:tc>
          <w:tcPr>
            <w:tcW w:w="1225" w:type="dxa"/>
          </w:tcPr>
          <w:p w:rsidR="009E077E" w:rsidRPr="00422183" w:rsidRDefault="009E077E" w:rsidP="004B0B6D">
            <w:pPr>
              <w:rPr>
                <w:rFonts w:ascii="Rockwell" w:hAnsi="Rockwell"/>
                <w:sz w:val="18"/>
              </w:rPr>
            </w:pPr>
          </w:p>
        </w:tc>
        <w:tc>
          <w:tcPr>
            <w:tcW w:w="1211" w:type="dxa"/>
          </w:tcPr>
          <w:p w:rsidR="009E077E" w:rsidRPr="00422183" w:rsidRDefault="009E077E" w:rsidP="004B0B6D">
            <w:pPr>
              <w:rPr>
                <w:rFonts w:ascii="Rockwell" w:hAnsi="Rockwell"/>
                <w:sz w:val="18"/>
              </w:rPr>
            </w:pPr>
          </w:p>
        </w:tc>
      </w:tr>
      <w:tr w:rsidR="009E077E" w:rsidRPr="00422183" w:rsidTr="00E8632D">
        <w:trPr>
          <w:trHeight w:val="600"/>
        </w:trPr>
        <w:tc>
          <w:tcPr>
            <w:tcW w:w="2395" w:type="dxa"/>
            <w:vMerge/>
            <w:noWrap/>
          </w:tcPr>
          <w:p w:rsidR="009E077E" w:rsidRPr="00422183" w:rsidRDefault="009E077E" w:rsidP="004B0B6D">
            <w:pPr>
              <w:rPr>
                <w:rFonts w:ascii="Rockwell" w:hAnsi="Rockwell"/>
                <w:sz w:val="18"/>
              </w:rPr>
            </w:pPr>
          </w:p>
        </w:tc>
        <w:tc>
          <w:tcPr>
            <w:tcW w:w="2613" w:type="dxa"/>
            <w:gridSpan w:val="2"/>
          </w:tcPr>
          <w:p w:rsidR="009E077E" w:rsidRPr="00422183" w:rsidRDefault="009E077E" w:rsidP="004B0B6D">
            <w:pPr>
              <w:rPr>
                <w:rFonts w:ascii="Rockwell" w:hAnsi="Rockwell"/>
                <w:sz w:val="18"/>
              </w:rPr>
            </w:pPr>
            <w:r w:rsidRPr="00422183">
              <w:rPr>
                <w:rFonts w:ascii="Rockwell" w:hAnsi="Rockwell"/>
                <w:sz w:val="18"/>
              </w:rPr>
              <w:t>Proportion des diplômés en fin de cycle ayant obtenu un emploi</w:t>
            </w:r>
          </w:p>
        </w:tc>
        <w:tc>
          <w:tcPr>
            <w:tcW w:w="1387" w:type="dxa"/>
            <w:gridSpan w:val="3"/>
          </w:tcPr>
          <w:p w:rsidR="009E077E" w:rsidRPr="00422183" w:rsidRDefault="009E077E" w:rsidP="004B0B6D">
            <w:pPr>
              <w:rPr>
                <w:rFonts w:ascii="Rockwell" w:hAnsi="Rockwell"/>
                <w:sz w:val="18"/>
              </w:rPr>
            </w:pPr>
            <w:r w:rsidRPr="00422183">
              <w:rPr>
                <w:rFonts w:ascii="Rockwell" w:hAnsi="Rockwell"/>
                <w:sz w:val="18"/>
              </w:rPr>
              <w:t>Rapport du secteur concerné</w:t>
            </w:r>
          </w:p>
        </w:tc>
        <w:tc>
          <w:tcPr>
            <w:tcW w:w="1360" w:type="dxa"/>
          </w:tcPr>
          <w:p w:rsidR="009E077E" w:rsidRPr="00422183" w:rsidRDefault="009E077E" w:rsidP="004B0B6D">
            <w:pPr>
              <w:rPr>
                <w:rFonts w:ascii="Rockwell" w:hAnsi="Rockwell"/>
                <w:sz w:val="18"/>
              </w:rPr>
            </w:pPr>
            <w:r w:rsidRPr="00422183">
              <w:rPr>
                <w:rFonts w:ascii="Rockwell" w:hAnsi="Rockwell"/>
                <w:sz w:val="18"/>
              </w:rPr>
              <w:t>MJFIP</w:t>
            </w:r>
          </w:p>
        </w:tc>
        <w:tc>
          <w:tcPr>
            <w:tcW w:w="1187" w:type="dxa"/>
            <w:gridSpan w:val="2"/>
            <w:noWrap/>
          </w:tcPr>
          <w:p w:rsidR="009E077E" w:rsidRPr="00422183" w:rsidRDefault="009E077E" w:rsidP="004B0B6D">
            <w:pPr>
              <w:rPr>
                <w:rFonts w:ascii="Rockwell" w:hAnsi="Rockwell"/>
                <w:sz w:val="18"/>
              </w:rPr>
            </w:pPr>
            <w:r w:rsidRPr="00422183">
              <w:rPr>
                <w:rFonts w:ascii="Rockwell" w:hAnsi="Rockwell"/>
                <w:sz w:val="18"/>
              </w:rPr>
              <w:t>ND</w:t>
            </w:r>
          </w:p>
        </w:tc>
        <w:tc>
          <w:tcPr>
            <w:tcW w:w="974" w:type="dxa"/>
            <w:noWrap/>
          </w:tcPr>
          <w:p w:rsidR="009E077E" w:rsidRPr="00422183" w:rsidRDefault="009E077E" w:rsidP="004B0B6D">
            <w:pPr>
              <w:rPr>
                <w:rFonts w:ascii="Rockwell" w:hAnsi="Rockwell"/>
                <w:sz w:val="18"/>
              </w:rPr>
            </w:pPr>
            <w:r w:rsidRPr="00422183">
              <w:rPr>
                <w:rFonts w:ascii="Rockwell" w:hAnsi="Rockwell"/>
                <w:sz w:val="18"/>
              </w:rPr>
              <w:t>50%</w:t>
            </w:r>
          </w:p>
        </w:tc>
        <w:tc>
          <w:tcPr>
            <w:tcW w:w="870" w:type="dxa"/>
            <w:noWrap/>
          </w:tcPr>
          <w:p w:rsidR="009E077E" w:rsidRPr="00422183" w:rsidRDefault="009E077E" w:rsidP="004B0B6D">
            <w:pPr>
              <w:rPr>
                <w:rFonts w:ascii="Rockwell" w:hAnsi="Rockwell"/>
                <w:sz w:val="18"/>
              </w:rPr>
            </w:pPr>
            <w:r w:rsidRPr="00422183">
              <w:rPr>
                <w:rFonts w:ascii="Rockwell" w:hAnsi="Rockwell"/>
                <w:sz w:val="18"/>
              </w:rPr>
              <w:t>75%</w:t>
            </w:r>
          </w:p>
        </w:tc>
        <w:tc>
          <w:tcPr>
            <w:tcW w:w="614" w:type="dxa"/>
          </w:tcPr>
          <w:p w:rsidR="009E077E" w:rsidRPr="00422183" w:rsidRDefault="009E077E" w:rsidP="004B0B6D">
            <w:pPr>
              <w:rPr>
                <w:rFonts w:ascii="Rockwell" w:hAnsi="Rockwell"/>
                <w:sz w:val="18"/>
              </w:rPr>
            </w:pPr>
          </w:p>
        </w:tc>
        <w:tc>
          <w:tcPr>
            <w:tcW w:w="614" w:type="dxa"/>
          </w:tcPr>
          <w:p w:rsidR="009E077E" w:rsidRPr="00422183" w:rsidRDefault="009E077E" w:rsidP="004B0B6D">
            <w:pPr>
              <w:rPr>
                <w:rFonts w:ascii="Rockwell" w:hAnsi="Rockwell"/>
                <w:sz w:val="18"/>
              </w:rPr>
            </w:pPr>
          </w:p>
        </w:tc>
        <w:tc>
          <w:tcPr>
            <w:tcW w:w="1049" w:type="dxa"/>
          </w:tcPr>
          <w:p w:rsidR="009E077E" w:rsidRPr="00422183" w:rsidRDefault="009E077E" w:rsidP="004B0B6D">
            <w:pPr>
              <w:rPr>
                <w:rFonts w:ascii="Rockwell" w:hAnsi="Rockwell"/>
                <w:sz w:val="18"/>
              </w:rPr>
            </w:pPr>
          </w:p>
        </w:tc>
        <w:tc>
          <w:tcPr>
            <w:tcW w:w="1225" w:type="dxa"/>
          </w:tcPr>
          <w:p w:rsidR="009E077E" w:rsidRPr="00422183" w:rsidRDefault="009E077E" w:rsidP="004B0B6D">
            <w:pPr>
              <w:rPr>
                <w:rFonts w:ascii="Rockwell" w:hAnsi="Rockwell"/>
                <w:sz w:val="18"/>
              </w:rPr>
            </w:pPr>
          </w:p>
        </w:tc>
        <w:tc>
          <w:tcPr>
            <w:tcW w:w="1211" w:type="dxa"/>
          </w:tcPr>
          <w:p w:rsidR="009E077E" w:rsidRPr="00422183" w:rsidRDefault="009E077E" w:rsidP="004B0B6D">
            <w:pPr>
              <w:rPr>
                <w:rFonts w:ascii="Rockwell" w:hAnsi="Rockwell"/>
                <w:sz w:val="18"/>
              </w:rPr>
            </w:pPr>
          </w:p>
        </w:tc>
      </w:tr>
      <w:tr w:rsidR="009E077E" w:rsidRPr="00422183" w:rsidTr="002B7090">
        <w:trPr>
          <w:trHeight w:val="6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Part de l’emploi privé formel dans le total de l’emploi</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Rapport du secteur concerné</w:t>
            </w:r>
          </w:p>
        </w:tc>
        <w:tc>
          <w:tcPr>
            <w:tcW w:w="1360" w:type="dxa"/>
          </w:tcPr>
          <w:p w:rsidR="009E077E" w:rsidRPr="00422183" w:rsidRDefault="009E077E" w:rsidP="002B7090">
            <w:pPr>
              <w:rPr>
                <w:rFonts w:ascii="Rockwell" w:hAnsi="Rockwell"/>
                <w:sz w:val="18"/>
              </w:rPr>
            </w:pPr>
            <w:r w:rsidRPr="00422183">
              <w:rPr>
                <w:rFonts w:ascii="Rockwell" w:hAnsi="Rockwell"/>
                <w:sz w:val="18"/>
              </w:rPr>
              <w:t>MJFIP</w:t>
            </w:r>
          </w:p>
        </w:tc>
        <w:tc>
          <w:tcPr>
            <w:tcW w:w="1187" w:type="dxa"/>
            <w:gridSpan w:val="2"/>
            <w:noWrap/>
            <w:hideMark/>
          </w:tcPr>
          <w:p w:rsidR="009E077E" w:rsidRPr="00422183" w:rsidRDefault="009E077E" w:rsidP="002B7090">
            <w:pPr>
              <w:rPr>
                <w:rFonts w:ascii="Rockwell" w:hAnsi="Rockwell"/>
                <w:sz w:val="18"/>
              </w:rPr>
            </w:pPr>
            <w:r w:rsidRPr="00422183">
              <w:rPr>
                <w:rFonts w:ascii="Rockwell" w:hAnsi="Rockwell"/>
                <w:sz w:val="18"/>
              </w:rPr>
              <w:t>6,6% (2014)</w:t>
            </w:r>
          </w:p>
        </w:tc>
        <w:tc>
          <w:tcPr>
            <w:tcW w:w="974" w:type="dxa"/>
            <w:noWrap/>
          </w:tcPr>
          <w:p w:rsidR="009E077E" w:rsidRPr="00422183" w:rsidRDefault="009E077E" w:rsidP="002B7090">
            <w:pPr>
              <w:rPr>
                <w:rFonts w:ascii="Rockwell" w:hAnsi="Rockwell"/>
                <w:sz w:val="18"/>
              </w:rPr>
            </w:pPr>
            <w:r w:rsidRPr="00422183">
              <w:rPr>
                <w:rFonts w:ascii="Rockwell" w:hAnsi="Rockwell"/>
                <w:sz w:val="18"/>
              </w:rPr>
              <w:t>10%</w:t>
            </w:r>
          </w:p>
        </w:tc>
        <w:tc>
          <w:tcPr>
            <w:tcW w:w="870" w:type="dxa"/>
            <w:noWrap/>
          </w:tcPr>
          <w:p w:rsidR="009E077E" w:rsidRPr="00422183" w:rsidRDefault="009E077E" w:rsidP="002B7090">
            <w:pPr>
              <w:rPr>
                <w:rFonts w:ascii="Rockwell" w:hAnsi="Rockwell"/>
                <w:sz w:val="18"/>
              </w:rPr>
            </w:pPr>
            <w:r w:rsidRPr="00422183">
              <w:rPr>
                <w:rFonts w:ascii="Rockwell" w:hAnsi="Rockwell"/>
                <w:sz w:val="18"/>
              </w:rPr>
              <w:t>15%</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 xml:space="preserve">Taux de chômage </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EMC</w:t>
            </w:r>
          </w:p>
        </w:tc>
        <w:tc>
          <w:tcPr>
            <w:tcW w:w="1360" w:type="dxa"/>
          </w:tcPr>
          <w:p w:rsidR="009E077E" w:rsidRPr="00422183" w:rsidRDefault="009E077E" w:rsidP="002B7090">
            <w:pPr>
              <w:rPr>
                <w:rFonts w:ascii="Rockwell" w:hAnsi="Rockwell"/>
                <w:sz w:val="18"/>
              </w:rPr>
            </w:pPr>
            <w:r w:rsidRPr="00422183">
              <w:rPr>
                <w:rFonts w:ascii="Rockwell" w:hAnsi="Rockwell"/>
                <w:sz w:val="18"/>
              </w:rPr>
              <w:t>INSD</w:t>
            </w:r>
          </w:p>
        </w:tc>
        <w:tc>
          <w:tcPr>
            <w:tcW w:w="1187" w:type="dxa"/>
            <w:gridSpan w:val="2"/>
            <w:noWrap/>
            <w:hideMark/>
          </w:tcPr>
          <w:p w:rsidR="009E077E" w:rsidRPr="00422183" w:rsidRDefault="009E077E" w:rsidP="002B7090">
            <w:pPr>
              <w:rPr>
                <w:rFonts w:ascii="Rockwell" w:hAnsi="Rockwell"/>
                <w:sz w:val="18"/>
              </w:rPr>
            </w:pPr>
            <w:r w:rsidRPr="00422183">
              <w:rPr>
                <w:rFonts w:ascii="Rockwell" w:hAnsi="Rockwell"/>
                <w:sz w:val="18"/>
              </w:rPr>
              <w:t>6,6% (2014)</w:t>
            </w:r>
          </w:p>
        </w:tc>
        <w:tc>
          <w:tcPr>
            <w:tcW w:w="974" w:type="dxa"/>
            <w:noWrap/>
            <w:hideMark/>
          </w:tcPr>
          <w:p w:rsidR="009E077E" w:rsidRPr="00422183" w:rsidRDefault="009E077E" w:rsidP="002B7090">
            <w:pPr>
              <w:rPr>
                <w:rFonts w:ascii="Rockwell" w:hAnsi="Rockwell"/>
                <w:sz w:val="18"/>
              </w:rPr>
            </w:pPr>
            <w:r w:rsidRPr="00422183">
              <w:rPr>
                <w:rFonts w:ascii="Rockwell" w:hAnsi="Rockwell"/>
                <w:sz w:val="18"/>
              </w:rPr>
              <w:t>5%</w:t>
            </w:r>
          </w:p>
        </w:tc>
        <w:tc>
          <w:tcPr>
            <w:tcW w:w="870" w:type="dxa"/>
            <w:noWrap/>
            <w:hideMark/>
          </w:tcPr>
          <w:p w:rsidR="009E077E" w:rsidRPr="00422183" w:rsidRDefault="009E077E" w:rsidP="002B7090">
            <w:pPr>
              <w:rPr>
                <w:rFonts w:ascii="Rockwell" w:hAnsi="Rockwell"/>
                <w:sz w:val="18"/>
              </w:rPr>
            </w:pPr>
            <w:r w:rsidRPr="00422183">
              <w:rPr>
                <w:rFonts w:ascii="Rockwell" w:hAnsi="Rockwell"/>
                <w:sz w:val="18"/>
              </w:rPr>
              <w:t>3%</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Taux de sous-emploi</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EMC</w:t>
            </w:r>
          </w:p>
        </w:tc>
        <w:tc>
          <w:tcPr>
            <w:tcW w:w="1360" w:type="dxa"/>
          </w:tcPr>
          <w:p w:rsidR="009E077E" w:rsidRPr="00422183" w:rsidRDefault="009E077E" w:rsidP="002B7090">
            <w:pPr>
              <w:rPr>
                <w:rFonts w:ascii="Rockwell" w:hAnsi="Rockwell"/>
                <w:sz w:val="18"/>
              </w:rPr>
            </w:pPr>
            <w:r w:rsidRPr="00422183">
              <w:rPr>
                <w:rFonts w:ascii="Rockwell" w:hAnsi="Rockwell"/>
                <w:sz w:val="18"/>
              </w:rPr>
              <w:t>INSD</w:t>
            </w:r>
          </w:p>
        </w:tc>
        <w:tc>
          <w:tcPr>
            <w:tcW w:w="1187" w:type="dxa"/>
            <w:gridSpan w:val="2"/>
            <w:noWrap/>
            <w:hideMark/>
          </w:tcPr>
          <w:p w:rsidR="009E077E" w:rsidRPr="00422183" w:rsidRDefault="009E077E" w:rsidP="002B7090">
            <w:pPr>
              <w:rPr>
                <w:rFonts w:ascii="Rockwell" w:hAnsi="Rockwell"/>
                <w:sz w:val="18"/>
              </w:rPr>
            </w:pPr>
            <w:r w:rsidRPr="00422183">
              <w:rPr>
                <w:rFonts w:ascii="Rockwell" w:hAnsi="Rockwell"/>
                <w:sz w:val="18"/>
              </w:rPr>
              <w:t>64% (2014)</w:t>
            </w:r>
          </w:p>
        </w:tc>
        <w:tc>
          <w:tcPr>
            <w:tcW w:w="974" w:type="dxa"/>
            <w:noWrap/>
            <w:hideMark/>
          </w:tcPr>
          <w:p w:rsidR="009E077E" w:rsidRPr="00422183" w:rsidRDefault="009E077E" w:rsidP="002B7090">
            <w:pPr>
              <w:rPr>
                <w:rFonts w:ascii="Rockwell" w:hAnsi="Rockwell"/>
                <w:sz w:val="18"/>
              </w:rPr>
            </w:pPr>
            <w:r w:rsidRPr="00422183">
              <w:rPr>
                <w:rFonts w:ascii="Rockwell" w:hAnsi="Rockwell"/>
                <w:sz w:val="18"/>
              </w:rPr>
              <w:t>55%</w:t>
            </w:r>
          </w:p>
        </w:tc>
        <w:tc>
          <w:tcPr>
            <w:tcW w:w="870" w:type="dxa"/>
            <w:noWrap/>
            <w:hideMark/>
          </w:tcPr>
          <w:p w:rsidR="009E077E" w:rsidRPr="00422183" w:rsidRDefault="009E077E" w:rsidP="002B7090">
            <w:pPr>
              <w:rPr>
                <w:rFonts w:ascii="Rockwell" w:hAnsi="Rockwell"/>
                <w:sz w:val="18"/>
              </w:rPr>
            </w:pPr>
            <w:r w:rsidRPr="00422183">
              <w:rPr>
                <w:rFonts w:ascii="Rockwell" w:hAnsi="Rockwell"/>
                <w:sz w:val="18"/>
              </w:rPr>
              <w:t>50%</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6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Pourcentage de prévalence des enfants de 5 à 17 ans impliqués dans les activités économiques</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Enquête</w:t>
            </w:r>
          </w:p>
        </w:tc>
        <w:tc>
          <w:tcPr>
            <w:tcW w:w="1360" w:type="dxa"/>
          </w:tcPr>
          <w:p w:rsidR="009E077E" w:rsidRPr="00422183" w:rsidRDefault="009E077E" w:rsidP="002B7090">
            <w:pPr>
              <w:rPr>
                <w:rFonts w:ascii="Rockwell" w:hAnsi="Rockwell"/>
                <w:sz w:val="18"/>
              </w:rPr>
            </w:pPr>
            <w:r w:rsidRPr="00422183">
              <w:rPr>
                <w:rFonts w:ascii="Rockwell" w:hAnsi="Rockwell"/>
                <w:sz w:val="18"/>
              </w:rPr>
              <w:t>MFSNF et INSD</w:t>
            </w:r>
          </w:p>
        </w:tc>
        <w:tc>
          <w:tcPr>
            <w:tcW w:w="1187" w:type="dxa"/>
            <w:gridSpan w:val="2"/>
            <w:noWrap/>
            <w:hideMark/>
          </w:tcPr>
          <w:p w:rsidR="009E077E" w:rsidRPr="00422183" w:rsidRDefault="009E077E" w:rsidP="002B7090">
            <w:pPr>
              <w:rPr>
                <w:rFonts w:ascii="Rockwell" w:hAnsi="Rockwell"/>
                <w:sz w:val="18"/>
              </w:rPr>
            </w:pPr>
            <w:r w:rsidRPr="00422183">
              <w:rPr>
                <w:rFonts w:ascii="Rockwell" w:hAnsi="Rockwell"/>
                <w:sz w:val="18"/>
              </w:rPr>
              <w:t>41% (2008)</w:t>
            </w:r>
          </w:p>
        </w:tc>
        <w:tc>
          <w:tcPr>
            <w:tcW w:w="974" w:type="dxa"/>
            <w:noWrap/>
            <w:hideMark/>
          </w:tcPr>
          <w:p w:rsidR="009E077E" w:rsidRPr="00422183" w:rsidRDefault="009E077E" w:rsidP="002B7090">
            <w:pPr>
              <w:rPr>
                <w:rFonts w:ascii="Rockwell" w:hAnsi="Rockwell"/>
                <w:sz w:val="18"/>
              </w:rPr>
            </w:pPr>
            <w:r w:rsidRPr="00422183">
              <w:rPr>
                <w:rFonts w:ascii="Rockwell" w:hAnsi="Rockwell"/>
                <w:sz w:val="18"/>
              </w:rPr>
              <w:t>30%</w:t>
            </w:r>
          </w:p>
        </w:tc>
        <w:tc>
          <w:tcPr>
            <w:tcW w:w="870" w:type="dxa"/>
            <w:noWrap/>
            <w:hideMark/>
          </w:tcPr>
          <w:p w:rsidR="009E077E" w:rsidRPr="00422183" w:rsidRDefault="009E077E" w:rsidP="002B7090">
            <w:pPr>
              <w:rPr>
                <w:rFonts w:ascii="Rockwell" w:hAnsi="Rockwell"/>
                <w:sz w:val="18"/>
              </w:rPr>
            </w:pPr>
            <w:r w:rsidRPr="00422183">
              <w:rPr>
                <w:rFonts w:ascii="Rockwell" w:hAnsi="Rockwell"/>
                <w:sz w:val="18"/>
              </w:rPr>
              <w:t>25%</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600"/>
        </w:trPr>
        <w:tc>
          <w:tcPr>
            <w:tcW w:w="2395" w:type="dxa"/>
            <w:vMerge/>
            <w:noWrap/>
          </w:tcPr>
          <w:p w:rsidR="009E077E" w:rsidRPr="00422183" w:rsidRDefault="009E077E" w:rsidP="002B7090">
            <w:pPr>
              <w:rPr>
                <w:rFonts w:ascii="Rockwell" w:hAnsi="Rockwell"/>
                <w:sz w:val="18"/>
              </w:rPr>
            </w:pPr>
          </w:p>
        </w:tc>
        <w:tc>
          <w:tcPr>
            <w:tcW w:w="2613" w:type="dxa"/>
            <w:gridSpan w:val="2"/>
          </w:tcPr>
          <w:p w:rsidR="009E077E" w:rsidRPr="00422183" w:rsidRDefault="009E077E" w:rsidP="002B7090">
            <w:pPr>
              <w:rPr>
                <w:rFonts w:ascii="Rockwell" w:hAnsi="Rockwell"/>
                <w:sz w:val="18"/>
              </w:rPr>
            </w:pPr>
            <w:r w:rsidRPr="00422183">
              <w:rPr>
                <w:rFonts w:ascii="Rockwell" w:hAnsi="Rockwell"/>
                <w:sz w:val="18"/>
              </w:rPr>
              <w:t>Proportion des travailleurs affiliés à la CNSS et à la CARFO</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Rapport du secteur concerné</w:t>
            </w:r>
          </w:p>
        </w:tc>
        <w:tc>
          <w:tcPr>
            <w:tcW w:w="1360" w:type="dxa"/>
          </w:tcPr>
          <w:p w:rsidR="009E077E" w:rsidRPr="00422183" w:rsidRDefault="009E077E" w:rsidP="002B7090">
            <w:pPr>
              <w:rPr>
                <w:rFonts w:ascii="Rockwell" w:hAnsi="Rockwell"/>
                <w:sz w:val="18"/>
              </w:rPr>
            </w:pPr>
            <w:r w:rsidRPr="00422183">
              <w:rPr>
                <w:rFonts w:ascii="Rockwell" w:hAnsi="Rockwell"/>
                <w:sz w:val="18"/>
              </w:rPr>
              <w:t>MFPTPS</w:t>
            </w:r>
          </w:p>
        </w:tc>
        <w:tc>
          <w:tcPr>
            <w:tcW w:w="1187" w:type="dxa"/>
            <w:gridSpan w:val="2"/>
            <w:noWrap/>
          </w:tcPr>
          <w:p w:rsidR="009E077E" w:rsidRPr="00422183" w:rsidRDefault="009E077E" w:rsidP="002B7090">
            <w:pPr>
              <w:rPr>
                <w:rFonts w:ascii="Rockwell" w:hAnsi="Rockwell"/>
                <w:sz w:val="18"/>
              </w:rPr>
            </w:pPr>
            <w:r w:rsidRPr="00422183">
              <w:rPr>
                <w:rFonts w:ascii="Rockwell" w:hAnsi="Rockwell"/>
                <w:sz w:val="18"/>
              </w:rPr>
              <w:t>ND</w:t>
            </w:r>
          </w:p>
        </w:tc>
        <w:tc>
          <w:tcPr>
            <w:tcW w:w="974" w:type="dxa"/>
            <w:noWrap/>
          </w:tcPr>
          <w:p w:rsidR="009E077E" w:rsidRPr="00422183" w:rsidRDefault="009E077E" w:rsidP="002B7090">
            <w:pPr>
              <w:rPr>
                <w:rFonts w:ascii="Rockwell" w:hAnsi="Rockwell"/>
                <w:sz w:val="18"/>
              </w:rPr>
            </w:pPr>
          </w:p>
        </w:tc>
        <w:tc>
          <w:tcPr>
            <w:tcW w:w="870" w:type="dxa"/>
            <w:noWrap/>
          </w:tcPr>
          <w:p w:rsidR="009E077E" w:rsidRPr="00422183" w:rsidRDefault="009E077E" w:rsidP="002B7090">
            <w:pPr>
              <w:rPr>
                <w:rFonts w:ascii="Rockwell" w:hAnsi="Rockwell"/>
                <w:sz w:val="18"/>
              </w:rPr>
            </w:pPr>
            <w:r w:rsidRPr="00422183">
              <w:rPr>
                <w:rFonts w:ascii="Rockwell" w:hAnsi="Rockwell"/>
                <w:sz w:val="18"/>
              </w:rPr>
              <w:t>100%</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Nombre d’accidents de travail pour un million de travailleurs</w:t>
            </w:r>
          </w:p>
          <w:p w:rsidR="009E077E" w:rsidRPr="00422183" w:rsidRDefault="009E077E" w:rsidP="002B7090">
            <w:pPr>
              <w:rPr>
                <w:rFonts w:ascii="Rockwell" w:hAnsi="Rockwell"/>
                <w:sz w:val="18"/>
              </w:rPr>
            </w:pP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2B7090">
            <w:pPr>
              <w:rPr>
                <w:rFonts w:ascii="Rockwell" w:hAnsi="Rockwell"/>
                <w:sz w:val="18"/>
              </w:rPr>
            </w:pPr>
            <w:r w:rsidRPr="00422183">
              <w:rPr>
                <w:rFonts w:ascii="Rockwell" w:hAnsi="Rockwell"/>
                <w:sz w:val="18"/>
              </w:rPr>
              <w:t>MFPTPS</w:t>
            </w:r>
          </w:p>
        </w:tc>
        <w:tc>
          <w:tcPr>
            <w:tcW w:w="1187" w:type="dxa"/>
            <w:gridSpan w:val="2"/>
            <w:noWrap/>
            <w:hideMark/>
          </w:tcPr>
          <w:p w:rsidR="009E077E" w:rsidRPr="00422183" w:rsidRDefault="009E077E" w:rsidP="00895000">
            <w:pPr>
              <w:rPr>
                <w:rFonts w:ascii="Rockwell" w:hAnsi="Rockwell"/>
                <w:sz w:val="18"/>
              </w:rPr>
            </w:pPr>
            <w:r w:rsidRPr="00422183">
              <w:rPr>
                <w:rFonts w:ascii="Rockwell" w:hAnsi="Rockwell"/>
                <w:sz w:val="18"/>
              </w:rPr>
              <w:t>6 063,85</w:t>
            </w:r>
          </w:p>
          <w:p w:rsidR="009E077E" w:rsidRPr="00422183" w:rsidRDefault="009E077E" w:rsidP="00895000">
            <w:pPr>
              <w:rPr>
                <w:rFonts w:ascii="Rockwell" w:hAnsi="Rockwell"/>
                <w:sz w:val="18"/>
              </w:rPr>
            </w:pPr>
            <w:r w:rsidRPr="00422183">
              <w:rPr>
                <w:rFonts w:ascii="Rockwell" w:hAnsi="Rockwell"/>
                <w:sz w:val="18"/>
              </w:rPr>
              <w:t>(2014)</w:t>
            </w:r>
          </w:p>
        </w:tc>
        <w:tc>
          <w:tcPr>
            <w:tcW w:w="974" w:type="dxa"/>
            <w:noWrap/>
            <w:hideMark/>
          </w:tcPr>
          <w:p w:rsidR="009E077E" w:rsidRPr="00422183" w:rsidRDefault="009E077E" w:rsidP="00895000">
            <w:pPr>
              <w:rPr>
                <w:rFonts w:ascii="Rockwell" w:hAnsi="Rockwell"/>
                <w:sz w:val="18"/>
              </w:rPr>
            </w:pPr>
          </w:p>
        </w:tc>
        <w:tc>
          <w:tcPr>
            <w:tcW w:w="870" w:type="dxa"/>
            <w:noWrap/>
            <w:hideMark/>
          </w:tcPr>
          <w:p w:rsidR="009E077E" w:rsidRPr="00422183" w:rsidRDefault="009E077E" w:rsidP="00895000">
            <w:pPr>
              <w:rPr>
                <w:rFonts w:ascii="Rockwell" w:hAnsi="Rockwell"/>
                <w:sz w:val="18"/>
              </w:rPr>
            </w:pP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300"/>
        </w:trPr>
        <w:tc>
          <w:tcPr>
            <w:tcW w:w="2395" w:type="dxa"/>
            <w:vMerge/>
            <w:noWrap/>
            <w:hideMark/>
          </w:tcPr>
          <w:p w:rsidR="009E077E" w:rsidRPr="00422183" w:rsidRDefault="009E077E" w:rsidP="002B7090">
            <w:pPr>
              <w:rPr>
                <w:rFonts w:ascii="Rockwell" w:hAnsi="Rockwell"/>
                <w:sz w:val="18"/>
              </w:rPr>
            </w:pPr>
          </w:p>
        </w:tc>
        <w:tc>
          <w:tcPr>
            <w:tcW w:w="2613" w:type="dxa"/>
            <w:gridSpan w:val="2"/>
            <w:hideMark/>
          </w:tcPr>
          <w:p w:rsidR="009E077E" w:rsidRPr="00422183" w:rsidRDefault="009E077E" w:rsidP="002B7090">
            <w:pPr>
              <w:rPr>
                <w:rFonts w:ascii="Rockwell" w:hAnsi="Rockwell"/>
                <w:sz w:val="18"/>
              </w:rPr>
            </w:pPr>
            <w:r w:rsidRPr="00422183">
              <w:rPr>
                <w:rFonts w:ascii="Rockwell" w:hAnsi="Rockwell"/>
                <w:sz w:val="18"/>
              </w:rPr>
              <w:t>Taux de couverture du RAMU</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2B7090">
            <w:pPr>
              <w:rPr>
                <w:rFonts w:ascii="Rockwell" w:hAnsi="Rockwell"/>
                <w:sz w:val="18"/>
              </w:rPr>
            </w:pPr>
            <w:r w:rsidRPr="00422183">
              <w:rPr>
                <w:rFonts w:ascii="Rockwell" w:hAnsi="Rockwell"/>
                <w:sz w:val="18"/>
              </w:rPr>
              <w:t>MFPTPS</w:t>
            </w:r>
          </w:p>
        </w:tc>
        <w:tc>
          <w:tcPr>
            <w:tcW w:w="1187" w:type="dxa"/>
            <w:gridSpan w:val="2"/>
            <w:noWrap/>
            <w:hideMark/>
          </w:tcPr>
          <w:p w:rsidR="009E077E" w:rsidRPr="00422183" w:rsidRDefault="009E077E" w:rsidP="002B7090">
            <w:pPr>
              <w:rPr>
                <w:rFonts w:ascii="Rockwell" w:hAnsi="Rockwell"/>
                <w:sz w:val="18"/>
              </w:rPr>
            </w:pPr>
            <w:r w:rsidRPr="00422183">
              <w:rPr>
                <w:rFonts w:ascii="Rockwell" w:hAnsi="Rockwell"/>
                <w:sz w:val="18"/>
              </w:rPr>
              <w:t>0</w:t>
            </w:r>
          </w:p>
        </w:tc>
        <w:tc>
          <w:tcPr>
            <w:tcW w:w="974" w:type="dxa"/>
            <w:noWrap/>
            <w:hideMark/>
          </w:tcPr>
          <w:p w:rsidR="009E077E" w:rsidRPr="00422183" w:rsidRDefault="009E077E" w:rsidP="002B7090">
            <w:pPr>
              <w:rPr>
                <w:rFonts w:ascii="Rockwell" w:hAnsi="Rockwell"/>
                <w:sz w:val="18"/>
              </w:rPr>
            </w:pPr>
            <w:r w:rsidRPr="00422183">
              <w:rPr>
                <w:rFonts w:ascii="Rockwell" w:hAnsi="Rockwell"/>
                <w:sz w:val="18"/>
              </w:rPr>
              <w:t>15%</w:t>
            </w:r>
          </w:p>
        </w:tc>
        <w:tc>
          <w:tcPr>
            <w:tcW w:w="870" w:type="dxa"/>
            <w:noWrap/>
            <w:hideMark/>
          </w:tcPr>
          <w:p w:rsidR="009E077E" w:rsidRPr="00422183" w:rsidRDefault="009E077E" w:rsidP="002B7090">
            <w:pPr>
              <w:rPr>
                <w:rFonts w:ascii="Rockwell" w:hAnsi="Rockwell"/>
                <w:sz w:val="18"/>
              </w:rPr>
            </w:pPr>
            <w:r w:rsidRPr="00422183">
              <w:rPr>
                <w:rFonts w:ascii="Rockwell" w:hAnsi="Rockwell"/>
                <w:sz w:val="18"/>
              </w:rPr>
              <w:t>25%</w:t>
            </w: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9E077E" w:rsidRPr="00422183" w:rsidTr="00E8632D">
        <w:trPr>
          <w:trHeight w:val="300"/>
        </w:trPr>
        <w:tc>
          <w:tcPr>
            <w:tcW w:w="2395" w:type="dxa"/>
            <w:vMerge/>
            <w:noWrap/>
          </w:tcPr>
          <w:p w:rsidR="009E077E" w:rsidRPr="00422183" w:rsidRDefault="009E077E" w:rsidP="002B7090">
            <w:pPr>
              <w:rPr>
                <w:rFonts w:ascii="Rockwell" w:hAnsi="Rockwell"/>
                <w:sz w:val="18"/>
              </w:rPr>
            </w:pPr>
          </w:p>
        </w:tc>
        <w:tc>
          <w:tcPr>
            <w:tcW w:w="2613" w:type="dxa"/>
            <w:gridSpan w:val="2"/>
          </w:tcPr>
          <w:p w:rsidR="009E077E" w:rsidRPr="00422183" w:rsidRDefault="009E077E" w:rsidP="002B7090">
            <w:pPr>
              <w:rPr>
                <w:rFonts w:ascii="Rockwell" w:hAnsi="Rockwell"/>
                <w:sz w:val="18"/>
              </w:rPr>
            </w:pPr>
            <w:r w:rsidRPr="00422183">
              <w:rPr>
                <w:rFonts w:ascii="Rockwell" w:hAnsi="Rockwell"/>
                <w:sz w:val="18"/>
              </w:rPr>
              <w:t>Nombre de conflits individuels pour 10 000 salariés</w:t>
            </w:r>
          </w:p>
        </w:tc>
        <w:tc>
          <w:tcPr>
            <w:tcW w:w="1387" w:type="dxa"/>
            <w:gridSpan w:val="3"/>
          </w:tcPr>
          <w:p w:rsidR="009E077E" w:rsidRPr="00422183" w:rsidRDefault="009E077E" w:rsidP="002B7090">
            <w:pPr>
              <w:rPr>
                <w:rFonts w:ascii="Rockwell" w:hAnsi="Rockwell"/>
                <w:sz w:val="18"/>
              </w:rPr>
            </w:pPr>
            <w:r w:rsidRPr="00422183">
              <w:rPr>
                <w:rFonts w:ascii="Rockwell" w:hAnsi="Rockwell"/>
                <w:sz w:val="18"/>
              </w:rPr>
              <w:t>Annuaire statistique</w:t>
            </w:r>
          </w:p>
        </w:tc>
        <w:tc>
          <w:tcPr>
            <w:tcW w:w="1360" w:type="dxa"/>
          </w:tcPr>
          <w:p w:rsidR="009E077E" w:rsidRPr="00422183" w:rsidRDefault="009E077E" w:rsidP="002B7090">
            <w:pPr>
              <w:rPr>
                <w:rFonts w:ascii="Rockwell" w:hAnsi="Rockwell"/>
                <w:sz w:val="18"/>
              </w:rPr>
            </w:pPr>
            <w:r w:rsidRPr="00422183">
              <w:rPr>
                <w:rFonts w:ascii="Rockwell" w:hAnsi="Rockwell"/>
                <w:sz w:val="18"/>
              </w:rPr>
              <w:t>MFPTPS</w:t>
            </w:r>
          </w:p>
        </w:tc>
        <w:tc>
          <w:tcPr>
            <w:tcW w:w="1187" w:type="dxa"/>
            <w:gridSpan w:val="2"/>
            <w:noWrap/>
          </w:tcPr>
          <w:p w:rsidR="009E077E" w:rsidRPr="00422183" w:rsidRDefault="009E077E" w:rsidP="002B7090">
            <w:pPr>
              <w:rPr>
                <w:rFonts w:ascii="Rockwell" w:hAnsi="Rockwell"/>
                <w:sz w:val="18"/>
              </w:rPr>
            </w:pPr>
            <w:r w:rsidRPr="00422183">
              <w:rPr>
                <w:rFonts w:ascii="Rockwell" w:hAnsi="Rockwell"/>
                <w:sz w:val="18"/>
              </w:rPr>
              <w:t>131,15</w:t>
            </w:r>
          </w:p>
        </w:tc>
        <w:tc>
          <w:tcPr>
            <w:tcW w:w="974" w:type="dxa"/>
            <w:noWrap/>
          </w:tcPr>
          <w:p w:rsidR="009E077E" w:rsidRPr="00422183" w:rsidRDefault="009E077E" w:rsidP="002B7090">
            <w:pPr>
              <w:rPr>
                <w:rFonts w:ascii="Rockwell" w:hAnsi="Rockwell"/>
                <w:sz w:val="18"/>
              </w:rPr>
            </w:pPr>
          </w:p>
        </w:tc>
        <w:tc>
          <w:tcPr>
            <w:tcW w:w="870" w:type="dxa"/>
            <w:noWrap/>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614" w:type="dxa"/>
          </w:tcPr>
          <w:p w:rsidR="009E077E" w:rsidRPr="00422183" w:rsidRDefault="009E077E" w:rsidP="002B7090">
            <w:pPr>
              <w:rPr>
                <w:rFonts w:ascii="Rockwell" w:hAnsi="Rockwell"/>
                <w:sz w:val="18"/>
              </w:rPr>
            </w:pPr>
          </w:p>
        </w:tc>
        <w:tc>
          <w:tcPr>
            <w:tcW w:w="1049" w:type="dxa"/>
          </w:tcPr>
          <w:p w:rsidR="009E077E" w:rsidRPr="00422183" w:rsidRDefault="009E077E" w:rsidP="002B7090">
            <w:pPr>
              <w:rPr>
                <w:rFonts w:ascii="Rockwell" w:hAnsi="Rockwell"/>
                <w:sz w:val="18"/>
              </w:rPr>
            </w:pPr>
          </w:p>
        </w:tc>
        <w:tc>
          <w:tcPr>
            <w:tcW w:w="1225" w:type="dxa"/>
          </w:tcPr>
          <w:p w:rsidR="009E077E" w:rsidRPr="00422183" w:rsidRDefault="009E077E" w:rsidP="002B7090">
            <w:pPr>
              <w:rPr>
                <w:rFonts w:ascii="Rockwell" w:hAnsi="Rockwell"/>
                <w:sz w:val="18"/>
              </w:rPr>
            </w:pPr>
          </w:p>
        </w:tc>
        <w:tc>
          <w:tcPr>
            <w:tcW w:w="1211" w:type="dxa"/>
          </w:tcPr>
          <w:p w:rsidR="009E077E" w:rsidRPr="00422183" w:rsidRDefault="009E077E" w:rsidP="002B7090">
            <w:pPr>
              <w:rPr>
                <w:rFonts w:ascii="Rockwell" w:hAnsi="Rockwell"/>
                <w:sz w:val="18"/>
              </w:rPr>
            </w:pPr>
          </w:p>
        </w:tc>
      </w:tr>
      <w:tr w:rsidR="002B7090" w:rsidRPr="00422183" w:rsidTr="00E8632D">
        <w:trPr>
          <w:trHeight w:val="600"/>
        </w:trPr>
        <w:tc>
          <w:tcPr>
            <w:tcW w:w="2395" w:type="dxa"/>
            <w:vMerge w:val="restart"/>
            <w:noWrap/>
            <w:hideMark/>
          </w:tcPr>
          <w:p w:rsidR="002B7090" w:rsidRPr="00422183" w:rsidRDefault="002B7090" w:rsidP="00895000">
            <w:pPr>
              <w:rPr>
                <w:rFonts w:ascii="Rockwell" w:hAnsi="Rockwell"/>
                <w:sz w:val="18"/>
              </w:rPr>
            </w:pPr>
            <w:r w:rsidRPr="00422183">
              <w:rPr>
                <w:rFonts w:ascii="Rockwell" w:hAnsi="Rockwell"/>
                <w:sz w:val="18"/>
              </w:rPr>
              <w:t xml:space="preserve">EA 2.4.2: les inégalités sociales et de genre sont réduites et </w:t>
            </w:r>
            <w:r w:rsidR="00895000" w:rsidRPr="00422183">
              <w:rPr>
                <w:rFonts w:ascii="Rockwell" w:hAnsi="Rockwell"/>
                <w:sz w:val="18"/>
              </w:rPr>
              <w:t>la femme est promue comme acteur</w:t>
            </w:r>
            <w:r w:rsidRPr="00422183">
              <w:rPr>
                <w:rFonts w:ascii="Rockwell" w:hAnsi="Rockwell"/>
                <w:sz w:val="18"/>
              </w:rPr>
              <w:t xml:space="preserve"> dynamique de développement</w:t>
            </w: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Proportion des personnes marginalisées identifiées insérées</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rPr>
                <w:rFonts w:ascii="Rockwell" w:hAnsi="Rockwell"/>
                <w:sz w:val="18"/>
              </w:rPr>
            </w:pPr>
            <w:r w:rsidRPr="00422183">
              <w:rPr>
                <w:rFonts w:ascii="Rockwell" w:hAnsi="Rockwell"/>
                <w:sz w:val="18"/>
              </w:rPr>
              <w:t>MFSNF</w:t>
            </w:r>
          </w:p>
        </w:tc>
        <w:tc>
          <w:tcPr>
            <w:tcW w:w="1187" w:type="dxa"/>
            <w:gridSpan w:val="2"/>
            <w:noWrap/>
            <w:hideMark/>
          </w:tcPr>
          <w:p w:rsidR="002B7090" w:rsidRPr="00422183" w:rsidRDefault="00895000" w:rsidP="00895000">
            <w:pPr>
              <w:rPr>
                <w:rFonts w:ascii="Rockwell" w:hAnsi="Rockwell"/>
                <w:sz w:val="18"/>
              </w:rPr>
            </w:pPr>
            <w:r w:rsidRPr="00422183">
              <w:rPr>
                <w:rFonts w:ascii="Rockwell" w:hAnsi="Rockwell"/>
                <w:sz w:val="18"/>
              </w:rPr>
              <w:t>ND</w:t>
            </w:r>
          </w:p>
        </w:tc>
        <w:tc>
          <w:tcPr>
            <w:tcW w:w="974" w:type="dxa"/>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75%</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3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 xml:space="preserve">Proportion des handicapés actifs </w:t>
            </w:r>
            <w:r w:rsidR="00895000" w:rsidRPr="00422183">
              <w:rPr>
                <w:rFonts w:ascii="Rockwell" w:hAnsi="Rockwell"/>
                <w:sz w:val="18"/>
              </w:rPr>
              <w:t>occupés</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jc w:val="center"/>
              <w:rPr>
                <w:rFonts w:ascii="Rockwell" w:hAnsi="Rockwell"/>
                <w:sz w:val="18"/>
              </w:rPr>
            </w:pPr>
            <w:r w:rsidRPr="00422183">
              <w:rPr>
                <w:rFonts w:ascii="Rockwell" w:hAnsi="Rockwell"/>
                <w:sz w:val="18"/>
              </w:rPr>
              <w:t>MFSNF</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 xml:space="preserve">2,2% </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20%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50%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895000">
            <w:pPr>
              <w:rPr>
                <w:rFonts w:ascii="Rockwell" w:hAnsi="Rockwell"/>
                <w:sz w:val="18"/>
              </w:rPr>
            </w:pPr>
            <w:r w:rsidRPr="00422183">
              <w:rPr>
                <w:rFonts w:ascii="Rockwell" w:hAnsi="Rockwell"/>
                <w:sz w:val="18"/>
              </w:rPr>
              <w:t>Proportion d’enfants vulnérables identifiées pris en charge</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jc w:val="center"/>
              <w:rPr>
                <w:rFonts w:ascii="Rockwell" w:hAnsi="Rockwell"/>
                <w:sz w:val="18"/>
              </w:rPr>
            </w:pPr>
            <w:r w:rsidRPr="00422183">
              <w:rPr>
                <w:rFonts w:ascii="Rockwell" w:hAnsi="Rockwell"/>
                <w:sz w:val="18"/>
              </w:rPr>
              <w:t>MFSNF</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45%</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70%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3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d’enfants en situation de rue</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jc w:val="center"/>
              <w:rPr>
                <w:rFonts w:ascii="Rockwell" w:hAnsi="Rockwell"/>
                <w:sz w:val="18"/>
              </w:rPr>
            </w:pPr>
            <w:r w:rsidRPr="00422183">
              <w:rPr>
                <w:rFonts w:ascii="Rockwell" w:hAnsi="Rockwell"/>
                <w:sz w:val="18"/>
              </w:rPr>
              <w:t>MFSNF</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5</w:t>
            </w:r>
            <w:r w:rsidR="00895000" w:rsidRPr="00422183">
              <w:rPr>
                <w:rFonts w:ascii="Rockwell" w:hAnsi="Rockwell"/>
                <w:sz w:val="18"/>
              </w:rPr>
              <w:t xml:space="preserve"> </w:t>
            </w:r>
            <w:r w:rsidRPr="00422183">
              <w:rPr>
                <w:rFonts w:ascii="Rockwell" w:hAnsi="Rockwell"/>
                <w:sz w:val="18"/>
              </w:rPr>
              <w:t xml:space="preserve">721 (2010) </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4</w:t>
            </w:r>
            <w:r w:rsidR="00895000" w:rsidRPr="00422183">
              <w:rPr>
                <w:rFonts w:ascii="Rockwell" w:hAnsi="Rockwell"/>
                <w:sz w:val="18"/>
              </w:rPr>
              <w:t xml:space="preserve"> </w:t>
            </w:r>
            <w:r w:rsidRPr="00422183">
              <w:rPr>
                <w:rFonts w:ascii="Rockwell" w:hAnsi="Rockwell"/>
                <w:sz w:val="18"/>
              </w:rPr>
              <w:t>000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2</w:t>
            </w:r>
            <w:r w:rsidR="00895000" w:rsidRPr="00422183">
              <w:rPr>
                <w:rFonts w:ascii="Rockwell" w:hAnsi="Rockwell"/>
                <w:sz w:val="18"/>
              </w:rPr>
              <w:t xml:space="preserve"> </w:t>
            </w:r>
            <w:r w:rsidRPr="00422183">
              <w:rPr>
                <w:rFonts w:ascii="Rockwell" w:hAnsi="Rockwell"/>
                <w:sz w:val="18"/>
              </w:rPr>
              <w:t>860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Proportion des femmes propriétaire</w:t>
            </w:r>
            <w:r w:rsidR="00895000" w:rsidRPr="00422183">
              <w:rPr>
                <w:rFonts w:ascii="Rockwell" w:hAnsi="Rockwell"/>
                <w:sz w:val="18"/>
              </w:rPr>
              <w:t>s</w:t>
            </w:r>
            <w:r w:rsidRPr="00422183">
              <w:rPr>
                <w:rFonts w:ascii="Rockwell" w:hAnsi="Rockwell"/>
                <w:sz w:val="18"/>
              </w:rPr>
              <w:t xml:space="preserve"> d’entreprise parmi les entrepreneurs</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Annuaire statistique</w:t>
            </w:r>
          </w:p>
        </w:tc>
        <w:tc>
          <w:tcPr>
            <w:tcW w:w="1360" w:type="dxa"/>
          </w:tcPr>
          <w:p w:rsidR="002B7090" w:rsidRPr="00422183" w:rsidRDefault="002B7090" w:rsidP="002B7090">
            <w:pPr>
              <w:jc w:val="center"/>
              <w:rPr>
                <w:rFonts w:ascii="Rockwell" w:hAnsi="Rockwell"/>
                <w:sz w:val="18"/>
              </w:rPr>
            </w:pPr>
            <w:r w:rsidRPr="00422183">
              <w:rPr>
                <w:rFonts w:ascii="Rockwell" w:hAnsi="Rockwell"/>
                <w:sz w:val="18"/>
              </w:rPr>
              <w:t>MFSNF</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21%</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30%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50%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057699" w:rsidRPr="00422183" w:rsidTr="00E8632D">
        <w:trPr>
          <w:trHeight w:val="300"/>
        </w:trPr>
        <w:tc>
          <w:tcPr>
            <w:tcW w:w="2395" w:type="dxa"/>
            <w:vMerge w:val="restart"/>
            <w:noWrap/>
            <w:hideMark/>
          </w:tcPr>
          <w:p w:rsidR="00057699" w:rsidRPr="00422183" w:rsidRDefault="00057699" w:rsidP="002B7090">
            <w:pPr>
              <w:rPr>
                <w:rFonts w:ascii="Rockwell" w:hAnsi="Rockwell"/>
                <w:sz w:val="18"/>
              </w:rPr>
            </w:pPr>
            <w:r w:rsidRPr="00422183">
              <w:rPr>
                <w:rFonts w:ascii="Rockwell" w:hAnsi="Rockwell"/>
                <w:sz w:val="18"/>
              </w:rPr>
              <w:t>EA 2.5.1 : L'accès de tous à un cadre de vie décent, à l'eau et à l'assainissement de qualité est garanti</w:t>
            </w:r>
          </w:p>
        </w:tc>
        <w:tc>
          <w:tcPr>
            <w:tcW w:w="2613" w:type="dxa"/>
            <w:gridSpan w:val="2"/>
            <w:hideMark/>
          </w:tcPr>
          <w:p w:rsidR="00057699" w:rsidRPr="00422183" w:rsidRDefault="00057699" w:rsidP="002B7090">
            <w:pPr>
              <w:rPr>
                <w:rFonts w:ascii="Rockwell" w:hAnsi="Rockwell"/>
                <w:sz w:val="18"/>
              </w:rPr>
            </w:pPr>
            <w:r w:rsidRPr="00422183">
              <w:rPr>
                <w:rFonts w:ascii="Rockwell" w:hAnsi="Rockwell"/>
                <w:sz w:val="18"/>
              </w:rPr>
              <w:t xml:space="preserve">Taux d'accès à l'eau potable </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MEA</w:t>
            </w:r>
          </w:p>
        </w:tc>
        <w:tc>
          <w:tcPr>
            <w:tcW w:w="1187" w:type="dxa"/>
            <w:gridSpan w:val="2"/>
            <w:noWrap/>
            <w:hideMark/>
          </w:tcPr>
          <w:p w:rsidR="00057699" w:rsidRPr="00422183" w:rsidRDefault="00057699" w:rsidP="002B7090">
            <w:pPr>
              <w:rPr>
                <w:rFonts w:ascii="Rockwell" w:hAnsi="Rockwell"/>
                <w:sz w:val="18"/>
              </w:rPr>
            </w:pPr>
            <w:r w:rsidRPr="00422183">
              <w:rPr>
                <w:rFonts w:ascii="Rockwell" w:hAnsi="Rockwell"/>
                <w:sz w:val="18"/>
              </w:rPr>
              <w:t>71%</w:t>
            </w:r>
          </w:p>
        </w:tc>
        <w:tc>
          <w:tcPr>
            <w:tcW w:w="974" w:type="dxa"/>
            <w:noWrap/>
            <w:hideMark/>
          </w:tcPr>
          <w:p w:rsidR="00057699" w:rsidRPr="00422183" w:rsidRDefault="00057699" w:rsidP="002B7090">
            <w:pPr>
              <w:rPr>
                <w:rFonts w:ascii="Rockwell" w:hAnsi="Rockwell"/>
                <w:sz w:val="18"/>
              </w:rPr>
            </w:pPr>
            <w:r w:rsidRPr="00422183">
              <w:rPr>
                <w:rFonts w:ascii="Rockwell" w:hAnsi="Rockwell"/>
                <w:sz w:val="18"/>
              </w:rPr>
              <w:t>90%</w:t>
            </w:r>
          </w:p>
        </w:tc>
        <w:tc>
          <w:tcPr>
            <w:tcW w:w="870" w:type="dxa"/>
            <w:noWrap/>
            <w:hideMark/>
          </w:tcPr>
          <w:p w:rsidR="00057699" w:rsidRPr="00422183" w:rsidRDefault="00057699" w:rsidP="002B7090">
            <w:pPr>
              <w:rPr>
                <w:rFonts w:ascii="Rockwell" w:hAnsi="Rockwell"/>
                <w:sz w:val="18"/>
              </w:rPr>
            </w:pPr>
            <w:r w:rsidRPr="00422183">
              <w:rPr>
                <w:rFonts w:ascii="Rockwell" w:hAnsi="Rockwell"/>
                <w:sz w:val="18"/>
              </w:rPr>
              <w:t>100</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300"/>
        </w:trPr>
        <w:tc>
          <w:tcPr>
            <w:tcW w:w="2395" w:type="dxa"/>
            <w:vMerge/>
            <w:noWrap/>
            <w:hideMark/>
          </w:tcPr>
          <w:p w:rsidR="00057699" w:rsidRPr="00422183" w:rsidRDefault="00057699" w:rsidP="002B7090">
            <w:pPr>
              <w:rPr>
                <w:rFonts w:ascii="Rockwell" w:hAnsi="Rockwell"/>
                <w:sz w:val="18"/>
              </w:rPr>
            </w:pPr>
          </w:p>
        </w:tc>
        <w:tc>
          <w:tcPr>
            <w:tcW w:w="2613" w:type="dxa"/>
            <w:gridSpan w:val="2"/>
            <w:hideMark/>
          </w:tcPr>
          <w:p w:rsidR="00057699" w:rsidRPr="00422183" w:rsidRDefault="00057699" w:rsidP="002B7090">
            <w:pPr>
              <w:rPr>
                <w:rFonts w:ascii="Rockwell" w:hAnsi="Rockwell"/>
                <w:sz w:val="18"/>
              </w:rPr>
            </w:pPr>
            <w:r w:rsidRPr="00422183">
              <w:rPr>
                <w:rFonts w:ascii="Rockwell" w:hAnsi="Rockwell"/>
                <w:sz w:val="18"/>
              </w:rPr>
              <w:t>Taux d'assainissement</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MEA</w:t>
            </w:r>
          </w:p>
        </w:tc>
        <w:tc>
          <w:tcPr>
            <w:tcW w:w="1187" w:type="dxa"/>
            <w:gridSpan w:val="2"/>
            <w:noWrap/>
            <w:hideMark/>
          </w:tcPr>
          <w:p w:rsidR="00057699" w:rsidRPr="00422183" w:rsidRDefault="00057699" w:rsidP="002B7090">
            <w:pPr>
              <w:rPr>
                <w:rFonts w:ascii="Rockwell" w:hAnsi="Rockwell"/>
                <w:sz w:val="18"/>
              </w:rPr>
            </w:pPr>
            <w:r w:rsidRPr="00422183">
              <w:rPr>
                <w:rFonts w:ascii="Rockwell" w:hAnsi="Rockwell"/>
                <w:sz w:val="18"/>
              </w:rPr>
              <w:t>18%</w:t>
            </w:r>
          </w:p>
        </w:tc>
        <w:tc>
          <w:tcPr>
            <w:tcW w:w="974" w:type="dxa"/>
            <w:noWrap/>
            <w:hideMark/>
          </w:tcPr>
          <w:p w:rsidR="00057699" w:rsidRPr="00422183" w:rsidRDefault="00057699" w:rsidP="002B7090">
            <w:pPr>
              <w:rPr>
                <w:rFonts w:ascii="Rockwell" w:hAnsi="Rockwell"/>
                <w:sz w:val="18"/>
              </w:rPr>
            </w:pPr>
            <w:r w:rsidRPr="00422183">
              <w:rPr>
                <w:rFonts w:ascii="Rockwell" w:hAnsi="Rockwell"/>
                <w:sz w:val="18"/>
              </w:rPr>
              <w:t>27%</w:t>
            </w:r>
          </w:p>
        </w:tc>
        <w:tc>
          <w:tcPr>
            <w:tcW w:w="870" w:type="dxa"/>
            <w:noWrap/>
            <w:hideMark/>
          </w:tcPr>
          <w:p w:rsidR="00057699" w:rsidRPr="00422183" w:rsidRDefault="00057699" w:rsidP="002B7090">
            <w:pPr>
              <w:rPr>
                <w:rFonts w:ascii="Rockwell" w:hAnsi="Rockwell"/>
                <w:sz w:val="18"/>
              </w:rPr>
            </w:pPr>
            <w:r w:rsidRPr="00422183">
              <w:rPr>
                <w:rFonts w:ascii="Rockwell" w:hAnsi="Rockwell"/>
                <w:sz w:val="18"/>
              </w:rPr>
              <w:t>34%</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600"/>
        </w:trPr>
        <w:tc>
          <w:tcPr>
            <w:tcW w:w="2395" w:type="dxa"/>
            <w:vMerge/>
            <w:noWrap/>
          </w:tcPr>
          <w:p w:rsidR="00057699" w:rsidRPr="00422183" w:rsidRDefault="00057699" w:rsidP="002B7090">
            <w:pPr>
              <w:rPr>
                <w:rFonts w:ascii="Rockwell" w:hAnsi="Rockwell"/>
                <w:sz w:val="18"/>
              </w:rPr>
            </w:pPr>
          </w:p>
        </w:tc>
        <w:tc>
          <w:tcPr>
            <w:tcW w:w="2613" w:type="dxa"/>
            <w:gridSpan w:val="2"/>
          </w:tcPr>
          <w:p w:rsidR="00057699" w:rsidRPr="00422183" w:rsidRDefault="00057699" w:rsidP="002B7090">
            <w:pPr>
              <w:rPr>
                <w:rFonts w:ascii="Rockwell" w:hAnsi="Rockwell"/>
                <w:sz w:val="18"/>
              </w:rPr>
            </w:pPr>
            <w:r w:rsidRPr="00422183">
              <w:rPr>
                <w:rFonts w:ascii="Rockwell" w:hAnsi="Rockwell"/>
                <w:sz w:val="18"/>
              </w:rPr>
              <w:t>Proportion d’établissements primaires et secondaires où l’éducation environnementale est enseignée</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MEEVCC</w:t>
            </w:r>
          </w:p>
        </w:tc>
        <w:tc>
          <w:tcPr>
            <w:tcW w:w="1187" w:type="dxa"/>
            <w:gridSpan w:val="2"/>
            <w:noWrap/>
          </w:tcPr>
          <w:p w:rsidR="00057699" w:rsidRPr="00422183" w:rsidRDefault="00057699" w:rsidP="002B7090">
            <w:pPr>
              <w:rPr>
                <w:rFonts w:ascii="Rockwell" w:hAnsi="Rockwell"/>
                <w:sz w:val="18"/>
              </w:rPr>
            </w:pPr>
            <w:r w:rsidRPr="00422183">
              <w:rPr>
                <w:rFonts w:ascii="Rockwell" w:hAnsi="Rockwell"/>
                <w:sz w:val="18"/>
              </w:rPr>
              <w:t>3%</w:t>
            </w:r>
          </w:p>
        </w:tc>
        <w:tc>
          <w:tcPr>
            <w:tcW w:w="974" w:type="dxa"/>
            <w:noWrap/>
          </w:tcPr>
          <w:p w:rsidR="00057699" w:rsidRPr="00422183" w:rsidRDefault="00057699" w:rsidP="002B7090">
            <w:pPr>
              <w:rPr>
                <w:rFonts w:ascii="Rockwell" w:hAnsi="Rockwell"/>
                <w:sz w:val="18"/>
              </w:rPr>
            </w:pPr>
            <w:r w:rsidRPr="00422183">
              <w:rPr>
                <w:rFonts w:ascii="Rockwell" w:hAnsi="Rockwell"/>
                <w:sz w:val="18"/>
              </w:rPr>
              <w:t>5%</w:t>
            </w:r>
          </w:p>
        </w:tc>
        <w:tc>
          <w:tcPr>
            <w:tcW w:w="870" w:type="dxa"/>
            <w:noWrap/>
          </w:tcPr>
          <w:p w:rsidR="00057699" w:rsidRPr="00422183" w:rsidRDefault="00057699" w:rsidP="002B7090">
            <w:pPr>
              <w:rPr>
                <w:rFonts w:ascii="Rockwell" w:hAnsi="Rockwell"/>
                <w:sz w:val="18"/>
              </w:rPr>
            </w:pPr>
            <w:r w:rsidRPr="00422183">
              <w:rPr>
                <w:rFonts w:ascii="Rockwell" w:hAnsi="Rockwell"/>
                <w:sz w:val="18"/>
              </w:rPr>
              <w:t>7%</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600"/>
        </w:trPr>
        <w:tc>
          <w:tcPr>
            <w:tcW w:w="2395" w:type="dxa"/>
            <w:vMerge/>
            <w:noWrap/>
            <w:hideMark/>
          </w:tcPr>
          <w:p w:rsidR="00057699" w:rsidRPr="00422183" w:rsidRDefault="00057699" w:rsidP="002B7090">
            <w:pPr>
              <w:rPr>
                <w:rFonts w:ascii="Rockwell" w:hAnsi="Rockwell"/>
                <w:sz w:val="18"/>
              </w:rPr>
            </w:pPr>
          </w:p>
        </w:tc>
        <w:tc>
          <w:tcPr>
            <w:tcW w:w="2613" w:type="dxa"/>
            <w:gridSpan w:val="2"/>
            <w:hideMark/>
          </w:tcPr>
          <w:p w:rsidR="00057699" w:rsidRPr="00422183" w:rsidRDefault="00057699" w:rsidP="002B7090">
            <w:pPr>
              <w:rPr>
                <w:rFonts w:ascii="Rockwell" w:hAnsi="Rockwell"/>
                <w:sz w:val="18"/>
              </w:rPr>
            </w:pPr>
            <w:r w:rsidRPr="00422183">
              <w:rPr>
                <w:rFonts w:ascii="Rockwell" w:hAnsi="Rockwell"/>
                <w:sz w:val="18"/>
              </w:rPr>
              <w:t>Pourcentage de communes dotées d’un système fonctionnel de gestion des déchets solides</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MEEVCC</w:t>
            </w:r>
          </w:p>
        </w:tc>
        <w:tc>
          <w:tcPr>
            <w:tcW w:w="1187" w:type="dxa"/>
            <w:gridSpan w:val="2"/>
            <w:noWrap/>
            <w:hideMark/>
          </w:tcPr>
          <w:p w:rsidR="00057699" w:rsidRPr="00422183" w:rsidRDefault="00057699" w:rsidP="002B7090">
            <w:pPr>
              <w:rPr>
                <w:rFonts w:ascii="Rockwell" w:hAnsi="Rockwell"/>
                <w:sz w:val="18"/>
              </w:rPr>
            </w:pPr>
            <w:r w:rsidRPr="00422183">
              <w:rPr>
                <w:rFonts w:ascii="Rockwell" w:hAnsi="Rockwell"/>
                <w:sz w:val="18"/>
              </w:rPr>
              <w:t>13%</w:t>
            </w:r>
          </w:p>
        </w:tc>
        <w:tc>
          <w:tcPr>
            <w:tcW w:w="974" w:type="dxa"/>
            <w:noWrap/>
            <w:hideMark/>
          </w:tcPr>
          <w:p w:rsidR="00057699" w:rsidRPr="00422183" w:rsidRDefault="00057699" w:rsidP="002B7090">
            <w:pPr>
              <w:rPr>
                <w:rFonts w:ascii="Rockwell" w:hAnsi="Rockwell"/>
                <w:sz w:val="18"/>
              </w:rPr>
            </w:pPr>
            <w:r w:rsidRPr="00422183">
              <w:rPr>
                <w:rFonts w:ascii="Rockwell" w:hAnsi="Rockwell"/>
                <w:sz w:val="18"/>
              </w:rPr>
              <w:t>20%</w:t>
            </w:r>
          </w:p>
        </w:tc>
        <w:tc>
          <w:tcPr>
            <w:tcW w:w="870" w:type="dxa"/>
            <w:noWrap/>
            <w:hideMark/>
          </w:tcPr>
          <w:p w:rsidR="00057699" w:rsidRPr="00422183" w:rsidRDefault="00057699" w:rsidP="002B7090">
            <w:pPr>
              <w:rPr>
                <w:rFonts w:ascii="Rockwell" w:hAnsi="Rockwell"/>
                <w:sz w:val="18"/>
              </w:rPr>
            </w:pPr>
            <w:r w:rsidRPr="00422183">
              <w:rPr>
                <w:rFonts w:ascii="Rockwell" w:hAnsi="Rockwell"/>
                <w:sz w:val="18"/>
              </w:rPr>
              <w:t>25%</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600"/>
        </w:trPr>
        <w:tc>
          <w:tcPr>
            <w:tcW w:w="2395" w:type="dxa"/>
            <w:vMerge/>
            <w:noWrap/>
            <w:hideMark/>
          </w:tcPr>
          <w:p w:rsidR="00057699" w:rsidRPr="00422183" w:rsidRDefault="00057699" w:rsidP="002B7090">
            <w:pPr>
              <w:rPr>
                <w:rFonts w:ascii="Rockwell" w:hAnsi="Rockwell"/>
                <w:sz w:val="18"/>
              </w:rPr>
            </w:pPr>
          </w:p>
        </w:tc>
        <w:tc>
          <w:tcPr>
            <w:tcW w:w="2613" w:type="dxa"/>
            <w:gridSpan w:val="2"/>
            <w:hideMark/>
          </w:tcPr>
          <w:p w:rsidR="00057699" w:rsidRPr="00422183" w:rsidRDefault="00057699" w:rsidP="00895000">
            <w:pPr>
              <w:rPr>
                <w:rFonts w:ascii="Rockwell" w:hAnsi="Rockwell"/>
                <w:sz w:val="18"/>
              </w:rPr>
            </w:pPr>
            <w:r w:rsidRPr="00422183">
              <w:rPr>
                <w:rFonts w:ascii="Rockwell" w:hAnsi="Rockwell"/>
                <w:sz w:val="18"/>
              </w:rPr>
              <w:t>Superficie d’espace vert boisé dans les communes urbaines (ha)</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MEEVCC</w:t>
            </w:r>
          </w:p>
        </w:tc>
        <w:tc>
          <w:tcPr>
            <w:tcW w:w="1187" w:type="dxa"/>
            <w:gridSpan w:val="2"/>
            <w:noWrap/>
            <w:hideMark/>
          </w:tcPr>
          <w:p w:rsidR="00057699" w:rsidRPr="00422183" w:rsidRDefault="00057699" w:rsidP="002B7090">
            <w:pPr>
              <w:rPr>
                <w:rFonts w:ascii="Rockwell" w:hAnsi="Rockwell"/>
                <w:sz w:val="18"/>
              </w:rPr>
            </w:pPr>
            <w:r w:rsidRPr="00422183">
              <w:rPr>
                <w:rFonts w:ascii="Rockwell" w:hAnsi="Rockwell"/>
                <w:sz w:val="18"/>
              </w:rPr>
              <w:t>75</w:t>
            </w:r>
          </w:p>
        </w:tc>
        <w:tc>
          <w:tcPr>
            <w:tcW w:w="974" w:type="dxa"/>
            <w:noWrap/>
            <w:hideMark/>
          </w:tcPr>
          <w:p w:rsidR="00057699" w:rsidRPr="00422183" w:rsidRDefault="00057699" w:rsidP="002B7090">
            <w:pPr>
              <w:rPr>
                <w:rFonts w:ascii="Rockwell" w:hAnsi="Rockwell"/>
                <w:sz w:val="18"/>
              </w:rPr>
            </w:pPr>
            <w:r w:rsidRPr="00422183">
              <w:rPr>
                <w:rFonts w:ascii="Rockwell" w:hAnsi="Rockwell"/>
                <w:sz w:val="18"/>
              </w:rPr>
              <w:t>110</w:t>
            </w:r>
          </w:p>
        </w:tc>
        <w:tc>
          <w:tcPr>
            <w:tcW w:w="870" w:type="dxa"/>
            <w:noWrap/>
            <w:hideMark/>
          </w:tcPr>
          <w:p w:rsidR="00057699" w:rsidRPr="00422183" w:rsidRDefault="00057699" w:rsidP="002B7090">
            <w:pPr>
              <w:rPr>
                <w:rFonts w:ascii="Rockwell" w:hAnsi="Rockwell"/>
                <w:sz w:val="18"/>
              </w:rPr>
            </w:pPr>
            <w:r w:rsidRPr="00422183">
              <w:rPr>
                <w:rFonts w:ascii="Rockwell" w:hAnsi="Rockwell"/>
                <w:sz w:val="18"/>
              </w:rPr>
              <w:t>150</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600"/>
        </w:trPr>
        <w:tc>
          <w:tcPr>
            <w:tcW w:w="2395" w:type="dxa"/>
            <w:vMerge/>
            <w:noWrap/>
          </w:tcPr>
          <w:p w:rsidR="00057699" w:rsidRPr="00422183" w:rsidRDefault="00057699" w:rsidP="002B7090">
            <w:pPr>
              <w:rPr>
                <w:rFonts w:ascii="Rockwell" w:hAnsi="Rockwell"/>
                <w:sz w:val="18"/>
              </w:rPr>
            </w:pPr>
          </w:p>
        </w:tc>
        <w:tc>
          <w:tcPr>
            <w:tcW w:w="2613" w:type="dxa"/>
            <w:gridSpan w:val="2"/>
          </w:tcPr>
          <w:p w:rsidR="00057699" w:rsidRPr="00422183" w:rsidRDefault="00057699" w:rsidP="002B7090">
            <w:pPr>
              <w:rPr>
                <w:rFonts w:ascii="Rockwell" w:hAnsi="Rockwell"/>
                <w:sz w:val="18"/>
              </w:rPr>
            </w:pPr>
            <w:r w:rsidRPr="00422183">
              <w:rPr>
                <w:rFonts w:ascii="Rockwell" w:hAnsi="Rockwell"/>
                <w:sz w:val="18"/>
              </w:rPr>
              <w:t>Proportion des agences de l’eau disposant d’un schéma directeur d’aménagement et de gestion de l’eau (SDAGE)</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MAAH</w:t>
            </w:r>
          </w:p>
        </w:tc>
        <w:tc>
          <w:tcPr>
            <w:tcW w:w="1187" w:type="dxa"/>
            <w:gridSpan w:val="2"/>
            <w:noWrap/>
          </w:tcPr>
          <w:p w:rsidR="00057699" w:rsidRPr="00422183" w:rsidRDefault="00057699" w:rsidP="002B7090">
            <w:pPr>
              <w:rPr>
                <w:rFonts w:ascii="Rockwell" w:hAnsi="Rockwell"/>
                <w:sz w:val="18"/>
              </w:rPr>
            </w:pPr>
            <w:r w:rsidRPr="00422183">
              <w:rPr>
                <w:rFonts w:ascii="Rockwell" w:hAnsi="Rockwell"/>
                <w:sz w:val="18"/>
              </w:rPr>
              <w:t>40%</w:t>
            </w:r>
          </w:p>
        </w:tc>
        <w:tc>
          <w:tcPr>
            <w:tcW w:w="974" w:type="dxa"/>
            <w:noWrap/>
          </w:tcPr>
          <w:p w:rsidR="00057699" w:rsidRPr="00422183" w:rsidRDefault="00057699" w:rsidP="002B7090">
            <w:pPr>
              <w:rPr>
                <w:rFonts w:ascii="Rockwell" w:hAnsi="Rockwell"/>
                <w:sz w:val="18"/>
              </w:rPr>
            </w:pPr>
            <w:r w:rsidRPr="00422183">
              <w:rPr>
                <w:rFonts w:ascii="Rockwell" w:hAnsi="Rockwell"/>
                <w:sz w:val="18"/>
              </w:rPr>
              <w:t>60%</w:t>
            </w:r>
          </w:p>
        </w:tc>
        <w:tc>
          <w:tcPr>
            <w:tcW w:w="870" w:type="dxa"/>
            <w:noWrap/>
          </w:tcPr>
          <w:p w:rsidR="00057699" w:rsidRPr="00422183" w:rsidRDefault="00057699" w:rsidP="002B7090">
            <w:pPr>
              <w:rPr>
                <w:rFonts w:ascii="Rockwell" w:hAnsi="Rockwell"/>
                <w:sz w:val="18"/>
              </w:rPr>
            </w:pPr>
            <w:r w:rsidRPr="00422183">
              <w:rPr>
                <w:rFonts w:ascii="Rockwell" w:hAnsi="Rockwell"/>
                <w:sz w:val="18"/>
              </w:rPr>
              <w:t>100%</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057699" w:rsidRPr="00422183" w:rsidTr="00E8632D">
        <w:trPr>
          <w:trHeight w:val="600"/>
        </w:trPr>
        <w:tc>
          <w:tcPr>
            <w:tcW w:w="2395" w:type="dxa"/>
            <w:vMerge/>
            <w:noWrap/>
          </w:tcPr>
          <w:p w:rsidR="00057699" w:rsidRPr="00422183" w:rsidRDefault="00057699" w:rsidP="002B7090">
            <w:pPr>
              <w:rPr>
                <w:rFonts w:ascii="Rockwell" w:hAnsi="Rockwell"/>
                <w:sz w:val="18"/>
              </w:rPr>
            </w:pPr>
          </w:p>
        </w:tc>
        <w:tc>
          <w:tcPr>
            <w:tcW w:w="2613" w:type="dxa"/>
            <w:gridSpan w:val="2"/>
          </w:tcPr>
          <w:p w:rsidR="00057699" w:rsidRPr="00422183" w:rsidRDefault="00057699" w:rsidP="00057699">
            <w:pPr>
              <w:rPr>
                <w:rFonts w:ascii="Rockwell" w:hAnsi="Rockwell"/>
                <w:sz w:val="18"/>
              </w:rPr>
            </w:pPr>
            <w:r w:rsidRPr="00422183">
              <w:rPr>
                <w:rFonts w:ascii="Rockwell" w:hAnsi="Rockwell"/>
                <w:sz w:val="18"/>
              </w:rPr>
              <w:t>Pourcentage des retenus d’eau de surface avec protection des berges</w:t>
            </w:r>
          </w:p>
        </w:tc>
        <w:tc>
          <w:tcPr>
            <w:tcW w:w="1387" w:type="dxa"/>
            <w:gridSpan w:val="3"/>
          </w:tcPr>
          <w:p w:rsidR="00057699" w:rsidRPr="00422183" w:rsidRDefault="00057699" w:rsidP="002B7090">
            <w:pPr>
              <w:rPr>
                <w:rFonts w:ascii="Rockwell" w:hAnsi="Rockwell"/>
                <w:sz w:val="18"/>
              </w:rPr>
            </w:pPr>
            <w:r w:rsidRPr="00422183">
              <w:rPr>
                <w:rFonts w:ascii="Rockwell" w:hAnsi="Rockwell"/>
                <w:sz w:val="18"/>
              </w:rPr>
              <w:t>Rapport du secteur concerné</w:t>
            </w:r>
          </w:p>
        </w:tc>
        <w:tc>
          <w:tcPr>
            <w:tcW w:w="1360" w:type="dxa"/>
          </w:tcPr>
          <w:p w:rsidR="00057699" w:rsidRPr="00422183" w:rsidRDefault="00057699" w:rsidP="002B7090">
            <w:pPr>
              <w:rPr>
                <w:rFonts w:ascii="Rockwell" w:hAnsi="Rockwell"/>
                <w:sz w:val="18"/>
              </w:rPr>
            </w:pPr>
            <w:r w:rsidRPr="00422183">
              <w:rPr>
                <w:rFonts w:ascii="Rockwell" w:hAnsi="Rockwell"/>
                <w:sz w:val="18"/>
              </w:rPr>
              <w:t>MAAH</w:t>
            </w:r>
          </w:p>
        </w:tc>
        <w:tc>
          <w:tcPr>
            <w:tcW w:w="1187" w:type="dxa"/>
            <w:gridSpan w:val="2"/>
            <w:noWrap/>
          </w:tcPr>
          <w:p w:rsidR="00057699" w:rsidRPr="00422183" w:rsidRDefault="00057699" w:rsidP="002B7090">
            <w:pPr>
              <w:rPr>
                <w:rFonts w:ascii="Rockwell" w:hAnsi="Rockwell"/>
                <w:sz w:val="18"/>
              </w:rPr>
            </w:pPr>
            <w:r w:rsidRPr="00422183">
              <w:rPr>
                <w:rFonts w:ascii="Rockwell" w:hAnsi="Rockwell"/>
                <w:sz w:val="18"/>
              </w:rPr>
              <w:t>13%</w:t>
            </w:r>
          </w:p>
        </w:tc>
        <w:tc>
          <w:tcPr>
            <w:tcW w:w="974" w:type="dxa"/>
            <w:noWrap/>
          </w:tcPr>
          <w:p w:rsidR="00057699" w:rsidRPr="00422183" w:rsidRDefault="00057699" w:rsidP="002B7090">
            <w:pPr>
              <w:rPr>
                <w:rFonts w:ascii="Rockwell" w:hAnsi="Rockwell"/>
                <w:sz w:val="18"/>
              </w:rPr>
            </w:pPr>
            <w:r w:rsidRPr="00422183">
              <w:rPr>
                <w:rFonts w:ascii="Rockwell" w:hAnsi="Rockwell"/>
                <w:sz w:val="18"/>
              </w:rPr>
              <w:t>19%</w:t>
            </w:r>
          </w:p>
        </w:tc>
        <w:tc>
          <w:tcPr>
            <w:tcW w:w="870" w:type="dxa"/>
            <w:noWrap/>
          </w:tcPr>
          <w:p w:rsidR="00057699" w:rsidRPr="00422183" w:rsidRDefault="00057699" w:rsidP="002B7090">
            <w:pPr>
              <w:rPr>
                <w:rFonts w:ascii="Rockwell" w:hAnsi="Rockwell"/>
                <w:sz w:val="18"/>
              </w:rPr>
            </w:pPr>
            <w:r w:rsidRPr="00422183">
              <w:rPr>
                <w:rFonts w:ascii="Rockwell" w:hAnsi="Rockwell"/>
                <w:sz w:val="18"/>
              </w:rPr>
              <w:t>25%</w:t>
            </w:r>
          </w:p>
        </w:tc>
        <w:tc>
          <w:tcPr>
            <w:tcW w:w="614" w:type="dxa"/>
          </w:tcPr>
          <w:p w:rsidR="00057699" w:rsidRPr="00422183" w:rsidRDefault="00057699" w:rsidP="002B7090">
            <w:pPr>
              <w:rPr>
                <w:rFonts w:ascii="Rockwell" w:hAnsi="Rockwell"/>
                <w:sz w:val="18"/>
              </w:rPr>
            </w:pPr>
          </w:p>
        </w:tc>
        <w:tc>
          <w:tcPr>
            <w:tcW w:w="614" w:type="dxa"/>
          </w:tcPr>
          <w:p w:rsidR="00057699" w:rsidRPr="00422183" w:rsidRDefault="00057699" w:rsidP="002B7090">
            <w:pPr>
              <w:rPr>
                <w:rFonts w:ascii="Rockwell" w:hAnsi="Rockwell"/>
                <w:sz w:val="18"/>
              </w:rPr>
            </w:pPr>
          </w:p>
        </w:tc>
        <w:tc>
          <w:tcPr>
            <w:tcW w:w="1049" w:type="dxa"/>
          </w:tcPr>
          <w:p w:rsidR="00057699" w:rsidRPr="00422183" w:rsidRDefault="00057699" w:rsidP="002B7090">
            <w:pPr>
              <w:rPr>
                <w:rFonts w:ascii="Rockwell" w:hAnsi="Rockwell"/>
                <w:sz w:val="18"/>
              </w:rPr>
            </w:pPr>
          </w:p>
        </w:tc>
        <w:tc>
          <w:tcPr>
            <w:tcW w:w="1225" w:type="dxa"/>
          </w:tcPr>
          <w:p w:rsidR="00057699" w:rsidRPr="00422183" w:rsidRDefault="00057699" w:rsidP="002B7090">
            <w:pPr>
              <w:rPr>
                <w:rFonts w:ascii="Rockwell" w:hAnsi="Rockwell"/>
                <w:sz w:val="18"/>
              </w:rPr>
            </w:pPr>
          </w:p>
        </w:tc>
        <w:tc>
          <w:tcPr>
            <w:tcW w:w="1211" w:type="dxa"/>
          </w:tcPr>
          <w:p w:rsidR="00057699" w:rsidRPr="00422183" w:rsidRDefault="00057699" w:rsidP="002B7090">
            <w:pPr>
              <w:rPr>
                <w:rFonts w:ascii="Rockwell" w:hAnsi="Rockwell"/>
                <w:sz w:val="18"/>
              </w:rPr>
            </w:pPr>
          </w:p>
        </w:tc>
      </w:tr>
      <w:tr w:rsidR="002B7090" w:rsidRPr="00422183" w:rsidTr="00E8632D">
        <w:trPr>
          <w:trHeight w:val="300"/>
        </w:trPr>
        <w:tc>
          <w:tcPr>
            <w:tcW w:w="2395" w:type="dxa"/>
            <w:vMerge w:val="restart"/>
            <w:noWrap/>
            <w:hideMark/>
          </w:tcPr>
          <w:p w:rsidR="002B7090" w:rsidRPr="00422183" w:rsidRDefault="002B7090" w:rsidP="002B7090">
            <w:pPr>
              <w:rPr>
                <w:rFonts w:ascii="Rockwell" w:hAnsi="Rockwell"/>
                <w:sz w:val="18"/>
              </w:rPr>
            </w:pPr>
            <w:r w:rsidRPr="00422183">
              <w:rPr>
                <w:rFonts w:ascii="Rockwell" w:hAnsi="Rockwell"/>
                <w:sz w:val="18"/>
              </w:rPr>
              <w:t>EA 2.5.2 : L'accès aux services énergétiques de qualité est garanti</w:t>
            </w: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Taux d'accès des ménages à l'électricité</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MEMC</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24,4 %</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30%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45%</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 xml:space="preserve">Part des énergies renouvelables dans la production totale </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MEMC</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6,4%</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30%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300"/>
        </w:trPr>
        <w:tc>
          <w:tcPr>
            <w:tcW w:w="2395" w:type="dxa"/>
            <w:noWrap/>
            <w:hideMark/>
          </w:tcPr>
          <w:p w:rsidR="002B7090" w:rsidRPr="00422183" w:rsidRDefault="009E077E" w:rsidP="002B7090">
            <w:pPr>
              <w:rPr>
                <w:rFonts w:ascii="Rockwell" w:hAnsi="Rockwell"/>
                <w:sz w:val="18"/>
              </w:rPr>
            </w:pPr>
            <w:r w:rsidRPr="00422183">
              <w:rPr>
                <w:rFonts w:ascii="Rockwell" w:hAnsi="Rockwell"/>
                <w:sz w:val="18"/>
              </w:rPr>
              <w:t>EA 2.5.3</w:t>
            </w:r>
            <w:r w:rsidR="002B7090" w:rsidRPr="00422183">
              <w:rPr>
                <w:rFonts w:ascii="Rockwell" w:hAnsi="Rockwell"/>
                <w:sz w:val="18"/>
              </w:rPr>
              <w:t> : la croissance urbaine est planifiée et maitrisée</w:t>
            </w: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 villes disposant de SDAU</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MUH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12</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37</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val="restart"/>
            <w:noWrap/>
            <w:hideMark/>
          </w:tcPr>
          <w:p w:rsidR="002B7090" w:rsidRPr="00422183" w:rsidRDefault="009E077E" w:rsidP="002B7090">
            <w:pPr>
              <w:rPr>
                <w:rFonts w:ascii="Rockwell" w:hAnsi="Rockwell"/>
                <w:sz w:val="18"/>
              </w:rPr>
            </w:pPr>
            <w:r w:rsidRPr="00422183">
              <w:rPr>
                <w:rFonts w:ascii="Rockwell" w:hAnsi="Rockwell"/>
                <w:sz w:val="18"/>
              </w:rPr>
              <w:t>EA 2.5.4</w:t>
            </w:r>
            <w:r w:rsidR="002B7090" w:rsidRPr="00422183">
              <w:rPr>
                <w:rFonts w:ascii="Rockwell" w:hAnsi="Rockwell"/>
                <w:sz w:val="18"/>
              </w:rPr>
              <w:t> : L'accès à des logements décents et aux bâtiments publics est assuré pour tous</w:t>
            </w: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 villes ayant des zones d’habitats spontanés restructurées</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MUH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0</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13</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Proportion des populations urbaines  vivant en zone</w:t>
            </w:r>
            <w:r w:rsidR="00057699" w:rsidRPr="00422183">
              <w:rPr>
                <w:rFonts w:ascii="Rockwell" w:hAnsi="Rockwell"/>
                <w:sz w:val="18"/>
              </w:rPr>
              <w:t>s</w:t>
            </w:r>
            <w:r w:rsidRPr="00422183">
              <w:rPr>
                <w:rFonts w:ascii="Rockwell" w:hAnsi="Rockwell"/>
                <w:sz w:val="18"/>
              </w:rPr>
              <w:t xml:space="preserve"> non lotie</w:t>
            </w:r>
            <w:r w:rsidR="00057699" w:rsidRPr="00422183">
              <w:rPr>
                <w:rFonts w:ascii="Rockwell" w:hAnsi="Rockwell"/>
                <w:sz w:val="18"/>
              </w:rPr>
              <w:t>s</w:t>
            </w:r>
            <w:r w:rsidRPr="00422183">
              <w:rPr>
                <w:rFonts w:ascii="Rockwell" w:hAnsi="Rockwell"/>
                <w:sz w:val="18"/>
              </w:rPr>
              <w:t xml:space="preserve"> </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MUH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17,2%</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10%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 ménages ayant accès à un logement décent</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MUH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4</w:t>
            </w:r>
            <w:r w:rsidR="00057699" w:rsidRPr="00422183">
              <w:rPr>
                <w:rFonts w:ascii="Rockwell" w:hAnsi="Rockwell"/>
                <w:sz w:val="18"/>
              </w:rPr>
              <w:t xml:space="preserve"> </w:t>
            </w:r>
            <w:r w:rsidRPr="00422183">
              <w:rPr>
                <w:rFonts w:ascii="Rockwell" w:hAnsi="Rockwell"/>
                <w:sz w:val="18"/>
              </w:rPr>
              <w:t>572</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35 000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Nombre de ménages assistés dans l’auto-construction</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MUH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 100</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 50</w:t>
            </w:r>
            <w:r w:rsidR="00057699" w:rsidRPr="00422183">
              <w:rPr>
                <w:rFonts w:ascii="Rockwell" w:hAnsi="Rockwell"/>
                <w:sz w:val="18"/>
              </w:rPr>
              <w:t xml:space="preserve"> </w:t>
            </w:r>
            <w:r w:rsidRPr="00422183">
              <w:rPr>
                <w:rFonts w:ascii="Rockwell" w:hAnsi="Rockwell"/>
                <w:sz w:val="18"/>
              </w:rPr>
              <w:t>000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val="restart"/>
            <w:noWrap/>
            <w:hideMark/>
          </w:tcPr>
          <w:p w:rsidR="002B7090" w:rsidRPr="00422183" w:rsidRDefault="002B7090" w:rsidP="002B7090">
            <w:pPr>
              <w:rPr>
                <w:rFonts w:ascii="Rockwell" w:hAnsi="Rockwell"/>
                <w:sz w:val="18"/>
              </w:rPr>
            </w:pPr>
            <w:r w:rsidRPr="00422183">
              <w:rPr>
                <w:rFonts w:ascii="Rockwell" w:hAnsi="Rockwell"/>
                <w:sz w:val="18"/>
              </w:rPr>
              <w:t xml:space="preserve">EA 3.1.1 : Le secteur primaire contribue à la sécurité alimentaire, l'emploi productif et l'approvisionnement de l'agro-industrie locale et est respectueux des principes de développement durable </w:t>
            </w:r>
          </w:p>
        </w:tc>
        <w:tc>
          <w:tcPr>
            <w:tcW w:w="2613" w:type="dxa"/>
            <w:gridSpan w:val="2"/>
            <w:hideMark/>
          </w:tcPr>
          <w:p w:rsidR="002B7090" w:rsidRPr="00422183" w:rsidRDefault="00057699" w:rsidP="002B7090">
            <w:pPr>
              <w:rPr>
                <w:rFonts w:ascii="Rockwell" w:hAnsi="Rockwell"/>
                <w:sz w:val="18"/>
              </w:rPr>
            </w:pPr>
            <w:r w:rsidRPr="00422183">
              <w:rPr>
                <w:rFonts w:ascii="Rockwell" w:hAnsi="Rockwell"/>
                <w:sz w:val="18"/>
              </w:rPr>
              <w:t>P</w:t>
            </w:r>
            <w:r w:rsidR="002B7090" w:rsidRPr="00422183">
              <w:rPr>
                <w:rFonts w:ascii="Rockwell" w:hAnsi="Rockwell"/>
                <w:sz w:val="18"/>
              </w:rPr>
              <w:t>art des productions irriguées dans la production agricole totale</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EPA et 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MAAH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15%</w:t>
            </w:r>
          </w:p>
        </w:tc>
        <w:tc>
          <w:tcPr>
            <w:tcW w:w="974" w:type="dxa"/>
            <w:noWrap/>
            <w:hideMark/>
          </w:tcPr>
          <w:p w:rsidR="002B7090" w:rsidRPr="00422183" w:rsidRDefault="002B7090" w:rsidP="002B7090">
            <w:pPr>
              <w:rPr>
                <w:rFonts w:ascii="Rockwell" w:hAnsi="Rockwell"/>
                <w:sz w:val="18"/>
              </w:rPr>
            </w:pP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25%</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3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Taux de couverture des besoins céréaliers</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EPA et 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MAAH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96%</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120%</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140%</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2B7090" w:rsidRPr="00422183" w:rsidTr="00E8632D">
        <w:trPr>
          <w:trHeight w:val="600"/>
        </w:trPr>
        <w:tc>
          <w:tcPr>
            <w:tcW w:w="2395" w:type="dxa"/>
            <w:vMerge/>
            <w:noWrap/>
            <w:hideMark/>
          </w:tcPr>
          <w:p w:rsidR="002B7090" w:rsidRPr="00422183" w:rsidRDefault="002B7090" w:rsidP="002B7090">
            <w:pPr>
              <w:rPr>
                <w:rFonts w:ascii="Rockwell" w:hAnsi="Rockwell"/>
                <w:sz w:val="18"/>
              </w:rPr>
            </w:pPr>
          </w:p>
        </w:tc>
        <w:tc>
          <w:tcPr>
            <w:tcW w:w="2613" w:type="dxa"/>
            <w:gridSpan w:val="2"/>
            <w:hideMark/>
          </w:tcPr>
          <w:p w:rsidR="002B7090" w:rsidRPr="00422183" w:rsidRDefault="002B7090" w:rsidP="002B7090">
            <w:pPr>
              <w:rPr>
                <w:rFonts w:ascii="Rockwell" w:hAnsi="Rockwell"/>
                <w:sz w:val="18"/>
              </w:rPr>
            </w:pPr>
            <w:r w:rsidRPr="00422183">
              <w:rPr>
                <w:rFonts w:ascii="Rockwell" w:hAnsi="Rockwell"/>
                <w:sz w:val="18"/>
              </w:rPr>
              <w:t>Productivité de l'emploi du secteur primaire (en milliers FCFA)</w:t>
            </w:r>
          </w:p>
        </w:tc>
        <w:tc>
          <w:tcPr>
            <w:tcW w:w="1387" w:type="dxa"/>
            <w:gridSpan w:val="3"/>
          </w:tcPr>
          <w:p w:rsidR="002B7090" w:rsidRPr="00422183" w:rsidRDefault="002B7090" w:rsidP="002B7090">
            <w:pPr>
              <w:rPr>
                <w:rFonts w:ascii="Rockwell" w:hAnsi="Rockwell"/>
                <w:sz w:val="18"/>
              </w:rPr>
            </w:pPr>
            <w:r w:rsidRPr="00422183">
              <w:rPr>
                <w:rFonts w:ascii="Rockwell" w:hAnsi="Rockwell"/>
                <w:sz w:val="18"/>
              </w:rPr>
              <w:t>EPA et Rapport du secteur concerné</w:t>
            </w:r>
          </w:p>
        </w:tc>
        <w:tc>
          <w:tcPr>
            <w:tcW w:w="1360" w:type="dxa"/>
          </w:tcPr>
          <w:p w:rsidR="002B7090" w:rsidRPr="00422183" w:rsidRDefault="002B7090" w:rsidP="002B7090">
            <w:pPr>
              <w:rPr>
                <w:rFonts w:ascii="Rockwell" w:hAnsi="Rockwell"/>
                <w:sz w:val="18"/>
              </w:rPr>
            </w:pPr>
            <w:r w:rsidRPr="00422183">
              <w:rPr>
                <w:rFonts w:ascii="Rockwell" w:hAnsi="Rockwell"/>
                <w:sz w:val="18"/>
              </w:rPr>
              <w:t>MAAH</w:t>
            </w:r>
          </w:p>
        </w:tc>
        <w:tc>
          <w:tcPr>
            <w:tcW w:w="1187" w:type="dxa"/>
            <w:gridSpan w:val="2"/>
            <w:noWrap/>
            <w:hideMark/>
          </w:tcPr>
          <w:p w:rsidR="002B7090" w:rsidRPr="00422183" w:rsidRDefault="002B7090" w:rsidP="002B7090">
            <w:pPr>
              <w:rPr>
                <w:rFonts w:ascii="Rockwell" w:hAnsi="Rockwell"/>
                <w:sz w:val="18"/>
              </w:rPr>
            </w:pPr>
            <w:r w:rsidRPr="00422183">
              <w:rPr>
                <w:rFonts w:ascii="Rockwell" w:hAnsi="Rockwell"/>
                <w:sz w:val="18"/>
              </w:rPr>
              <w:t>357</w:t>
            </w:r>
          </w:p>
        </w:tc>
        <w:tc>
          <w:tcPr>
            <w:tcW w:w="974" w:type="dxa"/>
            <w:noWrap/>
            <w:hideMark/>
          </w:tcPr>
          <w:p w:rsidR="002B7090" w:rsidRPr="00422183" w:rsidRDefault="002B7090" w:rsidP="002B7090">
            <w:pPr>
              <w:rPr>
                <w:rFonts w:ascii="Rockwell" w:hAnsi="Rockwell"/>
                <w:sz w:val="18"/>
              </w:rPr>
            </w:pPr>
            <w:r w:rsidRPr="00422183">
              <w:rPr>
                <w:rFonts w:ascii="Rockwell" w:hAnsi="Rockwell"/>
                <w:sz w:val="18"/>
              </w:rPr>
              <w:t>415</w:t>
            </w:r>
          </w:p>
        </w:tc>
        <w:tc>
          <w:tcPr>
            <w:tcW w:w="870" w:type="dxa"/>
            <w:noWrap/>
            <w:hideMark/>
          </w:tcPr>
          <w:p w:rsidR="002B7090" w:rsidRPr="00422183" w:rsidRDefault="002B7090" w:rsidP="002B7090">
            <w:pPr>
              <w:rPr>
                <w:rFonts w:ascii="Rockwell" w:hAnsi="Rockwell"/>
                <w:sz w:val="18"/>
              </w:rPr>
            </w:pPr>
            <w:r w:rsidRPr="00422183">
              <w:rPr>
                <w:rFonts w:ascii="Rockwell" w:hAnsi="Rockwell"/>
                <w:sz w:val="18"/>
              </w:rPr>
              <w:t>535</w:t>
            </w:r>
          </w:p>
        </w:tc>
        <w:tc>
          <w:tcPr>
            <w:tcW w:w="614" w:type="dxa"/>
          </w:tcPr>
          <w:p w:rsidR="002B7090" w:rsidRPr="00422183" w:rsidRDefault="002B7090" w:rsidP="002B7090">
            <w:pPr>
              <w:rPr>
                <w:rFonts w:ascii="Rockwell" w:hAnsi="Rockwell"/>
                <w:sz w:val="18"/>
              </w:rPr>
            </w:pPr>
          </w:p>
        </w:tc>
        <w:tc>
          <w:tcPr>
            <w:tcW w:w="614" w:type="dxa"/>
          </w:tcPr>
          <w:p w:rsidR="002B7090" w:rsidRPr="00422183" w:rsidRDefault="002B7090" w:rsidP="002B7090">
            <w:pPr>
              <w:rPr>
                <w:rFonts w:ascii="Rockwell" w:hAnsi="Rockwell"/>
                <w:sz w:val="18"/>
              </w:rPr>
            </w:pPr>
          </w:p>
        </w:tc>
        <w:tc>
          <w:tcPr>
            <w:tcW w:w="1049" w:type="dxa"/>
          </w:tcPr>
          <w:p w:rsidR="002B7090" w:rsidRPr="00422183" w:rsidRDefault="002B7090" w:rsidP="002B7090">
            <w:pPr>
              <w:rPr>
                <w:rFonts w:ascii="Rockwell" w:hAnsi="Rockwell"/>
                <w:sz w:val="18"/>
              </w:rPr>
            </w:pPr>
          </w:p>
        </w:tc>
        <w:tc>
          <w:tcPr>
            <w:tcW w:w="1225" w:type="dxa"/>
          </w:tcPr>
          <w:p w:rsidR="002B7090" w:rsidRPr="00422183" w:rsidRDefault="002B7090" w:rsidP="002B7090">
            <w:pPr>
              <w:rPr>
                <w:rFonts w:ascii="Rockwell" w:hAnsi="Rockwell"/>
                <w:sz w:val="18"/>
              </w:rPr>
            </w:pPr>
          </w:p>
        </w:tc>
        <w:tc>
          <w:tcPr>
            <w:tcW w:w="1211" w:type="dxa"/>
          </w:tcPr>
          <w:p w:rsidR="002B7090" w:rsidRPr="00422183" w:rsidRDefault="002B7090" w:rsidP="002B7090">
            <w:pPr>
              <w:rPr>
                <w:rFonts w:ascii="Rockwell" w:hAnsi="Rockwell"/>
                <w:sz w:val="18"/>
              </w:rPr>
            </w:pPr>
          </w:p>
        </w:tc>
      </w:tr>
      <w:tr w:rsidR="00B818B6" w:rsidRPr="00422183" w:rsidTr="00E8632D">
        <w:trPr>
          <w:trHeight w:val="600"/>
        </w:trPr>
        <w:tc>
          <w:tcPr>
            <w:tcW w:w="2395" w:type="dxa"/>
            <w:vMerge/>
            <w:noWrap/>
          </w:tcPr>
          <w:p w:rsidR="00B818B6" w:rsidRPr="00422183" w:rsidRDefault="00B818B6" w:rsidP="00B818B6">
            <w:pPr>
              <w:rPr>
                <w:rFonts w:ascii="Rockwell" w:hAnsi="Rockwell"/>
                <w:sz w:val="18"/>
              </w:rPr>
            </w:pPr>
          </w:p>
        </w:tc>
        <w:tc>
          <w:tcPr>
            <w:tcW w:w="2613" w:type="dxa"/>
            <w:gridSpan w:val="2"/>
          </w:tcPr>
          <w:p w:rsidR="00B818B6" w:rsidRPr="00422183" w:rsidRDefault="00B818B6" w:rsidP="00B818B6">
            <w:pPr>
              <w:rPr>
                <w:rFonts w:ascii="Rockwell" w:hAnsi="Rockwell"/>
                <w:sz w:val="18"/>
              </w:rPr>
            </w:pPr>
            <w:r w:rsidRPr="00422183">
              <w:rPr>
                <w:rFonts w:ascii="Rockwell" w:hAnsi="Rockwell"/>
                <w:sz w:val="18"/>
              </w:rPr>
              <w:t>Nombre d’emplois créés dans le secteur primaire</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EPA et 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MAAH</w:t>
            </w:r>
          </w:p>
        </w:tc>
        <w:tc>
          <w:tcPr>
            <w:tcW w:w="1187" w:type="dxa"/>
            <w:gridSpan w:val="2"/>
            <w:noWrap/>
          </w:tcPr>
          <w:p w:rsidR="00B818B6" w:rsidRPr="00422183" w:rsidRDefault="00B818B6" w:rsidP="00B818B6">
            <w:pPr>
              <w:rPr>
                <w:rFonts w:ascii="Rockwell" w:hAnsi="Rockwell"/>
                <w:sz w:val="18"/>
              </w:rPr>
            </w:pPr>
            <w:r w:rsidRPr="00422183">
              <w:rPr>
                <w:rFonts w:ascii="Rockwell" w:hAnsi="Rockwell"/>
                <w:sz w:val="18"/>
              </w:rPr>
              <w:t>39 000</w:t>
            </w:r>
          </w:p>
        </w:tc>
        <w:tc>
          <w:tcPr>
            <w:tcW w:w="974" w:type="dxa"/>
            <w:noWrap/>
          </w:tcPr>
          <w:p w:rsidR="00B818B6" w:rsidRPr="00422183" w:rsidRDefault="00B818B6" w:rsidP="00B818B6">
            <w:pPr>
              <w:rPr>
                <w:rFonts w:ascii="Rockwell" w:hAnsi="Rockwell"/>
                <w:sz w:val="18"/>
              </w:rPr>
            </w:pPr>
            <w:r w:rsidRPr="00422183">
              <w:rPr>
                <w:rFonts w:ascii="Rockwell" w:hAnsi="Rockwell"/>
                <w:sz w:val="18"/>
              </w:rPr>
              <w:t>65 000</w:t>
            </w:r>
          </w:p>
        </w:tc>
        <w:tc>
          <w:tcPr>
            <w:tcW w:w="870" w:type="dxa"/>
            <w:noWrap/>
          </w:tcPr>
          <w:p w:rsidR="00B818B6" w:rsidRPr="00422183" w:rsidRDefault="00B818B6" w:rsidP="00B818B6">
            <w:pPr>
              <w:rPr>
                <w:rFonts w:ascii="Rockwell" w:hAnsi="Rockwell"/>
                <w:sz w:val="18"/>
              </w:rPr>
            </w:pPr>
            <w:r w:rsidRPr="00422183">
              <w:rPr>
                <w:rFonts w:ascii="Rockwell" w:hAnsi="Rockwell"/>
                <w:sz w:val="18"/>
              </w:rPr>
              <w:t>110 000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tcPr>
          <w:p w:rsidR="00B818B6" w:rsidRPr="00422183" w:rsidRDefault="00B818B6" w:rsidP="00B818B6">
            <w:pPr>
              <w:rPr>
                <w:rFonts w:ascii="Rockwell" w:hAnsi="Rockwell"/>
                <w:sz w:val="18"/>
              </w:rPr>
            </w:pPr>
          </w:p>
        </w:tc>
        <w:tc>
          <w:tcPr>
            <w:tcW w:w="2613" w:type="dxa"/>
            <w:gridSpan w:val="2"/>
          </w:tcPr>
          <w:p w:rsidR="00B818B6" w:rsidRPr="00422183" w:rsidRDefault="00B818B6" w:rsidP="00B818B6">
            <w:pPr>
              <w:rPr>
                <w:rFonts w:ascii="Rockwell" w:hAnsi="Rockwell"/>
                <w:sz w:val="18"/>
              </w:rPr>
            </w:pPr>
            <w:r w:rsidRPr="00422183">
              <w:rPr>
                <w:rFonts w:ascii="Rockwell" w:hAnsi="Rockwell"/>
                <w:sz w:val="18"/>
              </w:rPr>
              <w:t>Taux d’accroissement de l’approvisionnement de l’agro industrie</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EPA et 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MAAH</w:t>
            </w:r>
          </w:p>
        </w:tc>
        <w:tc>
          <w:tcPr>
            <w:tcW w:w="1187" w:type="dxa"/>
            <w:gridSpan w:val="2"/>
            <w:noWrap/>
          </w:tcPr>
          <w:p w:rsidR="00B818B6" w:rsidRPr="00422183" w:rsidRDefault="00B818B6" w:rsidP="00B818B6">
            <w:pPr>
              <w:rPr>
                <w:rFonts w:ascii="Rockwell" w:hAnsi="Rockwell"/>
                <w:sz w:val="18"/>
              </w:rPr>
            </w:pPr>
            <w:r w:rsidRPr="00422183">
              <w:rPr>
                <w:rFonts w:ascii="Rockwell" w:hAnsi="Rockwell"/>
                <w:sz w:val="18"/>
              </w:rPr>
              <w:t>ND</w:t>
            </w:r>
          </w:p>
        </w:tc>
        <w:tc>
          <w:tcPr>
            <w:tcW w:w="974" w:type="dxa"/>
            <w:noWrap/>
          </w:tcPr>
          <w:p w:rsidR="00B818B6" w:rsidRPr="00422183" w:rsidRDefault="00B818B6" w:rsidP="00B818B6">
            <w:pPr>
              <w:rPr>
                <w:rFonts w:ascii="Rockwell" w:hAnsi="Rockwell"/>
                <w:sz w:val="18"/>
              </w:rPr>
            </w:pPr>
          </w:p>
        </w:tc>
        <w:tc>
          <w:tcPr>
            <w:tcW w:w="870" w:type="dxa"/>
            <w:noWrap/>
          </w:tcPr>
          <w:p w:rsidR="00B818B6" w:rsidRPr="00422183" w:rsidRDefault="00B818B6" w:rsidP="00B818B6">
            <w:pPr>
              <w:rPr>
                <w:rFonts w:ascii="Rockwell" w:hAnsi="Rockwell"/>
                <w:sz w:val="18"/>
              </w:rPr>
            </w:pPr>
            <w:r w:rsidRPr="00422183">
              <w:rPr>
                <w:rFonts w:ascii="Rockwell" w:hAnsi="Rockwell"/>
                <w:sz w:val="18"/>
              </w:rPr>
              <w:t>50%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057699">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de commercialisation des produits agricoles (y compris culture de rente)</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EPA et 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MAAH</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25% (moy. 2005-2010)</w:t>
            </w:r>
          </w:p>
        </w:tc>
        <w:tc>
          <w:tcPr>
            <w:tcW w:w="974" w:type="dxa"/>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37,5%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Proportion des actes fonciers délivrés sur les demandes d’actes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EPA et 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MAAH</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4,9%</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30%</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45%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val="restart"/>
            <w:noWrap/>
            <w:hideMark/>
          </w:tcPr>
          <w:p w:rsidR="00B818B6" w:rsidRPr="00422183" w:rsidRDefault="00B818B6" w:rsidP="00B818B6">
            <w:pPr>
              <w:rPr>
                <w:rFonts w:ascii="Rockwell" w:hAnsi="Rockwell"/>
                <w:sz w:val="18"/>
              </w:rPr>
            </w:pPr>
            <w:r w:rsidRPr="00422183">
              <w:rPr>
                <w:rFonts w:ascii="Rockwell" w:hAnsi="Rockwell"/>
                <w:sz w:val="18"/>
              </w:rPr>
              <w:t>EA 3.2.1 : le secteur industriel et artisanal est davantage dynamique en matière de création de richesse, d’emplois et d’exportation.</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Contribution du secteur secondaire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20,1%</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21,5%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24%</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Part de l'industrie manufacturière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6,6%</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8%</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12%</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de transformation des produits agricoles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MCIA</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12%</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17%</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Nombre moyen d'emplois formels créés dans le secteur secondaire par an</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du secteur concerné et enquête </w:t>
            </w:r>
          </w:p>
        </w:tc>
        <w:tc>
          <w:tcPr>
            <w:tcW w:w="1360" w:type="dxa"/>
          </w:tcPr>
          <w:p w:rsidR="00B818B6" w:rsidRPr="00422183" w:rsidRDefault="00B818B6" w:rsidP="00B818B6">
            <w:pPr>
              <w:rPr>
                <w:rFonts w:ascii="Rockwell" w:hAnsi="Rockwell"/>
                <w:sz w:val="18"/>
              </w:rPr>
            </w:pPr>
            <w:r w:rsidRPr="00422183">
              <w:rPr>
                <w:rFonts w:ascii="Rockwell" w:hAnsi="Rockwell"/>
                <w:sz w:val="18"/>
              </w:rPr>
              <w:t>INSD et MCIA</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2 200</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2 800</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3 600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d’accroissement de la productivité moyenne de l’artisanat</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MCIA</w:t>
            </w:r>
          </w:p>
        </w:tc>
        <w:tc>
          <w:tcPr>
            <w:tcW w:w="1187" w:type="dxa"/>
            <w:gridSpan w:val="2"/>
            <w:noWrap/>
            <w:hideMark/>
          </w:tcPr>
          <w:p w:rsidR="00B818B6" w:rsidRPr="00422183" w:rsidRDefault="008B4AEA" w:rsidP="00B818B6">
            <w:pPr>
              <w:rPr>
                <w:rFonts w:ascii="Rockwell" w:hAnsi="Rockwell"/>
                <w:sz w:val="18"/>
              </w:rPr>
            </w:pPr>
            <w:r w:rsidRPr="00422183">
              <w:rPr>
                <w:rFonts w:ascii="Rockwell" w:hAnsi="Rockwell"/>
                <w:sz w:val="18"/>
              </w:rPr>
              <w:t>ND</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val="restart"/>
            <w:noWrap/>
            <w:hideMark/>
          </w:tcPr>
          <w:p w:rsidR="00B818B6" w:rsidRPr="00422183" w:rsidRDefault="008B4AEA" w:rsidP="00B818B6">
            <w:pPr>
              <w:rPr>
                <w:rFonts w:ascii="Rockwell" w:hAnsi="Rockwell"/>
                <w:sz w:val="18"/>
              </w:rPr>
            </w:pPr>
            <w:r w:rsidRPr="00422183">
              <w:rPr>
                <w:rFonts w:ascii="Rockwell" w:hAnsi="Rockwell"/>
                <w:sz w:val="18"/>
              </w:rPr>
              <w:t>EA 3.2.2 </w:t>
            </w:r>
            <w:r w:rsidR="00B818B6" w:rsidRPr="00422183">
              <w:rPr>
                <w:rFonts w:ascii="Rockwell" w:hAnsi="Rockwell"/>
                <w:sz w:val="18"/>
              </w:rPr>
              <w:t>La contribution des industries culturelle, touristique et sportive à l’économie est améliorée</w:t>
            </w:r>
          </w:p>
        </w:tc>
        <w:tc>
          <w:tcPr>
            <w:tcW w:w="2613" w:type="dxa"/>
            <w:gridSpan w:val="2"/>
            <w:hideMark/>
          </w:tcPr>
          <w:p w:rsidR="00B818B6" w:rsidRPr="00422183" w:rsidRDefault="008B4AEA" w:rsidP="00B818B6">
            <w:pPr>
              <w:rPr>
                <w:rFonts w:ascii="Rockwell" w:hAnsi="Rockwell"/>
                <w:sz w:val="18"/>
              </w:rPr>
            </w:pPr>
            <w:r w:rsidRPr="00422183">
              <w:rPr>
                <w:rFonts w:ascii="Rockwell" w:hAnsi="Rockwell"/>
                <w:sz w:val="18"/>
              </w:rPr>
              <w:t>P</w:t>
            </w:r>
            <w:r w:rsidR="00B818B6" w:rsidRPr="00422183">
              <w:rPr>
                <w:rFonts w:ascii="Rockwell" w:hAnsi="Rockwell"/>
                <w:sz w:val="18"/>
              </w:rPr>
              <w:t>art de l'industrie touristique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8B4AEA" w:rsidP="00B818B6">
            <w:pPr>
              <w:rPr>
                <w:rFonts w:ascii="Rockwell" w:hAnsi="Rockwell"/>
                <w:sz w:val="18"/>
              </w:rPr>
            </w:pPr>
            <w:r w:rsidRPr="00422183">
              <w:rPr>
                <w:rFonts w:ascii="Rockwell" w:hAnsi="Rockwell"/>
                <w:sz w:val="18"/>
              </w:rPr>
              <w:t>3,7%</w:t>
            </w:r>
          </w:p>
        </w:tc>
        <w:tc>
          <w:tcPr>
            <w:tcW w:w="974" w:type="dxa"/>
            <w:noWrap/>
            <w:hideMark/>
          </w:tcPr>
          <w:p w:rsidR="00B818B6" w:rsidRPr="00422183" w:rsidRDefault="008B4AEA" w:rsidP="00B818B6">
            <w:pPr>
              <w:rPr>
                <w:rFonts w:ascii="Rockwell" w:hAnsi="Rockwell"/>
                <w:sz w:val="18"/>
              </w:rPr>
            </w:pPr>
            <w:r w:rsidRPr="00422183">
              <w:rPr>
                <w:rFonts w:ascii="Rockwell" w:hAnsi="Rockwell"/>
                <w:sz w:val="18"/>
              </w:rPr>
              <w:t>7%</w:t>
            </w:r>
          </w:p>
        </w:tc>
        <w:tc>
          <w:tcPr>
            <w:tcW w:w="870" w:type="dxa"/>
            <w:noWrap/>
            <w:hideMark/>
          </w:tcPr>
          <w:p w:rsidR="00B818B6" w:rsidRPr="00422183" w:rsidRDefault="008B4AEA" w:rsidP="00B818B6">
            <w:pPr>
              <w:rPr>
                <w:rFonts w:ascii="Rockwell" w:hAnsi="Rockwell"/>
                <w:sz w:val="18"/>
              </w:rPr>
            </w:pPr>
            <w:r w:rsidRPr="00422183">
              <w:rPr>
                <w:rFonts w:ascii="Rockwell" w:hAnsi="Rockwell"/>
                <w:sz w:val="18"/>
              </w:rPr>
              <w:t>8</w:t>
            </w:r>
            <w:r w:rsidR="00B818B6" w:rsidRPr="00422183">
              <w:rPr>
                <w:rFonts w:ascii="Rockwell" w:hAnsi="Rockwell"/>
                <w:sz w:val="18"/>
              </w:rPr>
              <w:t>%</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8B4AEA" w:rsidP="00B818B6">
            <w:pPr>
              <w:rPr>
                <w:rFonts w:ascii="Rockwell" w:hAnsi="Rockwell"/>
                <w:sz w:val="18"/>
              </w:rPr>
            </w:pPr>
            <w:r w:rsidRPr="00422183">
              <w:rPr>
                <w:rFonts w:ascii="Rockwell" w:hAnsi="Rockwell"/>
                <w:sz w:val="18"/>
              </w:rPr>
              <w:t>P</w:t>
            </w:r>
            <w:r w:rsidR="00B818B6" w:rsidRPr="00422183">
              <w:rPr>
                <w:rFonts w:ascii="Rockwell" w:hAnsi="Rockwell"/>
                <w:sz w:val="18"/>
              </w:rPr>
              <w:t>art de l'industrie culturelle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8B4AEA" w:rsidP="00B818B6">
            <w:pPr>
              <w:rPr>
                <w:rFonts w:ascii="Rockwell" w:hAnsi="Rockwell"/>
                <w:sz w:val="18"/>
              </w:rPr>
            </w:pPr>
            <w:r w:rsidRPr="00422183">
              <w:rPr>
                <w:rFonts w:ascii="Rockwell" w:hAnsi="Rockwell"/>
                <w:sz w:val="18"/>
              </w:rPr>
              <w:t>2,3%</w:t>
            </w:r>
          </w:p>
        </w:tc>
        <w:tc>
          <w:tcPr>
            <w:tcW w:w="974" w:type="dxa"/>
            <w:noWrap/>
            <w:hideMark/>
          </w:tcPr>
          <w:p w:rsidR="00B818B6" w:rsidRPr="00422183" w:rsidRDefault="008B4AEA" w:rsidP="00B818B6">
            <w:pPr>
              <w:rPr>
                <w:rFonts w:ascii="Rockwell" w:hAnsi="Rockwell"/>
                <w:sz w:val="18"/>
              </w:rPr>
            </w:pPr>
            <w:r w:rsidRPr="00422183">
              <w:rPr>
                <w:rFonts w:ascii="Rockwell" w:hAnsi="Rockwell"/>
                <w:sz w:val="18"/>
              </w:rPr>
              <w:t>4,5%</w:t>
            </w:r>
          </w:p>
        </w:tc>
        <w:tc>
          <w:tcPr>
            <w:tcW w:w="870" w:type="dxa"/>
            <w:noWrap/>
            <w:hideMark/>
          </w:tcPr>
          <w:p w:rsidR="00B818B6" w:rsidRPr="00422183" w:rsidRDefault="008B4AEA" w:rsidP="00B818B6">
            <w:pPr>
              <w:rPr>
                <w:rFonts w:ascii="Rockwell" w:hAnsi="Rockwell"/>
                <w:sz w:val="18"/>
              </w:rPr>
            </w:pPr>
            <w:r w:rsidRPr="00422183">
              <w:rPr>
                <w:rFonts w:ascii="Rockwell" w:hAnsi="Rockwell"/>
                <w:sz w:val="18"/>
              </w:rPr>
              <w:t>6</w:t>
            </w:r>
            <w:r w:rsidR="00B818B6" w:rsidRPr="00422183">
              <w:rPr>
                <w:rFonts w:ascii="Rockwell" w:hAnsi="Rockwell"/>
                <w:sz w:val="18"/>
              </w:rPr>
              <w:t>%</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d’accroissement de la part de l'industrie sportive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MSL</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ND</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tcPr>
          <w:p w:rsidR="00B818B6" w:rsidRPr="00422183" w:rsidRDefault="00B818B6" w:rsidP="00B818B6">
            <w:pPr>
              <w:rPr>
                <w:rFonts w:ascii="Rockwell" w:hAnsi="Rockwell"/>
                <w:sz w:val="18"/>
              </w:rPr>
            </w:pPr>
          </w:p>
        </w:tc>
        <w:tc>
          <w:tcPr>
            <w:tcW w:w="2613" w:type="dxa"/>
            <w:gridSpan w:val="2"/>
          </w:tcPr>
          <w:p w:rsidR="00B818B6" w:rsidRPr="00422183" w:rsidRDefault="00B818B6" w:rsidP="00B818B6">
            <w:pPr>
              <w:rPr>
                <w:rFonts w:ascii="Rockwell" w:hAnsi="Rockwell"/>
                <w:sz w:val="18"/>
              </w:rPr>
            </w:pPr>
            <w:r w:rsidRPr="00422183">
              <w:rPr>
                <w:rFonts w:ascii="Rockwell" w:hAnsi="Rockwell"/>
                <w:sz w:val="18"/>
              </w:rPr>
              <w:t>Nombre de centres de sport et de loisir réalisés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MSL</w:t>
            </w:r>
          </w:p>
        </w:tc>
        <w:tc>
          <w:tcPr>
            <w:tcW w:w="1187" w:type="dxa"/>
            <w:gridSpan w:val="2"/>
            <w:noWrap/>
          </w:tcPr>
          <w:p w:rsidR="00B818B6" w:rsidRPr="00422183" w:rsidRDefault="00B818B6" w:rsidP="00B818B6">
            <w:pPr>
              <w:rPr>
                <w:rFonts w:ascii="Rockwell" w:hAnsi="Rockwell"/>
                <w:sz w:val="18"/>
              </w:rPr>
            </w:pPr>
            <w:r w:rsidRPr="00422183">
              <w:rPr>
                <w:rFonts w:ascii="Rockwell" w:hAnsi="Rockwell"/>
                <w:sz w:val="18"/>
              </w:rPr>
              <w:t>0</w:t>
            </w:r>
          </w:p>
        </w:tc>
        <w:tc>
          <w:tcPr>
            <w:tcW w:w="974" w:type="dxa"/>
            <w:noWrap/>
          </w:tcPr>
          <w:p w:rsidR="00B818B6" w:rsidRPr="00422183" w:rsidRDefault="00B818B6" w:rsidP="00B818B6">
            <w:pPr>
              <w:rPr>
                <w:rFonts w:ascii="Rockwell" w:hAnsi="Rockwell"/>
                <w:sz w:val="18"/>
              </w:rPr>
            </w:pPr>
            <w:r w:rsidRPr="00422183">
              <w:rPr>
                <w:rFonts w:ascii="Rockwell" w:hAnsi="Rockwell"/>
                <w:sz w:val="18"/>
              </w:rPr>
              <w:t>10</w:t>
            </w:r>
          </w:p>
        </w:tc>
        <w:tc>
          <w:tcPr>
            <w:tcW w:w="870" w:type="dxa"/>
            <w:noWrap/>
          </w:tcPr>
          <w:p w:rsidR="00B818B6" w:rsidRPr="00422183" w:rsidRDefault="00B818B6" w:rsidP="00B818B6">
            <w:pPr>
              <w:rPr>
                <w:rFonts w:ascii="Rockwell" w:hAnsi="Rockwell"/>
                <w:sz w:val="18"/>
              </w:rPr>
            </w:pPr>
            <w:r w:rsidRPr="00422183">
              <w:rPr>
                <w:rFonts w:ascii="Rockwell" w:hAnsi="Rockwell"/>
                <w:sz w:val="18"/>
              </w:rPr>
              <w:t>26</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Taux d’accroissement de l’emplois dans les industries culturelle et touristique </w:t>
            </w:r>
          </w:p>
        </w:tc>
        <w:tc>
          <w:tcPr>
            <w:tcW w:w="1387" w:type="dxa"/>
            <w:gridSpan w:val="3"/>
          </w:tcPr>
          <w:p w:rsidR="00B818B6" w:rsidRPr="00422183" w:rsidRDefault="00B818B6" w:rsidP="00B818B6">
            <w:pPr>
              <w:rPr>
                <w:rFonts w:ascii="Rockwell" w:hAnsi="Rockwell"/>
                <w:sz w:val="18"/>
                <w:lang w:val="fr-BE"/>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lang w:val="fr-BE"/>
              </w:rPr>
            </w:pPr>
            <w:r w:rsidRPr="00422183">
              <w:rPr>
                <w:rFonts w:ascii="Rockwell" w:hAnsi="Rockwell"/>
                <w:sz w:val="18"/>
                <w:lang w:val="fr-BE"/>
              </w:rPr>
              <w:t>MCAT</w:t>
            </w:r>
          </w:p>
        </w:tc>
        <w:tc>
          <w:tcPr>
            <w:tcW w:w="1187" w:type="dxa"/>
            <w:gridSpan w:val="2"/>
            <w:noWrap/>
            <w:hideMark/>
          </w:tcPr>
          <w:p w:rsidR="00B818B6" w:rsidRPr="00422183" w:rsidRDefault="008B4AEA" w:rsidP="008B4AEA">
            <w:pPr>
              <w:rPr>
                <w:rFonts w:ascii="Rockwell" w:hAnsi="Rockwell"/>
                <w:sz w:val="18"/>
              </w:rPr>
            </w:pPr>
            <w:r w:rsidRPr="00422183">
              <w:rPr>
                <w:rFonts w:ascii="Rockwell" w:hAnsi="Rockwell"/>
                <w:sz w:val="18"/>
                <w:lang w:val="fr-BE"/>
              </w:rPr>
              <w:t xml:space="preserve">&lt; </w:t>
            </w:r>
            <w:r w:rsidR="00B818B6" w:rsidRPr="00422183">
              <w:rPr>
                <w:rFonts w:ascii="Rockwell" w:hAnsi="Rockwell"/>
                <w:sz w:val="18"/>
                <w:lang w:val="fr-BE"/>
              </w:rPr>
              <w:t>5%</w:t>
            </w:r>
          </w:p>
        </w:tc>
        <w:tc>
          <w:tcPr>
            <w:tcW w:w="974" w:type="dxa"/>
            <w:noWrap/>
            <w:hideMark/>
          </w:tcPr>
          <w:p w:rsidR="00B818B6" w:rsidRPr="00422183" w:rsidRDefault="008B4AEA" w:rsidP="00B818B6">
            <w:pPr>
              <w:rPr>
                <w:rFonts w:ascii="Rockwell" w:hAnsi="Rockwell"/>
                <w:sz w:val="18"/>
              </w:rPr>
            </w:pPr>
            <w:r w:rsidRPr="00422183">
              <w:rPr>
                <w:rFonts w:ascii="Rockwell" w:hAnsi="Rockwell"/>
                <w:sz w:val="18"/>
              </w:rPr>
              <w:t>5,6%</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7%</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val="restart"/>
            <w:noWrap/>
            <w:hideMark/>
          </w:tcPr>
          <w:p w:rsidR="00B818B6" w:rsidRPr="00422183" w:rsidRDefault="008B4AEA" w:rsidP="00B818B6">
            <w:pPr>
              <w:rPr>
                <w:rFonts w:ascii="Rockwell" w:hAnsi="Rockwell"/>
                <w:sz w:val="18"/>
              </w:rPr>
            </w:pPr>
            <w:r w:rsidRPr="00422183">
              <w:rPr>
                <w:rFonts w:ascii="Rockwell" w:hAnsi="Rockwell"/>
                <w:sz w:val="18"/>
              </w:rPr>
              <w:t>EA 3.2.3 </w:t>
            </w:r>
            <w:r w:rsidR="00B818B6" w:rsidRPr="00422183">
              <w:rPr>
                <w:rFonts w:ascii="Rockwell" w:hAnsi="Rockwell"/>
                <w:sz w:val="18"/>
              </w:rPr>
              <w:t>L’impact du secteur minier sur le reste de l’économie est accrue</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Proportion des achats locaux dans les consommations alimentaires des industries minières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ND</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Part des industries extractives dans le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7,9%</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10,2%</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Part des achats dans les zones minières par les industries minières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Montant des investissements locaux réalisés par les industries minières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Nombre d’emplois directs et indirects créés par les industries minières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val="restart"/>
            <w:noWrap/>
            <w:hideMark/>
          </w:tcPr>
          <w:p w:rsidR="00B818B6" w:rsidRPr="00422183" w:rsidRDefault="00B818B6" w:rsidP="00B818B6">
            <w:pPr>
              <w:rPr>
                <w:rFonts w:ascii="Rockwell" w:hAnsi="Rockwell"/>
                <w:sz w:val="18"/>
              </w:rPr>
            </w:pPr>
            <w:r w:rsidRPr="00422183">
              <w:rPr>
                <w:rFonts w:ascii="Rockwell" w:hAnsi="Rockwell"/>
                <w:sz w:val="18"/>
              </w:rPr>
              <w:t>EA 3.3.1 : Le secteur tertiaire se formalise et est davantage dynamique et créateur d'emplois décents</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Taux d’accès aux TIC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MDENP</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Contribution des postes et télécommunication</w:t>
            </w:r>
            <w:r w:rsidR="008B4AEA" w:rsidRPr="00422183">
              <w:rPr>
                <w:rFonts w:ascii="Rockwell" w:hAnsi="Rockwell"/>
                <w:sz w:val="18"/>
              </w:rPr>
              <w:t>s</w:t>
            </w:r>
            <w:r w:rsidRPr="00422183">
              <w:rPr>
                <w:rFonts w:ascii="Rockwell" w:hAnsi="Rockwell"/>
                <w:sz w:val="18"/>
              </w:rPr>
              <w:t xml:space="preserve"> au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2,4%</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Part du secteur informel dans la valeur ajoutée du secteur tertiaire</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20,7%</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18,5%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de croissance de la valeur ajoutée des services marchands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Note technique du budget-Eco</w:t>
            </w:r>
          </w:p>
        </w:tc>
        <w:tc>
          <w:tcPr>
            <w:tcW w:w="1360" w:type="dxa"/>
          </w:tcPr>
          <w:p w:rsidR="00B818B6" w:rsidRPr="00422183" w:rsidRDefault="00B818B6" w:rsidP="00B818B6">
            <w:pPr>
              <w:rPr>
                <w:rFonts w:ascii="Rockwell" w:hAnsi="Rockwell"/>
                <w:sz w:val="18"/>
              </w:rPr>
            </w:pPr>
            <w:r w:rsidRPr="00422183">
              <w:rPr>
                <w:rFonts w:ascii="Rockwell" w:hAnsi="Rockwell"/>
                <w:sz w:val="18"/>
              </w:rPr>
              <w:t>MINEFID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6,6%</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7,5%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8%</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Nombre moyen d'emplois formels créés dans les services tertiaires marchands par an (milliers FCFA)</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du secteur concerné et Enquête </w:t>
            </w:r>
          </w:p>
        </w:tc>
        <w:tc>
          <w:tcPr>
            <w:tcW w:w="1360" w:type="dxa"/>
          </w:tcPr>
          <w:p w:rsidR="00B818B6" w:rsidRPr="00422183" w:rsidRDefault="00B818B6" w:rsidP="00B818B6">
            <w:pPr>
              <w:rPr>
                <w:rFonts w:ascii="Rockwell" w:hAnsi="Rockwell"/>
                <w:sz w:val="18"/>
              </w:rPr>
            </w:pPr>
            <w:r w:rsidRPr="00422183">
              <w:rPr>
                <w:rFonts w:ascii="Rockwell" w:hAnsi="Rockwell"/>
                <w:sz w:val="18"/>
              </w:rPr>
              <w:t>INSD et MCIA</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12 100</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15 000</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20 000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val="restart"/>
            <w:noWrap/>
            <w:hideMark/>
          </w:tcPr>
          <w:p w:rsidR="00B818B6" w:rsidRPr="00422183" w:rsidRDefault="00B818B6" w:rsidP="00B818B6">
            <w:pPr>
              <w:rPr>
                <w:rFonts w:ascii="Rockwell" w:hAnsi="Rockwell"/>
                <w:sz w:val="18"/>
              </w:rPr>
            </w:pPr>
            <w:r w:rsidRPr="00422183">
              <w:rPr>
                <w:rFonts w:ascii="Rockwell" w:hAnsi="Rockwell"/>
                <w:sz w:val="18"/>
              </w:rPr>
              <w:t xml:space="preserve">EA 3.3.2 : La mise en marché des produits nationaux est renforcée </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Part des produits </w:t>
            </w:r>
            <w:r w:rsidR="00260DB3" w:rsidRPr="00422183">
              <w:rPr>
                <w:rFonts w:ascii="Rockwell" w:hAnsi="Rockwell"/>
                <w:sz w:val="18"/>
              </w:rPr>
              <w:t>alimentaires de consommation</w:t>
            </w:r>
            <w:r w:rsidRPr="00422183">
              <w:rPr>
                <w:rFonts w:ascii="Rockwell" w:hAnsi="Rockwell"/>
                <w:sz w:val="18"/>
              </w:rPr>
              <w:t xml:space="preserve"> dans les importations</w:t>
            </w:r>
            <w:r w:rsidR="00260DB3" w:rsidRPr="00422183">
              <w:rPr>
                <w:rFonts w:ascii="Rockwell" w:hAnsi="Rockwell"/>
                <w:sz w:val="18"/>
              </w:rPr>
              <w:t xml:space="preserve"> de biens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sur la situation économique et financière </w:t>
            </w:r>
          </w:p>
        </w:tc>
        <w:tc>
          <w:tcPr>
            <w:tcW w:w="1360" w:type="dxa"/>
          </w:tcPr>
          <w:p w:rsidR="00B818B6" w:rsidRPr="00422183" w:rsidRDefault="00B818B6" w:rsidP="00B818B6">
            <w:pPr>
              <w:rPr>
                <w:rFonts w:ascii="Rockwell" w:hAnsi="Rockwell"/>
                <w:sz w:val="18"/>
              </w:rPr>
            </w:pPr>
            <w:r w:rsidRPr="00422183">
              <w:rPr>
                <w:rFonts w:ascii="Rockwell" w:hAnsi="Rockwell"/>
                <w:sz w:val="18"/>
              </w:rPr>
              <w:t xml:space="preserve">MINEFID </w:t>
            </w:r>
          </w:p>
        </w:tc>
        <w:tc>
          <w:tcPr>
            <w:tcW w:w="1187" w:type="dxa"/>
            <w:gridSpan w:val="2"/>
            <w:noWrap/>
            <w:hideMark/>
          </w:tcPr>
          <w:p w:rsidR="00B818B6" w:rsidRPr="00422183" w:rsidRDefault="00260DB3" w:rsidP="00B818B6">
            <w:pPr>
              <w:rPr>
                <w:rFonts w:ascii="Rockwell" w:hAnsi="Rockwell"/>
                <w:sz w:val="18"/>
              </w:rPr>
            </w:pPr>
            <w:r w:rsidRPr="00422183">
              <w:rPr>
                <w:rFonts w:ascii="Rockwell" w:hAnsi="Rockwell"/>
                <w:sz w:val="18"/>
              </w:rPr>
              <w:t>10,1%</w:t>
            </w:r>
          </w:p>
        </w:tc>
        <w:tc>
          <w:tcPr>
            <w:tcW w:w="974" w:type="dxa"/>
            <w:noWrap/>
            <w:hideMark/>
          </w:tcPr>
          <w:p w:rsidR="00B818B6" w:rsidRPr="00422183" w:rsidRDefault="009E077E" w:rsidP="00B818B6">
            <w:pPr>
              <w:rPr>
                <w:rFonts w:ascii="Rockwell" w:hAnsi="Rockwell"/>
                <w:sz w:val="18"/>
              </w:rPr>
            </w:pPr>
            <w:r w:rsidRPr="00422183">
              <w:rPr>
                <w:rFonts w:ascii="Rockwell" w:hAnsi="Rockwell"/>
                <w:sz w:val="18"/>
              </w:rPr>
              <w:t>8%</w:t>
            </w:r>
          </w:p>
        </w:tc>
        <w:tc>
          <w:tcPr>
            <w:tcW w:w="870" w:type="dxa"/>
            <w:noWrap/>
            <w:hideMark/>
          </w:tcPr>
          <w:p w:rsidR="00B818B6" w:rsidRPr="00422183" w:rsidRDefault="009E077E" w:rsidP="00B818B6">
            <w:pPr>
              <w:rPr>
                <w:rFonts w:ascii="Rockwell" w:hAnsi="Rockwell"/>
                <w:sz w:val="18"/>
              </w:rPr>
            </w:pPr>
            <w:r w:rsidRPr="00422183">
              <w:rPr>
                <w:rFonts w:ascii="Rockwell" w:hAnsi="Rockwell"/>
                <w:sz w:val="18"/>
              </w:rPr>
              <w:t>6</w:t>
            </w:r>
            <w:r w:rsidR="00260DB3" w:rsidRPr="00422183">
              <w:rPr>
                <w:rFonts w:ascii="Rockwell" w:hAnsi="Rockwell"/>
                <w:sz w:val="18"/>
              </w:rPr>
              <w:t>%</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Part des exportations des produits nationaux dans le PIB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sur la situation économique et financière </w:t>
            </w:r>
          </w:p>
        </w:tc>
        <w:tc>
          <w:tcPr>
            <w:tcW w:w="1360" w:type="dxa"/>
          </w:tcPr>
          <w:p w:rsidR="00B818B6" w:rsidRPr="00422183" w:rsidRDefault="00B818B6" w:rsidP="00B818B6">
            <w:pPr>
              <w:rPr>
                <w:rFonts w:ascii="Rockwell" w:hAnsi="Rockwell"/>
                <w:sz w:val="18"/>
              </w:rPr>
            </w:pPr>
            <w:r w:rsidRPr="00422183">
              <w:rPr>
                <w:rFonts w:ascii="Rockwell" w:hAnsi="Rockwell"/>
                <w:sz w:val="18"/>
              </w:rPr>
              <w:t xml:space="preserve">MINEFID </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Part des deux premiers produits d’exportation dans le total des exportations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sur la situation économique et financière </w:t>
            </w:r>
          </w:p>
        </w:tc>
        <w:tc>
          <w:tcPr>
            <w:tcW w:w="1360" w:type="dxa"/>
          </w:tcPr>
          <w:p w:rsidR="00B818B6" w:rsidRPr="00422183" w:rsidRDefault="00B818B6" w:rsidP="00B818B6">
            <w:pPr>
              <w:rPr>
                <w:rFonts w:ascii="Rockwell" w:hAnsi="Rockwell"/>
                <w:sz w:val="18"/>
              </w:rPr>
            </w:pPr>
            <w:r w:rsidRPr="00422183">
              <w:rPr>
                <w:rFonts w:ascii="Rockwell" w:hAnsi="Rockwell"/>
                <w:sz w:val="18"/>
              </w:rPr>
              <w:t xml:space="preserve">MINEFID </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85%</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65%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Part des produits manufacturés dans les exportations de biens (WDI)</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 xml:space="preserve">Rapport sur la situation économique et financière </w:t>
            </w:r>
          </w:p>
        </w:tc>
        <w:tc>
          <w:tcPr>
            <w:tcW w:w="1360" w:type="dxa"/>
          </w:tcPr>
          <w:p w:rsidR="00B818B6" w:rsidRPr="00422183" w:rsidRDefault="00B818B6" w:rsidP="00B818B6">
            <w:pPr>
              <w:rPr>
                <w:rFonts w:ascii="Rockwell" w:hAnsi="Rockwell"/>
                <w:sz w:val="18"/>
              </w:rPr>
            </w:pPr>
            <w:r w:rsidRPr="00422183">
              <w:rPr>
                <w:rFonts w:ascii="Rockwell" w:hAnsi="Rockwell"/>
                <w:sz w:val="18"/>
              </w:rPr>
              <w:t xml:space="preserve">MINEFID </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10,6% (2014)</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15%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20%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val="restart"/>
            <w:noWrap/>
            <w:hideMark/>
          </w:tcPr>
          <w:p w:rsidR="00B818B6" w:rsidRPr="00422183" w:rsidRDefault="00B818B6" w:rsidP="00260DB3">
            <w:pPr>
              <w:rPr>
                <w:rFonts w:ascii="Rockwell" w:hAnsi="Rockwell"/>
                <w:sz w:val="18"/>
              </w:rPr>
            </w:pPr>
            <w:r w:rsidRPr="00422183">
              <w:rPr>
                <w:rFonts w:ascii="Rockwell" w:hAnsi="Rockwell"/>
                <w:sz w:val="18"/>
              </w:rPr>
              <w:t xml:space="preserve">EA 3.4.1 : La qualité, la fiabilité et l'accessibilité des infrastructures sont </w:t>
            </w:r>
            <w:r w:rsidR="00260DB3" w:rsidRPr="00422183">
              <w:rPr>
                <w:rFonts w:ascii="Rockwell" w:hAnsi="Rockwell"/>
                <w:sz w:val="18"/>
              </w:rPr>
              <w:t>accrues pour faciliter la transformation de l’économie</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Proportion de routes bitumées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MI</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24%</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30%</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42%</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tcPr>
          <w:p w:rsidR="00B818B6" w:rsidRPr="00422183" w:rsidRDefault="00B818B6" w:rsidP="00B818B6">
            <w:pPr>
              <w:rPr>
                <w:rFonts w:ascii="Rockwell" w:hAnsi="Rockwell"/>
                <w:sz w:val="18"/>
              </w:rPr>
            </w:pPr>
          </w:p>
        </w:tc>
        <w:tc>
          <w:tcPr>
            <w:tcW w:w="2613" w:type="dxa"/>
            <w:gridSpan w:val="2"/>
          </w:tcPr>
          <w:p w:rsidR="00B818B6" w:rsidRPr="00422183" w:rsidRDefault="00B818B6" w:rsidP="00B818B6">
            <w:pPr>
              <w:rPr>
                <w:rFonts w:ascii="Rockwell" w:hAnsi="Rockwell"/>
                <w:sz w:val="18"/>
              </w:rPr>
            </w:pPr>
            <w:r w:rsidRPr="00422183">
              <w:rPr>
                <w:rFonts w:ascii="Rockwell" w:hAnsi="Rockwell"/>
                <w:sz w:val="18"/>
              </w:rPr>
              <w:t>Proportion de pistes rurales aménagées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MI</w:t>
            </w:r>
          </w:p>
        </w:tc>
        <w:tc>
          <w:tcPr>
            <w:tcW w:w="1187" w:type="dxa"/>
            <w:gridSpan w:val="2"/>
            <w:noWrap/>
          </w:tcPr>
          <w:p w:rsidR="00B818B6" w:rsidRPr="00422183" w:rsidRDefault="00B818B6" w:rsidP="00B818B6">
            <w:pPr>
              <w:rPr>
                <w:rFonts w:ascii="Rockwell" w:hAnsi="Rockwell"/>
                <w:sz w:val="18"/>
              </w:rPr>
            </w:pPr>
            <w:r w:rsidRPr="00422183">
              <w:rPr>
                <w:rFonts w:ascii="Rockwell" w:hAnsi="Rockwell"/>
                <w:sz w:val="18"/>
              </w:rPr>
              <w:t>27%</w:t>
            </w:r>
          </w:p>
        </w:tc>
        <w:tc>
          <w:tcPr>
            <w:tcW w:w="974" w:type="dxa"/>
            <w:noWrap/>
          </w:tcPr>
          <w:p w:rsidR="00B818B6" w:rsidRPr="00422183" w:rsidRDefault="00B818B6" w:rsidP="00B818B6">
            <w:pPr>
              <w:rPr>
                <w:rFonts w:ascii="Rockwell" w:hAnsi="Rockwell"/>
                <w:sz w:val="18"/>
              </w:rPr>
            </w:pPr>
            <w:r w:rsidRPr="00422183">
              <w:rPr>
                <w:rFonts w:ascii="Rockwell" w:hAnsi="Rockwell"/>
                <w:sz w:val="18"/>
              </w:rPr>
              <w:t>36,5%</w:t>
            </w:r>
          </w:p>
        </w:tc>
        <w:tc>
          <w:tcPr>
            <w:tcW w:w="870" w:type="dxa"/>
            <w:noWrap/>
          </w:tcPr>
          <w:p w:rsidR="00B818B6" w:rsidRPr="00422183" w:rsidRDefault="00B818B6" w:rsidP="00B818B6">
            <w:pPr>
              <w:rPr>
                <w:rFonts w:ascii="Rockwell" w:hAnsi="Rockwell"/>
                <w:sz w:val="18"/>
              </w:rPr>
            </w:pPr>
            <w:r w:rsidRPr="00422183">
              <w:rPr>
                <w:rFonts w:ascii="Rockwell" w:hAnsi="Rockwell"/>
                <w:sz w:val="18"/>
              </w:rPr>
              <w:t>43%</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 xml:space="preserve">Proportion des routes où les vitesses de référence ne peuvent pas être pratiquées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MI</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18%</w:t>
            </w:r>
          </w:p>
        </w:tc>
        <w:tc>
          <w:tcPr>
            <w:tcW w:w="974" w:type="dxa"/>
            <w:noWrap/>
            <w:hideMark/>
          </w:tcPr>
          <w:p w:rsidR="00B818B6" w:rsidRPr="00422183" w:rsidRDefault="00B818B6" w:rsidP="00B818B6">
            <w:pPr>
              <w:rPr>
                <w:rFonts w:ascii="Rockwell" w:hAnsi="Rockwell"/>
                <w:sz w:val="18"/>
              </w:rPr>
            </w:pPr>
            <w:r w:rsidRPr="00422183">
              <w:rPr>
                <w:rFonts w:ascii="Rockwell" w:hAnsi="Rockwell"/>
                <w:sz w:val="18"/>
              </w:rPr>
              <w:t>12%</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6%</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Puissance installée (en Megawatts)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300</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w:t>
            </w:r>
            <w:r w:rsidR="00260DB3" w:rsidRPr="00422183">
              <w:rPr>
                <w:rFonts w:ascii="Rockwell" w:hAnsi="Rockwell"/>
                <w:sz w:val="18"/>
              </w:rPr>
              <w:t xml:space="preserve"> </w:t>
            </w:r>
            <w:r w:rsidRPr="00422183">
              <w:rPr>
                <w:rFonts w:ascii="Rockwell" w:hAnsi="Rockwell"/>
                <w:sz w:val="18"/>
              </w:rPr>
              <w:t>000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Coût du Kwh d'électricité des hautes tensions</w:t>
            </w:r>
            <w:r w:rsidR="00260DB3" w:rsidRPr="00422183">
              <w:rPr>
                <w:rFonts w:ascii="Rockwell" w:hAnsi="Rockwell"/>
                <w:sz w:val="18"/>
              </w:rPr>
              <w:t xml:space="preserve"> (en FCFA)</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MEMC</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75</w:t>
            </w:r>
          </w:p>
        </w:tc>
        <w:tc>
          <w:tcPr>
            <w:tcW w:w="974" w:type="dxa"/>
            <w:noWrap/>
            <w:hideMark/>
          </w:tcPr>
          <w:p w:rsidR="00B818B6" w:rsidRPr="00422183" w:rsidRDefault="009E077E" w:rsidP="00B818B6">
            <w:pPr>
              <w:rPr>
                <w:rFonts w:ascii="Rockwell" w:hAnsi="Rockwell"/>
                <w:sz w:val="18"/>
              </w:rPr>
            </w:pPr>
            <w:r w:rsidRPr="00422183">
              <w:rPr>
                <w:rFonts w:ascii="Rockwell" w:hAnsi="Rockwell"/>
                <w:sz w:val="18"/>
              </w:rPr>
              <w:t>55</w:t>
            </w: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50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Largeur de la bande internet intérieur</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MDENP</w:t>
            </w:r>
          </w:p>
        </w:tc>
        <w:tc>
          <w:tcPr>
            <w:tcW w:w="1187" w:type="dxa"/>
            <w:gridSpan w:val="2"/>
            <w:noWrap/>
            <w:hideMark/>
          </w:tcPr>
          <w:p w:rsidR="00B818B6" w:rsidRPr="00422183" w:rsidRDefault="00B818B6" w:rsidP="00B818B6">
            <w:pPr>
              <w:rPr>
                <w:rFonts w:ascii="Rockwell" w:hAnsi="Rockwell"/>
                <w:sz w:val="18"/>
              </w:rPr>
            </w:pP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100 Go</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Taux d’accès à l’internet des personnes de plus de 15 ans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du secteur concerné</w:t>
            </w:r>
          </w:p>
        </w:tc>
        <w:tc>
          <w:tcPr>
            <w:tcW w:w="1360" w:type="dxa"/>
          </w:tcPr>
          <w:p w:rsidR="00B818B6" w:rsidRPr="00422183" w:rsidRDefault="00B818B6" w:rsidP="00B818B6">
            <w:pPr>
              <w:rPr>
                <w:rFonts w:ascii="Rockwell" w:hAnsi="Rockwell"/>
                <w:sz w:val="18"/>
              </w:rPr>
            </w:pPr>
            <w:r w:rsidRPr="00422183">
              <w:rPr>
                <w:rFonts w:ascii="Rockwell" w:hAnsi="Rockwell"/>
                <w:sz w:val="18"/>
              </w:rPr>
              <w:t>MDENP</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5%</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15%</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val="restart"/>
            <w:noWrap/>
            <w:hideMark/>
          </w:tcPr>
          <w:p w:rsidR="00B818B6" w:rsidRPr="00422183" w:rsidRDefault="00260DB3" w:rsidP="00B818B6">
            <w:pPr>
              <w:rPr>
                <w:rFonts w:ascii="Rockwell" w:hAnsi="Rockwell"/>
                <w:sz w:val="18"/>
              </w:rPr>
            </w:pPr>
            <w:r w:rsidRPr="00422183">
              <w:rPr>
                <w:rFonts w:ascii="Rockwell" w:hAnsi="Rockwell"/>
                <w:sz w:val="18"/>
              </w:rPr>
              <w:t>EA 3.4.2 : La contribution des p</w:t>
            </w:r>
            <w:r w:rsidR="00B818B6" w:rsidRPr="00422183">
              <w:rPr>
                <w:rFonts w:ascii="Rockwell" w:hAnsi="Rockwell"/>
                <w:sz w:val="18"/>
              </w:rPr>
              <w:t>ôles de croissance (Agro pôles, technopoles, Zones d’économie spéciales) dans l’économie est accrue</w:t>
            </w: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Contribution des pôles de croissance au PIB</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d’étude</w:t>
            </w:r>
          </w:p>
        </w:tc>
        <w:tc>
          <w:tcPr>
            <w:tcW w:w="1360" w:type="dxa"/>
          </w:tcPr>
          <w:p w:rsidR="00B818B6" w:rsidRPr="00422183" w:rsidRDefault="00B818B6" w:rsidP="00B818B6">
            <w:pPr>
              <w:rPr>
                <w:rFonts w:ascii="Rockwell" w:hAnsi="Rockwell"/>
                <w:sz w:val="18"/>
              </w:rPr>
            </w:pPr>
            <w:r w:rsidRPr="00422183">
              <w:rPr>
                <w:rFonts w:ascii="Rockwell" w:hAnsi="Rockwell"/>
                <w:sz w:val="18"/>
              </w:rPr>
              <w:t>MINEFID et PM</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ND</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rPr>
                <w:rFonts w:ascii="Rockwell" w:hAnsi="Rockwell"/>
                <w:sz w:val="18"/>
              </w:rPr>
            </w:pPr>
            <w:r w:rsidRPr="00422183">
              <w:rPr>
                <w:rFonts w:ascii="Rockwell" w:hAnsi="Rockwell"/>
                <w:sz w:val="18"/>
              </w:rPr>
              <w:t>Proportion des emplois locaux créés par les pôles de croissance dans les régions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d’étude</w:t>
            </w:r>
          </w:p>
        </w:tc>
        <w:tc>
          <w:tcPr>
            <w:tcW w:w="1360" w:type="dxa"/>
          </w:tcPr>
          <w:p w:rsidR="00B818B6" w:rsidRPr="00422183" w:rsidRDefault="00B818B6" w:rsidP="00B818B6">
            <w:pPr>
              <w:rPr>
                <w:rFonts w:ascii="Rockwell" w:hAnsi="Rockwell"/>
                <w:sz w:val="18"/>
              </w:rPr>
            </w:pPr>
            <w:r w:rsidRPr="00422183">
              <w:rPr>
                <w:rFonts w:ascii="Rockwell" w:hAnsi="Rockwell"/>
                <w:sz w:val="18"/>
              </w:rPr>
              <w:t>INSD</w:t>
            </w:r>
          </w:p>
        </w:tc>
        <w:tc>
          <w:tcPr>
            <w:tcW w:w="1187" w:type="dxa"/>
            <w:gridSpan w:val="2"/>
            <w:noWrap/>
            <w:hideMark/>
          </w:tcPr>
          <w:p w:rsidR="00B818B6" w:rsidRPr="00422183" w:rsidRDefault="00B818B6" w:rsidP="00B818B6">
            <w:pPr>
              <w:rPr>
                <w:rFonts w:ascii="Rockwell" w:hAnsi="Rockwell"/>
                <w:sz w:val="18"/>
              </w:rPr>
            </w:pPr>
            <w:r w:rsidRPr="00422183">
              <w:rPr>
                <w:rFonts w:ascii="Rockwell" w:hAnsi="Rockwell"/>
                <w:sz w:val="18"/>
              </w:rPr>
              <w:t>ND</w:t>
            </w:r>
          </w:p>
        </w:tc>
        <w:tc>
          <w:tcPr>
            <w:tcW w:w="974" w:type="dxa"/>
            <w:noWrap/>
            <w:hideMark/>
          </w:tcPr>
          <w:p w:rsidR="00B818B6" w:rsidRPr="00422183" w:rsidRDefault="00B818B6" w:rsidP="00B818B6">
            <w:pPr>
              <w:rPr>
                <w:rFonts w:ascii="Rockwell" w:hAnsi="Rockwell"/>
                <w:sz w:val="18"/>
              </w:rPr>
            </w:pPr>
          </w:p>
        </w:tc>
        <w:tc>
          <w:tcPr>
            <w:tcW w:w="870" w:type="dxa"/>
            <w:noWrap/>
            <w:hideMark/>
          </w:tcPr>
          <w:p w:rsidR="00B818B6" w:rsidRPr="00422183" w:rsidRDefault="00B818B6" w:rsidP="00B818B6">
            <w:pPr>
              <w:rPr>
                <w:rFonts w:ascii="Rockwell" w:hAnsi="Rockwell"/>
                <w:sz w:val="18"/>
              </w:rPr>
            </w:pPr>
            <w:r w:rsidRPr="00422183">
              <w:rPr>
                <w:rFonts w:ascii="Rockwell" w:hAnsi="Rockwell"/>
                <w:sz w:val="18"/>
              </w:rPr>
              <w:t>50%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val="restart"/>
            <w:noWrap/>
            <w:hideMark/>
          </w:tcPr>
          <w:p w:rsidR="00B818B6" w:rsidRPr="00422183" w:rsidRDefault="00B818B6" w:rsidP="00B818B6">
            <w:pPr>
              <w:rPr>
                <w:rFonts w:ascii="Rockwell" w:hAnsi="Rockwell"/>
                <w:sz w:val="18"/>
              </w:rPr>
            </w:pPr>
            <w:r w:rsidRPr="00422183">
              <w:rPr>
                <w:rFonts w:ascii="Rockwell" w:hAnsi="Rockwell"/>
                <w:sz w:val="18"/>
              </w:rPr>
              <w:t xml:space="preserve">EA 3.5.1 : L'environnement et les ressources naturelles sont gérés durablement </w:t>
            </w:r>
          </w:p>
        </w:tc>
        <w:tc>
          <w:tcPr>
            <w:tcW w:w="2613" w:type="dxa"/>
            <w:gridSpan w:val="2"/>
            <w:hideMark/>
          </w:tcPr>
          <w:p w:rsidR="00B818B6" w:rsidRPr="00422183" w:rsidRDefault="00B818B6" w:rsidP="00B818B6">
            <w:pPr>
              <w:jc w:val="both"/>
              <w:rPr>
                <w:rFonts w:ascii="Rockwell" w:hAnsi="Rockwell"/>
                <w:sz w:val="18"/>
                <w:szCs w:val="24"/>
              </w:rPr>
            </w:pPr>
            <w:r w:rsidRPr="00422183">
              <w:rPr>
                <w:rFonts w:ascii="Rockwell" w:hAnsi="Rockwell"/>
                <w:sz w:val="18"/>
                <w:szCs w:val="24"/>
              </w:rPr>
              <w:t>Proportion des espaces de conservation sous aménagement</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Annuaire statistique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25%</w:t>
            </w:r>
          </w:p>
        </w:tc>
        <w:tc>
          <w:tcPr>
            <w:tcW w:w="974"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27%</w:t>
            </w:r>
          </w:p>
        </w:tc>
        <w:tc>
          <w:tcPr>
            <w:tcW w:w="870"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31%</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jc w:val="both"/>
              <w:rPr>
                <w:rFonts w:ascii="Rockwell" w:hAnsi="Rockwell"/>
                <w:sz w:val="18"/>
                <w:szCs w:val="24"/>
              </w:rPr>
            </w:pPr>
            <w:r w:rsidRPr="00422183">
              <w:rPr>
                <w:rFonts w:ascii="Rockwell" w:hAnsi="Rockwell"/>
                <w:sz w:val="18"/>
                <w:szCs w:val="24"/>
              </w:rPr>
              <w:t>Proportion des aires de protection faunique sous aménagement</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Annuaire statistique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40%</w:t>
            </w:r>
          </w:p>
        </w:tc>
        <w:tc>
          <w:tcPr>
            <w:tcW w:w="974"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55%</w:t>
            </w:r>
          </w:p>
        </w:tc>
        <w:tc>
          <w:tcPr>
            <w:tcW w:w="870"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70%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jc w:val="both"/>
              <w:rPr>
                <w:rFonts w:ascii="Rockwell" w:hAnsi="Rockwell"/>
                <w:sz w:val="18"/>
                <w:szCs w:val="24"/>
              </w:rPr>
            </w:pPr>
            <w:r w:rsidRPr="00422183">
              <w:rPr>
                <w:rFonts w:ascii="Rockwell" w:hAnsi="Rockwell"/>
                <w:sz w:val="18"/>
                <w:szCs w:val="24"/>
              </w:rPr>
              <w:t>Superficies des terres dégradées des zones protégées récupérées (ha)</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Annuaire statistique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10 500</w:t>
            </w:r>
          </w:p>
        </w:tc>
        <w:tc>
          <w:tcPr>
            <w:tcW w:w="974"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17 000</w:t>
            </w:r>
          </w:p>
        </w:tc>
        <w:tc>
          <w:tcPr>
            <w:tcW w:w="870" w:type="dxa"/>
            <w:noWrap/>
            <w:hideMark/>
          </w:tcPr>
          <w:p w:rsidR="00B818B6" w:rsidRPr="00422183" w:rsidRDefault="00B818B6" w:rsidP="00B818B6">
            <w:pPr>
              <w:jc w:val="both"/>
              <w:rPr>
                <w:rFonts w:ascii="Rockwell" w:hAnsi="Rockwell"/>
                <w:sz w:val="18"/>
                <w:szCs w:val="24"/>
              </w:rPr>
            </w:pPr>
            <w:r w:rsidRPr="00422183">
              <w:rPr>
                <w:rFonts w:ascii="Rockwell" w:hAnsi="Rockwell"/>
                <w:sz w:val="18"/>
                <w:szCs w:val="24"/>
              </w:rPr>
              <w:t>25 000</w:t>
            </w:r>
          </w:p>
        </w:tc>
        <w:tc>
          <w:tcPr>
            <w:tcW w:w="614" w:type="dxa"/>
          </w:tcPr>
          <w:p w:rsidR="00B818B6" w:rsidRPr="00422183" w:rsidRDefault="00B818B6" w:rsidP="00B818B6">
            <w:pPr>
              <w:rPr>
                <w:rFonts w:ascii="Rockwell" w:hAnsi="Rockwell"/>
                <w:sz w:val="18"/>
              </w:rPr>
            </w:pPr>
          </w:p>
        </w:tc>
        <w:tc>
          <w:tcPr>
            <w:tcW w:w="614" w:type="dxa"/>
          </w:tcPr>
          <w:p w:rsidR="00B818B6" w:rsidRPr="00422183" w:rsidRDefault="00B818B6" w:rsidP="00B818B6">
            <w:pPr>
              <w:rPr>
                <w:rFonts w:ascii="Rockwell" w:hAnsi="Rockwell"/>
                <w:sz w:val="18"/>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val="restart"/>
            <w:noWrap/>
            <w:hideMark/>
          </w:tcPr>
          <w:p w:rsidR="00B818B6" w:rsidRPr="00422183" w:rsidRDefault="00B818B6" w:rsidP="00B818B6">
            <w:pPr>
              <w:rPr>
                <w:rFonts w:ascii="Rockwell" w:hAnsi="Rockwell"/>
                <w:sz w:val="18"/>
              </w:rPr>
            </w:pPr>
            <w:r w:rsidRPr="00422183">
              <w:rPr>
                <w:rFonts w:ascii="Rockwell" w:hAnsi="Rockwell"/>
                <w:sz w:val="18"/>
              </w:rPr>
              <w:t>EA 3.5.2 : Les capacités d’atténuation et d’adaptation aux effets</w:t>
            </w:r>
            <w:r w:rsidR="00260DB3" w:rsidRPr="00422183">
              <w:rPr>
                <w:rFonts w:ascii="Rockwell" w:hAnsi="Rockwell"/>
                <w:sz w:val="18"/>
              </w:rPr>
              <w:t xml:space="preserve"> néfastes</w:t>
            </w:r>
            <w:r w:rsidRPr="00422183">
              <w:rPr>
                <w:rFonts w:ascii="Rockwell" w:hAnsi="Rockwell"/>
                <w:sz w:val="18"/>
              </w:rPr>
              <w:t xml:space="preserve"> du changement climatique sont renforcées dans une optique de transition vers l'économie verte est promue</w:t>
            </w:r>
          </w:p>
        </w:tc>
        <w:tc>
          <w:tcPr>
            <w:tcW w:w="2613" w:type="dxa"/>
            <w:gridSpan w:val="2"/>
            <w:hideMark/>
          </w:tcPr>
          <w:p w:rsidR="00B818B6" w:rsidRPr="00422183" w:rsidRDefault="00B818B6" w:rsidP="00B818B6">
            <w:pPr>
              <w:jc w:val="both"/>
              <w:rPr>
                <w:rFonts w:ascii="Rockwell" w:hAnsi="Rockwell"/>
                <w:sz w:val="18"/>
                <w:szCs w:val="24"/>
              </w:rPr>
            </w:pPr>
            <w:r w:rsidRPr="00422183">
              <w:rPr>
                <w:rFonts w:ascii="Rockwell" w:hAnsi="Rockwell"/>
                <w:sz w:val="18"/>
                <w:szCs w:val="24"/>
              </w:rPr>
              <w:t>Proportion de politiques sectorielles, de plans régionaux et communaux de développement intégrant les principes et les  problématiques émergeantes de développement durable</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Annuaire statistique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Cs w:val="24"/>
              </w:rPr>
            </w:pPr>
            <w:r w:rsidRPr="00422183">
              <w:rPr>
                <w:rFonts w:ascii="Rockwell" w:hAnsi="Rockwell"/>
                <w:szCs w:val="24"/>
              </w:rPr>
              <w:t>17%</w:t>
            </w:r>
          </w:p>
        </w:tc>
        <w:tc>
          <w:tcPr>
            <w:tcW w:w="974" w:type="dxa"/>
            <w:noWrap/>
            <w:hideMark/>
          </w:tcPr>
          <w:p w:rsidR="00B818B6" w:rsidRPr="00422183" w:rsidRDefault="00B818B6" w:rsidP="00B818B6">
            <w:pPr>
              <w:jc w:val="both"/>
              <w:rPr>
                <w:rFonts w:ascii="Rockwell" w:hAnsi="Rockwell"/>
                <w:szCs w:val="24"/>
              </w:rPr>
            </w:pPr>
            <w:r w:rsidRPr="00422183">
              <w:rPr>
                <w:rFonts w:ascii="Rockwell" w:hAnsi="Rockwell"/>
                <w:szCs w:val="24"/>
              </w:rPr>
              <w:t>35%</w:t>
            </w:r>
          </w:p>
        </w:tc>
        <w:tc>
          <w:tcPr>
            <w:tcW w:w="870" w:type="dxa"/>
            <w:noWrap/>
            <w:hideMark/>
          </w:tcPr>
          <w:p w:rsidR="00B818B6" w:rsidRPr="00422183" w:rsidRDefault="00B818B6" w:rsidP="00B818B6">
            <w:pPr>
              <w:jc w:val="both"/>
              <w:rPr>
                <w:rFonts w:ascii="Rockwell" w:hAnsi="Rockwell"/>
                <w:szCs w:val="24"/>
              </w:rPr>
            </w:pPr>
            <w:r w:rsidRPr="00422183">
              <w:rPr>
                <w:rFonts w:ascii="Rockwell" w:hAnsi="Rockwell"/>
                <w:szCs w:val="24"/>
              </w:rPr>
              <w:t>50%</w:t>
            </w:r>
          </w:p>
        </w:tc>
        <w:tc>
          <w:tcPr>
            <w:tcW w:w="614" w:type="dxa"/>
          </w:tcPr>
          <w:p w:rsidR="00B818B6" w:rsidRPr="00422183" w:rsidRDefault="00B818B6" w:rsidP="00B818B6">
            <w:pPr>
              <w:jc w:val="both"/>
              <w:rPr>
                <w:rFonts w:ascii="Rockwell" w:hAnsi="Rockwell"/>
                <w:sz w:val="24"/>
                <w:szCs w:val="24"/>
              </w:rPr>
            </w:pPr>
          </w:p>
        </w:tc>
        <w:tc>
          <w:tcPr>
            <w:tcW w:w="614" w:type="dxa"/>
          </w:tcPr>
          <w:p w:rsidR="00B818B6" w:rsidRPr="00422183" w:rsidRDefault="00B818B6" w:rsidP="00B818B6">
            <w:pPr>
              <w:jc w:val="both"/>
              <w:rPr>
                <w:rFonts w:ascii="Rockwell" w:hAnsi="Rockwell"/>
                <w:sz w:val="24"/>
                <w:szCs w:val="24"/>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3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260DB3" w:rsidP="00B818B6">
            <w:pPr>
              <w:jc w:val="both"/>
              <w:rPr>
                <w:rFonts w:ascii="Rockwell" w:hAnsi="Rockwell"/>
                <w:sz w:val="18"/>
                <w:szCs w:val="24"/>
              </w:rPr>
            </w:pPr>
            <w:r w:rsidRPr="00422183">
              <w:rPr>
                <w:rFonts w:ascii="Rockwell" w:hAnsi="Rockwell"/>
                <w:sz w:val="18"/>
                <w:szCs w:val="24"/>
              </w:rPr>
              <w:t>Nombre d’éco villages créé</w:t>
            </w:r>
            <w:r w:rsidR="00B818B6" w:rsidRPr="00422183">
              <w:rPr>
                <w:rFonts w:ascii="Rockwell" w:hAnsi="Rockwell"/>
                <w:sz w:val="18"/>
                <w:szCs w:val="24"/>
              </w:rPr>
              <w:t>s</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d’étude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Cs w:val="24"/>
              </w:rPr>
            </w:pPr>
            <w:r w:rsidRPr="00422183">
              <w:rPr>
                <w:rFonts w:ascii="Rockwell" w:hAnsi="Rockwell"/>
                <w:szCs w:val="24"/>
              </w:rPr>
              <w:t>0</w:t>
            </w:r>
          </w:p>
        </w:tc>
        <w:tc>
          <w:tcPr>
            <w:tcW w:w="974" w:type="dxa"/>
            <w:noWrap/>
            <w:hideMark/>
          </w:tcPr>
          <w:p w:rsidR="00B818B6" w:rsidRPr="00422183" w:rsidRDefault="00B818B6" w:rsidP="00B818B6">
            <w:pPr>
              <w:jc w:val="both"/>
              <w:rPr>
                <w:rFonts w:ascii="Rockwell" w:hAnsi="Rockwell"/>
                <w:szCs w:val="24"/>
              </w:rPr>
            </w:pPr>
            <w:r w:rsidRPr="00422183">
              <w:rPr>
                <w:rFonts w:ascii="Rockwell" w:hAnsi="Rockwell"/>
                <w:szCs w:val="24"/>
              </w:rPr>
              <w:t>500</w:t>
            </w:r>
          </w:p>
        </w:tc>
        <w:tc>
          <w:tcPr>
            <w:tcW w:w="870" w:type="dxa"/>
            <w:noWrap/>
            <w:hideMark/>
          </w:tcPr>
          <w:p w:rsidR="00B818B6" w:rsidRPr="00422183" w:rsidRDefault="00B818B6" w:rsidP="00B818B6">
            <w:pPr>
              <w:jc w:val="both"/>
              <w:rPr>
                <w:rFonts w:ascii="Rockwell" w:hAnsi="Rockwell"/>
                <w:szCs w:val="24"/>
              </w:rPr>
            </w:pPr>
            <w:r w:rsidRPr="00422183">
              <w:rPr>
                <w:rFonts w:ascii="Rockwell" w:hAnsi="Rockwell"/>
                <w:szCs w:val="24"/>
              </w:rPr>
              <w:t>2</w:t>
            </w:r>
            <w:r w:rsidR="00260DB3" w:rsidRPr="00422183">
              <w:rPr>
                <w:rFonts w:ascii="Rockwell" w:hAnsi="Rockwell"/>
                <w:szCs w:val="24"/>
              </w:rPr>
              <w:t xml:space="preserve"> </w:t>
            </w:r>
            <w:r w:rsidRPr="00422183">
              <w:rPr>
                <w:rFonts w:ascii="Rockwell" w:hAnsi="Rockwell"/>
                <w:szCs w:val="24"/>
              </w:rPr>
              <w:t>000</w:t>
            </w:r>
          </w:p>
        </w:tc>
        <w:tc>
          <w:tcPr>
            <w:tcW w:w="614" w:type="dxa"/>
          </w:tcPr>
          <w:p w:rsidR="00B818B6" w:rsidRPr="00422183" w:rsidRDefault="00B818B6" w:rsidP="00B818B6">
            <w:pPr>
              <w:jc w:val="both"/>
              <w:rPr>
                <w:rFonts w:ascii="Rockwell" w:hAnsi="Rockwell"/>
                <w:sz w:val="24"/>
                <w:szCs w:val="24"/>
              </w:rPr>
            </w:pPr>
          </w:p>
        </w:tc>
        <w:tc>
          <w:tcPr>
            <w:tcW w:w="614" w:type="dxa"/>
          </w:tcPr>
          <w:p w:rsidR="00B818B6" w:rsidRPr="00422183" w:rsidRDefault="00B818B6" w:rsidP="00B818B6">
            <w:pPr>
              <w:jc w:val="both"/>
              <w:rPr>
                <w:rFonts w:ascii="Rockwell" w:hAnsi="Rockwell"/>
                <w:sz w:val="24"/>
                <w:szCs w:val="24"/>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r w:rsidR="00B818B6" w:rsidRPr="00422183" w:rsidTr="00E8632D">
        <w:trPr>
          <w:trHeight w:val="600"/>
        </w:trPr>
        <w:tc>
          <w:tcPr>
            <w:tcW w:w="2395" w:type="dxa"/>
            <w:vMerge/>
            <w:noWrap/>
            <w:hideMark/>
          </w:tcPr>
          <w:p w:rsidR="00B818B6" w:rsidRPr="00422183" w:rsidRDefault="00B818B6" w:rsidP="00B818B6">
            <w:pPr>
              <w:rPr>
                <w:rFonts w:ascii="Rockwell" w:hAnsi="Rockwell"/>
                <w:sz w:val="18"/>
              </w:rPr>
            </w:pPr>
          </w:p>
        </w:tc>
        <w:tc>
          <w:tcPr>
            <w:tcW w:w="2613" w:type="dxa"/>
            <w:gridSpan w:val="2"/>
            <w:hideMark/>
          </w:tcPr>
          <w:p w:rsidR="00B818B6" w:rsidRPr="00422183" w:rsidRDefault="00B818B6" w:rsidP="00B818B6">
            <w:pPr>
              <w:jc w:val="both"/>
              <w:rPr>
                <w:rFonts w:ascii="Rockwell" w:hAnsi="Rockwell"/>
                <w:sz w:val="18"/>
                <w:szCs w:val="24"/>
              </w:rPr>
            </w:pPr>
            <w:r w:rsidRPr="00422183">
              <w:rPr>
                <w:rFonts w:ascii="Rockwell" w:hAnsi="Rockwell"/>
                <w:sz w:val="18"/>
                <w:szCs w:val="24"/>
              </w:rPr>
              <w:t xml:space="preserve">Quantité de carbone séquestré en millions de tonnes </w:t>
            </w:r>
          </w:p>
        </w:tc>
        <w:tc>
          <w:tcPr>
            <w:tcW w:w="1387" w:type="dxa"/>
            <w:gridSpan w:val="3"/>
          </w:tcPr>
          <w:p w:rsidR="00B818B6" w:rsidRPr="00422183" w:rsidRDefault="00B818B6" w:rsidP="00B818B6">
            <w:pPr>
              <w:rPr>
                <w:rFonts w:ascii="Rockwell" w:hAnsi="Rockwell"/>
                <w:sz w:val="18"/>
              </w:rPr>
            </w:pPr>
            <w:r w:rsidRPr="00422183">
              <w:rPr>
                <w:rFonts w:ascii="Rockwell" w:hAnsi="Rockwell"/>
                <w:sz w:val="18"/>
              </w:rPr>
              <w:t>Rapport d’étude</w:t>
            </w:r>
          </w:p>
        </w:tc>
        <w:tc>
          <w:tcPr>
            <w:tcW w:w="1360" w:type="dxa"/>
          </w:tcPr>
          <w:p w:rsidR="00B818B6" w:rsidRPr="00422183" w:rsidRDefault="00B818B6" w:rsidP="00B818B6">
            <w:pPr>
              <w:rPr>
                <w:rFonts w:ascii="Rockwell" w:hAnsi="Rockwell"/>
                <w:sz w:val="18"/>
              </w:rPr>
            </w:pPr>
            <w:r w:rsidRPr="00422183">
              <w:rPr>
                <w:rFonts w:ascii="Rockwell" w:hAnsi="Rockwell"/>
                <w:sz w:val="18"/>
              </w:rPr>
              <w:t>MEEVCC</w:t>
            </w:r>
          </w:p>
        </w:tc>
        <w:tc>
          <w:tcPr>
            <w:tcW w:w="1187" w:type="dxa"/>
            <w:gridSpan w:val="2"/>
            <w:noWrap/>
            <w:hideMark/>
          </w:tcPr>
          <w:p w:rsidR="00B818B6" w:rsidRPr="00422183" w:rsidRDefault="00B818B6" w:rsidP="00B818B6">
            <w:pPr>
              <w:jc w:val="both"/>
              <w:rPr>
                <w:rFonts w:ascii="Rockwell" w:hAnsi="Rockwell"/>
                <w:szCs w:val="24"/>
              </w:rPr>
            </w:pPr>
            <w:r w:rsidRPr="00422183">
              <w:rPr>
                <w:rFonts w:ascii="Rockwell" w:hAnsi="Rockwell"/>
                <w:szCs w:val="24"/>
              </w:rPr>
              <w:t>ND</w:t>
            </w:r>
          </w:p>
        </w:tc>
        <w:tc>
          <w:tcPr>
            <w:tcW w:w="974" w:type="dxa"/>
            <w:noWrap/>
            <w:hideMark/>
          </w:tcPr>
          <w:p w:rsidR="00B818B6" w:rsidRPr="00422183" w:rsidRDefault="00B818B6" w:rsidP="00B818B6">
            <w:pPr>
              <w:jc w:val="both"/>
              <w:rPr>
                <w:rFonts w:ascii="Rockwell" w:hAnsi="Rockwell"/>
                <w:szCs w:val="24"/>
              </w:rPr>
            </w:pPr>
            <w:r w:rsidRPr="00422183">
              <w:rPr>
                <w:rFonts w:ascii="Rockwell" w:hAnsi="Rockwell"/>
                <w:szCs w:val="24"/>
              </w:rPr>
              <w:t>2</w:t>
            </w:r>
          </w:p>
        </w:tc>
        <w:tc>
          <w:tcPr>
            <w:tcW w:w="870" w:type="dxa"/>
            <w:noWrap/>
            <w:hideMark/>
          </w:tcPr>
          <w:p w:rsidR="00B818B6" w:rsidRPr="00422183" w:rsidRDefault="00B818B6" w:rsidP="00B818B6">
            <w:pPr>
              <w:jc w:val="both"/>
              <w:rPr>
                <w:rFonts w:ascii="Rockwell" w:hAnsi="Rockwell"/>
                <w:szCs w:val="24"/>
              </w:rPr>
            </w:pPr>
            <w:r w:rsidRPr="00422183">
              <w:rPr>
                <w:rFonts w:ascii="Rockwell" w:hAnsi="Rockwell"/>
                <w:szCs w:val="24"/>
              </w:rPr>
              <w:t>8</w:t>
            </w:r>
          </w:p>
        </w:tc>
        <w:tc>
          <w:tcPr>
            <w:tcW w:w="614" w:type="dxa"/>
          </w:tcPr>
          <w:p w:rsidR="00B818B6" w:rsidRPr="00422183" w:rsidRDefault="00B818B6" w:rsidP="00B818B6">
            <w:pPr>
              <w:jc w:val="both"/>
              <w:rPr>
                <w:rFonts w:ascii="Rockwell" w:hAnsi="Rockwell"/>
                <w:sz w:val="24"/>
                <w:szCs w:val="24"/>
              </w:rPr>
            </w:pPr>
          </w:p>
        </w:tc>
        <w:tc>
          <w:tcPr>
            <w:tcW w:w="614" w:type="dxa"/>
          </w:tcPr>
          <w:p w:rsidR="00B818B6" w:rsidRPr="00422183" w:rsidRDefault="00B818B6" w:rsidP="00B818B6">
            <w:pPr>
              <w:jc w:val="both"/>
              <w:rPr>
                <w:rFonts w:ascii="Rockwell" w:hAnsi="Rockwell"/>
                <w:sz w:val="24"/>
                <w:szCs w:val="24"/>
              </w:rPr>
            </w:pPr>
          </w:p>
        </w:tc>
        <w:tc>
          <w:tcPr>
            <w:tcW w:w="1049" w:type="dxa"/>
          </w:tcPr>
          <w:p w:rsidR="00B818B6" w:rsidRPr="00422183" w:rsidRDefault="00B818B6" w:rsidP="00B818B6">
            <w:pPr>
              <w:rPr>
                <w:rFonts w:ascii="Rockwell" w:hAnsi="Rockwell"/>
                <w:sz w:val="18"/>
              </w:rPr>
            </w:pPr>
          </w:p>
        </w:tc>
        <w:tc>
          <w:tcPr>
            <w:tcW w:w="1225" w:type="dxa"/>
          </w:tcPr>
          <w:p w:rsidR="00B818B6" w:rsidRPr="00422183" w:rsidRDefault="00B818B6" w:rsidP="00B818B6">
            <w:pPr>
              <w:rPr>
                <w:rFonts w:ascii="Rockwell" w:hAnsi="Rockwell"/>
                <w:sz w:val="18"/>
              </w:rPr>
            </w:pPr>
          </w:p>
        </w:tc>
        <w:tc>
          <w:tcPr>
            <w:tcW w:w="1211" w:type="dxa"/>
          </w:tcPr>
          <w:p w:rsidR="00B818B6" w:rsidRPr="00422183" w:rsidRDefault="00B818B6" w:rsidP="00B818B6">
            <w:pPr>
              <w:rPr>
                <w:rFonts w:ascii="Rockwell" w:hAnsi="Rockwell"/>
                <w:sz w:val="18"/>
              </w:rPr>
            </w:pPr>
          </w:p>
        </w:tc>
      </w:tr>
    </w:tbl>
    <w:p w:rsidR="003B6634" w:rsidRPr="00422183" w:rsidRDefault="003B6634" w:rsidP="003A0820">
      <w:pPr>
        <w:spacing w:after="0" w:line="240" w:lineRule="auto"/>
        <w:jc w:val="both"/>
        <w:rPr>
          <w:rFonts w:ascii="Rockwell" w:hAnsi="Rockwell"/>
        </w:rPr>
      </w:pPr>
    </w:p>
    <w:p w:rsidR="00912504" w:rsidRPr="00422183" w:rsidRDefault="00912504" w:rsidP="003A0820">
      <w:pPr>
        <w:spacing w:after="0" w:line="240" w:lineRule="auto"/>
        <w:jc w:val="both"/>
        <w:rPr>
          <w:rFonts w:ascii="Rockwell" w:hAnsi="Rockwell"/>
        </w:rPr>
      </w:pPr>
      <w:r w:rsidRPr="00422183">
        <w:rPr>
          <w:rFonts w:ascii="Rockwell" w:hAnsi="Rockwell"/>
        </w:rPr>
        <w:br w:type="page"/>
      </w:r>
    </w:p>
    <w:p w:rsidR="00912504" w:rsidRPr="00422183" w:rsidRDefault="00827555" w:rsidP="003A0820">
      <w:pPr>
        <w:spacing w:after="0" w:line="240" w:lineRule="auto"/>
        <w:jc w:val="both"/>
        <w:rPr>
          <w:rFonts w:ascii="Rockwell" w:hAnsi="Rockwell"/>
          <w:b/>
          <w:sz w:val="24"/>
          <w:szCs w:val="24"/>
        </w:rPr>
      </w:pPr>
      <w:r w:rsidRPr="00422183">
        <w:rPr>
          <w:rFonts w:ascii="Rockwell" w:hAnsi="Rockwell"/>
          <w:b/>
          <w:sz w:val="24"/>
          <w:szCs w:val="24"/>
        </w:rPr>
        <w:t>Annexe 4 :</w:t>
      </w:r>
      <w:r w:rsidR="00A20044" w:rsidRPr="00422183">
        <w:rPr>
          <w:rFonts w:ascii="Rockwell" w:hAnsi="Rockwell"/>
          <w:b/>
          <w:sz w:val="24"/>
          <w:szCs w:val="24"/>
        </w:rPr>
        <w:t xml:space="preserve"> f</w:t>
      </w:r>
      <w:r w:rsidR="00912504" w:rsidRPr="00422183">
        <w:rPr>
          <w:rFonts w:ascii="Rockwell" w:hAnsi="Rockwell"/>
          <w:b/>
          <w:sz w:val="24"/>
          <w:szCs w:val="24"/>
        </w:rPr>
        <w:t xml:space="preserve">ormat du </w:t>
      </w:r>
      <w:r w:rsidR="00484D62" w:rsidRPr="00422183">
        <w:rPr>
          <w:rFonts w:ascii="Rockwell" w:hAnsi="Rockwell"/>
          <w:b/>
          <w:sz w:val="24"/>
          <w:szCs w:val="24"/>
        </w:rPr>
        <w:t>c</w:t>
      </w:r>
      <w:r w:rsidR="00912504" w:rsidRPr="00422183">
        <w:rPr>
          <w:rFonts w:ascii="Rockwell" w:hAnsi="Rockwell"/>
          <w:b/>
          <w:sz w:val="24"/>
          <w:szCs w:val="24"/>
        </w:rPr>
        <w:t xml:space="preserve">adre </w:t>
      </w:r>
      <w:r w:rsidR="00484D62" w:rsidRPr="00422183">
        <w:rPr>
          <w:rFonts w:ascii="Rockwell" w:hAnsi="Rockwell"/>
          <w:b/>
          <w:sz w:val="24"/>
          <w:szCs w:val="24"/>
        </w:rPr>
        <w:t>l</w:t>
      </w:r>
      <w:r w:rsidR="00912504" w:rsidRPr="00422183">
        <w:rPr>
          <w:rFonts w:ascii="Rockwell" w:hAnsi="Rockwell"/>
          <w:b/>
          <w:sz w:val="24"/>
          <w:szCs w:val="24"/>
        </w:rPr>
        <w:t xml:space="preserve">ogique </w:t>
      </w:r>
      <w:r w:rsidR="00484D62" w:rsidRPr="00422183">
        <w:rPr>
          <w:rFonts w:ascii="Rockwell" w:hAnsi="Rockwell"/>
          <w:b/>
          <w:sz w:val="24"/>
          <w:szCs w:val="24"/>
        </w:rPr>
        <w:t>s</w:t>
      </w:r>
      <w:r w:rsidR="00912504" w:rsidRPr="00422183">
        <w:rPr>
          <w:rFonts w:ascii="Rockwell" w:hAnsi="Rockwell"/>
          <w:b/>
          <w:sz w:val="24"/>
          <w:szCs w:val="24"/>
        </w:rPr>
        <w:t xml:space="preserve">ectoriel ou </w:t>
      </w:r>
      <w:r w:rsidR="00484D62" w:rsidRPr="00422183">
        <w:rPr>
          <w:rFonts w:ascii="Rockwell" w:hAnsi="Rockwell"/>
          <w:b/>
          <w:sz w:val="24"/>
          <w:szCs w:val="24"/>
        </w:rPr>
        <w:t>r</w:t>
      </w:r>
      <w:r w:rsidR="00912504" w:rsidRPr="00422183">
        <w:rPr>
          <w:rFonts w:ascii="Rockwell" w:hAnsi="Rockwell"/>
          <w:b/>
          <w:sz w:val="24"/>
          <w:szCs w:val="24"/>
        </w:rPr>
        <w:t>égional (par programme)</w:t>
      </w:r>
    </w:p>
    <w:p w:rsidR="00A20044" w:rsidRPr="00422183" w:rsidRDefault="00A20044" w:rsidP="003A0820">
      <w:pPr>
        <w:spacing w:after="0" w:line="240" w:lineRule="auto"/>
        <w:jc w:val="both"/>
        <w:rPr>
          <w:rFonts w:ascii="Rockwell" w:hAnsi="Rockwell"/>
          <w:sz w:val="24"/>
          <w:szCs w:val="24"/>
        </w:rPr>
      </w:pPr>
    </w:p>
    <w:tbl>
      <w:tblPr>
        <w:tblStyle w:val="Grilledutableau"/>
        <w:tblW w:w="14862" w:type="dxa"/>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4"/>
        <w:gridCol w:w="11768"/>
      </w:tblGrid>
      <w:tr w:rsidR="00912504" w:rsidRPr="00422183" w:rsidTr="006808EE">
        <w:tc>
          <w:tcPr>
            <w:tcW w:w="3094" w:type="dxa"/>
          </w:tcPr>
          <w:p w:rsidR="00912504" w:rsidRPr="00422183" w:rsidRDefault="00912504" w:rsidP="003A0820">
            <w:pPr>
              <w:jc w:val="both"/>
              <w:rPr>
                <w:rFonts w:ascii="Rockwell" w:hAnsi="Rockwell"/>
                <w:szCs w:val="24"/>
              </w:rPr>
            </w:pPr>
            <w:r w:rsidRPr="00422183">
              <w:rPr>
                <w:rFonts w:ascii="Rockwell" w:hAnsi="Rockwell"/>
                <w:szCs w:val="24"/>
              </w:rPr>
              <w:t xml:space="preserve">Intitulé du programme sectoriel ou régional : </w:t>
            </w:r>
          </w:p>
        </w:tc>
        <w:tc>
          <w:tcPr>
            <w:tcW w:w="11768" w:type="dxa"/>
            <w:shd w:val="clear" w:color="auto" w:fill="auto"/>
          </w:tcPr>
          <w:p w:rsidR="00912504" w:rsidRPr="00422183" w:rsidRDefault="00912504" w:rsidP="003A0820">
            <w:pPr>
              <w:jc w:val="both"/>
              <w:rPr>
                <w:rFonts w:ascii="Rockwell" w:hAnsi="Rockwell"/>
                <w:b/>
                <w:szCs w:val="24"/>
              </w:rPr>
            </w:pPr>
          </w:p>
        </w:tc>
      </w:tr>
      <w:tr w:rsidR="00912504" w:rsidRPr="00422183" w:rsidTr="006808EE">
        <w:tc>
          <w:tcPr>
            <w:tcW w:w="3094" w:type="dxa"/>
          </w:tcPr>
          <w:p w:rsidR="00912504" w:rsidRPr="00422183" w:rsidRDefault="00912504" w:rsidP="003A0820">
            <w:pPr>
              <w:jc w:val="both"/>
              <w:rPr>
                <w:rFonts w:ascii="Rockwell" w:hAnsi="Rockwell"/>
                <w:szCs w:val="24"/>
              </w:rPr>
            </w:pPr>
            <w:r w:rsidRPr="00422183">
              <w:rPr>
                <w:rFonts w:ascii="Rockwell" w:hAnsi="Rockwell"/>
                <w:szCs w:val="24"/>
              </w:rPr>
              <w:t xml:space="preserve">Impact escompté (PNDES) : </w:t>
            </w:r>
          </w:p>
        </w:tc>
        <w:tc>
          <w:tcPr>
            <w:tcW w:w="11768" w:type="dxa"/>
            <w:shd w:val="clear" w:color="auto" w:fill="auto"/>
          </w:tcPr>
          <w:p w:rsidR="00912504" w:rsidRPr="00422183" w:rsidRDefault="00912504" w:rsidP="003A0820">
            <w:pPr>
              <w:jc w:val="both"/>
              <w:rPr>
                <w:rFonts w:ascii="Rockwell" w:hAnsi="Rockwell"/>
                <w:b/>
                <w:szCs w:val="24"/>
              </w:rPr>
            </w:pPr>
          </w:p>
        </w:tc>
      </w:tr>
    </w:tbl>
    <w:p w:rsidR="00912504" w:rsidRPr="00422183" w:rsidRDefault="00912504" w:rsidP="003A0820">
      <w:pPr>
        <w:spacing w:after="0" w:line="240" w:lineRule="auto"/>
        <w:jc w:val="both"/>
        <w:rPr>
          <w:rFonts w:ascii="Rockwell" w:hAnsi="Rockwell"/>
          <w:sz w:val="24"/>
          <w:szCs w:val="24"/>
        </w:rPr>
      </w:pPr>
    </w:p>
    <w:p w:rsidR="00912504" w:rsidRPr="00422183" w:rsidRDefault="00912504" w:rsidP="003A0820">
      <w:pPr>
        <w:spacing w:after="0" w:line="240" w:lineRule="auto"/>
        <w:jc w:val="both"/>
        <w:rPr>
          <w:rFonts w:ascii="Rockwell" w:hAnsi="Rockwell"/>
          <w:i/>
          <w:sz w:val="24"/>
          <w:szCs w:val="24"/>
        </w:rPr>
      </w:pPr>
      <w:r w:rsidRPr="00422183">
        <w:rPr>
          <w:rFonts w:ascii="Rockwell" w:hAnsi="Rockwell"/>
          <w:i/>
          <w:sz w:val="24"/>
          <w:szCs w:val="24"/>
        </w:rPr>
        <w:t>(Pour chaque effet attendu du PNDES visé par le programme)</w:t>
      </w:r>
    </w:p>
    <w:tbl>
      <w:tblPr>
        <w:tblStyle w:val="Grilledutableau"/>
        <w:tblW w:w="15098" w:type="dxa"/>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2"/>
        <w:gridCol w:w="117"/>
        <w:gridCol w:w="1020"/>
        <w:gridCol w:w="1251"/>
        <w:gridCol w:w="152"/>
        <w:gridCol w:w="1261"/>
        <w:gridCol w:w="292"/>
        <w:gridCol w:w="572"/>
        <w:gridCol w:w="139"/>
        <w:gridCol w:w="11"/>
        <w:gridCol w:w="48"/>
        <w:gridCol w:w="960"/>
        <w:gridCol w:w="145"/>
        <w:gridCol w:w="1077"/>
        <w:gridCol w:w="166"/>
        <w:gridCol w:w="64"/>
        <w:gridCol w:w="238"/>
        <w:gridCol w:w="973"/>
        <w:gridCol w:w="213"/>
        <w:gridCol w:w="56"/>
        <w:gridCol w:w="180"/>
        <w:gridCol w:w="805"/>
        <w:gridCol w:w="116"/>
        <w:gridCol w:w="147"/>
        <w:gridCol w:w="106"/>
        <w:gridCol w:w="251"/>
        <w:gridCol w:w="263"/>
        <w:gridCol w:w="351"/>
        <w:gridCol w:w="112"/>
        <w:gridCol w:w="157"/>
        <w:gridCol w:w="105"/>
        <w:gridCol w:w="249"/>
        <w:gridCol w:w="263"/>
        <w:gridCol w:w="351"/>
        <w:gridCol w:w="267"/>
        <w:gridCol w:w="351"/>
        <w:gridCol w:w="274"/>
        <w:gridCol w:w="807"/>
        <w:gridCol w:w="306"/>
      </w:tblGrid>
      <w:tr w:rsidR="00912504" w:rsidRPr="00422183" w:rsidTr="006808EE">
        <w:tc>
          <w:tcPr>
            <w:tcW w:w="15098" w:type="dxa"/>
            <w:gridSpan w:val="39"/>
          </w:tcPr>
          <w:p w:rsidR="00912504" w:rsidRPr="00422183" w:rsidRDefault="00912504" w:rsidP="003A0820">
            <w:pPr>
              <w:jc w:val="both"/>
              <w:rPr>
                <w:rFonts w:ascii="Rockwell" w:hAnsi="Rockwell"/>
                <w:sz w:val="18"/>
                <w:szCs w:val="18"/>
              </w:rPr>
            </w:pPr>
            <w:r w:rsidRPr="00422183">
              <w:rPr>
                <w:rFonts w:ascii="Rockwell" w:hAnsi="Rockwell"/>
                <w:sz w:val="18"/>
                <w:szCs w:val="18"/>
              </w:rPr>
              <w:t xml:space="preserve">Objectif stratégique (PNDES) : </w:t>
            </w:r>
          </w:p>
        </w:tc>
      </w:tr>
      <w:tr w:rsidR="00912504" w:rsidRPr="00422183" w:rsidTr="006808EE">
        <w:tc>
          <w:tcPr>
            <w:tcW w:w="15098" w:type="dxa"/>
            <w:gridSpan w:val="39"/>
            <w:shd w:val="clear" w:color="auto" w:fill="FFFF00"/>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Effet attendu (PNDES) : </w:t>
            </w:r>
          </w:p>
        </w:tc>
      </w:tr>
      <w:tr w:rsidR="00B3094D" w:rsidRPr="00422183" w:rsidTr="006808EE">
        <w:tc>
          <w:tcPr>
            <w:tcW w:w="88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Code</w:t>
            </w:r>
          </w:p>
        </w:tc>
        <w:tc>
          <w:tcPr>
            <w:tcW w:w="4863" w:type="dxa"/>
            <w:gridSpan w:val="10"/>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de l</w:t>
            </w:r>
            <w:r w:rsidR="006C72DE" w:rsidRPr="00422183">
              <w:rPr>
                <w:rFonts w:ascii="Rockwell" w:hAnsi="Rockwell"/>
                <w:b/>
                <w:sz w:val="18"/>
                <w:szCs w:val="18"/>
              </w:rPr>
              <w:t>'</w:t>
            </w:r>
            <w:r w:rsidRPr="00422183">
              <w:rPr>
                <w:rFonts w:ascii="Rockwell" w:hAnsi="Rockwell"/>
                <w:b/>
                <w:sz w:val="18"/>
                <w:szCs w:val="18"/>
              </w:rPr>
              <w:t>effet</w:t>
            </w:r>
          </w:p>
        </w:tc>
        <w:tc>
          <w:tcPr>
            <w:tcW w:w="1105"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Source de données</w:t>
            </w:r>
          </w:p>
        </w:tc>
        <w:tc>
          <w:tcPr>
            <w:tcW w:w="1545"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Responsable</w:t>
            </w:r>
          </w:p>
        </w:tc>
        <w:tc>
          <w:tcPr>
            <w:tcW w:w="1422"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Réf.</w:t>
            </w:r>
          </w:p>
        </w:tc>
        <w:tc>
          <w:tcPr>
            <w:tcW w:w="1174"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2018</w:t>
            </w:r>
          </w:p>
        </w:tc>
        <w:tc>
          <w:tcPr>
            <w:tcW w:w="1239" w:type="dxa"/>
            <w:gridSpan w:val="6"/>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2020</w:t>
            </w:r>
          </w:p>
        </w:tc>
        <w:tc>
          <w:tcPr>
            <w:tcW w:w="2868" w:type="dxa"/>
            <w:gridSpan w:val="8"/>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Hypothèses / Risques</w:t>
            </w:r>
          </w:p>
        </w:tc>
      </w:tr>
      <w:tr w:rsidR="00B3094D" w:rsidRPr="00422183" w:rsidTr="006808EE">
        <w:tc>
          <w:tcPr>
            <w:tcW w:w="882" w:type="dxa"/>
          </w:tcPr>
          <w:p w:rsidR="00912504" w:rsidRPr="00422183" w:rsidRDefault="00912504" w:rsidP="003A0820">
            <w:pPr>
              <w:jc w:val="both"/>
              <w:rPr>
                <w:rFonts w:ascii="Rockwell" w:hAnsi="Rockwell"/>
                <w:sz w:val="18"/>
                <w:szCs w:val="18"/>
              </w:rPr>
            </w:pPr>
          </w:p>
        </w:tc>
        <w:tc>
          <w:tcPr>
            <w:tcW w:w="4863" w:type="dxa"/>
            <w:gridSpan w:val="10"/>
          </w:tcPr>
          <w:p w:rsidR="00912504" w:rsidRPr="00422183" w:rsidRDefault="00912504" w:rsidP="003A0820">
            <w:pPr>
              <w:jc w:val="both"/>
              <w:rPr>
                <w:rFonts w:ascii="Rockwell" w:hAnsi="Rockwell"/>
                <w:sz w:val="18"/>
                <w:szCs w:val="18"/>
              </w:rPr>
            </w:pPr>
          </w:p>
        </w:tc>
        <w:tc>
          <w:tcPr>
            <w:tcW w:w="1105" w:type="dxa"/>
            <w:gridSpan w:val="2"/>
          </w:tcPr>
          <w:p w:rsidR="00912504" w:rsidRPr="00422183" w:rsidRDefault="00912504" w:rsidP="003A0820">
            <w:pPr>
              <w:jc w:val="both"/>
              <w:rPr>
                <w:rFonts w:ascii="Rockwell" w:hAnsi="Rockwell"/>
                <w:sz w:val="18"/>
                <w:szCs w:val="18"/>
              </w:rPr>
            </w:pPr>
          </w:p>
        </w:tc>
        <w:tc>
          <w:tcPr>
            <w:tcW w:w="1545" w:type="dxa"/>
            <w:gridSpan w:val="4"/>
          </w:tcPr>
          <w:p w:rsidR="00912504" w:rsidRPr="00422183" w:rsidRDefault="00912504" w:rsidP="003A0820">
            <w:pPr>
              <w:jc w:val="both"/>
              <w:rPr>
                <w:rFonts w:ascii="Rockwell" w:hAnsi="Rockwell"/>
                <w:sz w:val="18"/>
                <w:szCs w:val="18"/>
              </w:rPr>
            </w:pPr>
          </w:p>
        </w:tc>
        <w:tc>
          <w:tcPr>
            <w:tcW w:w="1422" w:type="dxa"/>
            <w:gridSpan w:val="4"/>
          </w:tcPr>
          <w:p w:rsidR="00912504" w:rsidRPr="00422183" w:rsidRDefault="00912504" w:rsidP="003A0820">
            <w:pPr>
              <w:jc w:val="both"/>
              <w:rPr>
                <w:rFonts w:ascii="Rockwell" w:hAnsi="Rockwell"/>
                <w:sz w:val="18"/>
                <w:szCs w:val="18"/>
              </w:rPr>
            </w:pPr>
          </w:p>
        </w:tc>
        <w:tc>
          <w:tcPr>
            <w:tcW w:w="1174" w:type="dxa"/>
            <w:gridSpan w:val="4"/>
          </w:tcPr>
          <w:p w:rsidR="00912504" w:rsidRPr="00422183" w:rsidRDefault="00912504" w:rsidP="003A0820">
            <w:pPr>
              <w:jc w:val="both"/>
              <w:rPr>
                <w:rFonts w:ascii="Rockwell" w:hAnsi="Rockwell"/>
                <w:sz w:val="18"/>
                <w:szCs w:val="18"/>
              </w:rPr>
            </w:pPr>
          </w:p>
        </w:tc>
        <w:tc>
          <w:tcPr>
            <w:tcW w:w="1239" w:type="dxa"/>
            <w:gridSpan w:val="6"/>
          </w:tcPr>
          <w:p w:rsidR="00912504" w:rsidRPr="00422183" w:rsidRDefault="00912504" w:rsidP="003A0820">
            <w:pPr>
              <w:jc w:val="both"/>
              <w:rPr>
                <w:rFonts w:ascii="Rockwell" w:hAnsi="Rockwell"/>
                <w:sz w:val="18"/>
                <w:szCs w:val="18"/>
              </w:rPr>
            </w:pPr>
          </w:p>
        </w:tc>
        <w:tc>
          <w:tcPr>
            <w:tcW w:w="2868" w:type="dxa"/>
            <w:gridSpan w:val="8"/>
            <w:vMerge w:val="restart"/>
          </w:tcPr>
          <w:p w:rsidR="00912504" w:rsidRPr="00422183" w:rsidRDefault="00912504" w:rsidP="003A0820">
            <w:pPr>
              <w:jc w:val="both"/>
              <w:rPr>
                <w:rFonts w:ascii="Rockwell" w:hAnsi="Rockwell"/>
                <w:sz w:val="18"/>
                <w:szCs w:val="18"/>
              </w:rPr>
            </w:pPr>
          </w:p>
        </w:tc>
      </w:tr>
      <w:tr w:rsidR="00B3094D" w:rsidRPr="00422183" w:rsidTr="006808EE">
        <w:tc>
          <w:tcPr>
            <w:tcW w:w="882" w:type="dxa"/>
          </w:tcPr>
          <w:p w:rsidR="00912504" w:rsidRPr="00422183" w:rsidRDefault="00912504" w:rsidP="003A0820">
            <w:pPr>
              <w:jc w:val="both"/>
              <w:rPr>
                <w:rFonts w:ascii="Rockwell" w:hAnsi="Rockwell"/>
                <w:sz w:val="18"/>
                <w:szCs w:val="18"/>
              </w:rPr>
            </w:pPr>
          </w:p>
        </w:tc>
        <w:tc>
          <w:tcPr>
            <w:tcW w:w="4863" w:type="dxa"/>
            <w:gridSpan w:val="10"/>
          </w:tcPr>
          <w:p w:rsidR="00912504" w:rsidRPr="00422183" w:rsidRDefault="00912504" w:rsidP="003A0820">
            <w:pPr>
              <w:jc w:val="both"/>
              <w:rPr>
                <w:rFonts w:ascii="Rockwell" w:hAnsi="Rockwell"/>
                <w:sz w:val="18"/>
                <w:szCs w:val="18"/>
              </w:rPr>
            </w:pPr>
          </w:p>
        </w:tc>
        <w:tc>
          <w:tcPr>
            <w:tcW w:w="1105" w:type="dxa"/>
            <w:gridSpan w:val="2"/>
          </w:tcPr>
          <w:p w:rsidR="00912504" w:rsidRPr="00422183" w:rsidRDefault="00912504" w:rsidP="003A0820">
            <w:pPr>
              <w:jc w:val="both"/>
              <w:rPr>
                <w:rFonts w:ascii="Rockwell" w:hAnsi="Rockwell"/>
                <w:sz w:val="18"/>
                <w:szCs w:val="18"/>
              </w:rPr>
            </w:pPr>
          </w:p>
        </w:tc>
        <w:tc>
          <w:tcPr>
            <w:tcW w:w="1545" w:type="dxa"/>
            <w:gridSpan w:val="4"/>
          </w:tcPr>
          <w:p w:rsidR="00912504" w:rsidRPr="00422183" w:rsidRDefault="00912504" w:rsidP="003A0820">
            <w:pPr>
              <w:jc w:val="both"/>
              <w:rPr>
                <w:rFonts w:ascii="Rockwell" w:hAnsi="Rockwell"/>
                <w:sz w:val="18"/>
                <w:szCs w:val="18"/>
              </w:rPr>
            </w:pPr>
          </w:p>
        </w:tc>
        <w:tc>
          <w:tcPr>
            <w:tcW w:w="1422" w:type="dxa"/>
            <w:gridSpan w:val="4"/>
          </w:tcPr>
          <w:p w:rsidR="00912504" w:rsidRPr="00422183" w:rsidRDefault="00912504" w:rsidP="003A0820">
            <w:pPr>
              <w:jc w:val="both"/>
              <w:rPr>
                <w:rFonts w:ascii="Rockwell" w:hAnsi="Rockwell"/>
                <w:sz w:val="18"/>
                <w:szCs w:val="18"/>
              </w:rPr>
            </w:pPr>
          </w:p>
        </w:tc>
        <w:tc>
          <w:tcPr>
            <w:tcW w:w="1174" w:type="dxa"/>
            <w:gridSpan w:val="4"/>
          </w:tcPr>
          <w:p w:rsidR="00912504" w:rsidRPr="00422183" w:rsidRDefault="00912504" w:rsidP="003A0820">
            <w:pPr>
              <w:jc w:val="both"/>
              <w:rPr>
                <w:rFonts w:ascii="Rockwell" w:hAnsi="Rockwell"/>
                <w:sz w:val="18"/>
                <w:szCs w:val="18"/>
              </w:rPr>
            </w:pPr>
          </w:p>
        </w:tc>
        <w:tc>
          <w:tcPr>
            <w:tcW w:w="1239" w:type="dxa"/>
            <w:gridSpan w:val="6"/>
          </w:tcPr>
          <w:p w:rsidR="00912504" w:rsidRPr="00422183" w:rsidRDefault="00912504" w:rsidP="003A0820">
            <w:pPr>
              <w:jc w:val="both"/>
              <w:rPr>
                <w:rFonts w:ascii="Rockwell" w:hAnsi="Rockwell"/>
                <w:sz w:val="18"/>
                <w:szCs w:val="18"/>
              </w:rPr>
            </w:pPr>
          </w:p>
        </w:tc>
        <w:tc>
          <w:tcPr>
            <w:tcW w:w="2868" w:type="dxa"/>
            <w:gridSpan w:val="8"/>
            <w:vMerge/>
          </w:tcPr>
          <w:p w:rsidR="00912504" w:rsidRPr="00422183" w:rsidRDefault="00912504" w:rsidP="003A0820">
            <w:pPr>
              <w:jc w:val="both"/>
              <w:rPr>
                <w:rFonts w:ascii="Rockwell" w:hAnsi="Rockwell"/>
                <w:sz w:val="18"/>
                <w:szCs w:val="18"/>
              </w:rPr>
            </w:pPr>
          </w:p>
        </w:tc>
      </w:tr>
      <w:tr w:rsidR="00912504" w:rsidRPr="00422183" w:rsidTr="006808EE">
        <w:tc>
          <w:tcPr>
            <w:tcW w:w="15098" w:type="dxa"/>
            <w:gridSpan w:val="39"/>
            <w:shd w:val="clear" w:color="auto" w:fill="FFC000"/>
          </w:tcPr>
          <w:p w:rsidR="00912504" w:rsidRPr="00422183" w:rsidRDefault="00912504" w:rsidP="003A0820">
            <w:pPr>
              <w:jc w:val="both"/>
              <w:rPr>
                <w:rFonts w:ascii="Rockwell" w:hAnsi="Rockwell"/>
                <w:b/>
                <w:sz w:val="18"/>
                <w:szCs w:val="18"/>
              </w:rPr>
            </w:pPr>
            <w:r w:rsidRPr="00422183">
              <w:rPr>
                <w:rFonts w:ascii="Rockwell" w:hAnsi="Rockwell"/>
                <w:b/>
                <w:sz w:val="18"/>
                <w:szCs w:val="18"/>
              </w:rPr>
              <w:t>Sous-effet attendu 1 (éventuellement) :</w:t>
            </w:r>
          </w:p>
        </w:tc>
      </w:tr>
      <w:tr w:rsidR="00B3094D" w:rsidRPr="00422183" w:rsidTr="006808EE">
        <w:tc>
          <w:tcPr>
            <w:tcW w:w="88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Code</w:t>
            </w:r>
          </w:p>
        </w:tc>
        <w:tc>
          <w:tcPr>
            <w:tcW w:w="4863" w:type="dxa"/>
            <w:gridSpan w:val="10"/>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du sous-effet</w:t>
            </w:r>
          </w:p>
        </w:tc>
        <w:tc>
          <w:tcPr>
            <w:tcW w:w="1105"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Source de données</w:t>
            </w:r>
          </w:p>
        </w:tc>
        <w:tc>
          <w:tcPr>
            <w:tcW w:w="1545"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Responsable</w:t>
            </w:r>
          </w:p>
        </w:tc>
        <w:tc>
          <w:tcPr>
            <w:tcW w:w="1422"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Réf.</w:t>
            </w:r>
          </w:p>
        </w:tc>
        <w:tc>
          <w:tcPr>
            <w:tcW w:w="1174"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2018</w:t>
            </w:r>
          </w:p>
        </w:tc>
        <w:tc>
          <w:tcPr>
            <w:tcW w:w="1239" w:type="dxa"/>
            <w:gridSpan w:val="6"/>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2020</w:t>
            </w:r>
          </w:p>
        </w:tc>
        <w:tc>
          <w:tcPr>
            <w:tcW w:w="2868" w:type="dxa"/>
            <w:gridSpan w:val="8"/>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Hypothèses / Risques</w:t>
            </w:r>
          </w:p>
        </w:tc>
      </w:tr>
      <w:tr w:rsidR="00B3094D" w:rsidRPr="00422183" w:rsidTr="006808EE">
        <w:tc>
          <w:tcPr>
            <w:tcW w:w="882" w:type="dxa"/>
          </w:tcPr>
          <w:p w:rsidR="00912504" w:rsidRPr="00422183" w:rsidRDefault="00912504" w:rsidP="003A0820">
            <w:pPr>
              <w:jc w:val="both"/>
              <w:rPr>
                <w:rFonts w:ascii="Rockwell" w:hAnsi="Rockwell"/>
                <w:sz w:val="18"/>
                <w:szCs w:val="18"/>
              </w:rPr>
            </w:pPr>
          </w:p>
        </w:tc>
        <w:tc>
          <w:tcPr>
            <w:tcW w:w="4863" w:type="dxa"/>
            <w:gridSpan w:val="10"/>
          </w:tcPr>
          <w:p w:rsidR="00912504" w:rsidRPr="00422183" w:rsidRDefault="00912504" w:rsidP="003A0820">
            <w:pPr>
              <w:jc w:val="both"/>
              <w:rPr>
                <w:rFonts w:ascii="Rockwell" w:hAnsi="Rockwell"/>
                <w:sz w:val="18"/>
                <w:szCs w:val="18"/>
              </w:rPr>
            </w:pPr>
          </w:p>
        </w:tc>
        <w:tc>
          <w:tcPr>
            <w:tcW w:w="1105" w:type="dxa"/>
            <w:gridSpan w:val="2"/>
          </w:tcPr>
          <w:p w:rsidR="00912504" w:rsidRPr="00422183" w:rsidRDefault="00912504" w:rsidP="003A0820">
            <w:pPr>
              <w:jc w:val="both"/>
              <w:rPr>
                <w:rFonts w:ascii="Rockwell" w:hAnsi="Rockwell"/>
                <w:sz w:val="18"/>
                <w:szCs w:val="18"/>
              </w:rPr>
            </w:pPr>
          </w:p>
        </w:tc>
        <w:tc>
          <w:tcPr>
            <w:tcW w:w="1545" w:type="dxa"/>
            <w:gridSpan w:val="4"/>
          </w:tcPr>
          <w:p w:rsidR="00912504" w:rsidRPr="00422183" w:rsidRDefault="00912504" w:rsidP="003A0820">
            <w:pPr>
              <w:jc w:val="both"/>
              <w:rPr>
                <w:rFonts w:ascii="Rockwell" w:hAnsi="Rockwell"/>
                <w:sz w:val="18"/>
                <w:szCs w:val="18"/>
              </w:rPr>
            </w:pPr>
          </w:p>
        </w:tc>
        <w:tc>
          <w:tcPr>
            <w:tcW w:w="1422" w:type="dxa"/>
            <w:gridSpan w:val="4"/>
          </w:tcPr>
          <w:p w:rsidR="00912504" w:rsidRPr="00422183" w:rsidRDefault="00912504" w:rsidP="003A0820">
            <w:pPr>
              <w:jc w:val="both"/>
              <w:rPr>
                <w:rFonts w:ascii="Rockwell" w:hAnsi="Rockwell"/>
                <w:sz w:val="18"/>
                <w:szCs w:val="18"/>
              </w:rPr>
            </w:pPr>
          </w:p>
        </w:tc>
        <w:tc>
          <w:tcPr>
            <w:tcW w:w="1174" w:type="dxa"/>
            <w:gridSpan w:val="4"/>
          </w:tcPr>
          <w:p w:rsidR="00912504" w:rsidRPr="00422183" w:rsidRDefault="00912504" w:rsidP="003A0820">
            <w:pPr>
              <w:jc w:val="both"/>
              <w:rPr>
                <w:rFonts w:ascii="Rockwell" w:hAnsi="Rockwell"/>
                <w:sz w:val="18"/>
                <w:szCs w:val="18"/>
              </w:rPr>
            </w:pPr>
          </w:p>
        </w:tc>
        <w:tc>
          <w:tcPr>
            <w:tcW w:w="1239" w:type="dxa"/>
            <w:gridSpan w:val="6"/>
          </w:tcPr>
          <w:p w:rsidR="00912504" w:rsidRPr="00422183" w:rsidRDefault="00912504" w:rsidP="003A0820">
            <w:pPr>
              <w:jc w:val="both"/>
              <w:rPr>
                <w:rFonts w:ascii="Rockwell" w:hAnsi="Rockwell"/>
                <w:sz w:val="18"/>
                <w:szCs w:val="18"/>
              </w:rPr>
            </w:pPr>
          </w:p>
        </w:tc>
        <w:tc>
          <w:tcPr>
            <w:tcW w:w="2868" w:type="dxa"/>
            <w:gridSpan w:val="8"/>
            <w:vMerge w:val="restart"/>
          </w:tcPr>
          <w:p w:rsidR="00912504" w:rsidRPr="00422183" w:rsidRDefault="00912504" w:rsidP="003A0820">
            <w:pPr>
              <w:jc w:val="both"/>
              <w:rPr>
                <w:rFonts w:ascii="Rockwell" w:hAnsi="Rockwell"/>
                <w:sz w:val="18"/>
                <w:szCs w:val="18"/>
              </w:rPr>
            </w:pPr>
          </w:p>
        </w:tc>
      </w:tr>
      <w:tr w:rsidR="00B3094D" w:rsidRPr="00422183" w:rsidTr="006808EE">
        <w:tc>
          <w:tcPr>
            <w:tcW w:w="882" w:type="dxa"/>
          </w:tcPr>
          <w:p w:rsidR="00912504" w:rsidRPr="00422183" w:rsidRDefault="00912504" w:rsidP="003A0820">
            <w:pPr>
              <w:jc w:val="both"/>
              <w:rPr>
                <w:rFonts w:ascii="Rockwell" w:hAnsi="Rockwell"/>
                <w:sz w:val="18"/>
                <w:szCs w:val="18"/>
              </w:rPr>
            </w:pPr>
          </w:p>
        </w:tc>
        <w:tc>
          <w:tcPr>
            <w:tcW w:w="4863" w:type="dxa"/>
            <w:gridSpan w:val="10"/>
          </w:tcPr>
          <w:p w:rsidR="00912504" w:rsidRPr="00422183" w:rsidRDefault="00912504" w:rsidP="003A0820">
            <w:pPr>
              <w:jc w:val="both"/>
              <w:rPr>
                <w:rFonts w:ascii="Rockwell" w:hAnsi="Rockwell"/>
                <w:sz w:val="18"/>
                <w:szCs w:val="18"/>
              </w:rPr>
            </w:pPr>
          </w:p>
        </w:tc>
        <w:tc>
          <w:tcPr>
            <w:tcW w:w="1105" w:type="dxa"/>
            <w:gridSpan w:val="2"/>
          </w:tcPr>
          <w:p w:rsidR="00912504" w:rsidRPr="00422183" w:rsidRDefault="00912504" w:rsidP="003A0820">
            <w:pPr>
              <w:jc w:val="both"/>
              <w:rPr>
                <w:rFonts w:ascii="Rockwell" w:hAnsi="Rockwell"/>
                <w:sz w:val="18"/>
                <w:szCs w:val="18"/>
              </w:rPr>
            </w:pPr>
          </w:p>
        </w:tc>
        <w:tc>
          <w:tcPr>
            <w:tcW w:w="1545" w:type="dxa"/>
            <w:gridSpan w:val="4"/>
          </w:tcPr>
          <w:p w:rsidR="00912504" w:rsidRPr="00422183" w:rsidRDefault="00912504" w:rsidP="003A0820">
            <w:pPr>
              <w:jc w:val="both"/>
              <w:rPr>
                <w:rFonts w:ascii="Rockwell" w:hAnsi="Rockwell"/>
                <w:sz w:val="18"/>
                <w:szCs w:val="18"/>
              </w:rPr>
            </w:pPr>
          </w:p>
        </w:tc>
        <w:tc>
          <w:tcPr>
            <w:tcW w:w="1422" w:type="dxa"/>
            <w:gridSpan w:val="4"/>
          </w:tcPr>
          <w:p w:rsidR="00912504" w:rsidRPr="00422183" w:rsidRDefault="00912504" w:rsidP="003A0820">
            <w:pPr>
              <w:jc w:val="both"/>
              <w:rPr>
                <w:rFonts w:ascii="Rockwell" w:hAnsi="Rockwell"/>
                <w:sz w:val="18"/>
                <w:szCs w:val="18"/>
              </w:rPr>
            </w:pPr>
          </w:p>
        </w:tc>
        <w:tc>
          <w:tcPr>
            <w:tcW w:w="1174" w:type="dxa"/>
            <w:gridSpan w:val="4"/>
          </w:tcPr>
          <w:p w:rsidR="00912504" w:rsidRPr="00422183" w:rsidRDefault="00912504" w:rsidP="003A0820">
            <w:pPr>
              <w:jc w:val="both"/>
              <w:rPr>
                <w:rFonts w:ascii="Rockwell" w:hAnsi="Rockwell"/>
                <w:sz w:val="18"/>
                <w:szCs w:val="18"/>
              </w:rPr>
            </w:pPr>
          </w:p>
        </w:tc>
        <w:tc>
          <w:tcPr>
            <w:tcW w:w="1239" w:type="dxa"/>
            <w:gridSpan w:val="6"/>
          </w:tcPr>
          <w:p w:rsidR="00912504" w:rsidRPr="00422183" w:rsidRDefault="00912504" w:rsidP="003A0820">
            <w:pPr>
              <w:jc w:val="both"/>
              <w:rPr>
                <w:rFonts w:ascii="Rockwell" w:hAnsi="Rockwell"/>
                <w:sz w:val="18"/>
                <w:szCs w:val="18"/>
              </w:rPr>
            </w:pPr>
          </w:p>
        </w:tc>
        <w:tc>
          <w:tcPr>
            <w:tcW w:w="2868" w:type="dxa"/>
            <w:gridSpan w:val="8"/>
            <w:vMerge/>
          </w:tcPr>
          <w:p w:rsidR="00912504" w:rsidRPr="00422183" w:rsidRDefault="00912504" w:rsidP="003A0820">
            <w:pPr>
              <w:jc w:val="both"/>
              <w:rPr>
                <w:rFonts w:ascii="Rockwell" w:hAnsi="Rockwell"/>
                <w:sz w:val="18"/>
                <w:szCs w:val="18"/>
              </w:rPr>
            </w:pPr>
          </w:p>
        </w:tc>
      </w:tr>
      <w:tr w:rsidR="00B3094D" w:rsidRPr="00422183" w:rsidTr="006808EE">
        <w:tc>
          <w:tcPr>
            <w:tcW w:w="882" w:type="dxa"/>
          </w:tcPr>
          <w:p w:rsidR="00912504" w:rsidRPr="00422183" w:rsidRDefault="00912504" w:rsidP="003A0820">
            <w:pPr>
              <w:jc w:val="both"/>
              <w:rPr>
                <w:rFonts w:ascii="Rockwell" w:hAnsi="Rockwell"/>
                <w:sz w:val="18"/>
                <w:szCs w:val="18"/>
              </w:rPr>
            </w:pPr>
          </w:p>
        </w:tc>
        <w:tc>
          <w:tcPr>
            <w:tcW w:w="4863" w:type="dxa"/>
            <w:gridSpan w:val="10"/>
          </w:tcPr>
          <w:p w:rsidR="00912504" w:rsidRPr="00422183" w:rsidRDefault="00912504" w:rsidP="003A0820">
            <w:pPr>
              <w:jc w:val="both"/>
              <w:rPr>
                <w:rFonts w:ascii="Rockwell" w:hAnsi="Rockwell"/>
                <w:sz w:val="18"/>
                <w:szCs w:val="18"/>
              </w:rPr>
            </w:pPr>
          </w:p>
        </w:tc>
        <w:tc>
          <w:tcPr>
            <w:tcW w:w="1105" w:type="dxa"/>
            <w:gridSpan w:val="2"/>
          </w:tcPr>
          <w:p w:rsidR="00912504" w:rsidRPr="00422183" w:rsidRDefault="00912504" w:rsidP="003A0820">
            <w:pPr>
              <w:jc w:val="both"/>
              <w:rPr>
                <w:rFonts w:ascii="Rockwell" w:hAnsi="Rockwell"/>
                <w:sz w:val="18"/>
                <w:szCs w:val="18"/>
              </w:rPr>
            </w:pPr>
          </w:p>
        </w:tc>
        <w:tc>
          <w:tcPr>
            <w:tcW w:w="1545" w:type="dxa"/>
            <w:gridSpan w:val="4"/>
          </w:tcPr>
          <w:p w:rsidR="00912504" w:rsidRPr="00422183" w:rsidRDefault="00912504" w:rsidP="003A0820">
            <w:pPr>
              <w:jc w:val="both"/>
              <w:rPr>
                <w:rFonts w:ascii="Rockwell" w:hAnsi="Rockwell"/>
                <w:sz w:val="18"/>
                <w:szCs w:val="18"/>
              </w:rPr>
            </w:pPr>
          </w:p>
        </w:tc>
        <w:tc>
          <w:tcPr>
            <w:tcW w:w="1422" w:type="dxa"/>
            <w:gridSpan w:val="4"/>
          </w:tcPr>
          <w:p w:rsidR="00912504" w:rsidRPr="00422183" w:rsidRDefault="00912504" w:rsidP="003A0820">
            <w:pPr>
              <w:jc w:val="both"/>
              <w:rPr>
                <w:rFonts w:ascii="Rockwell" w:hAnsi="Rockwell"/>
                <w:sz w:val="18"/>
                <w:szCs w:val="18"/>
              </w:rPr>
            </w:pPr>
          </w:p>
        </w:tc>
        <w:tc>
          <w:tcPr>
            <w:tcW w:w="1174" w:type="dxa"/>
            <w:gridSpan w:val="4"/>
          </w:tcPr>
          <w:p w:rsidR="00912504" w:rsidRPr="00422183" w:rsidRDefault="00912504" w:rsidP="003A0820">
            <w:pPr>
              <w:jc w:val="both"/>
              <w:rPr>
                <w:rFonts w:ascii="Rockwell" w:hAnsi="Rockwell"/>
                <w:sz w:val="18"/>
                <w:szCs w:val="18"/>
              </w:rPr>
            </w:pPr>
          </w:p>
        </w:tc>
        <w:tc>
          <w:tcPr>
            <w:tcW w:w="1239" w:type="dxa"/>
            <w:gridSpan w:val="6"/>
          </w:tcPr>
          <w:p w:rsidR="00912504" w:rsidRPr="00422183" w:rsidRDefault="00912504" w:rsidP="003A0820">
            <w:pPr>
              <w:jc w:val="both"/>
              <w:rPr>
                <w:rFonts w:ascii="Rockwell" w:hAnsi="Rockwell"/>
                <w:sz w:val="18"/>
                <w:szCs w:val="18"/>
              </w:rPr>
            </w:pPr>
          </w:p>
        </w:tc>
        <w:tc>
          <w:tcPr>
            <w:tcW w:w="2868" w:type="dxa"/>
            <w:gridSpan w:val="8"/>
          </w:tcPr>
          <w:p w:rsidR="00912504" w:rsidRPr="00422183" w:rsidRDefault="00912504" w:rsidP="003A0820">
            <w:pPr>
              <w:jc w:val="both"/>
              <w:rPr>
                <w:rFonts w:ascii="Rockwell" w:hAnsi="Rockwell"/>
                <w:sz w:val="18"/>
                <w:szCs w:val="18"/>
              </w:rPr>
            </w:pPr>
          </w:p>
        </w:tc>
      </w:tr>
      <w:tr w:rsidR="00B3094D" w:rsidRPr="00422183" w:rsidTr="006808EE">
        <w:trPr>
          <w:tblHeader/>
        </w:trPr>
        <w:tc>
          <w:tcPr>
            <w:tcW w:w="999" w:type="dxa"/>
            <w:gridSpan w:val="2"/>
            <w:shd w:val="clear" w:color="auto" w:fill="C6D9F1" w:themeFill="text2" w:themeFillTint="33"/>
            <w:vAlign w:val="center"/>
          </w:tcPr>
          <w:p w:rsidR="00912504" w:rsidRPr="00422183" w:rsidRDefault="00912504" w:rsidP="003A0820">
            <w:pPr>
              <w:pStyle w:val="Paragraphedeliste"/>
              <w:ind w:left="45"/>
              <w:jc w:val="both"/>
              <w:rPr>
                <w:rFonts w:ascii="Rockwell" w:hAnsi="Rockwell"/>
                <w:b/>
                <w:sz w:val="18"/>
                <w:szCs w:val="18"/>
              </w:rPr>
            </w:pPr>
            <w:r w:rsidRPr="00422183">
              <w:rPr>
                <w:rFonts w:ascii="Rockwell" w:hAnsi="Rockwell"/>
                <w:b/>
                <w:sz w:val="18"/>
                <w:szCs w:val="18"/>
              </w:rPr>
              <w:t>Actions</w:t>
            </w:r>
          </w:p>
        </w:tc>
        <w:tc>
          <w:tcPr>
            <w:tcW w:w="1020" w:type="dxa"/>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Produits attendus</w:t>
            </w:r>
          </w:p>
        </w:tc>
        <w:tc>
          <w:tcPr>
            <w:tcW w:w="1403"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w:t>
            </w:r>
          </w:p>
        </w:tc>
        <w:tc>
          <w:tcPr>
            <w:tcW w:w="1553"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Bénéficiaires</w:t>
            </w:r>
          </w:p>
        </w:tc>
        <w:tc>
          <w:tcPr>
            <w:tcW w:w="722" w:type="dxa"/>
            <w:gridSpan w:val="3"/>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w:t>
            </w:r>
          </w:p>
        </w:tc>
        <w:tc>
          <w:tcPr>
            <w:tcW w:w="2460" w:type="dxa"/>
            <w:gridSpan w:val="6"/>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Activités</w:t>
            </w:r>
          </w:p>
        </w:tc>
        <w:tc>
          <w:tcPr>
            <w:tcW w:w="1480"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Responsables</w:t>
            </w:r>
          </w:p>
        </w:tc>
        <w:tc>
          <w:tcPr>
            <w:tcW w:w="1248"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Partenaires</w:t>
            </w:r>
          </w:p>
        </w:tc>
        <w:tc>
          <w:tcPr>
            <w:tcW w:w="620" w:type="dxa"/>
            <w:gridSpan w:val="3"/>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2016</w:t>
            </w:r>
          </w:p>
        </w:tc>
        <w:tc>
          <w:tcPr>
            <w:tcW w:w="620" w:type="dxa"/>
            <w:gridSpan w:val="3"/>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2017</w:t>
            </w:r>
          </w:p>
        </w:tc>
        <w:tc>
          <w:tcPr>
            <w:tcW w:w="617" w:type="dxa"/>
            <w:gridSpan w:val="3"/>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2018</w:t>
            </w:r>
          </w:p>
        </w:tc>
        <w:tc>
          <w:tcPr>
            <w:tcW w:w="618"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2019</w:t>
            </w:r>
          </w:p>
        </w:tc>
        <w:tc>
          <w:tcPr>
            <w:tcW w:w="625"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2020</w:t>
            </w:r>
          </w:p>
        </w:tc>
        <w:tc>
          <w:tcPr>
            <w:tcW w:w="1113"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Budget (millions)</w:t>
            </w:r>
          </w:p>
        </w:tc>
      </w:tr>
      <w:tr w:rsidR="00B3094D" w:rsidRPr="00422183" w:rsidTr="006808EE">
        <w:tc>
          <w:tcPr>
            <w:tcW w:w="999" w:type="dxa"/>
            <w:gridSpan w:val="2"/>
          </w:tcPr>
          <w:p w:rsidR="00912504" w:rsidRPr="00422183" w:rsidRDefault="00912504" w:rsidP="003A0820">
            <w:pPr>
              <w:pStyle w:val="Paragraphedeliste"/>
              <w:ind w:left="45"/>
              <w:jc w:val="both"/>
              <w:rPr>
                <w:rFonts w:ascii="Rockwell" w:hAnsi="Rockwell"/>
                <w:sz w:val="18"/>
                <w:szCs w:val="18"/>
              </w:rPr>
            </w:pPr>
          </w:p>
        </w:tc>
        <w:tc>
          <w:tcPr>
            <w:tcW w:w="1020" w:type="dxa"/>
          </w:tcPr>
          <w:p w:rsidR="00912504" w:rsidRPr="00422183" w:rsidRDefault="00912504" w:rsidP="003A0820">
            <w:pPr>
              <w:jc w:val="both"/>
              <w:rPr>
                <w:rFonts w:ascii="Rockwell" w:hAnsi="Rockwell"/>
                <w:sz w:val="18"/>
                <w:szCs w:val="18"/>
              </w:rPr>
            </w:pPr>
          </w:p>
        </w:tc>
        <w:tc>
          <w:tcPr>
            <w:tcW w:w="1403" w:type="dxa"/>
            <w:gridSpan w:val="2"/>
          </w:tcPr>
          <w:p w:rsidR="00912504" w:rsidRPr="00422183" w:rsidRDefault="00912504" w:rsidP="003A0820">
            <w:pPr>
              <w:jc w:val="both"/>
              <w:rPr>
                <w:rFonts w:ascii="Rockwell" w:hAnsi="Rockwell"/>
                <w:sz w:val="18"/>
                <w:szCs w:val="18"/>
              </w:rPr>
            </w:pPr>
          </w:p>
        </w:tc>
        <w:tc>
          <w:tcPr>
            <w:tcW w:w="1553" w:type="dxa"/>
            <w:gridSpan w:val="2"/>
          </w:tcPr>
          <w:p w:rsidR="00912504" w:rsidRPr="00422183" w:rsidRDefault="00912504" w:rsidP="003A0820">
            <w:pPr>
              <w:jc w:val="both"/>
              <w:rPr>
                <w:rFonts w:ascii="Rockwell" w:hAnsi="Rockwell"/>
                <w:sz w:val="18"/>
                <w:szCs w:val="18"/>
              </w:rPr>
            </w:pPr>
          </w:p>
        </w:tc>
        <w:tc>
          <w:tcPr>
            <w:tcW w:w="722" w:type="dxa"/>
            <w:gridSpan w:val="3"/>
          </w:tcPr>
          <w:p w:rsidR="00912504" w:rsidRPr="00422183" w:rsidRDefault="00912504" w:rsidP="003A0820">
            <w:pPr>
              <w:jc w:val="both"/>
              <w:rPr>
                <w:rFonts w:ascii="Rockwell" w:hAnsi="Rockwell"/>
                <w:sz w:val="18"/>
                <w:szCs w:val="18"/>
              </w:rPr>
            </w:pPr>
          </w:p>
        </w:tc>
        <w:tc>
          <w:tcPr>
            <w:tcW w:w="2460" w:type="dxa"/>
            <w:gridSpan w:val="6"/>
            <w:vAlign w:val="center"/>
          </w:tcPr>
          <w:p w:rsidR="00912504" w:rsidRPr="00422183" w:rsidRDefault="00912504" w:rsidP="003A0820">
            <w:pPr>
              <w:jc w:val="both"/>
              <w:rPr>
                <w:rFonts w:ascii="Rockwell" w:hAnsi="Rockwell"/>
                <w:sz w:val="18"/>
                <w:szCs w:val="18"/>
              </w:rPr>
            </w:pPr>
          </w:p>
        </w:tc>
        <w:tc>
          <w:tcPr>
            <w:tcW w:w="1480" w:type="dxa"/>
            <w:gridSpan w:val="4"/>
            <w:vAlign w:val="center"/>
          </w:tcPr>
          <w:p w:rsidR="00912504" w:rsidRPr="00422183" w:rsidRDefault="00912504" w:rsidP="003A0820">
            <w:pPr>
              <w:jc w:val="both"/>
              <w:rPr>
                <w:rFonts w:ascii="Rockwell" w:hAnsi="Rockwell"/>
                <w:sz w:val="18"/>
                <w:szCs w:val="18"/>
              </w:rPr>
            </w:pPr>
          </w:p>
        </w:tc>
        <w:tc>
          <w:tcPr>
            <w:tcW w:w="1248"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7"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5"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113" w:type="dxa"/>
            <w:gridSpan w:val="2"/>
            <w:vAlign w:val="center"/>
          </w:tcPr>
          <w:p w:rsidR="00912504" w:rsidRPr="00422183" w:rsidRDefault="00912504" w:rsidP="003A0820">
            <w:pPr>
              <w:jc w:val="both"/>
              <w:rPr>
                <w:rFonts w:ascii="Rockwell" w:hAnsi="Rockwell"/>
                <w:sz w:val="18"/>
                <w:szCs w:val="18"/>
                <w:lang w:val="en-US"/>
              </w:rPr>
            </w:pPr>
          </w:p>
        </w:tc>
      </w:tr>
      <w:tr w:rsidR="00B3094D" w:rsidRPr="00422183" w:rsidTr="006808EE">
        <w:trPr>
          <w:trHeight w:val="207"/>
        </w:trPr>
        <w:tc>
          <w:tcPr>
            <w:tcW w:w="999" w:type="dxa"/>
            <w:gridSpan w:val="2"/>
            <w:vAlign w:val="center"/>
          </w:tcPr>
          <w:p w:rsidR="00912504" w:rsidRPr="00422183" w:rsidRDefault="00912504" w:rsidP="003A0820">
            <w:pPr>
              <w:pStyle w:val="Paragraphedeliste"/>
              <w:ind w:left="45"/>
              <w:jc w:val="both"/>
              <w:rPr>
                <w:rFonts w:ascii="Rockwell" w:hAnsi="Rockwell"/>
                <w:sz w:val="18"/>
                <w:szCs w:val="18"/>
                <w:lang w:val="en-US"/>
              </w:rPr>
            </w:pPr>
          </w:p>
        </w:tc>
        <w:tc>
          <w:tcPr>
            <w:tcW w:w="1020" w:type="dxa"/>
            <w:vAlign w:val="center"/>
          </w:tcPr>
          <w:p w:rsidR="00912504" w:rsidRPr="00422183" w:rsidRDefault="00912504" w:rsidP="003A0820">
            <w:pPr>
              <w:jc w:val="both"/>
              <w:rPr>
                <w:rFonts w:ascii="Rockwell" w:hAnsi="Rockwell"/>
                <w:sz w:val="18"/>
                <w:szCs w:val="18"/>
                <w:lang w:val="en-US"/>
              </w:rPr>
            </w:pPr>
          </w:p>
        </w:tc>
        <w:tc>
          <w:tcPr>
            <w:tcW w:w="1403" w:type="dxa"/>
            <w:gridSpan w:val="2"/>
            <w:vAlign w:val="center"/>
          </w:tcPr>
          <w:p w:rsidR="00912504" w:rsidRPr="00422183" w:rsidRDefault="00912504" w:rsidP="003A0820">
            <w:pPr>
              <w:jc w:val="both"/>
              <w:rPr>
                <w:rFonts w:ascii="Rockwell" w:hAnsi="Rockwell"/>
                <w:sz w:val="18"/>
                <w:szCs w:val="18"/>
                <w:lang w:val="en-US"/>
              </w:rPr>
            </w:pPr>
          </w:p>
        </w:tc>
        <w:tc>
          <w:tcPr>
            <w:tcW w:w="1553" w:type="dxa"/>
            <w:gridSpan w:val="2"/>
            <w:vAlign w:val="center"/>
          </w:tcPr>
          <w:p w:rsidR="00912504" w:rsidRPr="00422183" w:rsidRDefault="00912504" w:rsidP="003A0820">
            <w:pPr>
              <w:jc w:val="both"/>
              <w:rPr>
                <w:rFonts w:ascii="Rockwell" w:hAnsi="Rockwell"/>
                <w:sz w:val="18"/>
                <w:szCs w:val="18"/>
                <w:lang w:val="en-US"/>
              </w:rPr>
            </w:pPr>
          </w:p>
        </w:tc>
        <w:tc>
          <w:tcPr>
            <w:tcW w:w="722" w:type="dxa"/>
            <w:gridSpan w:val="3"/>
            <w:vAlign w:val="center"/>
          </w:tcPr>
          <w:p w:rsidR="00912504" w:rsidRPr="00422183" w:rsidRDefault="00912504" w:rsidP="003A0820">
            <w:pPr>
              <w:jc w:val="both"/>
              <w:rPr>
                <w:rFonts w:ascii="Rockwell" w:hAnsi="Rockwell"/>
                <w:sz w:val="18"/>
                <w:szCs w:val="18"/>
                <w:lang w:val="en-US"/>
              </w:rPr>
            </w:pPr>
          </w:p>
        </w:tc>
        <w:tc>
          <w:tcPr>
            <w:tcW w:w="2460" w:type="dxa"/>
            <w:gridSpan w:val="6"/>
            <w:vAlign w:val="center"/>
          </w:tcPr>
          <w:p w:rsidR="00912504" w:rsidRPr="00422183" w:rsidRDefault="00912504" w:rsidP="003A0820">
            <w:pPr>
              <w:jc w:val="both"/>
              <w:rPr>
                <w:rFonts w:ascii="Rockwell" w:hAnsi="Rockwell"/>
                <w:sz w:val="18"/>
                <w:szCs w:val="18"/>
              </w:rPr>
            </w:pPr>
          </w:p>
        </w:tc>
        <w:tc>
          <w:tcPr>
            <w:tcW w:w="1480" w:type="dxa"/>
            <w:gridSpan w:val="4"/>
            <w:vAlign w:val="center"/>
          </w:tcPr>
          <w:p w:rsidR="00912504" w:rsidRPr="00422183" w:rsidRDefault="00912504" w:rsidP="003A0820">
            <w:pPr>
              <w:jc w:val="both"/>
              <w:rPr>
                <w:rFonts w:ascii="Rockwell" w:hAnsi="Rockwell"/>
                <w:sz w:val="18"/>
                <w:szCs w:val="18"/>
              </w:rPr>
            </w:pPr>
          </w:p>
        </w:tc>
        <w:tc>
          <w:tcPr>
            <w:tcW w:w="1248"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7"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5"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113" w:type="dxa"/>
            <w:gridSpan w:val="2"/>
            <w:vAlign w:val="center"/>
          </w:tcPr>
          <w:p w:rsidR="00912504" w:rsidRPr="00422183" w:rsidRDefault="00912504" w:rsidP="003A0820">
            <w:pPr>
              <w:jc w:val="both"/>
              <w:rPr>
                <w:rFonts w:ascii="Rockwell" w:hAnsi="Rockwell"/>
                <w:sz w:val="18"/>
                <w:szCs w:val="18"/>
                <w:lang w:val="en-US"/>
              </w:rPr>
            </w:pPr>
          </w:p>
        </w:tc>
      </w:tr>
      <w:tr w:rsidR="00B3094D" w:rsidRPr="00422183" w:rsidTr="006808EE">
        <w:tc>
          <w:tcPr>
            <w:tcW w:w="999" w:type="dxa"/>
            <w:gridSpan w:val="2"/>
            <w:vAlign w:val="center"/>
          </w:tcPr>
          <w:p w:rsidR="00912504" w:rsidRPr="00422183" w:rsidRDefault="00912504" w:rsidP="003A0820">
            <w:pPr>
              <w:pStyle w:val="Paragraphedeliste"/>
              <w:ind w:left="45"/>
              <w:jc w:val="both"/>
              <w:rPr>
                <w:rFonts w:ascii="Rockwell" w:hAnsi="Rockwell"/>
                <w:sz w:val="18"/>
                <w:szCs w:val="18"/>
                <w:lang w:val="en-US"/>
              </w:rPr>
            </w:pPr>
          </w:p>
        </w:tc>
        <w:tc>
          <w:tcPr>
            <w:tcW w:w="1020" w:type="dxa"/>
          </w:tcPr>
          <w:p w:rsidR="00912504" w:rsidRPr="00422183" w:rsidRDefault="00912504" w:rsidP="003A0820">
            <w:pPr>
              <w:jc w:val="both"/>
              <w:rPr>
                <w:rFonts w:ascii="Rockwell" w:hAnsi="Rockwell"/>
                <w:sz w:val="18"/>
                <w:szCs w:val="18"/>
              </w:rPr>
            </w:pPr>
          </w:p>
        </w:tc>
        <w:tc>
          <w:tcPr>
            <w:tcW w:w="1403" w:type="dxa"/>
            <w:gridSpan w:val="2"/>
          </w:tcPr>
          <w:p w:rsidR="00912504" w:rsidRPr="00422183" w:rsidRDefault="00912504" w:rsidP="003A0820">
            <w:pPr>
              <w:jc w:val="both"/>
              <w:rPr>
                <w:rFonts w:ascii="Rockwell" w:hAnsi="Rockwell"/>
                <w:sz w:val="18"/>
                <w:szCs w:val="18"/>
              </w:rPr>
            </w:pPr>
          </w:p>
        </w:tc>
        <w:tc>
          <w:tcPr>
            <w:tcW w:w="1553" w:type="dxa"/>
            <w:gridSpan w:val="2"/>
          </w:tcPr>
          <w:p w:rsidR="00912504" w:rsidRPr="00422183" w:rsidRDefault="00912504" w:rsidP="003A0820">
            <w:pPr>
              <w:jc w:val="both"/>
              <w:rPr>
                <w:rFonts w:ascii="Rockwell" w:hAnsi="Rockwell"/>
                <w:sz w:val="18"/>
                <w:szCs w:val="18"/>
              </w:rPr>
            </w:pPr>
          </w:p>
        </w:tc>
        <w:tc>
          <w:tcPr>
            <w:tcW w:w="722" w:type="dxa"/>
            <w:gridSpan w:val="3"/>
          </w:tcPr>
          <w:p w:rsidR="00912504" w:rsidRPr="00422183" w:rsidRDefault="00912504" w:rsidP="003A0820">
            <w:pPr>
              <w:jc w:val="both"/>
              <w:rPr>
                <w:rFonts w:ascii="Rockwell" w:hAnsi="Rockwell"/>
                <w:sz w:val="18"/>
                <w:szCs w:val="18"/>
              </w:rPr>
            </w:pPr>
          </w:p>
        </w:tc>
        <w:tc>
          <w:tcPr>
            <w:tcW w:w="2460" w:type="dxa"/>
            <w:gridSpan w:val="6"/>
            <w:vAlign w:val="center"/>
          </w:tcPr>
          <w:p w:rsidR="00912504" w:rsidRPr="00422183" w:rsidRDefault="00912504" w:rsidP="003A0820">
            <w:pPr>
              <w:jc w:val="both"/>
              <w:rPr>
                <w:rFonts w:ascii="Rockwell" w:hAnsi="Rockwell"/>
                <w:sz w:val="18"/>
                <w:szCs w:val="18"/>
              </w:rPr>
            </w:pPr>
          </w:p>
        </w:tc>
        <w:tc>
          <w:tcPr>
            <w:tcW w:w="1480" w:type="dxa"/>
            <w:gridSpan w:val="4"/>
            <w:vAlign w:val="center"/>
          </w:tcPr>
          <w:p w:rsidR="00912504" w:rsidRPr="00422183" w:rsidRDefault="00912504" w:rsidP="003A0820">
            <w:pPr>
              <w:jc w:val="both"/>
              <w:rPr>
                <w:rFonts w:ascii="Rockwell" w:hAnsi="Rockwell"/>
                <w:sz w:val="18"/>
                <w:szCs w:val="18"/>
              </w:rPr>
            </w:pPr>
          </w:p>
        </w:tc>
        <w:tc>
          <w:tcPr>
            <w:tcW w:w="1248" w:type="dxa"/>
            <w:gridSpan w:val="4"/>
            <w:vAlign w:val="center"/>
          </w:tcPr>
          <w:p w:rsidR="00912504" w:rsidRPr="00422183" w:rsidRDefault="00912504" w:rsidP="003A0820">
            <w:pPr>
              <w:jc w:val="both"/>
              <w:rPr>
                <w:rFonts w:ascii="Rockwell" w:hAnsi="Rockwell"/>
                <w:sz w:val="18"/>
                <w:szCs w:val="18"/>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rPr>
            </w:pPr>
          </w:p>
        </w:tc>
        <w:tc>
          <w:tcPr>
            <w:tcW w:w="617" w:type="dxa"/>
            <w:gridSpan w:val="3"/>
            <w:shd w:val="clear" w:color="auto" w:fill="auto"/>
            <w:vAlign w:val="center"/>
          </w:tcPr>
          <w:p w:rsidR="00912504" w:rsidRPr="00422183" w:rsidRDefault="00912504" w:rsidP="003A0820">
            <w:pPr>
              <w:jc w:val="both"/>
              <w:rPr>
                <w:rFonts w:ascii="Rockwell" w:hAnsi="Rockwell"/>
                <w:sz w:val="18"/>
                <w:szCs w:val="18"/>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rPr>
            </w:pPr>
          </w:p>
        </w:tc>
        <w:tc>
          <w:tcPr>
            <w:tcW w:w="625" w:type="dxa"/>
            <w:gridSpan w:val="2"/>
            <w:shd w:val="clear" w:color="auto" w:fill="auto"/>
            <w:vAlign w:val="center"/>
          </w:tcPr>
          <w:p w:rsidR="00912504" w:rsidRPr="00422183" w:rsidRDefault="00912504" w:rsidP="003A0820">
            <w:pPr>
              <w:jc w:val="both"/>
              <w:rPr>
                <w:rFonts w:ascii="Rockwell" w:hAnsi="Rockwell"/>
                <w:sz w:val="18"/>
                <w:szCs w:val="18"/>
              </w:rPr>
            </w:pPr>
          </w:p>
        </w:tc>
        <w:tc>
          <w:tcPr>
            <w:tcW w:w="1113" w:type="dxa"/>
            <w:gridSpan w:val="2"/>
            <w:vAlign w:val="center"/>
          </w:tcPr>
          <w:p w:rsidR="00912504" w:rsidRPr="00422183" w:rsidRDefault="00912504" w:rsidP="003A0820">
            <w:pPr>
              <w:jc w:val="both"/>
              <w:rPr>
                <w:rFonts w:ascii="Rockwell" w:hAnsi="Rockwell"/>
                <w:sz w:val="18"/>
                <w:szCs w:val="18"/>
              </w:rPr>
            </w:pPr>
          </w:p>
        </w:tc>
      </w:tr>
      <w:tr w:rsidR="00B3094D" w:rsidRPr="00422183" w:rsidTr="006808EE">
        <w:tc>
          <w:tcPr>
            <w:tcW w:w="999" w:type="dxa"/>
            <w:gridSpan w:val="2"/>
            <w:vAlign w:val="center"/>
          </w:tcPr>
          <w:p w:rsidR="00912504" w:rsidRPr="00422183" w:rsidRDefault="00912504" w:rsidP="003A0820">
            <w:pPr>
              <w:pStyle w:val="Paragraphedeliste"/>
              <w:ind w:left="45"/>
              <w:jc w:val="both"/>
              <w:rPr>
                <w:rFonts w:ascii="Rockwell" w:hAnsi="Rockwell"/>
                <w:sz w:val="18"/>
                <w:szCs w:val="18"/>
              </w:rPr>
            </w:pPr>
          </w:p>
        </w:tc>
        <w:tc>
          <w:tcPr>
            <w:tcW w:w="1020" w:type="dxa"/>
            <w:vAlign w:val="center"/>
          </w:tcPr>
          <w:p w:rsidR="00912504" w:rsidRPr="00422183" w:rsidRDefault="00912504" w:rsidP="003A0820">
            <w:pPr>
              <w:jc w:val="both"/>
              <w:rPr>
                <w:rFonts w:ascii="Rockwell" w:hAnsi="Rockwell"/>
                <w:sz w:val="18"/>
                <w:szCs w:val="18"/>
              </w:rPr>
            </w:pPr>
          </w:p>
        </w:tc>
        <w:tc>
          <w:tcPr>
            <w:tcW w:w="1403" w:type="dxa"/>
            <w:gridSpan w:val="2"/>
            <w:vAlign w:val="center"/>
          </w:tcPr>
          <w:p w:rsidR="00912504" w:rsidRPr="00422183" w:rsidRDefault="00912504" w:rsidP="003A0820">
            <w:pPr>
              <w:jc w:val="both"/>
              <w:rPr>
                <w:rFonts w:ascii="Rockwell" w:hAnsi="Rockwell"/>
                <w:sz w:val="18"/>
                <w:szCs w:val="18"/>
              </w:rPr>
            </w:pPr>
          </w:p>
        </w:tc>
        <w:tc>
          <w:tcPr>
            <w:tcW w:w="1553" w:type="dxa"/>
            <w:gridSpan w:val="2"/>
            <w:vAlign w:val="center"/>
          </w:tcPr>
          <w:p w:rsidR="00912504" w:rsidRPr="00422183" w:rsidRDefault="00912504" w:rsidP="003A0820">
            <w:pPr>
              <w:jc w:val="both"/>
              <w:rPr>
                <w:rFonts w:ascii="Rockwell" w:hAnsi="Rockwell"/>
                <w:sz w:val="18"/>
                <w:szCs w:val="18"/>
              </w:rPr>
            </w:pPr>
          </w:p>
        </w:tc>
        <w:tc>
          <w:tcPr>
            <w:tcW w:w="722" w:type="dxa"/>
            <w:gridSpan w:val="3"/>
            <w:vAlign w:val="center"/>
          </w:tcPr>
          <w:p w:rsidR="00912504" w:rsidRPr="00422183" w:rsidRDefault="00912504" w:rsidP="003A0820">
            <w:pPr>
              <w:jc w:val="both"/>
              <w:rPr>
                <w:rFonts w:ascii="Rockwell" w:hAnsi="Rockwell"/>
                <w:sz w:val="18"/>
                <w:szCs w:val="18"/>
              </w:rPr>
            </w:pPr>
          </w:p>
        </w:tc>
        <w:tc>
          <w:tcPr>
            <w:tcW w:w="2460" w:type="dxa"/>
            <w:gridSpan w:val="6"/>
            <w:vAlign w:val="center"/>
          </w:tcPr>
          <w:p w:rsidR="00912504" w:rsidRPr="00422183" w:rsidRDefault="00912504" w:rsidP="003A0820">
            <w:pPr>
              <w:jc w:val="both"/>
              <w:rPr>
                <w:rFonts w:ascii="Rockwell" w:hAnsi="Rockwell"/>
                <w:sz w:val="18"/>
                <w:szCs w:val="18"/>
              </w:rPr>
            </w:pPr>
          </w:p>
        </w:tc>
        <w:tc>
          <w:tcPr>
            <w:tcW w:w="1480" w:type="dxa"/>
            <w:gridSpan w:val="4"/>
            <w:vAlign w:val="center"/>
          </w:tcPr>
          <w:p w:rsidR="00912504" w:rsidRPr="00422183" w:rsidRDefault="00912504" w:rsidP="003A0820">
            <w:pPr>
              <w:jc w:val="both"/>
              <w:rPr>
                <w:rFonts w:ascii="Rockwell" w:hAnsi="Rockwell"/>
                <w:sz w:val="18"/>
                <w:szCs w:val="18"/>
              </w:rPr>
            </w:pPr>
          </w:p>
        </w:tc>
        <w:tc>
          <w:tcPr>
            <w:tcW w:w="1248"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7" w:type="dxa"/>
            <w:gridSpan w:val="3"/>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5"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113" w:type="dxa"/>
            <w:gridSpan w:val="2"/>
            <w:vAlign w:val="center"/>
          </w:tcPr>
          <w:p w:rsidR="00912504" w:rsidRPr="00422183" w:rsidRDefault="00912504" w:rsidP="003A0820">
            <w:pPr>
              <w:jc w:val="both"/>
              <w:rPr>
                <w:rFonts w:ascii="Rockwell" w:hAnsi="Rockwell"/>
                <w:sz w:val="18"/>
                <w:szCs w:val="18"/>
              </w:rPr>
            </w:pPr>
          </w:p>
        </w:tc>
      </w:tr>
      <w:tr w:rsidR="00B3094D" w:rsidRPr="00422183" w:rsidTr="006808EE">
        <w:tc>
          <w:tcPr>
            <w:tcW w:w="999" w:type="dxa"/>
            <w:gridSpan w:val="2"/>
            <w:vAlign w:val="center"/>
          </w:tcPr>
          <w:p w:rsidR="00912504" w:rsidRPr="00422183" w:rsidRDefault="00912504" w:rsidP="003A0820">
            <w:pPr>
              <w:pStyle w:val="Paragraphedeliste"/>
              <w:ind w:left="45"/>
              <w:jc w:val="both"/>
              <w:rPr>
                <w:rFonts w:ascii="Rockwell" w:hAnsi="Rockwell"/>
                <w:sz w:val="18"/>
                <w:szCs w:val="18"/>
              </w:rPr>
            </w:pPr>
          </w:p>
        </w:tc>
        <w:tc>
          <w:tcPr>
            <w:tcW w:w="1020" w:type="dxa"/>
            <w:vAlign w:val="center"/>
          </w:tcPr>
          <w:p w:rsidR="00912504" w:rsidRPr="00422183" w:rsidRDefault="00912504" w:rsidP="003A0820">
            <w:pPr>
              <w:jc w:val="both"/>
              <w:rPr>
                <w:rFonts w:ascii="Rockwell" w:hAnsi="Rockwell"/>
                <w:sz w:val="18"/>
                <w:szCs w:val="18"/>
              </w:rPr>
            </w:pPr>
          </w:p>
        </w:tc>
        <w:tc>
          <w:tcPr>
            <w:tcW w:w="1403" w:type="dxa"/>
            <w:gridSpan w:val="2"/>
            <w:vAlign w:val="center"/>
          </w:tcPr>
          <w:p w:rsidR="00912504" w:rsidRPr="00422183" w:rsidRDefault="00912504" w:rsidP="003A0820">
            <w:pPr>
              <w:jc w:val="both"/>
              <w:rPr>
                <w:rFonts w:ascii="Rockwell" w:hAnsi="Rockwell"/>
                <w:sz w:val="18"/>
                <w:szCs w:val="18"/>
              </w:rPr>
            </w:pPr>
          </w:p>
        </w:tc>
        <w:tc>
          <w:tcPr>
            <w:tcW w:w="1553" w:type="dxa"/>
            <w:gridSpan w:val="2"/>
            <w:vAlign w:val="center"/>
          </w:tcPr>
          <w:p w:rsidR="00912504" w:rsidRPr="00422183" w:rsidRDefault="00912504" w:rsidP="003A0820">
            <w:pPr>
              <w:jc w:val="both"/>
              <w:rPr>
                <w:rFonts w:ascii="Rockwell" w:hAnsi="Rockwell"/>
                <w:sz w:val="18"/>
                <w:szCs w:val="18"/>
              </w:rPr>
            </w:pPr>
          </w:p>
        </w:tc>
        <w:tc>
          <w:tcPr>
            <w:tcW w:w="722" w:type="dxa"/>
            <w:gridSpan w:val="3"/>
            <w:vAlign w:val="center"/>
          </w:tcPr>
          <w:p w:rsidR="00912504" w:rsidRPr="00422183" w:rsidRDefault="00912504" w:rsidP="003A0820">
            <w:pPr>
              <w:jc w:val="both"/>
              <w:rPr>
                <w:rFonts w:ascii="Rockwell" w:hAnsi="Rockwell"/>
                <w:sz w:val="18"/>
                <w:szCs w:val="18"/>
              </w:rPr>
            </w:pPr>
          </w:p>
        </w:tc>
        <w:tc>
          <w:tcPr>
            <w:tcW w:w="2460" w:type="dxa"/>
            <w:gridSpan w:val="6"/>
            <w:vAlign w:val="center"/>
          </w:tcPr>
          <w:p w:rsidR="00912504" w:rsidRPr="00422183" w:rsidRDefault="00912504" w:rsidP="003A0820">
            <w:pPr>
              <w:jc w:val="both"/>
              <w:rPr>
                <w:rFonts w:ascii="Rockwell" w:hAnsi="Rockwell"/>
                <w:sz w:val="18"/>
                <w:szCs w:val="18"/>
              </w:rPr>
            </w:pPr>
          </w:p>
        </w:tc>
        <w:tc>
          <w:tcPr>
            <w:tcW w:w="1480" w:type="dxa"/>
            <w:gridSpan w:val="4"/>
            <w:vAlign w:val="center"/>
          </w:tcPr>
          <w:p w:rsidR="00912504" w:rsidRPr="00422183" w:rsidRDefault="00912504" w:rsidP="003A0820">
            <w:pPr>
              <w:jc w:val="both"/>
              <w:rPr>
                <w:rFonts w:ascii="Rockwell" w:hAnsi="Rockwell"/>
                <w:sz w:val="18"/>
                <w:szCs w:val="18"/>
              </w:rPr>
            </w:pPr>
          </w:p>
        </w:tc>
        <w:tc>
          <w:tcPr>
            <w:tcW w:w="1248" w:type="dxa"/>
            <w:gridSpan w:val="4"/>
            <w:vAlign w:val="center"/>
          </w:tcPr>
          <w:p w:rsidR="00912504" w:rsidRPr="00422183" w:rsidRDefault="00912504" w:rsidP="003A0820">
            <w:pPr>
              <w:jc w:val="both"/>
              <w:rPr>
                <w:rFonts w:ascii="Rockwell" w:hAnsi="Rockwell"/>
                <w:sz w:val="18"/>
                <w:szCs w:val="18"/>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rPr>
            </w:pPr>
          </w:p>
        </w:tc>
        <w:tc>
          <w:tcPr>
            <w:tcW w:w="620" w:type="dxa"/>
            <w:gridSpan w:val="3"/>
            <w:shd w:val="clear" w:color="auto" w:fill="auto"/>
            <w:vAlign w:val="center"/>
          </w:tcPr>
          <w:p w:rsidR="00912504" w:rsidRPr="00422183" w:rsidRDefault="00912504" w:rsidP="003A0820">
            <w:pPr>
              <w:jc w:val="both"/>
              <w:rPr>
                <w:rFonts w:ascii="Rockwell" w:hAnsi="Rockwell"/>
                <w:sz w:val="18"/>
                <w:szCs w:val="18"/>
              </w:rPr>
            </w:pPr>
          </w:p>
        </w:tc>
        <w:tc>
          <w:tcPr>
            <w:tcW w:w="617" w:type="dxa"/>
            <w:gridSpan w:val="3"/>
            <w:shd w:val="clear" w:color="auto" w:fill="auto"/>
            <w:vAlign w:val="center"/>
          </w:tcPr>
          <w:p w:rsidR="00912504" w:rsidRPr="00422183" w:rsidRDefault="00912504" w:rsidP="003A0820">
            <w:pPr>
              <w:jc w:val="both"/>
              <w:rPr>
                <w:rFonts w:ascii="Rockwell" w:hAnsi="Rockwell"/>
                <w:sz w:val="18"/>
                <w:szCs w:val="18"/>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rPr>
            </w:pPr>
          </w:p>
        </w:tc>
        <w:tc>
          <w:tcPr>
            <w:tcW w:w="625" w:type="dxa"/>
            <w:gridSpan w:val="2"/>
            <w:shd w:val="clear" w:color="auto" w:fill="auto"/>
            <w:vAlign w:val="center"/>
          </w:tcPr>
          <w:p w:rsidR="00912504" w:rsidRPr="00422183" w:rsidRDefault="00912504" w:rsidP="003A0820">
            <w:pPr>
              <w:jc w:val="both"/>
              <w:rPr>
                <w:rFonts w:ascii="Rockwell" w:hAnsi="Rockwell"/>
                <w:sz w:val="18"/>
                <w:szCs w:val="18"/>
              </w:rPr>
            </w:pPr>
          </w:p>
        </w:tc>
        <w:tc>
          <w:tcPr>
            <w:tcW w:w="1113" w:type="dxa"/>
            <w:gridSpan w:val="2"/>
            <w:vAlign w:val="center"/>
          </w:tcPr>
          <w:p w:rsidR="00912504" w:rsidRPr="00422183" w:rsidRDefault="00912504" w:rsidP="003A0820">
            <w:pPr>
              <w:jc w:val="both"/>
              <w:rPr>
                <w:rFonts w:ascii="Rockwell" w:hAnsi="Rockwell"/>
                <w:sz w:val="18"/>
                <w:szCs w:val="18"/>
              </w:rPr>
            </w:pPr>
          </w:p>
        </w:tc>
      </w:tr>
      <w:tr w:rsidR="00912504" w:rsidRPr="00422183" w:rsidTr="006808EE">
        <w:trPr>
          <w:gridAfter w:val="1"/>
          <w:wAfter w:w="306" w:type="dxa"/>
        </w:trPr>
        <w:tc>
          <w:tcPr>
            <w:tcW w:w="14792" w:type="dxa"/>
            <w:gridSpan w:val="38"/>
            <w:shd w:val="clear" w:color="auto" w:fill="FFC000"/>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Sous-effet attendu 2  (éventuellement) : </w:t>
            </w:r>
          </w:p>
        </w:tc>
      </w:tr>
      <w:tr w:rsidR="00B3094D" w:rsidRPr="00422183" w:rsidTr="006808EE">
        <w:trPr>
          <w:gridAfter w:val="1"/>
          <w:wAfter w:w="306" w:type="dxa"/>
        </w:trPr>
        <w:tc>
          <w:tcPr>
            <w:tcW w:w="88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Code</w:t>
            </w:r>
          </w:p>
        </w:tc>
        <w:tc>
          <w:tcPr>
            <w:tcW w:w="4804" w:type="dxa"/>
            <w:gridSpan w:val="8"/>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de l</w:t>
            </w:r>
            <w:r w:rsidR="006C72DE" w:rsidRPr="00422183">
              <w:rPr>
                <w:rFonts w:ascii="Rockwell" w:hAnsi="Rockwell"/>
                <w:b/>
                <w:sz w:val="18"/>
                <w:szCs w:val="18"/>
              </w:rPr>
              <w:t>'</w:t>
            </w:r>
            <w:r w:rsidRPr="00422183">
              <w:rPr>
                <w:rFonts w:ascii="Rockwell" w:hAnsi="Rockwell"/>
                <w:b/>
                <w:sz w:val="18"/>
                <w:szCs w:val="18"/>
              </w:rPr>
              <w:t>effet</w:t>
            </w:r>
          </w:p>
        </w:tc>
        <w:tc>
          <w:tcPr>
            <w:tcW w:w="1019" w:type="dxa"/>
            <w:gridSpan w:val="3"/>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Source de données</w:t>
            </w:r>
          </w:p>
        </w:tc>
        <w:tc>
          <w:tcPr>
            <w:tcW w:w="1388" w:type="dxa"/>
            <w:gridSpan w:val="3"/>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Responsable</w:t>
            </w:r>
          </w:p>
        </w:tc>
        <w:tc>
          <w:tcPr>
            <w:tcW w:w="1488"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Réf.</w:t>
            </w:r>
          </w:p>
        </w:tc>
        <w:tc>
          <w:tcPr>
            <w:tcW w:w="1157" w:type="dxa"/>
            <w:gridSpan w:val="4"/>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2018</w:t>
            </w:r>
          </w:p>
        </w:tc>
        <w:tc>
          <w:tcPr>
            <w:tcW w:w="1230" w:type="dxa"/>
            <w:gridSpan w:val="6"/>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 2020</w:t>
            </w:r>
          </w:p>
        </w:tc>
        <w:tc>
          <w:tcPr>
            <w:tcW w:w="2824" w:type="dxa"/>
            <w:gridSpan w:val="9"/>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Hypothèses / Risques</w:t>
            </w:r>
          </w:p>
        </w:tc>
      </w:tr>
      <w:tr w:rsidR="00B3094D" w:rsidRPr="00422183" w:rsidTr="006808EE">
        <w:trPr>
          <w:gridAfter w:val="1"/>
          <w:wAfter w:w="306" w:type="dxa"/>
        </w:trPr>
        <w:tc>
          <w:tcPr>
            <w:tcW w:w="882" w:type="dxa"/>
          </w:tcPr>
          <w:p w:rsidR="00912504" w:rsidRPr="00422183" w:rsidRDefault="00912504" w:rsidP="003A0820">
            <w:pPr>
              <w:jc w:val="both"/>
              <w:rPr>
                <w:rFonts w:ascii="Rockwell" w:hAnsi="Rockwell"/>
                <w:sz w:val="18"/>
                <w:szCs w:val="18"/>
              </w:rPr>
            </w:pPr>
          </w:p>
        </w:tc>
        <w:tc>
          <w:tcPr>
            <w:tcW w:w="4804" w:type="dxa"/>
            <w:gridSpan w:val="8"/>
          </w:tcPr>
          <w:p w:rsidR="00912504" w:rsidRPr="00422183" w:rsidRDefault="00912504" w:rsidP="003A0820">
            <w:pPr>
              <w:jc w:val="both"/>
              <w:rPr>
                <w:rFonts w:ascii="Rockwell" w:hAnsi="Rockwell"/>
                <w:sz w:val="18"/>
                <w:szCs w:val="18"/>
              </w:rPr>
            </w:pPr>
          </w:p>
        </w:tc>
        <w:tc>
          <w:tcPr>
            <w:tcW w:w="1019" w:type="dxa"/>
            <w:gridSpan w:val="3"/>
          </w:tcPr>
          <w:p w:rsidR="00912504" w:rsidRPr="00422183" w:rsidRDefault="00912504" w:rsidP="003A0820">
            <w:pPr>
              <w:jc w:val="both"/>
              <w:rPr>
                <w:rFonts w:ascii="Rockwell" w:hAnsi="Rockwell"/>
                <w:sz w:val="18"/>
                <w:szCs w:val="18"/>
              </w:rPr>
            </w:pPr>
          </w:p>
        </w:tc>
        <w:tc>
          <w:tcPr>
            <w:tcW w:w="1388" w:type="dxa"/>
            <w:gridSpan w:val="3"/>
          </w:tcPr>
          <w:p w:rsidR="00912504" w:rsidRPr="00422183" w:rsidRDefault="00912504" w:rsidP="003A0820">
            <w:pPr>
              <w:jc w:val="both"/>
              <w:rPr>
                <w:rFonts w:ascii="Rockwell" w:hAnsi="Rockwell"/>
                <w:sz w:val="18"/>
                <w:szCs w:val="18"/>
              </w:rPr>
            </w:pPr>
          </w:p>
        </w:tc>
        <w:tc>
          <w:tcPr>
            <w:tcW w:w="1488" w:type="dxa"/>
            <w:gridSpan w:val="4"/>
          </w:tcPr>
          <w:p w:rsidR="00912504" w:rsidRPr="00422183" w:rsidRDefault="00912504" w:rsidP="003A0820">
            <w:pPr>
              <w:jc w:val="both"/>
              <w:rPr>
                <w:rFonts w:ascii="Rockwell" w:hAnsi="Rockwell"/>
                <w:sz w:val="18"/>
                <w:szCs w:val="18"/>
              </w:rPr>
            </w:pPr>
          </w:p>
        </w:tc>
        <w:tc>
          <w:tcPr>
            <w:tcW w:w="1157" w:type="dxa"/>
            <w:gridSpan w:val="4"/>
          </w:tcPr>
          <w:p w:rsidR="00912504" w:rsidRPr="00422183" w:rsidRDefault="00912504" w:rsidP="003A0820">
            <w:pPr>
              <w:jc w:val="both"/>
              <w:rPr>
                <w:rFonts w:ascii="Rockwell" w:hAnsi="Rockwell"/>
                <w:sz w:val="18"/>
                <w:szCs w:val="18"/>
              </w:rPr>
            </w:pPr>
          </w:p>
        </w:tc>
        <w:tc>
          <w:tcPr>
            <w:tcW w:w="1230" w:type="dxa"/>
            <w:gridSpan w:val="6"/>
          </w:tcPr>
          <w:p w:rsidR="00912504" w:rsidRPr="00422183" w:rsidRDefault="00912504" w:rsidP="003A0820">
            <w:pPr>
              <w:jc w:val="both"/>
              <w:rPr>
                <w:rFonts w:ascii="Rockwell" w:hAnsi="Rockwell"/>
                <w:sz w:val="18"/>
                <w:szCs w:val="18"/>
              </w:rPr>
            </w:pPr>
          </w:p>
        </w:tc>
        <w:tc>
          <w:tcPr>
            <w:tcW w:w="2824" w:type="dxa"/>
            <w:gridSpan w:val="9"/>
            <w:vMerge w:val="restart"/>
          </w:tcPr>
          <w:p w:rsidR="00912504" w:rsidRPr="00422183" w:rsidRDefault="00912504" w:rsidP="003A0820">
            <w:pPr>
              <w:jc w:val="both"/>
              <w:rPr>
                <w:rFonts w:ascii="Rockwell" w:hAnsi="Rockwell"/>
                <w:sz w:val="18"/>
                <w:szCs w:val="18"/>
              </w:rPr>
            </w:pPr>
          </w:p>
        </w:tc>
      </w:tr>
      <w:tr w:rsidR="00B3094D" w:rsidRPr="00422183" w:rsidTr="006808EE">
        <w:trPr>
          <w:gridAfter w:val="1"/>
          <w:wAfter w:w="306" w:type="dxa"/>
        </w:trPr>
        <w:tc>
          <w:tcPr>
            <w:tcW w:w="882" w:type="dxa"/>
          </w:tcPr>
          <w:p w:rsidR="00912504" w:rsidRPr="00422183" w:rsidRDefault="00912504" w:rsidP="003A0820">
            <w:pPr>
              <w:jc w:val="both"/>
              <w:rPr>
                <w:rFonts w:ascii="Rockwell" w:hAnsi="Rockwell"/>
                <w:sz w:val="18"/>
                <w:szCs w:val="18"/>
              </w:rPr>
            </w:pPr>
          </w:p>
        </w:tc>
        <w:tc>
          <w:tcPr>
            <w:tcW w:w="4804" w:type="dxa"/>
            <w:gridSpan w:val="8"/>
          </w:tcPr>
          <w:p w:rsidR="00912504" w:rsidRPr="00422183" w:rsidRDefault="00912504" w:rsidP="003A0820">
            <w:pPr>
              <w:jc w:val="both"/>
              <w:rPr>
                <w:rFonts w:ascii="Rockwell" w:hAnsi="Rockwell"/>
                <w:sz w:val="18"/>
                <w:szCs w:val="18"/>
              </w:rPr>
            </w:pPr>
          </w:p>
        </w:tc>
        <w:tc>
          <w:tcPr>
            <w:tcW w:w="1019" w:type="dxa"/>
            <w:gridSpan w:val="3"/>
          </w:tcPr>
          <w:p w:rsidR="00912504" w:rsidRPr="00422183" w:rsidRDefault="00912504" w:rsidP="003A0820">
            <w:pPr>
              <w:jc w:val="both"/>
              <w:rPr>
                <w:rFonts w:ascii="Rockwell" w:hAnsi="Rockwell"/>
                <w:sz w:val="18"/>
                <w:szCs w:val="18"/>
              </w:rPr>
            </w:pPr>
          </w:p>
        </w:tc>
        <w:tc>
          <w:tcPr>
            <w:tcW w:w="1388" w:type="dxa"/>
            <w:gridSpan w:val="3"/>
          </w:tcPr>
          <w:p w:rsidR="00912504" w:rsidRPr="00422183" w:rsidRDefault="00912504" w:rsidP="003A0820">
            <w:pPr>
              <w:jc w:val="both"/>
              <w:rPr>
                <w:rFonts w:ascii="Rockwell" w:hAnsi="Rockwell"/>
                <w:sz w:val="18"/>
                <w:szCs w:val="18"/>
              </w:rPr>
            </w:pPr>
          </w:p>
        </w:tc>
        <w:tc>
          <w:tcPr>
            <w:tcW w:w="1488" w:type="dxa"/>
            <w:gridSpan w:val="4"/>
          </w:tcPr>
          <w:p w:rsidR="00912504" w:rsidRPr="00422183" w:rsidRDefault="00912504" w:rsidP="003A0820">
            <w:pPr>
              <w:jc w:val="both"/>
              <w:rPr>
                <w:rFonts w:ascii="Rockwell" w:hAnsi="Rockwell"/>
                <w:sz w:val="18"/>
                <w:szCs w:val="18"/>
              </w:rPr>
            </w:pPr>
          </w:p>
        </w:tc>
        <w:tc>
          <w:tcPr>
            <w:tcW w:w="1157" w:type="dxa"/>
            <w:gridSpan w:val="4"/>
          </w:tcPr>
          <w:p w:rsidR="00912504" w:rsidRPr="00422183" w:rsidRDefault="00912504" w:rsidP="003A0820">
            <w:pPr>
              <w:jc w:val="both"/>
              <w:rPr>
                <w:rFonts w:ascii="Rockwell" w:hAnsi="Rockwell"/>
                <w:sz w:val="18"/>
                <w:szCs w:val="18"/>
              </w:rPr>
            </w:pPr>
          </w:p>
        </w:tc>
        <w:tc>
          <w:tcPr>
            <w:tcW w:w="1230" w:type="dxa"/>
            <w:gridSpan w:val="6"/>
          </w:tcPr>
          <w:p w:rsidR="00912504" w:rsidRPr="00422183" w:rsidRDefault="00912504" w:rsidP="003A0820">
            <w:pPr>
              <w:jc w:val="both"/>
              <w:rPr>
                <w:rFonts w:ascii="Rockwell" w:hAnsi="Rockwell"/>
                <w:sz w:val="18"/>
                <w:szCs w:val="18"/>
              </w:rPr>
            </w:pPr>
          </w:p>
        </w:tc>
        <w:tc>
          <w:tcPr>
            <w:tcW w:w="2824" w:type="dxa"/>
            <w:gridSpan w:val="9"/>
            <w:vMerge/>
          </w:tcPr>
          <w:p w:rsidR="00912504" w:rsidRPr="00422183" w:rsidRDefault="00912504" w:rsidP="003A0820">
            <w:pPr>
              <w:jc w:val="both"/>
              <w:rPr>
                <w:rFonts w:ascii="Rockwell" w:hAnsi="Rockwell"/>
                <w:sz w:val="18"/>
                <w:szCs w:val="18"/>
              </w:rPr>
            </w:pPr>
          </w:p>
        </w:tc>
      </w:tr>
      <w:tr w:rsidR="00B3094D" w:rsidRPr="00422183" w:rsidTr="006808EE">
        <w:trPr>
          <w:gridAfter w:val="1"/>
          <w:wAfter w:w="306" w:type="dxa"/>
          <w:tblHeader/>
        </w:trPr>
        <w:tc>
          <w:tcPr>
            <w:tcW w:w="999" w:type="dxa"/>
            <w:gridSpan w:val="2"/>
            <w:shd w:val="clear" w:color="auto" w:fill="C6D9F1" w:themeFill="text2" w:themeFillTint="33"/>
            <w:vAlign w:val="center"/>
          </w:tcPr>
          <w:p w:rsidR="00912504" w:rsidRPr="00422183" w:rsidRDefault="00912504" w:rsidP="003A0820">
            <w:pPr>
              <w:pStyle w:val="Paragraphedeliste"/>
              <w:ind w:left="45"/>
              <w:jc w:val="both"/>
              <w:rPr>
                <w:rFonts w:ascii="Rockwell" w:hAnsi="Rockwell"/>
                <w:b/>
                <w:sz w:val="18"/>
                <w:szCs w:val="18"/>
              </w:rPr>
            </w:pPr>
            <w:r w:rsidRPr="00422183">
              <w:rPr>
                <w:rFonts w:ascii="Rockwell" w:hAnsi="Rockwell"/>
                <w:b/>
                <w:sz w:val="18"/>
                <w:szCs w:val="18"/>
              </w:rPr>
              <w:t>Actions</w:t>
            </w:r>
          </w:p>
        </w:tc>
        <w:tc>
          <w:tcPr>
            <w:tcW w:w="1020" w:type="dxa"/>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Produits attendus</w:t>
            </w:r>
          </w:p>
        </w:tc>
        <w:tc>
          <w:tcPr>
            <w:tcW w:w="1251" w:type="dxa"/>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de produits</w:t>
            </w:r>
          </w:p>
        </w:tc>
        <w:tc>
          <w:tcPr>
            <w:tcW w:w="1413"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Bénéficiaires </w:t>
            </w:r>
          </w:p>
        </w:tc>
        <w:tc>
          <w:tcPr>
            <w:tcW w:w="864"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w:t>
            </w:r>
          </w:p>
        </w:tc>
        <w:tc>
          <w:tcPr>
            <w:tcW w:w="2380" w:type="dxa"/>
            <w:gridSpan w:val="6"/>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Activités </w:t>
            </w:r>
          </w:p>
        </w:tc>
        <w:tc>
          <w:tcPr>
            <w:tcW w:w="1441"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Responsables</w:t>
            </w:r>
          </w:p>
        </w:tc>
        <w:tc>
          <w:tcPr>
            <w:tcW w:w="1254"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Partenaires</w:t>
            </w:r>
          </w:p>
        </w:tc>
        <w:tc>
          <w:tcPr>
            <w:tcW w:w="620"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2016</w:t>
            </w:r>
          </w:p>
        </w:tc>
        <w:tc>
          <w:tcPr>
            <w:tcW w:w="614"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2017</w:t>
            </w:r>
          </w:p>
        </w:tc>
        <w:tc>
          <w:tcPr>
            <w:tcW w:w="623" w:type="dxa"/>
            <w:gridSpan w:val="4"/>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2018</w:t>
            </w:r>
          </w:p>
        </w:tc>
        <w:tc>
          <w:tcPr>
            <w:tcW w:w="614"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2019</w:t>
            </w:r>
          </w:p>
        </w:tc>
        <w:tc>
          <w:tcPr>
            <w:tcW w:w="618"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2020</w:t>
            </w:r>
          </w:p>
        </w:tc>
        <w:tc>
          <w:tcPr>
            <w:tcW w:w="1081" w:type="dxa"/>
            <w:gridSpan w:val="2"/>
            <w:shd w:val="clear" w:color="auto" w:fill="C6D9F1" w:themeFill="text2" w:themeFillTint="33"/>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Budget (millions)</w:t>
            </w:r>
          </w:p>
        </w:tc>
      </w:tr>
      <w:tr w:rsidR="00B3094D" w:rsidRPr="00422183" w:rsidTr="006808EE">
        <w:trPr>
          <w:gridAfter w:val="1"/>
          <w:wAfter w:w="306" w:type="dxa"/>
        </w:trPr>
        <w:tc>
          <w:tcPr>
            <w:tcW w:w="999" w:type="dxa"/>
            <w:gridSpan w:val="2"/>
          </w:tcPr>
          <w:p w:rsidR="00912504" w:rsidRPr="00422183" w:rsidRDefault="00912504" w:rsidP="003A0820">
            <w:pPr>
              <w:pStyle w:val="Paragraphedeliste"/>
              <w:ind w:left="45"/>
              <w:jc w:val="both"/>
              <w:rPr>
                <w:rFonts w:ascii="Rockwell" w:hAnsi="Rockwell"/>
                <w:sz w:val="18"/>
                <w:szCs w:val="18"/>
              </w:rPr>
            </w:pPr>
          </w:p>
        </w:tc>
        <w:tc>
          <w:tcPr>
            <w:tcW w:w="1020" w:type="dxa"/>
          </w:tcPr>
          <w:p w:rsidR="00912504" w:rsidRPr="00422183" w:rsidRDefault="00912504" w:rsidP="003A0820">
            <w:pPr>
              <w:jc w:val="both"/>
              <w:rPr>
                <w:rFonts w:ascii="Rockwell" w:hAnsi="Rockwell"/>
                <w:sz w:val="18"/>
                <w:szCs w:val="18"/>
              </w:rPr>
            </w:pPr>
          </w:p>
        </w:tc>
        <w:tc>
          <w:tcPr>
            <w:tcW w:w="1251" w:type="dxa"/>
          </w:tcPr>
          <w:p w:rsidR="00912504" w:rsidRPr="00422183" w:rsidRDefault="00912504" w:rsidP="003A0820">
            <w:pPr>
              <w:jc w:val="both"/>
              <w:rPr>
                <w:rFonts w:ascii="Rockwell" w:hAnsi="Rockwell"/>
                <w:sz w:val="18"/>
                <w:szCs w:val="18"/>
              </w:rPr>
            </w:pPr>
          </w:p>
        </w:tc>
        <w:tc>
          <w:tcPr>
            <w:tcW w:w="1413" w:type="dxa"/>
            <w:gridSpan w:val="2"/>
          </w:tcPr>
          <w:p w:rsidR="00912504" w:rsidRPr="00422183" w:rsidRDefault="00912504" w:rsidP="003A0820">
            <w:pPr>
              <w:jc w:val="both"/>
              <w:rPr>
                <w:rFonts w:ascii="Rockwell" w:hAnsi="Rockwell"/>
                <w:sz w:val="18"/>
                <w:szCs w:val="18"/>
              </w:rPr>
            </w:pPr>
          </w:p>
        </w:tc>
        <w:tc>
          <w:tcPr>
            <w:tcW w:w="864" w:type="dxa"/>
            <w:gridSpan w:val="2"/>
          </w:tcPr>
          <w:p w:rsidR="00912504" w:rsidRPr="00422183" w:rsidRDefault="00912504" w:rsidP="003A0820">
            <w:pPr>
              <w:jc w:val="both"/>
              <w:rPr>
                <w:rFonts w:ascii="Rockwell" w:hAnsi="Rockwell"/>
                <w:sz w:val="18"/>
                <w:szCs w:val="18"/>
              </w:rPr>
            </w:pPr>
          </w:p>
        </w:tc>
        <w:tc>
          <w:tcPr>
            <w:tcW w:w="2380" w:type="dxa"/>
            <w:gridSpan w:val="6"/>
            <w:vAlign w:val="center"/>
          </w:tcPr>
          <w:p w:rsidR="00912504" w:rsidRPr="00422183" w:rsidRDefault="00912504" w:rsidP="003A0820">
            <w:pPr>
              <w:jc w:val="both"/>
              <w:rPr>
                <w:rFonts w:ascii="Rockwell" w:hAnsi="Rockwell"/>
                <w:sz w:val="18"/>
                <w:szCs w:val="18"/>
              </w:rPr>
            </w:pPr>
          </w:p>
        </w:tc>
        <w:tc>
          <w:tcPr>
            <w:tcW w:w="1441" w:type="dxa"/>
            <w:gridSpan w:val="4"/>
            <w:vAlign w:val="center"/>
          </w:tcPr>
          <w:p w:rsidR="00912504" w:rsidRPr="00422183" w:rsidRDefault="00912504" w:rsidP="003A0820">
            <w:pPr>
              <w:jc w:val="both"/>
              <w:rPr>
                <w:rFonts w:ascii="Rockwell" w:hAnsi="Rockwell"/>
                <w:sz w:val="18"/>
                <w:szCs w:val="18"/>
              </w:rPr>
            </w:pPr>
          </w:p>
        </w:tc>
        <w:tc>
          <w:tcPr>
            <w:tcW w:w="1254"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3"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081" w:type="dxa"/>
            <w:gridSpan w:val="2"/>
            <w:vAlign w:val="center"/>
          </w:tcPr>
          <w:p w:rsidR="00912504" w:rsidRPr="00422183" w:rsidRDefault="00912504" w:rsidP="003A0820">
            <w:pPr>
              <w:jc w:val="both"/>
              <w:rPr>
                <w:rFonts w:ascii="Rockwell" w:hAnsi="Rockwell"/>
                <w:sz w:val="18"/>
                <w:szCs w:val="18"/>
                <w:lang w:val="en-US"/>
              </w:rPr>
            </w:pPr>
          </w:p>
        </w:tc>
      </w:tr>
      <w:tr w:rsidR="00B3094D" w:rsidRPr="00422183" w:rsidTr="006808EE">
        <w:trPr>
          <w:gridAfter w:val="1"/>
          <w:wAfter w:w="306" w:type="dxa"/>
        </w:trPr>
        <w:tc>
          <w:tcPr>
            <w:tcW w:w="999" w:type="dxa"/>
            <w:gridSpan w:val="2"/>
            <w:vAlign w:val="center"/>
          </w:tcPr>
          <w:p w:rsidR="00912504" w:rsidRPr="00422183" w:rsidRDefault="00912504" w:rsidP="003A0820">
            <w:pPr>
              <w:pStyle w:val="Paragraphedeliste"/>
              <w:ind w:left="45"/>
              <w:jc w:val="both"/>
              <w:rPr>
                <w:rFonts w:ascii="Rockwell" w:hAnsi="Rockwell"/>
                <w:sz w:val="18"/>
                <w:szCs w:val="18"/>
                <w:lang w:val="en-US"/>
              </w:rPr>
            </w:pPr>
          </w:p>
        </w:tc>
        <w:tc>
          <w:tcPr>
            <w:tcW w:w="1020" w:type="dxa"/>
            <w:vAlign w:val="center"/>
          </w:tcPr>
          <w:p w:rsidR="00912504" w:rsidRPr="00422183" w:rsidRDefault="00912504" w:rsidP="003A0820">
            <w:pPr>
              <w:jc w:val="both"/>
              <w:rPr>
                <w:rFonts w:ascii="Rockwell" w:hAnsi="Rockwell"/>
                <w:sz w:val="18"/>
                <w:szCs w:val="18"/>
                <w:lang w:val="en-US"/>
              </w:rPr>
            </w:pPr>
          </w:p>
        </w:tc>
        <w:tc>
          <w:tcPr>
            <w:tcW w:w="1251" w:type="dxa"/>
            <w:vAlign w:val="center"/>
          </w:tcPr>
          <w:p w:rsidR="00912504" w:rsidRPr="00422183" w:rsidRDefault="00912504" w:rsidP="003A0820">
            <w:pPr>
              <w:jc w:val="both"/>
              <w:rPr>
                <w:rFonts w:ascii="Rockwell" w:hAnsi="Rockwell"/>
                <w:sz w:val="18"/>
                <w:szCs w:val="18"/>
                <w:lang w:val="en-US"/>
              </w:rPr>
            </w:pPr>
          </w:p>
        </w:tc>
        <w:tc>
          <w:tcPr>
            <w:tcW w:w="1413" w:type="dxa"/>
            <w:gridSpan w:val="2"/>
            <w:vAlign w:val="center"/>
          </w:tcPr>
          <w:p w:rsidR="00912504" w:rsidRPr="00422183" w:rsidRDefault="00912504" w:rsidP="003A0820">
            <w:pPr>
              <w:jc w:val="both"/>
              <w:rPr>
                <w:rFonts w:ascii="Rockwell" w:hAnsi="Rockwell"/>
                <w:sz w:val="18"/>
                <w:szCs w:val="18"/>
                <w:lang w:val="en-US"/>
              </w:rPr>
            </w:pPr>
          </w:p>
        </w:tc>
        <w:tc>
          <w:tcPr>
            <w:tcW w:w="864" w:type="dxa"/>
            <w:gridSpan w:val="2"/>
            <w:vAlign w:val="center"/>
          </w:tcPr>
          <w:p w:rsidR="00912504" w:rsidRPr="00422183" w:rsidRDefault="00912504" w:rsidP="003A0820">
            <w:pPr>
              <w:jc w:val="both"/>
              <w:rPr>
                <w:rFonts w:ascii="Rockwell" w:hAnsi="Rockwell"/>
                <w:sz w:val="18"/>
                <w:szCs w:val="18"/>
                <w:lang w:val="en-US"/>
              </w:rPr>
            </w:pPr>
          </w:p>
        </w:tc>
        <w:tc>
          <w:tcPr>
            <w:tcW w:w="2380" w:type="dxa"/>
            <w:gridSpan w:val="6"/>
            <w:vAlign w:val="center"/>
          </w:tcPr>
          <w:p w:rsidR="00912504" w:rsidRPr="00422183" w:rsidRDefault="00912504" w:rsidP="003A0820">
            <w:pPr>
              <w:jc w:val="both"/>
              <w:rPr>
                <w:rFonts w:ascii="Rockwell" w:hAnsi="Rockwell"/>
                <w:sz w:val="18"/>
                <w:szCs w:val="18"/>
              </w:rPr>
            </w:pPr>
          </w:p>
        </w:tc>
        <w:tc>
          <w:tcPr>
            <w:tcW w:w="1441" w:type="dxa"/>
            <w:gridSpan w:val="4"/>
            <w:vAlign w:val="center"/>
          </w:tcPr>
          <w:p w:rsidR="00912504" w:rsidRPr="00422183" w:rsidRDefault="00912504" w:rsidP="003A0820">
            <w:pPr>
              <w:jc w:val="both"/>
              <w:rPr>
                <w:rFonts w:ascii="Rockwell" w:hAnsi="Rockwell"/>
                <w:sz w:val="18"/>
                <w:szCs w:val="18"/>
              </w:rPr>
            </w:pPr>
          </w:p>
        </w:tc>
        <w:tc>
          <w:tcPr>
            <w:tcW w:w="1254"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3"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081" w:type="dxa"/>
            <w:gridSpan w:val="2"/>
            <w:vAlign w:val="center"/>
          </w:tcPr>
          <w:p w:rsidR="00912504" w:rsidRPr="00422183" w:rsidRDefault="00912504" w:rsidP="003A0820">
            <w:pPr>
              <w:jc w:val="both"/>
              <w:rPr>
                <w:rFonts w:ascii="Rockwell" w:hAnsi="Rockwell"/>
                <w:sz w:val="18"/>
                <w:szCs w:val="18"/>
                <w:lang w:val="en-US"/>
              </w:rPr>
            </w:pPr>
          </w:p>
        </w:tc>
      </w:tr>
      <w:tr w:rsidR="00B3094D" w:rsidRPr="00422183" w:rsidTr="006808EE">
        <w:trPr>
          <w:gridAfter w:val="1"/>
          <w:wAfter w:w="306" w:type="dxa"/>
          <w:trHeight w:val="207"/>
        </w:trPr>
        <w:tc>
          <w:tcPr>
            <w:tcW w:w="999" w:type="dxa"/>
            <w:gridSpan w:val="2"/>
            <w:vAlign w:val="center"/>
          </w:tcPr>
          <w:p w:rsidR="00912504" w:rsidRPr="00422183" w:rsidRDefault="00912504" w:rsidP="003A0820">
            <w:pPr>
              <w:pStyle w:val="Paragraphedeliste"/>
              <w:ind w:left="45"/>
              <w:jc w:val="both"/>
              <w:rPr>
                <w:rFonts w:ascii="Rockwell" w:hAnsi="Rockwell"/>
                <w:sz w:val="18"/>
                <w:szCs w:val="18"/>
                <w:lang w:val="en-US"/>
              </w:rPr>
            </w:pPr>
          </w:p>
        </w:tc>
        <w:tc>
          <w:tcPr>
            <w:tcW w:w="1020" w:type="dxa"/>
            <w:vAlign w:val="center"/>
          </w:tcPr>
          <w:p w:rsidR="00912504" w:rsidRPr="00422183" w:rsidRDefault="00912504" w:rsidP="003A0820">
            <w:pPr>
              <w:jc w:val="both"/>
              <w:rPr>
                <w:rFonts w:ascii="Rockwell" w:hAnsi="Rockwell"/>
                <w:sz w:val="18"/>
                <w:szCs w:val="18"/>
                <w:lang w:val="en-US"/>
              </w:rPr>
            </w:pPr>
          </w:p>
        </w:tc>
        <w:tc>
          <w:tcPr>
            <w:tcW w:w="1251" w:type="dxa"/>
            <w:vAlign w:val="center"/>
          </w:tcPr>
          <w:p w:rsidR="00912504" w:rsidRPr="00422183" w:rsidRDefault="00912504" w:rsidP="003A0820">
            <w:pPr>
              <w:jc w:val="both"/>
              <w:rPr>
                <w:rFonts w:ascii="Rockwell" w:hAnsi="Rockwell"/>
                <w:sz w:val="18"/>
                <w:szCs w:val="18"/>
                <w:lang w:val="en-US"/>
              </w:rPr>
            </w:pPr>
          </w:p>
        </w:tc>
        <w:tc>
          <w:tcPr>
            <w:tcW w:w="1413" w:type="dxa"/>
            <w:gridSpan w:val="2"/>
            <w:vAlign w:val="center"/>
          </w:tcPr>
          <w:p w:rsidR="00912504" w:rsidRPr="00422183" w:rsidRDefault="00912504" w:rsidP="003A0820">
            <w:pPr>
              <w:jc w:val="both"/>
              <w:rPr>
                <w:rFonts w:ascii="Rockwell" w:hAnsi="Rockwell"/>
                <w:sz w:val="18"/>
                <w:szCs w:val="18"/>
                <w:lang w:val="en-US"/>
              </w:rPr>
            </w:pPr>
          </w:p>
        </w:tc>
        <w:tc>
          <w:tcPr>
            <w:tcW w:w="864" w:type="dxa"/>
            <w:gridSpan w:val="2"/>
            <w:vAlign w:val="center"/>
          </w:tcPr>
          <w:p w:rsidR="00912504" w:rsidRPr="00422183" w:rsidRDefault="00912504" w:rsidP="003A0820">
            <w:pPr>
              <w:jc w:val="both"/>
              <w:rPr>
                <w:rFonts w:ascii="Rockwell" w:hAnsi="Rockwell"/>
                <w:sz w:val="18"/>
                <w:szCs w:val="18"/>
                <w:lang w:val="en-US"/>
              </w:rPr>
            </w:pPr>
          </w:p>
        </w:tc>
        <w:tc>
          <w:tcPr>
            <w:tcW w:w="2380" w:type="dxa"/>
            <w:gridSpan w:val="6"/>
            <w:vAlign w:val="center"/>
          </w:tcPr>
          <w:p w:rsidR="00912504" w:rsidRPr="00422183" w:rsidRDefault="00912504" w:rsidP="003A0820">
            <w:pPr>
              <w:jc w:val="both"/>
              <w:rPr>
                <w:rFonts w:ascii="Rockwell" w:hAnsi="Rockwell"/>
                <w:sz w:val="18"/>
                <w:szCs w:val="18"/>
              </w:rPr>
            </w:pPr>
          </w:p>
        </w:tc>
        <w:tc>
          <w:tcPr>
            <w:tcW w:w="1441" w:type="dxa"/>
            <w:gridSpan w:val="4"/>
            <w:vAlign w:val="center"/>
          </w:tcPr>
          <w:p w:rsidR="00912504" w:rsidRPr="00422183" w:rsidRDefault="00912504" w:rsidP="003A0820">
            <w:pPr>
              <w:jc w:val="both"/>
              <w:rPr>
                <w:rFonts w:ascii="Rockwell" w:hAnsi="Rockwell"/>
                <w:sz w:val="18"/>
                <w:szCs w:val="18"/>
              </w:rPr>
            </w:pPr>
          </w:p>
        </w:tc>
        <w:tc>
          <w:tcPr>
            <w:tcW w:w="1254"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3"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081" w:type="dxa"/>
            <w:gridSpan w:val="2"/>
            <w:vAlign w:val="center"/>
          </w:tcPr>
          <w:p w:rsidR="00912504" w:rsidRPr="00422183" w:rsidRDefault="00912504" w:rsidP="003A0820">
            <w:pPr>
              <w:jc w:val="both"/>
              <w:rPr>
                <w:rFonts w:ascii="Rockwell" w:hAnsi="Rockwell"/>
                <w:sz w:val="18"/>
                <w:szCs w:val="18"/>
                <w:lang w:val="en-US"/>
              </w:rPr>
            </w:pPr>
          </w:p>
        </w:tc>
      </w:tr>
      <w:tr w:rsidR="00B3094D" w:rsidRPr="00422183" w:rsidTr="006808EE">
        <w:trPr>
          <w:gridAfter w:val="1"/>
          <w:wAfter w:w="306" w:type="dxa"/>
        </w:trPr>
        <w:tc>
          <w:tcPr>
            <w:tcW w:w="999" w:type="dxa"/>
            <w:gridSpan w:val="2"/>
            <w:vAlign w:val="center"/>
          </w:tcPr>
          <w:p w:rsidR="00912504" w:rsidRPr="00422183" w:rsidRDefault="00912504" w:rsidP="003A0820">
            <w:pPr>
              <w:pStyle w:val="Paragraphedeliste"/>
              <w:ind w:left="45"/>
              <w:jc w:val="both"/>
              <w:rPr>
                <w:rFonts w:ascii="Rockwell" w:hAnsi="Rockwell"/>
                <w:sz w:val="18"/>
                <w:szCs w:val="18"/>
                <w:lang w:val="en-US"/>
              </w:rPr>
            </w:pPr>
          </w:p>
        </w:tc>
        <w:tc>
          <w:tcPr>
            <w:tcW w:w="1020" w:type="dxa"/>
          </w:tcPr>
          <w:p w:rsidR="00912504" w:rsidRPr="00422183" w:rsidRDefault="00912504" w:rsidP="003A0820">
            <w:pPr>
              <w:jc w:val="both"/>
              <w:rPr>
                <w:rFonts w:ascii="Rockwell" w:hAnsi="Rockwell"/>
                <w:sz w:val="18"/>
                <w:szCs w:val="18"/>
              </w:rPr>
            </w:pPr>
          </w:p>
        </w:tc>
        <w:tc>
          <w:tcPr>
            <w:tcW w:w="1251" w:type="dxa"/>
          </w:tcPr>
          <w:p w:rsidR="00912504" w:rsidRPr="00422183" w:rsidRDefault="00912504" w:rsidP="003A0820">
            <w:pPr>
              <w:jc w:val="both"/>
              <w:rPr>
                <w:rFonts w:ascii="Rockwell" w:hAnsi="Rockwell"/>
                <w:sz w:val="18"/>
                <w:szCs w:val="18"/>
              </w:rPr>
            </w:pPr>
          </w:p>
        </w:tc>
        <w:tc>
          <w:tcPr>
            <w:tcW w:w="1413" w:type="dxa"/>
            <w:gridSpan w:val="2"/>
          </w:tcPr>
          <w:p w:rsidR="00912504" w:rsidRPr="00422183" w:rsidRDefault="00912504" w:rsidP="003A0820">
            <w:pPr>
              <w:jc w:val="both"/>
              <w:rPr>
                <w:rFonts w:ascii="Rockwell" w:hAnsi="Rockwell"/>
                <w:sz w:val="18"/>
                <w:szCs w:val="18"/>
              </w:rPr>
            </w:pPr>
          </w:p>
        </w:tc>
        <w:tc>
          <w:tcPr>
            <w:tcW w:w="864" w:type="dxa"/>
            <w:gridSpan w:val="2"/>
          </w:tcPr>
          <w:p w:rsidR="00912504" w:rsidRPr="00422183" w:rsidRDefault="00912504" w:rsidP="003A0820">
            <w:pPr>
              <w:jc w:val="both"/>
              <w:rPr>
                <w:rFonts w:ascii="Rockwell" w:hAnsi="Rockwell"/>
                <w:sz w:val="18"/>
                <w:szCs w:val="18"/>
              </w:rPr>
            </w:pPr>
          </w:p>
        </w:tc>
        <w:tc>
          <w:tcPr>
            <w:tcW w:w="2380" w:type="dxa"/>
            <w:gridSpan w:val="6"/>
            <w:vAlign w:val="center"/>
          </w:tcPr>
          <w:p w:rsidR="00912504" w:rsidRPr="00422183" w:rsidRDefault="00912504" w:rsidP="003A0820">
            <w:pPr>
              <w:jc w:val="both"/>
              <w:rPr>
                <w:rFonts w:ascii="Rockwell" w:hAnsi="Rockwell"/>
                <w:sz w:val="18"/>
                <w:szCs w:val="18"/>
              </w:rPr>
            </w:pPr>
          </w:p>
        </w:tc>
        <w:tc>
          <w:tcPr>
            <w:tcW w:w="1441" w:type="dxa"/>
            <w:gridSpan w:val="4"/>
            <w:vAlign w:val="center"/>
          </w:tcPr>
          <w:p w:rsidR="00912504" w:rsidRPr="00422183" w:rsidRDefault="00912504" w:rsidP="003A0820">
            <w:pPr>
              <w:jc w:val="both"/>
              <w:rPr>
                <w:rFonts w:ascii="Rockwell" w:hAnsi="Rockwell"/>
                <w:sz w:val="18"/>
                <w:szCs w:val="18"/>
              </w:rPr>
            </w:pPr>
          </w:p>
        </w:tc>
        <w:tc>
          <w:tcPr>
            <w:tcW w:w="1254" w:type="dxa"/>
            <w:gridSpan w:val="4"/>
            <w:vAlign w:val="center"/>
          </w:tcPr>
          <w:p w:rsidR="00912504" w:rsidRPr="00422183" w:rsidRDefault="00912504" w:rsidP="003A0820">
            <w:pPr>
              <w:jc w:val="both"/>
              <w:rPr>
                <w:rFonts w:ascii="Rockwell" w:hAnsi="Rockwell"/>
                <w:sz w:val="18"/>
                <w:szCs w:val="18"/>
              </w:rPr>
            </w:pPr>
          </w:p>
        </w:tc>
        <w:tc>
          <w:tcPr>
            <w:tcW w:w="620" w:type="dxa"/>
            <w:gridSpan w:val="4"/>
            <w:shd w:val="clear" w:color="auto" w:fill="auto"/>
            <w:vAlign w:val="center"/>
          </w:tcPr>
          <w:p w:rsidR="00912504" w:rsidRPr="00422183" w:rsidRDefault="00912504" w:rsidP="003A0820">
            <w:pPr>
              <w:jc w:val="both"/>
              <w:rPr>
                <w:rFonts w:ascii="Rockwell" w:hAnsi="Rockwell"/>
                <w:sz w:val="18"/>
                <w:szCs w:val="18"/>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rPr>
            </w:pPr>
          </w:p>
        </w:tc>
        <w:tc>
          <w:tcPr>
            <w:tcW w:w="623" w:type="dxa"/>
            <w:gridSpan w:val="4"/>
            <w:shd w:val="clear" w:color="auto" w:fill="auto"/>
            <w:vAlign w:val="center"/>
          </w:tcPr>
          <w:p w:rsidR="00912504" w:rsidRPr="00422183" w:rsidRDefault="00912504" w:rsidP="003A0820">
            <w:pPr>
              <w:jc w:val="both"/>
              <w:rPr>
                <w:rFonts w:ascii="Rockwell" w:hAnsi="Rockwell"/>
                <w:sz w:val="18"/>
                <w:szCs w:val="18"/>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rPr>
            </w:pPr>
          </w:p>
        </w:tc>
        <w:tc>
          <w:tcPr>
            <w:tcW w:w="1081" w:type="dxa"/>
            <w:gridSpan w:val="2"/>
            <w:vAlign w:val="center"/>
          </w:tcPr>
          <w:p w:rsidR="00912504" w:rsidRPr="00422183" w:rsidRDefault="00912504" w:rsidP="003A0820">
            <w:pPr>
              <w:jc w:val="both"/>
              <w:rPr>
                <w:rFonts w:ascii="Rockwell" w:hAnsi="Rockwell"/>
                <w:sz w:val="18"/>
                <w:szCs w:val="18"/>
              </w:rPr>
            </w:pPr>
          </w:p>
        </w:tc>
      </w:tr>
      <w:tr w:rsidR="00B3094D" w:rsidRPr="00422183" w:rsidTr="006808EE">
        <w:trPr>
          <w:gridAfter w:val="1"/>
          <w:wAfter w:w="306" w:type="dxa"/>
        </w:trPr>
        <w:tc>
          <w:tcPr>
            <w:tcW w:w="999" w:type="dxa"/>
            <w:gridSpan w:val="2"/>
            <w:vAlign w:val="center"/>
          </w:tcPr>
          <w:p w:rsidR="00912504" w:rsidRPr="00422183" w:rsidRDefault="00912504" w:rsidP="003A0820">
            <w:pPr>
              <w:pStyle w:val="Paragraphedeliste"/>
              <w:ind w:left="45"/>
              <w:jc w:val="both"/>
              <w:rPr>
                <w:rFonts w:ascii="Rockwell" w:hAnsi="Rockwell"/>
                <w:sz w:val="18"/>
                <w:szCs w:val="18"/>
              </w:rPr>
            </w:pPr>
          </w:p>
        </w:tc>
        <w:tc>
          <w:tcPr>
            <w:tcW w:w="1020" w:type="dxa"/>
            <w:vAlign w:val="center"/>
          </w:tcPr>
          <w:p w:rsidR="00912504" w:rsidRPr="00422183" w:rsidRDefault="00912504" w:rsidP="003A0820">
            <w:pPr>
              <w:jc w:val="both"/>
              <w:rPr>
                <w:rFonts w:ascii="Rockwell" w:hAnsi="Rockwell"/>
                <w:sz w:val="18"/>
                <w:szCs w:val="18"/>
              </w:rPr>
            </w:pPr>
          </w:p>
        </w:tc>
        <w:tc>
          <w:tcPr>
            <w:tcW w:w="1251" w:type="dxa"/>
            <w:vAlign w:val="center"/>
          </w:tcPr>
          <w:p w:rsidR="00912504" w:rsidRPr="00422183" w:rsidRDefault="00912504" w:rsidP="003A0820">
            <w:pPr>
              <w:jc w:val="both"/>
              <w:rPr>
                <w:rFonts w:ascii="Rockwell" w:hAnsi="Rockwell"/>
                <w:sz w:val="18"/>
                <w:szCs w:val="18"/>
              </w:rPr>
            </w:pPr>
          </w:p>
        </w:tc>
        <w:tc>
          <w:tcPr>
            <w:tcW w:w="1413" w:type="dxa"/>
            <w:gridSpan w:val="2"/>
            <w:vAlign w:val="center"/>
          </w:tcPr>
          <w:p w:rsidR="00912504" w:rsidRPr="00422183" w:rsidRDefault="00912504" w:rsidP="003A0820">
            <w:pPr>
              <w:jc w:val="both"/>
              <w:rPr>
                <w:rFonts w:ascii="Rockwell" w:hAnsi="Rockwell"/>
                <w:sz w:val="18"/>
                <w:szCs w:val="18"/>
              </w:rPr>
            </w:pPr>
          </w:p>
        </w:tc>
        <w:tc>
          <w:tcPr>
            <w:tcW w:w="864" w:type="dxa"/>
            <w:gridSpan w:val="2"/>
            <w:vAlign w:val="center"/>
          </w:tcPr>
          <w:p w:rsidR="00912504" w:rsidRPr="00422183" w:rsidRDefault="00912504" w:rsidP="003A0820">
            <w:pPr>
              <w:jc w:val="both"/>
              <w:rPr>
                <w:rFonts w:ascii="Rockwell" w:hAnsi="Rockwell"/>
                <w:sz w:val="18"/>
                <w:szCs w:val="18"/>
              </w:rPr>
            </w:pPr>
          </w:p>
        </w:tc>
        <w:tc>
          <w:tcPr>
            <w:tcW w:w="2380" w:type="dxa"/>
            <w:gridSpan w:val="6"/>
            <w:vAlign w:val="center"/>
          </w:tcPr>
          <w:p w:rsidR="00912504" w:rsidRPr="00422183" w:rsidRDefault="00912504" w:rsidP="003A0820">
            <w:pPr>
              <w:jc w:val="both"/>
              <w:rPr>
                <w:rFonts w:ascii="Rockwell" w:hAnsi="Rockwell"/>
                <w:sz w:val="18"/>
                <w:szCs w:val="18"/>
              </w:rPr>
            </w:pPr>
          </w:p>
        </w:tc>
        <w:tc>
          <w:tcPr>
            <w:tcW w:w="1441" w:type="dxa"/>
            <w:gridSpan w:val="4"/>
            <w:vAlign w:val="center"/>
          </w:tcPr>
          <w:p w:rsidR="00912504" w:rsidRPr="00422183" w:rsidRDefault="00912504" w:rsidP="003A0820">
            <w:pPr>
              <w:jc w:val="both"/>
              <w:rPr>
                <w:rFonts w:ascii="Rockwell" w:hAnsi="Rockwell"/>
                <w:sz w:val="18"/>
                <w:szCs w:val="18"/>
              </w:rPr>
            </w:pPr>
          </w:p>
        </w:tc>
        <w:tc>
          <w:tcPr>
            <w:tcW w:w="1254" w:type="dxa"/>
            <w:gridSpan w:val="4"/>
            <w:vAlign w:val="center"/>
          </w:tcPr>
          <w:p w:rsidR="00912504" w:rsidRPr="00422183" w:rsidRDefault="00912504" w:rsidP="003A0820">
            <w:pPr>
              <w:jc w:val="both"/>
              <w:rPr>
                <w:rFonts w:ascii="Rockwell" w:hAnsi="Rockwell"/>
                <w:sz w:val="18"/>
                <w:szCs w:val="18"/>
                <w:lang w:val="en-US"/>
              </w:rPr>
            </w:pPr>
          </w:p>
        </w:tc>
        <w:tc>
          <w:tcPr>
            <w:tcW w:w="620"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23" w:type="dxa"/>
            <w:gridSpan w:val="4"/>
            <w:shd w:val="clear" w:color="auto" w:fill="auto"/>
            <w:vAlign w:val="center"/>
          </w:tcPr>
          <w:p w:rsidR="00912504" w:rsidRPr="00422183" w:rsidRDefault="00912504" w:rsidP="003A0820">
            <w:pPr>
              <w:jc w:val="both"/>
              <w:rPr>
                <w:rFonts w:ascii="Rockwell" w:hAnsi="Rockwell"/>
                <w:sz w:val="18"/>
                <w:szCs w:val="18"/>
                <w:lang w:val="en-US"/>
              </w:rPr>
            </w:pPr>
          </w:p>
        </w:tc>
        <w:tc>
          <w:tcPr>
            <w:tcW w:w="614"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618" w:type="dxa"/>
            <w:gridSpan w:val="2"/>
            <w:shd w:val="clear" w:color="auto" w:fill="auto"/>
            <w:vAlign w:val="center"/>
          </w:tcPr>
          <w:p w:rsidR="00912504" w:rsidRPr="00422183" w:rsidRDefault="00912504" w:rsidP="003A0820">
            <w:pPr>
              <w:jc w:val="both"/>
              <w:rPr>
                <w:rFonts w:ascii="Rockwell" w:hAnsi="Rockwell"/>
                <w:sz w:val="18"/>
                <w:szCs w:val="18"/>
                <w:lang w:val="en-US"/>
              </w:rPr>
            </w:pPr>
          </w:p>
        </w:tc>
        <w:tc>
          <w:tcPr>
            <w:tcW w:w="1081" w:type="dxa"/>
            <w:gridSpan w:val="2"/>
            <w:vAlign w:val="center"/>
          </w:tcPr>
          <w:p w:rsidR="00912504" w:rsidRPr="00422183" w:rsidRDefault="00912504" w:rsidP="003A0820">
            <w:pPr>
              <w:jc w:val="both"/>
              <w:rPr>
                <w:rFonts w:ascii="Rockwell" w:hAnsi="Rockwell"/>
                <w:sz w:val="18"/>
                <w:szCs w:val="18"/>
              </w:rPr>
            </w:pPr>
          </w:p>
        </w:tc>
      </w:tr>
    </w:tbl>
    <w:p w:rsidR="00912504" w:rsidRPr="00422183" w:rsidRDefault="00912504" w:rsidP="003A0820">
      <w:pPr>
        <w:spacing w:after="0" w:line="240" w:lineRule="auto"/>
        <w:jc w:val="both"/>
        <w:rPr>
          <w:rFonts w:ascii="Rockwell" w:hAnsi="Rockwell"/>
        </w:rPr>
        <w:sectPr w:rsidR="00912504" w:rsidRPr="00422183" w:rsidSect="003A0820">
          <w:pgSz w:w="16838" w:h="11906" w:orient="landscape" w:code="9"/>
          <w:pgMar w:top="1134" w:right="1134" w:bottom="1134" w:left="1134" w:header="709" w:footer="709" w:gutter="0"/>
          <w:cols w:space="708"/>
          <w:docGrid w:linePitch="360"/>
        </w:sectPr>
      </w:pPr>
    </w:p>
    <w:p w:rsidR="00912504" w:rsidRPr="00422183" w:rsidRDefault="004C219F" w:rsidP="003A0820">
      <w:pPr>
        <w:spacing w:after="0" w:line="240" w:lineRule="auto"/>
        <w:jc w:val="both"/>
        <w:rPr>
          <w:rFonts w:ascii="Rockwell" w:hAnsi="Rockwell"/>
          <w:b/>
          <w:sz w:val="24"/>
          <w:szCs w:val="24"/>
        </w:rPr>
      </w:pPr>
      <w:r w:rsidRPr="00422183">
        <w:rPr>
          <w:rFonts w:ascii="Rockwell" w:hAnsi="Rockwell"/>
          <w:b/>
          <w:sz w:val="24"/>
          <w:szCs w:val="24"/>
        </w:rPr>
        <w:t xml:space="preserve">Annexe </w:t>
      </w:r>
      <w:r w:rsidR="00A20044" w:rsidRPr="00422183">
        <w:rPr>
          <w:rFonts w:ascii="Rockwell" w:hAnsi="Rockwell"/>
          <w:b/>
          <w:sz w:val="24"/>
          <w:szCs w:val="24"/>
        </w:rPr>
        <w:t>6 : f</w:t>
      </w:r>
      <w:r w:rsidR="00912504" w:rsidRPr="00422183">
        <w:rPr>
          <w:rFonts w:ascii="Rockwell" w:hAnsi="Rockwell"/>
          <w:b/>
          <w:sz w:val="24"/>
          <w:szCs w:val="24"/>
        </w:rPr>
        <w:t xml:space="preserve">ormat du </w:t>
      </w:r>
      <w:r w:rsidR="00A20044" w:rsidRPr="00422183">
        <w:rPr>
          <w:rFonts w:ascii="Rockwell" w:hAnsi="Rockwell"/>
          <w:b/>
          <w:sz w:val="24"/>
          <w:szCs w:val="24"/>
        </w:rPr>
        <w:t>cadre sectoriel (ou régional) de m</w:t>
      </w:r>
      <w:r w:rsidR="00912504" w:rsidRPr="00422183">
        <w:rPr>
          <w:rFonts w:ascii="Rockwell" w:hAnsi="Rockwell"/>
          <w:b/>
          <w:sz w:val="24"/>
          <w:szCs w:val="24"/>
        </w:rPr>
        <w:t>esur</w:t>
      </w:r>
      <w:r w:rsidR="00A20044" w:rsidRPr="00422183">
        <w:rPr>
          <w:rFonts w:ascii="Rockwell" w:hAnsi="Rockwell"/>
          <w:b/>
          <w:sz w:val="24"/>
          <w:szCs w:val="24"/>
        </w:rPr>
        <w:t>e de p</w:t>
      </w:r>
      <w:r w:rsidR="00912504" w:rsidRPr="00422183">
        <w:rPr>
          <w:rFonts w:ascii="Rockwell" w:hAnsi="Rockwell"/>
          <w:b/>
          <w:sz w:val="24"/>
          <w:szCs w:val="24"/>
        </w:rPr>
        <w:t>erformances (par programme)</w:t>
      </w:r>
    </w:p>
    <w:tbl>
      <w:tblPr>
        <w:tblStyle w:val="Grilledutableau"/>
        <w:tblW w:w="14460" w:type="dxa"/>
        <w:tblInd w:w="-176" w:type="dxa"/>
        <w:tblLook w:val="04A0" w:firstRow="1" w:lastRow="0" w:firstColumn="1" w:lastColumn="0" w:noHBand="0" w:noVBand="1"/>
      </w:tblPr>
      <w:tblGrid>
        <w:gridCol w:w="14460"/>
      </w:tblGrid>
      <w:tr w:rsidR="00912504" w:rsidRPr="00422183" w:rsidTr="00AA6DAD">
        <w:tc>
          <w:tcPr>
            <w:tcW w:w="14460" w:type="dxa"/>
          </w:tcPr>
          <w:p w:rsidR="00912504" w:rsidRPr="00422183" w:rsidRDefault="00912504" w:rsidP="003A0820">
            <w:pPr>
              <w:jc w:val="both"/>
              <w:rPr>
                <w:rFonts w:ascii="Rockwell" w:hAnsi="Rockwell"/>
                <w:b/>
                <w:sz w:val="24"/>
                <w:szCs w:val="24"/>
              </w:rPr>
            </w:pPr>
            <w:r w:rsidRPr="00422183">
              <w:rPr>
                <w:rFonts w:ascii="Rockwell" w:hAnsi="Rockwell"/>
                <w:b/>
                <w:sz w:val="24"/>
                <w:szCs w:val="24"/>
              </w:rPr>
              <w:t xml:space="preserve">Intitulé du </w:t>
            </w:r>
            <w:r w:rsidR="00103BD2" w:rsidRPr="00422183">
              <w:rPr>
                <w:rFonts w:ascii="Rockwell" w:hAnsi="Rockwell"/>
                <w:b/>
                <w:sz w:val="24"/>
                <w:szCs w:val="24"/>
              </w:rPr>
              <w:t>p</w:t>
            </w:r>
            <w:r w:rsidRPr="00422183">
              <w:rPr>
                <w:rFonts w:ascii="Rockwell" w:hAnsi="Rockwell"/>
                <w:b/>
                <w:sz w:val="24"/>
                <w:szCs w:val="24"/>
              </w:rPr>
              <w:t>rogramme</w:t>
            </w:r>
            <w:r w:rsidR="00103BD2" w:rsidRPr="00422183">
              <w:rPr>
                <w:rFonts w:ascii="Rockwell" w:hAnsi="Rockwell"/>
                <w:b/>
                <w:sz w:val="24"/>
                <w:szCs w:val="24"/>
              </w:rPr>
              <w:t>,</w:t>
            </w:r>
            <w:r w:rsidRPr="00422183">
              <w:rPr>
                <w:rFonts w:ascii="Rockwell" w:hAnsi="Rockwell"/>
                <w:b/>
                <w:sz w:val="24"/>
                <w:szCs w:val="24"/>
              </w:rPr>
              <w:t xml:space="preserve"> du </w:t>
            </w:r>
            <w:r w:rsidR="00103BD2" w:rsidRPr="00422183">
              <w:rPr>
                <w:rFonts w:ascii="Rockwell" w:hAnsi="Rockwell"/>
                <w:b/>
                <w:sz w:val="24"/>
                <w:szCs w:val="24"/>
              </w:rPr>
              <w:t>p</w:t>
            </w:r>
            <w:r w:rsidRPr="00422183">
              <w:rPr>
                <w:rFonts w:ascii="Rockwell" w:hAnsi="Rockwell"/>
                <w:b/>
                <w:sz w:val="24"/>
                <w:szCs w:val="24"/>
              </w:rPr>
              <w:t>lan d</w:t>
            </w:r>
            <w:r w:rsidR="006C72DE" w:rsidRPr="00422183">
              <w:rPr>
                <w:rFonts w:ascii="Rockwell" w:hAnsi="Rockwell"/>
                <w:b/>
                <w:sz w:val="24"/>
                <w:szCs w:val="24"/>
              </w:rPr>
              <w:t>'</w:t>
            </w:r>
            <w:r w:rsidRPr="00422183">
              <w:rPr>
                <w:rFonts w:ascii="Rockwell" w:hAnsi="Rockwell"/>
                <w:b/>
                <w:sz w:val="24"/>
                <w:szCs w:val="24"/>
              </w:rPr>
              <w:t xml:space="preserve">action de la </w:t>
            </w:r>
            <w:r w:rsidR="00103BD2" w:rsidRPr="00422183">
              <w:rPr>
                <w:rFonts w:ascii="Rockwell" w:hAnsi="Rockwell"/>
                <w:b/>
                <w:sz w:val="24"/>
                <w:szCs w:val="24"/>
              </w:rPr>
              <w:t>p</w:t>
            </w:r>
            <w:r w:rsidRPr="00422183">
              <w:rPr>
                <w:rFonts w:ascii="Rockwell" w:hAnsi="Rockwell"/>
                <w:b/>
                <w:sz w:val="24"/>
                <w:szCs w:val="24"/>
              </w:rPr>
              <w:t>olitique sectorielle ou régionale</w:t>
            </w:r>
          </w:p>
        </w:tc>
      </w:tr>
    </w:tbl>
    <w:p w:rsidR="00912504" w:rsidRPr="00422183" w:rsidRDefault="00912504" w:rsidP="003A0820">
      <w:pPr>
        <w:spacing w:after="0" w:line="240" w:lineRule="auto"/>
        <w:jc w:val="both"/>
        <w:rPr>
          <w:rFonts w:ascii="Rockwell" w:hAnsi="Rockwell"/>
          <w:i/>
          <w:sz w:val="20"/>
          <w:szCs w:val="20"/>
        </w:rPr>
      </w:pPr>
    </w:p>
    <w:p w:rsidR="00912504" w:rsidRPr="00422183" w:rsidRDefault="00912504" w:rsidP="003A0820">
      <w:pPr>
        <w:spacing w:after="0" w:line="240" w:lineRule="auto"/>
        <w:jc w:val="both"/>
        <w:rPr>
          <w:rFonts w:ascii="Rockwell" w:hAnsi="Rockwell"/>
          <w:i/>
          <w:sz w:val="24"/>
          <w:szCs w:val="24"/>
        </w:rPr>
      </w:pPr>
      <w:r w:rsidRPr="00422183">
        <w:rPr>
          <w:rFonts w:ascii="Rockwell" w:hAnsi="Rockwell"/>
          <w:i/>
          <w:sz w:val="24"/>
          <w:szCs w:val="24"/>
        </w:rPr>
        <w:t>(Pour chaque effet attendu du PNDES visé par l</w:t>
      </w:r>
      <w:r w:rsidR="00A20044" w:rsidRPr="00422183">
        <w:rPr>
          <w:rFonts w:ascii="Rockwell" w:hAnsi="Rockwell"/>
          <w:i/>
          <w:sz w:val="24"/>
          <w:szCs w:val="24"/>
        </w:rPr>
        <w:t>e</w:t>
      </w:r>
      <w:r w:rsidRPr="00422183">
        <w:rPr>
          <w:rFonts w:ascii="Rockwell" w:hAnsi="Rockwell"/>
          <w:i/>
          <w:sz w:val="24"/>
          <w:szCs w:val="24"/>
        </w:rPr>
        <w:t xml:space="preserve"> </w:t>
      </w:r>
      <w:r w:rsidR="00A20044" w:rsidRPr="00422183">
        <w:rPr>
          <w:rFonts w:ascii="Rockwell" w:hAnsi="Rockwell"/>
          <w:i/>
          <w:sz w:val="24"/>
          <w:szCs w:val="24"/>
        </w:rPr>
        <w:t>p</w:t>
      </w:r>
      <w:r w:rsidRPr="00422183">
        <w:rPr>
          <w:rFonts w:ascii="Rockwell" w:hAnsi="Rockwell"/>
          <w:i/>
          <w:sz w:val="24"/>
          <w:szCs w:val="24"/>
        </w:rPr>
        <w:t>rogramme)</w:t>
      </w:r>
    </w:p>
    <w:tbl>
      <w:tblPr>
        <w:tblStyle w:val="Grilledutableau"/>
        <w:tblW w:w="14460" w:type="dxa"/>
        <w:tblInd w:w="-176" w:type="dxa"/>
        <w:tblLook w:val="04A0" w:firstRow="1" w:lastRow="0" w:firstColumn="1" w:lastColumn="0" w:noHBand="0" w:noVBand="1"/>
      </w:tblPr>
      <w:tblGrid>
        <w:gridCol w:w="761"/>
        <w:gridCol w:w="2634"/>
        <w:gridCol w:w="706"/>
        <w:gridCol w:w="972"/>
        <w:gridCol w:w="877"/>
        <w:gridCol w:w="729"/>
        <w:gridCol w:w="283"/>
        <w:gridCol w:w="1697"/>
        <w:gridCol w:w="1112"/>
        <w:gridCol w:w="586"/>
        <w:gridCol w:w="1355"/>
        <w:gridCol w:w="485"/>
        <w:gridCol w:w="2263"/>
      </w:tblGrid>
      <w:tr w:rsidR="00912504" w:rsidRPr="00422183" w:rsidTr="00AA6DAD">
        <w:tc>
          <w:tcPr>
            <w:tcW w:w="14460" w:type="dxa"/>
            <w:gridSpan w:val="13"/>
            <w:shd w:val="clear" w:color="auto" w:fill="FBD4B4" w:themeFill="accent6" w:themeFillTint="66"/>
          </w:tcPr>
          <w:p w:rsidR="00912504" w:rsidRPr="00422183" w:rsidRDefault="00912504" w:rsidP="003A0820">
            <w:pPr>
              <w:jc w:val="both"/>
              <w:rPr>
                <w:rFonts w:ascii="Rockwell" w:hAnsi="Rockwell"/>
                <w:b/>
              </w:rPr>
            </w:pPr>
            <w:r w:rsidRPr="00422183">
              <w:rPr>
                <w:rFonts w:ascii="Rockwell" w:hAnsi="Rockwell"/>
                <w:b/>
              </w:rPr>
              <w:t>Effet attendu (PNDES) :</w:t>
            </w:r>
          </w:p>
        </w:tc>
      </w:tr>
      <w:tr w:rsidR="00912504" w:rsidRPr="00422183" w:rsidTr="00AA6DAD">
        <w:tc>
          <w:tcPr>
            <w:tcW w:w="76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Code </w:t>
            </w:r>
          </w:p>
        </w:tc>
        <w:tc>
          <w:tcPr>
            <w:tcW w:w="3350"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w:t>
            </w:r>
            <w:r w:rsidR="006C72DE" w:rsidRPr="00422183">
              <w:rPr>
                <w:rFonts w:ascii="Rockwell" w:hAnsi="Rockwell"/>
                <w:b/>
                <w:sz w:val="18"/>
                <w:szCs w:val="18"/>
              </w:rPr>
              <w:t>'</w:t>
            </w:r>
            <w:r w:rsidRPr="00422183">
              <w:rPr>
                <w:rFonts w:ascii="Rockwell" w:hAnsi="Rockwell"/>
                <w:b/>
                <w:sz w:val="18"/>
                <w:szCs w:val="18"/>
              </w:rPr>
              <w:t>effet (PNDES)</w:t>
            </w:r>
          </w:p>
        </w:tc>
        <w:tc>
          <w:tcPr>
            <w:tcW w:w="973"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Réf. PNDES</w:t>
            </w:r>
          </w:p>
        </w:tc>
        <w:tc>
          <w:tcPr>
            <w:tcW w:w="850"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 (année)</w:t>
            </w:r>
          </w:p>
          <w:p w:rsidR="00912504" w:rsidRPr="00422183" w:rsidRDefault="00912504" w:rsidP="003A0820">
            <w:pPr>
              <w:jc w:val="both"/>
              <w:rPr>
                <w:rFonts w:ascii="Rockwell" w:hAnsi="Rockwell"/>
                <w:b/>
                <w:sz w:val="18"/>
                <w:szCs w:val="18"/>
              </w:rPr>
            </w:pPr>
            <w:r w:rsidRPr="00422183">
              <w:rPr>
                <w:rFonts w:ascii="Rockwell" w:hAnsi="Rockwell"/>
                <w:b/>
                <w:sz w:val="18"/>
                <w:szCs w:val="18"/>
              </w:rPr>
              <w:t>PNDES</w:t>
            </w:r>
          </w:p>
        </w:tc>
        <w:tc>
          <w:tcPr>
            <w:tcW w:w="1012"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Résultat obtenu </w:t>
            </w:r>
          </w:p>
        </w:tc>
        <w:tc>
          <w:tcPr>
            <w:tcW w:w="2816"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 l</w:t>
            </w:r>
            <w:r w:rsidR="006C72DE" w:rsidRPr="00422183">
              <w:rPr>
                <w:rFonts w:ascii="Rockwell" w:hAnsi="Rockwell"/>
                <w:b/>
                <w:sz w:val="18"/>
                <w:szCs w:val="18"/>
              </w:rPr>
              <w:t>'</w:t>
            </w:r>
            <w:r w:rsidRPr="00422183">
              <w:rPr>
                <w:rFonts w:ascii="Rockwell" w:hAnsi="Rockwell"/>
                <w:b/>
                <w:sz w:val="18"/>
                <w:szCs w:val="18"/>
              </w:rPr>
              <w:t>écart entre la cible et le résultat obtenu</w:t>
            </w:r>
          </w:p>
        </w:tc>
        <w:tc>
          <w:tcPr>
            <w:tcW w:w="1942"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c>
          <w:tcPr>
            <w:tcW w:w="2755"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w:t>
            </w: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14460" w:type="dxa"/>
            <w:gridSpan w:val="13"/>
            <w:shd w:val="clear" w:color="auto" w:fill="FBD4B4" w:themeFill="accent6" w:themeFillTint="66"/>
          </w:tcPr>
          <w:p w:rsidR="00912504" w:rsidRPr="00422183" w:rsidRDefault="00912504" w:rsidP="003A0820">
            <w:pPr>
              <w:jc w:val="both"/>
              <w:rPr>
                <w:rFonts w:ascii="Rockwell" w:hAnsi="Rockwell"/>
                <w:b/>
              </w:rPr>
            </w:pPr>
            <w:r w:rsidRPr="00422183">
              <w:rPr>
                <w:rFonts w:ascii="Rockwell" w:hAnsi="Rockwell"/>
                <w:b/>
              </w:rPr>
              <w:t xml:space="preserve">Sous-effet attendu 1 </w:t>
            </w:r>
          </w:p>
        </w:tc>
      </w:tr>
      <w:tr w:rsidR="00912504" w:rsidRPr="00422183" w:rsidTr="00AA6DAD">
        <w:tc>
          <w:tcPr>
            <w:tcW w:w="76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Code </w:t>
            </w:r>
          </w:p>
        </w:tc>
        <w:tc>
          <w:tcPr>
            <w:tcW w:w="3350"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du sous-effet attendu</w:t>
            </w:r>
          </w:p>
        </w:tc>
        <w:tc>
          <w:tcPr>
            <w:tcW w:w="973"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Réf. </w:t>
            </w:r>
          </w:p>
        </w:tc>
        <w:tc>
          <w:tcPr>
            <w:tcW w:w="850"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 (année)</w:t>
            </w:r>
          </w:p>
          <w:p w:rsidR="00912504" w:rsidRPr="00422183" w:rsidRDefault="00912504" w:rsidP="003A0820">
            <w:pPr>
              <w:jc w:val="both"/>
              <w:rPr>
                <w:rFonts w:ascii="Rockwell" w:hAnsi="Rockwell"/>
                <w:b/>
                <w:sz w:val="18"/>
                <w:szCs w:val="18"/>
              </w:rPr>
            </w:pPr>
          </w:p>
        </w:tc>
        <w:tc>
          <w:tcPr>
            <w:tcW w:w="1012"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Résultat obtenu </w:t>
            </w:r>
          </w:p>
        </w:tc>
        <w:tc>
          <w:tcPr>
            <w:tcW w:w="2816"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 l</w:t>
            </w:r>
            <w:r w:rsidR="006C72DE" w:rsidRPr="00422183">
              <w:rPr>
                <w:rFonts w:ascii="Rockwell" w:hAnsi="Rockwell"/>
                <w:b/>
                <w:sz w:val="18"/>
                <w:szCs w:val="18"/>
              </w:rPr>
              <w:t>'</w:t>
            </w:r>
            <w:r w:rsidRPr="00422183">
              <w:rPr>
                <w:rFonts w:ascii="Rockwell" w:hAnsi="Rockwell"/>
                <w:b/>
                <w:sz w:val="18"/>
                <w:szCs w:val="18"/>
              </w:rPr>
              <w:t>écart entre la cible et le résultat obtenu</w:t>
            </w:r>
          </w:p>
        </w:tc>
        <w:tc>
          <w:tcPr>
            <w:tcW w:w="1942"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c>
          <w:tcPr>
            <w:tcW w:w="2755"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w:t>
            </w: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rPr>
          <w:trHeight w:val="143"/>
        </w:trPr>
        <w:tc>
          <w:tcPr>
            <w:tcW w:w="762" w:type="dxa"/>
            <w:shd w:val="clear" w:color="auto" w:fill="000000" w:themeFill="text1"/>
          </w:tcPr>
          <w:p w:rsidR="00912504" w:rsidRPr="00422183" w:rsidRDefault="00912504" w:rsidP="003A0820">
            <w:pPr>
              <w:jc w:val="both"/>
              <w:rPr>
                <w:rFonts w:ascii="Rockwell" w:hAnsi="Rockwell"/>
                <w:sz w:val="8"/>
                <w:szCs w:val="8"/>
              </w:rPr>
            </w:pPr>
          </w:p>
        </w:tc>
        <w:tc>
          <w:tcPr>
            <w:tcW w:w="3350" w:type="dxa"/>
            <w:gridSpan w:val="2"/>
            <w:shd w:val="clear" w:color="auto" w:fill="000000" w:themeFill="text1"/>
          </w:tcPr>
          <w:p w:rsidR="00912504" w:rsidRPr="00422183" w:rsidRDefault="00912504" w:rsidP="003A0820">
            <w:pPr>
              <w:jc w:val="both"/>
              <w:rPr>
                <w:rFonts w:ascii="Rockwell" w:hAnsi="Rockwell"/>
                <w:sz w:val="8"/>
                <w:szCs w:val="8"/>
              </w:rPr>
            </w:pPr>
          </w:p>
        </w:tc>
        <w:tc>
          <w:tcPr>
            <w:tcW w:w="973" w:type="dxa"/>
            <w:shd w:val="clear" w:color="auto" w:fill="000000" w:themeFill="text1"/>
          </w:tcPr>
          <w:p w:rsidR="00912504" w:rsidRPr="00422183" w:rsidRDefault="00912504" w:rsidP="003A0820">
            <w:pPr>
              <w:jc w:val="both"/>
              <w:rPr>
                <w:rFonts w:ascii="Rockwell" w:hAnsi="Rockwell"/>
                <w:sz w:val="8"/>
                <w:szCs w:val="8"/>
              </w:rPr>
            </w:pPr>
          </w:p>
        </w:tc>
        <w:tc>
          <w:tcPr>
            <w:tcW w:w="850" w:type="dxa"/>
            <w:shd w:val="clear" w:color="auto" w:fill="000000" w:themeFill="text1"/>
          </w:tcPr>
          <w:p w:rsidR="00912504" w:rsidRPr="00422183" w:rsidRDefault="00912504" w:rsidP="003A0820">
            <w:pPr>
              <w:jc w:val="both"/>
              <w:rPr>
                <w:rFonts w:ascii="Rockwell" w:hAnsi="Rockwell"/>
                <w:sz w:val="8"/>
                <w:szCs w:val="8"/>
              </w:rPr>
            </w:pPr>
          </w:p>
        </w:tc>
        <w:tc>
          <w:tcPr>
            <w:tcW w:w="1012" w:type="dxa"/>
            <w:gridSpan w:val="2"/>
            <w:shd w:val="clear" w:color="auto" w:fill="000000" w:themeFill="text1"/>
          </w:tcPr>
          <w:p w:rsidR="00912504" w:rsidRPr="00422183" w:rsidRDefault="00912504" w:rsidP="003A0820">
            <w:pPr>
              <w:jc w:val="both"/>
              <w:rPr>
                <w:rFonts w:ascii="Rockwell" w:hAnsi="Rockwell"/>
                <w:sz w:val="8"/>
                <w:szCs w:val="8"/>
              </w:rPr>
            </w:pPr>
          </w:p>
        </w:tc>
        <w:tc>
          <w:tcPr>
            <w:tcW w:w="2816" w:type="dxa"/>
            <w:gridSpan w:val="2"/>
            <w:shd w:val="clear" w:color="auto" w:fill="000000" w:themeFill="text1"/>
          </w:tcPr>
          <w:p w:rsidR="00912504" w:rsidRPr="00422183" w:rsidRDefault="00912504" w:rsidP="003A0820">
            <w:pPr>
              <w:jc w:val="both"/>
              <w:rPr>
                <w:rFonts w:ascii="Rockwell" w:hAnsi="Rockwell"/>
                <w:sz w:val="8"/>
                <w:szCs w:val="8"/>
              </w:rPr>
            </w:pPr>
          </w:p>
        </w:tc>
        <w:tc>
          <w:tcPr>
            <w:tcW w:w="1942" w:type="dxa"/>
            <w:gridSpan w:val="2"/>
            <w:shd w:val="clear" w:color="auto" w:fill="000000" w:themeFill="text1"/>
          </w:tcPr>
          <w:p w:rsidR="00912504" w:rsidRPr="00422183" w:rsidRDefault="00912504" w:rsidP="003A0820">
            <w:pPr>
              <w:jc w:val="both"/>
              <w:rPr>
                <w:rFonts w:ascii="Rockwell" w:hAnsi="Rockwell"/>
                <w:sz w:val="8"/>
                <w:szCs w:val="8"/>
              </w:rPr>
            </w:pPr>
          </w:p>
        </w:tc>
        <w:tc>
          <w:tcPr>
            <w:tcW w:w="2755" w:type="dxa"/>
            <w:gridSpan w:val="2"/>
            <w:shd w:val="clear" w:color="auto" w:fill="000000" w:themeFill="text1"/>
          </w:tcPr>
          <w:p w:rsidR="00912504" w:rsidRPr="00422183" w:rsidRDefault="00912504" w:rsidP="003A0820">
            <w:pPr>
              <w:jc w:val="both"/>
              <w:rPr>
                <w:rFonts w:ascii="Rockwell" w:hAnsi="Rockwell"/>
                <w:sz w:val="8"/>
                <w:szCs w:val="8"/>
              </w:rPr>
            </w:pPr>
          </w:p>
        </w:tc>
      </w:tr>
      <w:tr w:rsidR="00912504" w:rsidRPr="00422183" w:rsidTr="00AA6DAD">
        <w:tc>
          <w:tcPr>
            <w:tcW w:w="3403"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Code et Libellé des Produits attendus</w:t>
            </w:r>
          </w:p>
        </w:tc>
        <w:tc>
          <w:tcPr>
            <w:tcW w:w="3261" w:type="dxa"/>
            <w:gridSpan w:val="4"/>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de produit</w:t>
            </w:r>
          </w:p>
        </w:tc>
        <w:tc>
          <w:tcPr>
            <w:tcW w:w="1984"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w:t>
            </w:r>
          </w:p>
          <w:p w:rsidR="00912504" w:rsidRPr="00422183" w:rsidRDefault="00912504" w:rsidP="003A0820">
            <w:pPr>
              <w:jc w:val="both"/>
              <w:rPr>
                <w:rFonts w:ascii="Rockwell" w:hAnsi="Rockwell"/>
                <w:b/>
                <w:sz w:val="18"/>
                <w:szCs w:val="18"/>
              </w:rPr>
            </w:pPr>
            <w:r w:rsidRPr="00422183">
              <w:rPr>
                <w:rFonts w:ascii="Rockwell" w:hAnsi="Rockwell"/>
                <w:b/>
                <w:sz w:val="18"/>
                <w:szCs w:val="18"/>
              </w:rPr>
              <w:t>(1)</w:t>
            </w:r>
          </w:p>
        </w:tc>
        <w:tc>
          <w:tcPr>
            <w:tcW w:w="1701"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Résultat obtenu</w:t>
            </w:r>
          </w:p>
          <w:p w:rsidR="00912504" w:rsidRPr="00422183" w:rsidRDefault="00912504" w:rsidP="003A0820">
            <w:pPr>
              <w:jc w:val="both"/>
              <w:rPr>
                <w:rFonts w:ascii="Rockwell" w:hAnsi="Rockwell"/>
                <w:b/>
                <w:sz w:val="18"/>
                <w:szCs w:val="18"/>
              </w:rPr>
            </w:pPr>
            <w:r w:rsidRPr="00422183">
              <w:rPr>
                <w:rFonts w:ascii="Rockwell" w:hAnsi="Rockwell"/>
                <w:b/>
                <w:sz w:val="18"/>
                <w:szCs w:val="18"/>
              </w:rPr>
              <w:t>(2)</w:t>
            </w:r>
          </w:p>
        </w:tc>
        <w:tc>
          <w:tcPr>
            <w:tcW w:w="1843"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 l</w:t>
            </w:r>
            <w:r w:rsidR="006C72DE" w:rsidRPr="00422183">
              <w:rPr>
                <w:rFonts w:ascii="Rockwell" w:hAnsi="Rockwell"/>
                <w:b/>
                <w:sz w:val="18"/>
                <w:szCs w:val="18"/>
              </w:rPr>
              <w:t>'</w:t>
            </w:r>
            <w:r w:rsidRPr="00422183">
              <w:rPr>
                <w:rFonts w:ascii="Rockwell" w:hAnsi="Rockwell"/>
                <w:b/>
                <w:sz w:val="18"/>
                <w:szCs w:val="18"/>
              </w:rPr>
              <w:t>écart entre (1) et (2)</w:t>
            </w:r>
          </w:p>
        </w:tc>
        <w:tc>
          <w:tcPr>
            <w:tcW w:w="2268" w:type="dxa"/>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14460" w:type="dxa"/>
            <w:gridSpan w:val="13"/>
            <w:shd w:val="clear" w:color="auto" w:fill="FBD4B4" w:themeFill="accent6" w:themeFillTint="66"/>
          </w:tcPr>
          <w:p w:rsidR="00912504" w:rsidRPr="00422183" w:rsidRDefault="00912504" w:rsidP="003A0820">
            <w:pPr>
              <w:jc w:val="both"/>
              <w:rPr>
                <w:rFonts w:ascii="Rockwell" w:hAnsi="Rockwell"/>
                <w:b/>
              </w:rPr>
            </w:pPr>
            <w:r w:rsidRPr="00422183">
              <w:rPr>
                <w:rFonts w:ascii="Rockwell" w:hAnsi="Rockwell"/>
                <w:b/>
              </w:rPr>
              <w:t xml:space="preserve">Sous-effet attendu 2 </w:t>
            </w:r>
          </w:p>
        </w:tc>
      </w:tr>
      <w:tr w:rsidR="00912504" w:rsidRPr="00422183" w:rsidTr="00AA6DAD">
        <w:tc>
          <w:tcPr>
            <w:tcW w:w="762"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Code </w:t>
            </w:r>
          </w:p>
        </w:tc>
        <w:tc>
          <w:tcPr>
            <w:tcW w:w="3350"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du sous-effet attendu</w:t>
            </w:r>
          </w:p>
        </w:tc>
        <w:tc>
          <w:tcPr>
            <w:tcW w:w="973"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Réf. </w:t>
            </w:r>
          </w:p>
        </w:tc>
        <w:tc>
          <w:tcPr>
            <w:tcW w:w="850" w:type="dxa"/>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 (année)</w:t>
            </w:r>
          </w:p>
          <w:p w:rsidR="00912504" w:rsidRPr="00422183" w:rsidRDefault="00912504" w:rsidP="003A0820">
            <w:pPr>
              <w:jc w:val="both"/>
              <w:rPr>
                <w:rFonts w:ascii="Rockwell" w:hAnsi="Rockwell"/>
                <w:b/>
                <w:sz w:val="18"/>
                <w:szCs w:val="18"/>
              </w:rPr>
            </w:pPr>
          </w:p>
        </w:tc>
        <w:tc>
          <w:tcPr>
            <w:tcW w:w="1012" w:type="dxa"/>
            <w:gridSpan w:val="2"/>
            <w:shd w:val="clear" w:color="auto" w:fill="B6DDE8" w:themeFill="accent5"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 xml:space="preserve">Résultat obtenu </w:t>
            </w:r>
          </w:p>
        </w:tc>
        <w:tc>
          <w:tcPr>
            <w:tcW w:w="2816"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 l</w:t>
            </w:r>
            <w:r w:rsidR="006C72DE" w:rsidRPr="00422183">
              <w:rPr>
                <w:rFonts w:ascii="Rockwell" w:hAnsi="Rockwell"/>
                <w:b/>
                <w:sz w:val="18"/>
                <w:szCs w:val="18"/>
              </w:rPr>
              <w:t>'</w:t>
            </w:r>
            <w:r w:rsidRPr="00422183">
              <w:rPr>
                <w:rFonts w:ascii="Rockwell" w:hAnsi="Rockwell"/>
                <w:b/>
                <w:sz w:val="18"/>
                <w:szCs w:val="18"/>
              </w:rPr>
              <w:t>écart entre la cible et le résultat obtenu</w:t>
            </w:r>
          </w:p>
        </w:tc>
        <w:tc>
          <w:tcPr>
            <w:tcW w:w="1942"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c>
          <w:tcPr>
            <w:tcW w:w="2755" w:type="dxa"/>
            <w:gridSpan w:val="2"/>
            <w:shd w:val="clear" w:color="auto" w:fill="B6DDE8" w:themeFill="accent5" w:themeFillTint="66"/>
          </w:tcPr>
          <w:p w:rsidR="00912504" w:rsidRPr="00422183" w:rsidRDefault="00912504" w:rsidP="003A0820">
            <w:pPr>
              <w:jc w:val="both"/>
              <w:rPr>
                <w:rFonts w:ascii="Rockwell" w:hAnsi="Rockwell"/>
                <w:b/>
                <w:sz w:val="18"/>
                <w:szCs w:val="18"/>
              </w:rPr>
            </w:pPr>
            <w:r w:rsidRPr="00422183">
              <w:rPr>
                <w:rFonts w:ascii="Rockwell" w:hAnsi="Rockwell"/>
                <w:b/>
                <w:sz w:val="18"/>
                <w:szCs w:val="18"/>
              </w:rPr>
              <w:t>Hypothèse</w:t>
            </w: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c>
          <w:tcPr>
            <w:tcW w:w="762" w:type="dxa"/>
          </w:tcPr>
          <w:p w:rsidR="00912504" w:rsidRPr="00422183" w:rsidRDefault="00912504" w:rsidP="003A0820">
            <w:pPr>
              <w:jc w:val="both"/>
              <w:rPr>
                <w:rFonts w:ascii="Rockwell" w:hAnsi="Rockwell"/>
                <w:sz w:val="18"/>
                <w:szCs w:val="18"/>
              </w:rPr>
            </w:pPr>
          </w:p>
        </w:tc>
        <w:tc>
          <w:tcPr>
            <w:tcW w:w="3350" w:type="dxa"/>
            <w:gridSpan w:val="2"/>
          </w:tcPr>
          <w:p w:rsidR="00912504" w:rsidRPr="00422183" w:rsidRDefault="00912504" w:rsidP="003A0820">
            <w:pPr>
              <w:jc w:val="both"/>
              <w:rPr>
                <w:rFonts w:ascii="Rockwell" w:hAnsi="Rockwell"/>
                <w:sz w:val="18"/>
                <w:szCs w:val="18"/>
              </w:rPr>
            </w:pPr>
          </w:p>
        </w:tc>
        <w:tc>
          <w:tcPr>
            <w:tcW w:w="973" w:type="dxa"/>
          </w:tcPr>
          <w:p w:rsidR="00912504" w:rsidRPr="00422183" w:rsidRDefault="00912504" w:rsidP="003A0820">
            <w:pPr>
              <w:jc w:val="both"/>
              <w:rPr>
                <w:rFonts w:ascii="Rockwell" w:hAnsi="Rockwell"/>
                <w:sz w:val="18"/>
                <w:szCs w:val="18"/>
              </w:rPr>
            </w:pPr>
          </w:p>
        </w:tc>
        <w:tc>
          <w:tcPr>
            <w:tcW w:w="850" w:type="dxa"/>
          </w:tcPr>
          <w:p w:rsidR="00912504" w:rsidRPr="00422183" w:rsidRDefault="00912504" w:rsidP="003A0820">
            <w:pPr>
              <w:jc w:val="both"/>
              <w:rPr>
                <w:rFonts w:ascii="Rockwell" w:hAnsi="Rockwell"/>
                <w:sz w:val="18"/>
                <w:szCs w:val="18"/>
              </w:rPr>
            </w:pPr>
          </w:p>
        </w:tc>
        <w:tc>
          <w:tcPr>
            <w:tcW w:w="1012" w:type="dxa"/>
            <w:gridSpan w:val="2"/>
          </w:tcPr>
          <w:p w:rsidR="00912504" w:rsidRPr="00422183" w:rsidRDefault="00912504" w:rsidP="003A0820">
            <w:pPr>
              <w:jc w:val="both"/>
              <w:rPr>
                <w:rFonts w:ascii="Rockwell" w:hAnsi="Rockwell"/>
                <w:sz w:val="18"/>
                <w:szCs w:val="18"/>
              </w:rPr>
            </w:pPr>
          </w:p>
        </w:tc>
        <w:tc>
          <w:tcPr>
            <w:tcW w:w="2816" w:type="dxa"/>
            <w:gridSpan w:val="2"/>
          </w:tcPr>
          <w:p w:rsidR="00912504" w:rsidRPr="00422183" w:rsidRDefault="00912504" w:rsidP="003A0820">
            <w:pPr>
              <w:jc w:val="both"/>
              <w:rPr>
                <w:rFonts w:ascii="Rockwell" w:hAnsi="Rockwell"/>
                <w:sz w:val="18"/>
                <w:szCs w:val="18"/>
              </w:rPr>
            </w:pPr>
          </w:p>
        </w:tc>
        <w:tc>
          <w:tcPr>
            <w:tcW w:w="1942" w:type="dxa"/>
            <w:gridSpan w:val="2"/>
          </w:tcPr>
          <w:p w:rsidR="00912504" w:rsidRPr="00422183" w:rsidRDefault="00912504" w:rsidP="003A0820">
            <w:pPr>
              <w:jc w:val="both"/>
              <w:rPr>
                <w:rFonts w:ascii="Rockwell" w:hAnsi="Rockwell"/>
                <w:sz w:val="18"/>
                <w:szCs w:val="18"/>
              </w:rPr>
            </w:pPr>
          </w:p>
        </w:tc>
        <w:tc>
          <w:tcPr>
            <w:tcW w:w="2755" w:type="dxa"/>
            <w:gridSpan w:val="2"/>
          </w:tcPr>
          <w:p w:rsidR="00912504" w:rsidRPr="00422183" w:rsidRDefault="00912504" w:rsidP="003A0820">
            <w:pPr>
              <w:jc w:val="both"/>
              <w:rPr>
                <w:rFonts w:ascii="Rockwell" w:hAnsi="Rockwell"/>
                <w:sz w:val="18"/>
                <w:szCs w:val="18"/>
              </w:rPr>
            </w:pPr>
          </w:p>
        </w:tc>
      </w:tr>
      <w:tr w:rsidR="00912504" w:rsidRPr="00422183" w:rsidTr="00AA6DAD">
        <w:trPr>
          <w:trHeight w:val="143"/>
        </w:trPr>
        <w:tc>
          <w:tcPr>
            <w:tcW w:w="762" w:type="dxa"/>
            <w:shd w:val="clear" w:color="auto" w:fill="000000" w:themeFill="text1"/>
          </w:tcPr>
          <w:p w:rsidR="00912504" w:rsidRPr="00422183" w:rsidRDefault="00912504" w:rsidP="003A0820">
            <w:pPr>
              <w:jc w:val="both"/>
              <w:rPr>
                <w:rFonts w:ascii="Rockwell" w:hAnsi="Rockwell"/>
                <w:sz w:val="8"/>
                <w:szCs w:val="8"/>
              </w:rPr>
            </w:pPr>
          </w:p>
        </w:tc>
        <w:tc>
          <w:tcPr>
            <w:tcW w:w="3350" w:type="dxa"/>
            <w:gridSpan w:val="2"/>
            <w:shd w:val="clear" w:color="auto" w:fill="000000" w:themeFill="text1"/>
          </w:tcPr>
          <w:p w:rsidR="00912504" w:rsidRPr="00422183" w:rsidRDefault="00912504" w:rsidP="003A0820">
            <w:pPr>
              <w:jc w:val="both"/>
              <w:rPr>
                <w:rFonts w:ascii="Rockwell" w:hAnsi="Rockwell"/>
                <w:sz w:val="8"/>
                <w:szCs w:val="8"/>
              </w:rPr>
            </w:pPr>
          </w:p>
        </w:tc>
        <w:tc>
          <w:tcPr>
            <w:tcW w:w="973" w:type="dxa"/>
            <w:shd w:val="clear" w:color="auto" w:fill="000000" w:themeFill="text1"/>
          </w:tcPr>
          <w:p w:rsidR="00912504" w:rsidRPr="00422183" w:rsidRDefault="00912504" w:rsidP="003A0820">
            <w:pPr>
              <w:jc w:val="both"/>
              <w:rPr>
                <w:rFonts w:ascii="Rockwell" w:hAnsi="Rockwell"/>
                <w:sz w:val="8"/>
                <w:szCs w:val="8"/>
              </w:rPr>
            </w:pPr>
          </w:p>
        </w:tc>
        <w:tc>
          <w:tcPr>
            <w:tcW w:w="850" w:type="dxa"/>
            <w:shd w:val="clear" w:color="auto" w:fill="000000" w:themeFill="text1"/>
          </w:tcPr>
          <w:p w:rsidR="00912504" w:rsidRPr="00422183" w:rsidRDefault="00912504" w:rsidP="003A0820">
            <w:pPr>
              <w:jc w:val="both"/>
              <w:rPr>
                <w:rFonts w:ascii="Rockwell" w:hAnsi="Rockwell"/>
                <w:sz w:val="8"/>
                <w:szCs w:val="8"/>
              </w:rPr>
            </w:pPr>
          </w:p>
        </w:tc>
        <w:tc>
          <w:tcPr>
            <w:tcW w:w="1012" w:type="dxa"/>
            <w:gridSpan w:val="2"/>
            <w:shd w:val="clear" w:color="auto" w:fill="000000" w:themeFill="text1"/>
          </w:tcPr>
          <w:p w:rsidR="00912504" w:rsidRPr="00422183" w:rsidRDefault="00912504" w:rsidP="003A0820">
            <w:pPr>
              <w:jc w:val="both"/>
              <w:rPr>
                <w:rFonts w:ascii="Rockwell" w:hAnsi="Rockwell"/>
                <w:sz w:val="8"/>
                <w:szCs w:val="8"/>
              </w:rPr>
            </w:pPr>
          </w:p>
        </w:tc>
        <w:tc>
          <w:tcPr>
            <w:tcW w:w="2816" w:type="dxa"/>
            <w:gridSpan w:val="2"/>
            <w:shd w:val="clear" w:color="auto" w:fill="000000" w:themeFill="text1"/>
          </w:tcPr>
          <w:p w:rsidR="00912504" w:rsidRPr="00422183" w:rsidRDefault="00912504" w:rsidP="003A0820">
            <w:pPr>
              <w:jc w:val="both"/>
              <w:rPr>
                <w:rFonts w:ascii="Rockwell" w:hAnsi="Rockwell"/>
                <w:sz w:val="8"/>
                <w:szCs w:val="8"/>
              </w:rPr>
            </w:pPr>
          </w:p>
        </w:tc>
        <w:tc>
          <w:tcPr>
            <w:tcW w:w="1942" w:type="dxa"/>
            <w:gridSpan w:val="2"/>
            <w:shd w:val="clear" w:color="auto" w:fill="000000" w:themeFill="text1"/>
          </w:tcPr>
          <w:p w:rsidR="00912504" w:rsidRPr="00422183" w:rsidRDefault="00912504" w:rsidP="003A0820">
            <w:pPr>
              <w:jc w:val="both"/>
              <w:rPr>
                <w:rFonts w:ascii="Rockwell" w:hAnsi="Rockwell"/>
                <w:sz w:val="8"/>
                <w:szCs w:val="8"/>
              </w:rPr>
            </w:pPr>
          </w:p>
        </w:tc>
        <w:tc>
          <w:tcPr>
            <w:tcW w:w="2755" w:type="dxa"/>
            <w:gridSpan w:val="2"/>
            <w:shd w:val="clear" w:color="auto" w:fill="000000" w:themeFill="text1"/>
          </w:tcPr>
          <w:p w:rsidR="00912504" w:rsidRPr="00422183" w:rsidRDefault="00912504" w:rsidP="003A0820">
            <w:pPr>
              <w:jc w:val="both"/>
              <w:rPr>
                <w:rFonts w:ascii="Rockwell" w:hAnsi="Rockwell"/>
                <w:sz w:val="8"/>
                <w:szCs w:val="8"/>
              </w:rPr>
            </w:pPr>
          </w:p>
        </w:tc>
      </w:tr>
      <w:tr w:rsidR="00912504" w:rsidRPr="00422183" w:rsidTr="00AA6DAD">
        <w:tc>
          <w:tcPr>
            <w:tcW w:w="3403"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Libellé des Produits attendus</w:t>
            </w:r>
          </w:p>
        </w:tc>
        <w:tc>
          <w:tcPr>
            <w:tcW w:w="3261" w:type="dxa"/>
            <w:gridSpan w:val="4"/>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Indicateurs de produit</w:t>
            </w:r>
          </w:p>
        </w:tc>
        <w:tc>
          <w:tcPr>
            <w:tcW w:w="1984"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Cibles</w:t>
            </w:r>
          </w:p>
          <w:p w:rsidR="00912504" w:rsidRPr="00422183" w:rsidRDefault="00912504" w:rsidP="003A0820">
            <w:pPr>
              <w:jc w:val="both"/>
              <w:rPr>
                <w:rFonts w:ascii="Rockwell" w:hAnsi="Rockwell"/>
                <w:b/>
                <w:sz w:val="18"/>
                <w:szCs w:val="18"/>
              </w:rPr>
            </w:pPr>
            <w:r w:rsidRPr="00422183">
              <w:rPr>
                <w:rFonts w:ascii="Rockwell" w:hAnsi="Rockwell"/>
                <w:b/>
                <w:sz w:val="18"/>
                <w:szCs w:val="18"/>
              </w:rPr>
              <w:t>(1)</w:t>
            </w:r>
          </w:p>
        </w:tc>
        <w:tc>
          <w:tcPr>
            <w:tcW w:w="1701"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Résultat obtenu</w:t>
            </w:r>
          </w:p>
          <w:p w:rsidR="00912504" w:rsidRPr="00422183" w:rsidRDefault="00912504" w:rsidP="003A0820">
            <w:pPr>
              <w:jc w:val="both"/>
              <w:rPr>
                <w:rFonts w:ascii="Rockwell" w:hAnsi="Rockwell"/>
                <w:b/>
                <w:sz w:val="18"/>
                <w:szCs w:val="18"/>
              </w:rPr>
            </w:pPr>
            <w:r w:rsidRPr="00422183">
              <w:rPr>
                <w:rFonts w:ascii="Rockwell" w:hAnsi="Rockwell"/>
                <w:b/>
                <w:sz w:val="18"/>
                <w:szCs w:val="18"/>
              </w:rPr>
              <w:t>(2)</w:t>
            </w:r>
          </w:p>
        </w:tc>
        <w:tc>
          <w:tcPr>
            <w:tcW w:w="1843" w:type="dxa"/>
            <w:gridSpan w:val="2"/>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Explication de l</w:t>
            </w:r>
            <w:r w:rsidR="006C72DE" w:rsidRPr="00422183">
              <w:rPr>
                <w:rFonts w:ascii="Rockwell" w:hAnsi="Rockwell"/>
                <w:b/>
                <w:sz w:val="18"/>
                <w:szCs w:val="18"/>
              </w:rPr>
              <w:t>'</w:t>
            </w:r>
            <w:r w:rsidRPr="00422183">
              <w:rPr>
                <w:rFonts w:ascii="Rockwell" w:hAnsi="Rockwell"/>
                <w:b/>
                <w:sz w:val="18"/>
                <w:szCs w:val="18"/>
              </w:rPr>
              <w:t>écart entre (1) et (2)</w:t>
            </w:r>
          </w:p>
        </w:tc>
        <w:tc>
          <w:tcPr>
            <w:tcW w:w="2268" w:type="dxa"/>
            <w:shd w:val="clear" w:color="auto" w:fill="D6E3BC" w:themeFill="accent3" w:themeFillTint="66"/>
            <w:vAlign w:val="center"/>
          </w:tcPr>
          <w:p w:rsidR="00912504" w:rsidRPr="00422183" w:rsidRDefault="00912504" w:rsidP="003A0820">
            <w:pPr>
              <w:jc w:val="both"/>
              <w:rPr>
                <w:rFonts w:ascii="Rockwell" w:hAnsi="Rockwell"/>
                <w:b/>
                <w:sz w:val="18"/>
                <w:szCs w:val="18"/>
              </w:rPr>
            </w:pPr>
            <w:r w:rsidRPr="00422183">
              <w:rPr>
                <w:rFonts w:ascii="Rockwell" w:hAnsi="Rockwell"/>
                <w:b/>
                <w:sz w:val="18"/>
                <w:szCs w:val="18"/>
              </w:rPr>
              <w:t>Leçons tirées et mesures correctives</w:t>
            </w:r>
          </w:p>
        </w:tc>
      </w:tr>
      <w:tr w:rsidR="00912504" w:rsidRPr="00422183" w:rsidTr="00AA6DAD">
        <w:tc>
          <w:tcPr>
            <w:tcW w:w="3403" w:type="dxa"/>
            <w:gridSpan w:val="2"/>
            <w:vAlign w:val="center"/>
          </w:tcPr>
          <w:p w:rsidR="00912504" w:rsidRPr="00422183" w:rsidRDefault="00912504" w:rsidP="003A0820">
            <w:pPr>
              <w:ind w:left="284" w:hanging="284"/>
              <w:jc w:val="both"/>
              <w:rPr>
                <w:rFonts w:ascii="Rockwell" w:hAnsi="Rockwell"/>
                <w:sz w:val="18"/>
                <w:szCs w:val="18"/>
              </w:rPr>
            </w:pPr>
          </w:p>
        </w:tc>
        <w:tc>
          <w:tcPr>
            <w:tcW w:w="3261" w:type="dxa"/>
            <w:gridSpan w:val="4"/>
            <w:vAlign w:val="center"/>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r w:rsidR="00912504" w:rsidRPr="00422183" w:rsidTr="00AA6DAD">
        <w:tc>
          <w:tcPr>
            <w:tcW w:w="3403" w:type="dxa"/>
            <w:gridSpan w:val="2"/>
          </w:tcPr>
          <w:p w:rsidR="00912504" w:rsidRPr="00422183" w:rsidRDefault="00912504" w:rsidP="003A0820">
            <w:pPr>
              <w:ind w:left="284" w:hanging="284"/>
              <w:jc w:val="both"/>
              <w:rPr>
                <w:rFonts w:ascii="Rockwell" w:hAnsi="Rockwell"/>
                <w:sz w:val="18"/>
                <w:szCs w:val="18"/>
              </w:rPr>
            </w:pPr>
          </w:p>
        </w:tc>
        <w:tc>
          <w:tcPr>
            <w:tcW w:w="3261" w:type="dxa"/>
            <w:gridSpan w:val="4"/>
          </w:tcPr>
          <w:p w:rsidR="00912504" w:rsidRPr="00422183" w:rsidRDefault="00912504" w:rsidP="003A0820">
            <w:pPr>
              <w:ind w:left="459" w:hanging="459"/>
              <w:jc w:val="both"/>
              <w:rPr>
                <w:rFonts w:ascii="Rockwell" w:hAnsi="Rockwell"/>
                <w:sz w:val="18"/>
                <w:szCs w:val="18"/>
              </w:rPr>
            </w:pPr>
          </w:p>
        </w:tc>
        <w:tc>
          <w:tcPr>
            <w:tcW w:w="1984" w:type="dxa"/>
            <w:gridSpan w:val="2"/>
          </w:tcPr>
          <w:p w:rsidR="00912504" w:rsidRPr="00422183" w:rsidRDefault="00912504" w:rsidP="003A0820">
            <w:pPr>
              <w:jc w:val="both"/>
              <w:rPr>
                <w:rFonts w:ascii="Rockwell" w:hAnsi="Rockwell"/>
                <w:sz w:val="18"/>
                <w:szCs w:val="18"/>
              </w:rPr>
            </w:pPr>
          </w:p>
        </w:tc>
        <w:tc>
          <w:tcPr>
            <w:tcW w:w="1701" w:type="dxa"/>
            <w:gridSpan w:val="2"/>
          </w:tcPr>
          <w:p w:rsidR="00912504" w:rsidRPr="00422183" w:rsidRDefault="00912504" w:rsidP="003A0820">
            <w:pPr>
              <w:jc w:val="both"/>
              <w:rPr>
                <w:rFonts w:ascii="Rockwell" w:hAnsi="Rockwell"/>
                <w:sz w:val="18"/>
                <w:szCs w:val="18"/>
              </w:rPr>
            </w:pPr>
          </w:p>
        </w:tc>
        <w:tc>
          <w:tcPr>
            <w:tcW w:w="1843" w:type="dxa"/>
            <w:gridSpan w:val="2"/>
          </w:tcPr>
          <w:p w:rsidR="00912504" w:rsidRPr="00422183" w:rsidRDefault="00912504" w:rsidP="003A0820">
            <w:pPr>
              <w:jc w:val="both"/>
              <w:rPr>
                <w:rFonts w:ascii="Rockwell" w:hAnsi="Rockwell"/>
                <w:sz w:val="18"/>
                <w:szCs w:val="18"/>
              </w:rPr>
            </w:pPr>
          </w:p>
        </w:tc>
        <w:tc>
          <w:tcPr>
            <w:tcW w:w="2268" w:type="dxa"/>
          </w:tcPr>
          <w:p w:rsidR="00912504" w:rsidRPr="00422183" w:rsidRDefault="00912504" w:rsidP="003A0820">
            <w:pPr>
              <w:jc w:val="both"/>
              <w:rPr>
                <w:rFonts w:ascii="Rockwell" w:hAnsi="Rockwell"/>
                <w:sz w:val="18"/>
                <w:szCs w:val="18"/>
              </w:rPr>
            </w:pPr>
          </w:p>
        </w:tc>
      </w:tr>
    </w:tbl>
    <w:p w:rsidR="00912504" w:rsidRPr="00422183" w:rsidRDefault="00912504" w:rsidP="003A0820">
      <w:pPr>
        <w:spacing w:after="0" w:line="240" w:lineRule="auto"/>
        <w:jc w:val="both"/>
        <w:rPr>
          <w:rFonts w:ascii="Rockwell" w:hAnsi="Rockwell"/>
          <w:sz w:val="20"/>
          <w:szCs w:val="20"/>
        </w:rPr>
      </w:pPr>
    </w:p>
    <w:p w:rsidR="00912504" w:rsidRPr="00422183" w:rsidRDefault="00E541F6" w:rsidP="003A0820">
      <w:pPr>
        <w:spacing w:after="0" w:line="240" w:lineRule="auto"/>
        <w:jc w:val="both"/>
        <w:rPr>
          <w:rFonts w:ascii="Rockwell" w:hAnsi="Rockwell"/>
          <w:b/>
          <w:sz w:val="24"/>
          <w:szCs w:val="24"/>
        </w:rPr>
      </w:pPr>
      <w:r w:rsidRPr="00422183">
        <w:rPr>
          <w:rFonts w:ascii="Rockwell" w:hAnsi="Rockwell"/>
          <w:b/>
          <w:sz w:val="24"/>
          <w:szCs w:val="24"/>
        </w:rPr>
        <w:t>Annexe 7 : format du plan de travail a</w:t>
      </w:r>
      <w:r w:rsidR="00912504" w:rsidRPr="00422183">
        <w:rPr>
          <w:rFonts w:ascii="Rockwell" w:hAnsi="Rockwell"/>
          <w:b/>
          <w:sz w:val="24"/>
          <w:szCs w:val="24"/>
        </w:rPr>
        <w:t>nnuel ministériel (PTA-M)</w:t>
      </w:r>
    </w:p>
    <w:p w:rsidR="00E541F6" w:rsidRPr="00422183" w:rsidRDefault="00E541F6" w:rsidP="003A0820">
      <w:pPr>
        <w:spacing w:after="0" w:line="240" w:lineRule="auto"/>
        <w:jc w:val="both"/>
        <w:rPr>
          <w:rFonts w:ascii="Rockwell" w:hAnsi="Rockwell"/>
          <w:sz w:val="24"/>
          <w:szCs w:val="24"/>
        </w:rPr>
      </w:pPr>
    </w:p>
    <w:tbl>
      <w:tblPr>
        <w:tblW w:w="144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52"/>
        <w:gridCol w:w="2082"/>
        <w:gridCol w:w="1226"/>
        <w:gridCol w:w="1328"/>
        <w:gridCol w:w="605"/>
        <w:gridCol w:w="584"/>
        <w:gridCol w:w="570"/>
        <w:gridCol w:w="558"/>
        <w:gridCol w:w="926"/>
        <w:gridCol w:w="1343"/>
        <w:gridCol w:w="1220"/>
        <w:gridCol w:w="1444"/>
        <w:gridCol w:w="1815"/>
      </w:tblGrid>
      <w:tr w:rsidR="00912504" w:rsidRPr="00422183" w:rsidTr="006808EE">
        <w:trPr>
          <w:trHeight w:val="631"/>
        </w:trPr>
        <w:tc>
          <w:tcPr>
            <w:tcW w:w="636"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 xml:space="preserve">Code </w:t>
            </w:r>
          </w:p>
        </w:tc>
        <w:tc>
          <w:tcPr>
            <w:tcW w:w="2491"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Effets attendus (PNDES)</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Sous-effets attendus</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Actions</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Produits</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Activités</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Tâches</w:t>
            </w:r>
          </w:p>
        </w:tc>
        <w:tc>
          <w:tcPr>
            <w:tcW w:w="1214"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Coût d</w:t>
            </w:r>
            <w:r w:rsidR="006C72DE" w:rsidRPr="00422183">
              <w:rPr>
                <w:rFonts w:ascii="Rockwell" w:hAnsi="Rockwell"/>
                <w:b/>
                <w:sz w:val="20"/>
                <w:szCs w:val="20"/>
              </w:rPr>
              <w:t>'</w:t>
            </w:r>
            <w:r w:rsidRPr="00422183">
              <w:rPr>
                <w:rFonts w:ascii="Rockwell" w:hAnsi="Rockwell"/>
                <w:b/>
                <w:sz w:val="20"/>
                <w:szCs w:val="20"/>
              </w:rPr>
              <w:t>exécution</w:t>
            </w:r>
          </w:p>
          <w:p w:rsidR="00912504" w:rsidRPr="00422183" w:rsidRDefault="00912504" w:rsidP="003A0820">
            <w:pPr>
              <w:spacing w:after="0" w:line="240" w:lineRule="auto"/>
              <w:jc w:val="both"/>
              <w:rPr>
                <w:rFonts w:ascii="Rockwell" w:hAnsi="Rockwell"/>
                <w:sz w:val="18"/>
                <w:szCs w:val="18"/>
              </w:rPr>
            </w:pPr>
            <w:r w:rsidRPr="00422183">
              <w:rPr>
                <w:rFonts w:ascii="Rockwell" w:hAnsi="Rockwell"/>
                <w:sz w:val="18"/>
                <w:szCs w:val="18"/>
              </w:rPr>
              <w:t>(milliers FCFA)</w:t>
            </w:r>
          </w:p>
        </w:tc>
        <w:tc>
          <w:tcPr>
            <w:tcW w:w="1053"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Sources de financement</w:t>
            </w:r>
          </w:p>
        </w:tc>
        <w:tc>
          <w:tcPr>
            <w:tcW w:w="2554" w:type="dxa"/>
            <w:gridSpan w:val="4"/>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Chronogramme d</w:t>
            </w:r>
            <w:r w:rsidR="006C72DE" w:rsidRPr="00422183">
              <w:rPr>
                <w:rFonts w:ascii="Rockwell" w:hAnsi="Rockwell"/>
                <w:b/>
                <w:sz w:val="20"/>
                <w:szCs w:val="20"/>
              </w:rPr>
              <w:t>'</w:t>
            </w:r>
            <w:r w:rsidRPr="00422183">
              <w:rPr>
                <w:rFonts w:ascii="Rockwell" w:hAnsi="Rockwell"/>
                <w:b/>
                <w:sz w:val="20"/>
                <w:szCs w:val="20"/>
              </w:rPr>
              <w:t>exécution</w:t>
            </w:r>
          </w:p>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(trimestriel)</w:t>
            </w:r>
          </w:p>
        </w:tc>
        <w:tc>
          <w:tcPr>
            <w:tcW w:w="884"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 xml:space="preserve">Poids des activités et tâches </w:t>
            </w:r>
          </w:p>
        </w:tc>
        <w:tc>
          <w:tcPr>
            <w:tcW w:w="1107"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Structure Responsable</w:t>
            </w:r>
          </w:p>
        </w:tc>
        <w:tc>
          <w:tcPr>
            <w:tcW w:w="1027"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Structures partenaires</w:t>
            </w:r>
          </w:p>
        </w:tc>
        <w:tc>
          <w:tcPr>
            <w:tcW w:w="1523"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Mode d'exécution (directe ou MOD)</w:t>
            </w:r>
          </w:p>
        </w:tc>
        <w:tc>
          <w:tcPr>
            <w:tcW w:w="1964" w:type="dxa"/>
            <w:vMerge w:val="restart"/>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b/>
                <w:sz w:val="20"/>
                <w:szCs w:val="20"/>
              </w:rPr>
            </w:pPr>
            <w:r w:rsidRPr="00422183">
              <w:rPr>
                <w:rFonts w:ascii="Rockwell" w:hAnsi="Rockwell"/>
                <w:b/>
                <w:sz w:val="20"/>
                <w:szCs w:val="20"/>
              </w:rPr>
              <w:t>Observations</w:t>
            </w:r>
          </w:p>
          <w:p w:rsidR="00912504" w:rsidRPr="00422183" w:rsidRDefault="00912504" w:rsidP="003A0820">
            <w:pPr>
              <w:spacing w:after="0" w:line="240" w:lineRule="auto"/>
              <w:jc w:val="both"/>
              <w:rPr>
                <w:rFonts w:ascii="Rockwell" w:hAnsi="Rockwell"/>
                <w:b/>
                <w:sz w:val="20"/>
                <w:szCs w:val="20"/>
              </w:rPr>
            </w:pPr>
          </w:p>
        </w:tc>
      </w:tr>
      <w:tr w:rsidR="00912504" w:rsidRPr="00422183" w:rsidTr="006808EE">
        <w:trPr>
          <w:trHeight w:val="247"/>
        </w:trPr>
        <w:tc>
          <w:tcPr>
            <w:tcW w:w="0" w:type="auto"/>
            <w:vMerge/>
            <w:vAlign w:val="center"/>
            <w:hideMark/>
          </w:tcPr>
          <w:p w:rsidR="00912504" w:rsidRPr="00422183" w:rsidRDefault="00912504" w:rsidP="003A0820">
            <w:pPr>
              <w:spacing w:after="0" w:line="240" w:lineRule="auto"/>
              <w:jc w:val="both"/>
              <w:rPr>
                <w:rFonts w:ascii="Rockwell" w:hAnsi="Rockwell"/>
                <w:sz w:val="18"/>
                <w:szCs w:val="18"/>
              </w:rPr>
            </w:pPr>
          </w:p>
        </w:tc>
        <w:tc>
          <w:tcPr>
            <w:tcW w:w="2491" w:type="dxa"/>
            <w:vMerge/>
            <w:vAlign w:val="center"/>
            <w:hideMark/>
          </w:tcPr>
          <w:p w:rsidR="00912504" w:rsidRPr="00422183" w:rsidRDefault="00912504" w:rsidP="003A0820">
            <w:pPr>
              <w:spacing w:after="0" w:line="240" w:lineRule="auto"/>
              <w:jc w:val="both"/>
              <w:rPr>
                <w:rFonts w:ascii="Rockwell" w:hAnsi="Rockwell"/>
                <w:sz w:val="18"/>
                <w:szCs w:val="18"/>
              </w:rPr>
            </w:pPr>
          </w:p>
        </w:tc>
        <w:tc>
          <w:tcPr>
            <w:tcW w:w="0" w:type="auto"/>
            <w:vMerge/>
            <w:vAlign w:val="center"/>
            <w:hideMark/>
          </w:tcPr>
          <w:p w:rsidR="00912504" w:rsidRPr="00422183" w:rsidRDefault="00912504" w:rsidP="003A0820">
            <w:pPr>
              <w:spacing w:after="0" w:line="240" w:lineRule="auto"/>
              <w:jc w:val="both"/>
              <w:rPr>
                <w:rFonts w:ascii="Rockwell" w:hAnsi="Rockwell"/>
                <w:sz w:val="18"/>
                <w:szCs w:val="18"/>
              </w:rPr>
            </w:pPr>
          </w:p>
        </w:tc>
        <w:tc>
          <w:tcPr>
            <w:tcW w:w="1053" w:type="dxa"/>
            <w:vMerge/>
            <w:vAlign w:val="center"/>
            <w:hideMark/>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vAlign w:val="center"/>
            <w:hideMark/>
          </w:tcPr>
          <w:p w:rsidR="00912504" w:rsidRPr="00422183" w:rsidRDefault="00912504" w:rsidP="003A0820">
            <w:pPr>
              <w:spacing w:after="0" w:line="240" w:lineRule="auto"/>
              <w:jc w:val="both"/>
              <w:rPr>
                <w:rFonts w:ascii="Rockwell" w:hAnsi="Rockwell"/>
                <w:sz w:val="18"/>
                <w:szCs w:val="18"/>
              </w:rPr>
            </w:pPr>
            <w:r w:rsidRPr="00422183">
              <w:rPr>
                <w:rFonts w:ascii="Rockwell" w:hAnsi="Rockwell"/>
                <w:sz w:val="18"/>
                <w:szCs w:val="18"/>
              </w:rPr>
              <w:t>T1</w:t>
            </w:r>
          </w:p>
        </w:tc>
        <w:tc>
          <w:tcPr>
            <w:tcW w:w="641" w:type="dxa"/>
            <w:shd w:val="clear" w:color="auto" w:fill="auto"/>
            <w:vAlign w:val="center"/>
          </w:tcPr>
          <w:p w:rsidR="00912504" w:rsidRPr="00422183" w:rsidRDefault="00912504" w:rsidP="003A0820">
            <w:pPr>
              <w:spacing w:after="0" w:line="240" w:lineRule="auto"/>
              <w:jc w:val="both"/>
              <w:rPr>
                <w:rFonts w:ascii="Rockwell" w:hAnsi="Rockwell"/>
                <w:sz w:val="18"/>
                <w:szCs w:val="18"/>
              </w:rPr>
            </w:pPr>
            <w:r w:rsidRPr="00422183">
              <w:rPr>
                <w:rFonts w:ascii="Rockwell" w:hAnsi="Rockwell"/>
                <w:sz w:val="18"/>
                <w:szCs w:val="18"/>
              </w:rPr>
              <w:t>T2</w:t>
            </w:r>
          </w:p>
        </w:tc>
        <w:tc>
          <w:tcPr>
            <w:tcW w:w="634" w:type="dxa"/>
            <w:shd w:val="clear" w:color="auto" w:fill="auto"/>
            <w:vAlign w:val="center"/>
          </w:tcPr>
          <w:p w:rsidR="00912504" w:rsidRPr="00422183" w:rsidRDefault="00912504" w:rsidP="003A0820">
            <w:pPr>
              <w:spacing w:after="0" w:line="240" w:lineRule="auto"/>
              <w:jc w:val="both"/>
              <w:rPr>
                <w:rFonts w:ascii="Rockwell" w:hAnsi="Rockwell"/>
                <w:sz w:val="18"/>
                <w:szCs w:val="18"/>
              </w:rPr>
            </w:pPr>
            <w:r w:rsidRPr="00422183">
              <w:rPr>
                <w:rFonts w:ascii="Rockwell" w:hAnsi="Rockwell"/>
                <w:sz w:val="18"/>
                <w:szCs w:val="18"/>
              </w:rPr>
              <w:t>T3</w:t>
            </w:r>
          </w:p>
        </w:tc>
        <w:tc>
          <w:tcPr>
            <w:tcW w:w="627" w:type="dxa"/>
            <w:shd w:val="clear" w:color="auto" w:fill="auto"/>
            <w:vAlign w:val="center"/>
          </w:tcPr>
          <w:p w:rsidR="00912504" w:rsidRPr="00422183" w:rsidRDefault="00912504" w:rsidP="003A0820">
            <w:pPr>
              <w:spacing w:after="0" w:line="240" w:lineRule="auto"/>
              <w:jc w:val="both"/>
              <w:rPr>
                <w:rFonts w:ascii="Rockwell" w:hAnsi="Rockwell"/>
                <w:sz w:val="18"/>
                <w:szCs w:val="18"/>
              </w:rPr>
            </w:pPr>
            <w:r w:rsidRPr="00422183">
              <w:rPr>
                <w:rFonts w:ascii="Rockwell" w:hAnsi="Rockwell"/>
                <w:sz w:val="18"/>
                <w:szCs w:val="18"/>
              </w:rPr>
              <w:t>T4</w:t>
            </w:r>
          </w:p>
        </w:tc>
        <w:tc>
          <w:tcPr>
            <w:tcW w:w="884" w:type="dxa"/>
            <w:vMerge/>
            <w:vAlign w:val="center"/>
            <w:hideMark/>
          </w:tcPr>
          <w:p w:rsidR="00912504" w:rsidRPr="00422183" w:rsidRDefault="00912504" w:rsidP="003A0820">
            <w:pPr>
              <w:spacing w:after="0" w:line="240" w:lineRule="auto"/>
              <w:jc w:val="both"/>
              <w:rPr>
                <w:rFonts w:ascii="Rockwell" w:hAnsi="Rockwell"/>
                <w:sz w:val="18"/>
                <w:szCs w:val="18"/>
              </w:rPr>
            </w:pPr>
          </w:p>
        </w:tc>
        <w:tc>
          <w:tcPr>
            <w:tcW w:w="0" w:type="auto"/>
            <w:vMerge/>
            <w:vAlign w:val="center"/>
            <w:hideMark/>
          </w:tcPr>
          <w:p w:rsidR="00912504" w:rsidRPr="00422183" w:rsidRDefault="00912504" w:rsidP="003A0820">
            <w:pPr>
              <w:spacing w:after="0" w:line="240" w:lineRule="auto"/>
              <w:jc w:val="both"/>
              <w:rPr>
                <w:rFonts w:ascii="Rockwell" w:hAnsi="Rockwell"/>
                <w:sz w:val="18"/>
                <w:szCs w:val="18"/>
              </w:rPr>
            </w:pPr>
          </w:p>
        </w:tc>
        <w:tc>
          <w:tcPr>
            <w:tcW w:w="0" w:type="auto"/>
            <w:vMerge/>
            <w:vAlign w:val="center"/>
            <w:hideMark/>
          </w:tcPr>
          <w:p w:rsidR="00912504" w:rsidRPr="00422183" w:rsidRDefault="00912504" w:rsidP="003A0820">
            <w:pPr>
              <w:spacing w:after="0" w:line="240" w:lineRule="auto"/>
              <w:jc w:val="both"/>
              <w:rPr>
                <w:rFonts w:ascii="Rockwell" w:hAnsi="Rockwell"/>
                <w:sz w:val="18"/>
                <w:szCs w:val="18"/>
              </w:rPr>
            </w:pPr>
          </w:p>
        </w:tc>
        <w:tc>
          <w:tcPr>
            <w:tcW w:w="1523" w:type="dxa"/>
            <w:vMerge/>
            <w:vAlign w:val="center"/>
            <w:hideMark/>
          </w:tcPr>
          <w:p w:rsidR="00912504" w:rsidRPr="00422183" w:rsidRDefault="00912504" w:rsidP="003A0820">
            <w:pPr>
              <w:spacing w:after="0" w:line="240" w:lineRule="auto"/>
              <w:jc w:val="both"/>
              <w:rPr>
                <w:rFonts w:ascii="Rockwell" w:hAnsi="Rockwell"/>
                <w:sz w:val="18"/>
                <w:szCs w:val="18"/>
              </w:rPr>
            </w:pPr>
          </w:p>
        </w:tc>
        <w:tc>
          <w:tcPr>
            <w:tcW w:w="1964" w:type="dxa"/>
            <w:vMerge/>
            <w:vAlign w:val="center"/>
            <w:hideMark/>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EA(x)</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i/>
                <w:sz w:val="16"/>
                <w:szCs w:val="16"/>
              </w:rPr>
            </w:pPr>
            <w:r w:rsidRPr="00422183">
              <w:rPr>
                <w:rFonts w:ascii="Rockwell" w:hAnsi="Rockwell"/>
                <w:i/>
                <w:sz w:val="16"/>
                <w:szCs w:val="16"/>
              </w:rPr>
              <w:t>Intitulé de l</w:t>
            </w:r>
            <w:r w:rsidR="006C72DE" w:rsidRPr="00422183">
              <w:rPr>
                <w:rFonts w:ascii="Rockwell" w:hAnsi="Rockwell"/>
                <w:i/>
                <w:sz w:val="16"/>
                <w:szCs w:val="16"/>
              </w:rPr>
              <w:t>'</w:t>
            </w:r>
            <w:r w:rsidRPr="00422183">
              <w:rPr>
                <w:rFonts w:ascii="Rockwell" w:hAnsi="Rockwell"/>
                <w:i/>
                <w:sz w:val="16"/>
                <w:szCs w:val="16"/>
              </w:rPr>
              <w:t>effet PNDES escompté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B3094D" w:rsidRPr="00422183" w:rsidTr="00B3094D">
        <w:trPr>
          <w:trHeight w:val="227"/>
        </w:trPr>
        <w:tc>
          <w:tcPr>
            <w:tcW w:w="636" w:type="dxa"/>
            <w:shd w:val="clear" w:color="auto" w:fill="FFC000"/>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2491" w:type="dxa"/>
            <w:shd w:val="clear" w:color="auto" w:fill="FFC000"/>
            <w:tcMar>
              <w:top w:w="13" w:type="dxa"/>
              <w:left w:w="43" w:type="dxa"/>
              <w:bottom w:w="0" w:type="dxa"/>
              <w:right w:w="43" w:type="dxa"/>
            </w:tcMar>
          </w:tcPr>
          <w:p w:rsidR="00912504" w:rsidRPr="00422183" w:rsidRDefault="00912504" w:rsidP="00516FB0">
            <w:pPr>
              <w:spacing w:after="0" w:line="240" w:lineRule="auto"/>
              <w:jc w:val="both"/>
              <w:rPr>
                <w:rFonts w:ascii="Rockwell" w:hAnsi="Rockwell"/>
                <w:i/>
                <w:sz w:val="16"/>
                <w:szCs w:val="16"/>
              </w:rPr>
            </w:pPr>
          </w:p>
        </w:tc>
        <w:tc>
          <w:tcPr>
            <w:tcW w:w="121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SEA(x)1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i/>
                <w:sz w:val="16"/>
                <w:szCs w:val="16"/>
              </w:rPr>
            </w:pPr>
            <w:r w:rsidRPr="00422183">
              <w:rPr>
                <w:rFonts w:ascii="Rockwell" w:hAnsi="Rockwell"/>
                <w:i/>
                <w:sz w:val="16"/>
                <w:szCs w:val="16"/>
              </w:rPr>
              <w:t>Intitulé du 1</w:t>
            </w:r>
            <w:r w:rsidRPr="00422183">
              <w:rPr>
                <w:rFonts w:ascii="Rockwell" w:hAnsi="Rockwell"/>
                <w:i/>
                <w:sz w:val="16"/>
                <w:szCs w:val="16"/>
                <w:vertAlign w:val="superscript"/>
              </w:rPr>
              <w:t>er</w:t>
            </w:r>
            <w:r w:rsidRPr="00422183">
              <w:rPr>
                <w:rFonts w:ascii="Rockwell" w:hAnsi="Rockwell"/>
                <w:i/>
                <w:sz w:val="16"/>
                <w:szCs w:val="16"/>
              </w:rPr>
              <w:t xml:space="preserve"> sous-effet associé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A1.1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Action 1 du 1</w:t>
            </w:r>
            <w:r w:rsidRPr="00422183">
              <w:rPr>
                <w:rFonts w:ascii="Rockwell" w:hAnsi="Rockwell"/>
                <w:sz w:val="16"/>
                <w:szCs w:val="16"/>
                <w:vertAlign w:val="superscript"/>
              </w:rPr>
              <w:t>er</w:t>
            </w:r>
            <w:r w:rsidRPr="00422183">
              <w:rPr>
                <w:rFonts w:ascii="Rockwell" w:hAnsi="Rockwell"/>
                <w:sz w:val="16"/>
                <w:szCs w:val="16"/>
              </w:rPr>
              <w:t xml:space="preserve"> sous-effet associé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A1.1.1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Activité 1 de l</w:t>
            </w:r>
            <w:r w:rsidR="006C72DE" w:rsidRPr="00422183">
              <w:rPr>
                <w:rFonts w:ascii="Rockwell" w:hAnsi="Rockwell"/>
                <w:sz w:val="16"/>
                <w:szCs w:val="16"/>
              </w:rPr>
              <w:t>'</w:t>
            </w:r>
            <w:r w:rsidRPr="00422183">
              <w:rPr>
                <w:rFonts w:ascii="Rockwell" w:hAnsi="Rockwell"/>
                <w:sz w:val="16"/>
                <w:szCs w:val="16"/>
              </w:rPr>
              <w:t>action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2</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T3</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3</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A1.1.2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Activité 2 de l</w:t>
            </w:r>
            <w:r w:rsidR="006C72DE" w:rsidRPr="00422183">
              <w:rPr>
                <w:rFonts w:ascii="Rockwell" w:hAnsi="Rockwell"/>
                <w:sz w:val="16"/>
                <w:szCs w:val="16"/>
              </w:rPr>
              <w:t>'</w:t>
            </w:r>
            <w:r w:rsidRPr="00422183">
              <w:rPr>
                <w:rFonts w:ascii="Rockwell" w:hAnsi="Rockwell"/>
                <w:sz w:val="16"/>
                <w:szCs w:val="16"/>
              </w:rPr>
              <w:t>action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2</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A1.2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Action 2 du 1</w:t>
            </w:r>
            <w:r w:rsidRPr="00422183">
              <w:rPr>
                <w:rFonts w:ascii="Rockwell" w:hAnsi="Rockwell"/>
                <w:sz w:val="16"/>
                <w:szCs w:val="16"/>
                <w:vertAlign w:val="superscript"/>
              </w:rPr>
              <w:t>er</w:t>
            </w:r>
            <w:r w:rsidRPr="00422183">
              <w:rPr>
                <w:rFonts w:ascii="Rockwell" w:hAnsi="Rockwell"/>
                <w:sz w:val="16"/>
                <w:szCs w:val="16"/>
              </w:rPr>
              <w:t xml:space="preserve"> sous-effet associé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A1.2.1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Activité 1 de l</w:t>
            </w:r>
            <w:r w:rsidR="006C72DE" w:rsidRPr="00422183">
              <w:rPr>
                <w:rFonts w:ascii="Rockwell" w:hAnsi="Rockwell"/>
                <w:sz w:val="16"/>
                <w:szCs w:val="16"/>
              </w:rPr>
              <w:t>'</w:t>
            </w:r>
            <w:r w:rsidRPr="00422183">
              <w:rPr>
                <w:rFonts w:ascii="Rockwell" w:hAnsi="Rockwell"/>
                <w:sz w:val="16"/>
                <w:szCs w:val="16"/>
              </w:rPr>
              <w:t>action 2</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2</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T3</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3</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T4</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4</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hideMark/>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2491" w:type="dxa"/>
            <w:shd w:val="clear" w:color="auto" w:fill="auto"/>
            <w:tcMar>
              <w:top w:w="13" w:type="dxa"/>
              <w:left w:w="43" w:type="dxa"/>
              <w:bottom w:w="0" w:type="dxa"/>
              <w:right w:w="43" w:type="dxa"/>
            </w:tcMar>
            <w:hideMark/>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1214"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hideMark/>
          </w:tcPr>
          <w:p w:rsidR="00912504" w:rsidRPr="00422183" w:rsidRDefault="00912504" w:rsidP="003A0820">
            <w:pPr>
              <w:spacing w:after="0" w:line="240" w:lineRule="auto"/>
              <w:jc w:val="both"/>
              <w:rPr>
                <w:rFonts w:ascii="Rockwell" w:hAnsi="Rockwell"/>
                <w:sz w:val="18"/>
                <w:szCs w:val="18"/>
              </w:rPr>
            </w:pPr>
          </w:p>
        </w:tc>
      </w:tr>
      <w:tr w:rsidR="00B3094D" w:rsidRPr="00422183" w:rsidTr="00B3094D">
        <w:trPr>
          <w:trHeight w:val="227"/>
        </w:trPr>
        <w:tc>
          <w:tcPr>
            <w:tcW w:w="636" w:type="dxa"/>
            <w:shd w:val="clear" w:color="auto" w:fill="FFC000"/>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2491" w:type="dxa"/>
            <w:shd w:val="clear" w:color="auto" w:fill="FFC000"/>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p>
        </w:tc>
        <w:tc>
          <w:tcPr>
            <w:tcW w:w="121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FFC000"/>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SEA(x)2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i/>
                <w:sz w:val="16"/>
                <w:szCs w:val="16"/>
              </w:rPr>
            </w:pPr>
            <w:r w:rsidRPr="00422183">
              <w:rPr>
                <w:rFonts w:ascii="Rockwell" w:hAnsi="Rockwell"/>
                <w:i/>
                <w:sz w:val="16"/>
                <w:szCs w:val="16"/>
              </w:rPr>
              <w:t>Intitulé du 2</w:t>
            </w:r>
            <w:r w:rsidRPr="00422183">
              <w:rPr>
                <w:rFonts w:ascii="Rockwell" w:hAnsi="Rockwell"/>
                <w:i/>
                <w:sz w:val="16"/>
                <w:szCs w:val="16"/>
                <w:vertAlign w:val="superscript"/>
              </w:rPr>
              <w:t>ème</w:t>
            </w:r>
            <w:r w:rsidRPr="00422183">
              <w:rPr>
                <w:rFonts w:ascii="Rockwell" w:hAnsi="Rockwell"/>
                <w:i/>
                <w:sz w:val="16"/>
                <w:szCs w:val="16"/>
              </w:rPr>
              <w:t xml:space="preserve"> sous-effet associé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A2.1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Action 1 du 2</w:t>
            </w:r>
            <w:r w:rsidRPr="00422183">
              <w:rPr>
                <w:rFonts w:ascii="Rockwell" w:hAnsi="Rockwell"/>
                <w:sz w:val="16"/>
                <w:szCs w:val="16"/>
                <w:vertAlign w:val="superscript"/>
              </w:rPr>
              <w:t>ème</w:t>
            </w:r>
            <w:r w:rsidRPr="00422183">
              <w:rPr>
                <w:rFonts w:ascii="Rockwell" w:hAnsi="Rockwell"/>
                <w:sz w:val="16"/>
                <w:szCs w:val="16"/>
              </w:rPr>
              <w:t xml:space="preserve">  sous-effet associé</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A2.1.1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Activité 1 de l</w:t>
            </w:r>
            <w:r w:rsidR="006C72DE" w:rsidRPr="00422183">
              <w:rPr>
                <w:rFonts w:ascii="Rockwell" w:hAnsi="Rockwell"/>
                <w:sz w:val="16"/>
                <w:szCs w:val="16"/>
              </w:rPr>
              <w:t>'</w:t>
            </w:r>
            <w:r w:rsidRPr="00422183">
              <w:rPr>
                <w:rFonts w:ascii="Rockwell" w:hAnsi="Rockwell"/>
                <w:sz w:val="16"/>
                <w:szCs w:val="16"/>
              </w:rPr>
              <w:t>action 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T1</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1.1.1</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r w:rsidRPr="00422183">
              <w:rPr>
                <w:rFonts w:ascii="Rockwell" w:hAnsi="Rockwell"/>
                <w:sz w:val="18"/>
                <w:szCs w:val="18"/>
              </w:rPr>
              <w:t>T2</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Tâche 1.1.2</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6"/>
                <w:szCs w:val="16"/>
              </w:rPr>
            </w:pPr>
            <w:r w:rsidRPr="00422183">
              <w:rPr>
                <w:rFonts w:ascii="Rockwell" w:hAnsi="Rockwell"/>
                <w:sz w:val="16"/>
                <w:szCs w:val="16"/>
              </w:rPr>
              <w:t>etc. …</w:t>
            </w: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r w:rsidR="00912504" w:rsidRPr="00422183" w:rsidTr="006808EE">
        <w:trPr>
          <w:trHeight w:val="227"/>
        </w:trPr>
        <w:tc>
          <w:tcPr>
            <w:tcW w:w="636"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2491" w:type="dxa"/>
            <w:shd w:val="clear" w:color="auto" w:fill="auto"/>
            <w:tcMar>
              <w:top w:w="13" w:type="dxa"/>
              <w:left w:w="43" w:type="dxa"/>
              <w:bottom w:w="0" w:type="dxa"/>
              <w:right w:w="43" w:type="dxa"/>
            </w:tcMar>
          </w:tcPr>
          <w:p w:rsidR="00912504" w:rsidRPr="00422183" w:rsidRDefault="00912504" w:rsidP="00516FB0">
            <w:pPr>
              <w:spacing w:after="0" w:line="240" w:lineRule="auto"/>
              <w:jc w:val="both"/>
              <w:rPr>
                <w:rFonts w:ascii="Rockwell" w:hAnsi="Rockwell"/>
                <w:sz w:val="18"/>
                <w:szCs w:val="18"/>
              </w:rPr>
            </w:pPr>
          </w:p>
        </w:tc>
        <w:tc>
          <w:tcPr>
            <w:tcW w:w="121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5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52"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41"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3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6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88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10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027"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523"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c>
          <w:tcPr>
            <w:tcW w:w="1964" w:type="dxa"/>
            <w:shd w:val="clear" w:color="auto" w:fill="auto"/>
            <w:tcMar>
              <w:top w:w="13" w:type="dxa"/>
              <w:left w:w="43" w:type="dxa"/>
              <w:bottom w:w="0" w:type="dxa"/>
              <w:right w:w="43" w:type="dxa"/>
            </w:tcMar>
          </w:tcPr>
          <w:p w:rsidR="00912504" w:rsidRPr="00422183" w:rsidRDefault="00912504" w:rsidP="003A0820">
            <w:pPr>
              <w:spacing w:after="0" w:line="240" w:lineRule="auto"/>
              <w:jc w:val="both"/>
              <w:rPr>
                <w:rFonts w:ascii="Rockwell" w:hAnsi="Rockwell"/>
                <w:sz w:val="18"/>
                <w:szCs w:val="18"/>
              </w:rPr>
            </w:pPr>
          </w:p>
        </w:tc>
      </w:tr>
    </w:tbl>
    <w:p w:rsidR="00912504" w:rsidRPr="00422183" w:rsidRDefault="00912504" w:rsidP="003A0820">
      <w:pPr>
        <w:spacing w:after="0" w:line="240" w:lineRule="auto"/>
        <w:jc w:val="both"/>
        <w:rPr>
          <w:rFonts w:ascii="Rockwell" w:hAnsi="Rockwell"/>
          <w:sz w:val="18"/>
          <w:szCs w:val="18"/>
        </w:rPr>
      </w:pPr>
      <w:r w:rsidRPr="00422183">
        <w:rPr>
          <w:rFonts w:ascii="Rockwell" w:hAnsi="Rockwell"/>
          <w:b/>
          <w:sz w:val="18"/>
          <w:szCs w:val="18"/>
          <w:u w:val="single"/>
        </w:rPr>
        <w:t>NB</w:t>
      </w:r>
      <w:r w:rsidRPr="00422183">
        <w:rPr>
          <w:rFonts w:ascii="Rockwell" w:hAnsi="Rockwell"/>
          <w:sz w:val="18"/>
          <w:szCs w:val="18"/>
        </w:rPr>
        <w:t> : Dans les colonnes 1 et 2, il est illustré la façon dont se fait l</w:t>
      </w:r>
      <w:r w:rsidR="006C72DE" w:rsidRPr="00422183">
        <w:rPr>
          <w:rFonts w:ascii="Rockwell" w:hAnsi="Rockwell"/>
          <w:sz w:val="18"/>
          <w:szCs w:val="18"/>
        </w:rPr>
        <w:t>'</w:t>
      </w:r>
      <w:r w:rsidRPr="00422183">
        <w:rPr>
          <w:rFonts w:ascii="Rockwell" w:hAnsi="Rockwell"/>
          <w:sz w:val="18"/>
          <w:szCs w:val="18"/>
        </w:rPr>
        <w:t>ordonnancement des effets, produits, actions, activités et tâches dans le PTA-M. Le (x) dans EA(x) correspond au numéro de l</w:t>
      </w:r>
      <w:r w:rsidR="006C72DE" w:rsidRPr="00422183">
        <w:rPr>
          <w:rFonts w:ascii="Rockwell" w:hAnsi="Rockwell"/>
          <w:sz w:val="18"/>
          <w:szCs w:val="18"/>
        </w:rPr>
        <w:t>'</w:t>
      </w:r>
      <w:r w:rsidRPr="00422183">
        <w:rPr>
          <w:rFonts w:ascii="Rockwell" w:hAnsi="Rockwell"/>
          <w:sz w:val="18"/>
          <w:szCs w:val="18"/>
        </w:rPr>
        <w:t>effet attendu du PNDES.</w:t>
      </w:r>
    </w:p>
    <w:p w:rsidR="00A055EA" w:rsidRPr="00422183" w:rsidRDefault="00A055EA" w:rsidP="00516FB0">
      <w:pPr>
        <w:spacing w:after="0" w:line="240" w:lineRule="auto"/>
        <w:jc w:val="both"/>
        <w:rPr>
          <w:rFonts w:ascii="Rockwell" w:hAnsi="Rockwell" w:cs="Times New Roman"/>
          <w:bCs/>
          <w:sz w:val="24"/>
          <w:szCs w:val="24"/>
        </w:rPr>
      </w:pPr>
    </w:p>
    <w:p w:rsidR="00A055EA" w:rsidRPr="00422183" w:rsidRDefault="00A055EA" w:rsidP="00516FB0">
      <w:pPr>
        <w:spacing w:after="0" w:line="240" w:lineRule="auto"/>
        <w:jc w:val="both"/>
        <w:rPr>
          <w:rFonts w:ascii="Rockwell" w:hAnsi="Rockwell" w:cs="Times New Roman"/>
          <w:bCs/>
          <w:sz w:val="24"/>
          <w:szCs w:val="24"/>
        </w:rPr>
      </w:pPr>
    </w:p>
    <w:p w:rsidR="00A055EA" w:rsidRPr="00422183" w:rsidRDefault="00A055EA" w:rsidP="003A0820">
      <w:pPr>
        <w:spacing w:after="0" w:line="240" w:lineRule="auto"/>
        <w:jc w:val="both"/>
        <w:rPr>
          <w:rFonts w:ascii="Rockwell" w:hAnsi="Rockwell" w:cs="Times New Roman"/>
          <w:bCs/>
          <w:sz w:val="24"/>
          <w:szCs w:val="24"/>
        </w:rPr>
      </w:pPr>
      <w:r w:rsidRPr="00422183">
        <w:rPr>
          <w:rFonts w:ascii="Rockwell" w:hAnsi="Rockwell" w:cs="Times New Roman"/>
          <w:bCs/>
          <w:sz w:val="24"/>
          <w:szCs w:val="24"/>
        </w:rPr>
        <w:br w:type="page"/>
      </w:r>
    </w:p>
    <w:p w:rsidR="00A055EA" w:rsidRPr="00422183" w:rsidRDefault="00357CA0" w:rsidP="00516FB0">
      <w:pPr>
        <w:spacing w:after="0" w:line="240" w:lineRule="auto"/>
        <w:jc w:val="both"/>
        <w:rPr>
          <w:rFonts w:ascii="Rockwell" w:hAnsi="Rockwell"/>
          <w:b/>
          <w:sz w:val="24"/>
          <w:szCs w:val="24"/>
        </w:rPr>
      </w:pPr>
      <w:r w:rsidRPr="00422183">
        <w:rPr>
          <w:rFonts w:ascii="Rockwell" w:hAnsi="Rockwell"/>
          <w:b/>
          <w:sz w:val="24"/>
          <w:szCs w:val="24"/>
        </w:rPr>
        <w:t>Annexe </w:t>
      </w:r>
      <w:r w:rsidR="00E541F6" w:rsidRPr="00422183">
        <w:rPr>
          <w:rFonts w:ascii="Rockwell" w:hAnsi="Rockwell"/>
          <w:b/>
          <w:sz w:val="24"/>
          <w:szCs w:val="24"/>
        </w:rPr>
        <w:t>8</w:t>
      </w:r>
      <w:r w:rsidRPr="00422183">
        <w:rPr>
          <w:rFonts w:ascii="Rockwell" w:hAnsi="Rockwell"/>
          <w:b/>
          <w:sz w:val="24"/>
          <w:szCs w:val="24"/>
        </w:rPr>
        <w:t xml:space="preserve"> : </w:t>
      </w:r>
      <w:r w:rsidR="00430046" w:rsidRPr="00422183">
        <w:rPr>
          <w:rFonts w:ascii="Rockwell" w:hAnsi="Rockwell"/>
          <w:b/>
          <w:sz w:val="24"/>
          <w:szCs w:val="24"/>
        </w:rPr>
        <w:t>matrice de réformes stratégiques et d'investissements structurants du PNDES 2016-2020</w:t>
      </w:r>
    </w:p>
    <w:p w:rsidR="00430046" w:rsidRPr="00422183" w:rsidRDefault="00430046" w:rsidP="00516FB0">
      <w:pPr>
        <w:spacing w:after="0" w:line="240" w:lineRule="auto"/>
        <w:jc w:val="both"/>
        <w:rPr>
          <w:rFonts w:ascii="Rockwell" w:hAnsi="Rockwell" w:cs="Times New Roman"/>
          <w:bCs/>
          <w:sz w:val="24"/>
          <w:szCs w:val="24"/>
        </w:rPr>
      </w:pPr>
    </w:p>
    <w:tbl>
      <w:tblPr>
        <w:tblW w:w="5599" w:type="pct"/>
        <w:tblInd w:w="-572" w:type="dxa"/>
        <w:tblLayout w:type="fixed"/>
        <w:tblCellMar>
          <w:left w:w="70" w:type="dxa"/>
          <w:right w:w="70" w:type="dxa"/>
        </w:tblCellMar>
        <w:tblLook w:val="04A0" w:firstRow="1" w:lastRow="0" w:firstColumn="1" w:lastColumn="0" w:noHBand="0" w:noVBand="1"/>
      </w:tblPr>
      <w:tblGrid>
        <w:gridCol w:w="574"/>
        <w:gridCol w:w="1783"/>
        <w:gridCol w:w="3515"/>
        <w:gridCol w:w="1469"/>
        <w:gridCol w:w="833"/>
        <w:gridCol w:w="695"/>
        <w:gridCol w:w="692"/>
        <w:gridCol w:w="695"/>
        <w:gridCol w:w="807"/>
        <w:gridCol w:w="807"/>
        <w:gridCol w:w="168"/>
        <w:gridCol w:w="537"/>
        <w:gridCol w:w="718"/>
        <w:gridCol w:w="721"/>
        <w:gridCol w:w="600"/>
        <w:gridCol w:w="16"/>
        <w:gridCol w:w="1364"/>
        <w:gridCol w:w="478"/>
      </w:tblGrid>
      <w:tr w:rsidR="00504C7A" w:rsidRPr="00422183" w:rsidTr="00794641">
        <w:trPr>
          <w:gridAfter w:val="1"/>
          <w:wAfter w:w="145" w:type="pct"/>
          <w:trHeight w:val="285"/>
          <w:tblHeader/>
        </w:trPr>
        <w:tc>
          <w:tcPr>
            <w:tcW w:w="17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N°</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Réformes stratégiques / Investissements structurants</w:t>
            </w:r>
          </w:p>
        </w:tc>
        <w:tc>
          <w:tcPr>
            <w:tcW w:w="1067"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Indicateurs</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ml:space="preserve"> Structures responsables </w:t>
            </w:r>
          </w:p>
        </w:tc>
        <w:tc>
          <w:tcPr>
            <w:tcW w:w="1130" w:type="pct"/>
            <w:gridSpan w:val="5"/>
            <w:tcBorders>
              <w:top w:val="single" w:sz="4" w:space="0" w:color="auto"/>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Programmation physique</w:t>
            </w:r>
          </w:p>
        </w:tc>
        <w:tc>
          <w:tcPr>
            <w:tcW w:w="1497" w:type="pct"/>
            <w:gridSpan w:val="8"/>
            <w:tcBorders>
              <w:top w:val="single" w:sz="4" w:space="0" w:color="auto"/>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Programmation financière (en milliards  de FCFA)</w:t>
            </w:r>
          </w:p>
        </w:tc>
      </w:tr>
      <w:tr w:rsidR="00504C7A" w:rsidRPr="00422183" w:rsidTr="00794641">
        <w:trPr>
          <w:gridAfter w:val="1"/>
          <w:wAfter w:w="145" w:type="pct"/>
          <w:trHeight w:val="615"/>
          <w:tblHeader/>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1067" w:type="pct"/>
            <w:vMerge/>
            <w:tcBorders>
              <w:top w:val="single" w:sz="4" w:space="0" w:color="auto"/>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2016</w:t>
            </w:r>
          </w:p>
        </w:tc>
        <w:tc>
          <w:tcPr>
            <w:tcW w:w="211"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2017</w:t>
            </w:r>
          </w:p>
        </w:tc>
        <w:tc>
          <w:tcPr>
            <w:tcW w:w="210"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2018</w:t>
            </w:r>
          </w:p>
        </w:tc>
        <w:tc>
          <w:tcPr>
            <w:tcW w:w="211"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2019</w:t>
            </w:r>
          </w:p>
        </w:tc>
        <w:tc>
          <w:tcPr>
            <w:tcW w:w="245"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2020</w:t>
            </w:r>
          </w:p>
        </w:tc>
        <w:tc>
          <w:tcPr>
            <w:tcW w:w="245"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2016</w:t>
            </w:r>
          </w:p>
        </w:tc>
        <w:tc>
          <w:tcPr>
            <w:tcW w:w="214" w:type="pct"/>
            <w:gridSpan w:val="2"/>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2017</w:t>
            </w:r>
          </w:p>
        </w:tc>
        <w:tc>
          <w:tcPr>
            <w:tcW w:w="218"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2018</w:t>
            </w:r>
          </w:p>
        </w:tc>
        <w:tc>
          <w:tcPr>
            <w:tcW w:w="219"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2019</w:t>
            </w:r>
          </w:p>
        </w:tc>
        <w:tc>
          <w:tcPr>
            <w:tcW w:w="182" w:type="pct"/>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2020</w:t>
            </w:r>
          </w:p>
        </w:tc>
        <w:tc>
          <w:tcPr>
            <w:tcW w:w="419" w:type="pct"/>
            <w:gridSpan w:val="2"/>
            <w:tcBorders>
              <w:top w:val="nil"/>
              <w:left w:val="nil"/>
              <w:bottom w:val="single" w:sz="4" w:space="0" w:color="auto"/>
              <w:right w:val="single" w:sz="4" w:space="0" w:color="auto"/>
            </w:tcBorders>
            <w:shd w:val="clear" w:color="000000" w:fill="F2F2F2"/>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Total</w:t>
            </w:r>
          </w:p>
        </w:tc>
      </w:tr>
      <w:tr w:rsidR="002F01B6" w:rsidRPr="00422183" w:rsidTr="00ED09B4">
        <w:trPr>
          <w:gridAfter w:val="1"/>
          <w:wAfter w:w="145" w:type="pct"/>
          <w:trHeight w:val="675"/>
          <w:tblHeader/>
        </w:trPr>
        <w:tc>
          <w:tcPr>
            <w:tcW w:w="4855" w:type="pct"/>
            <w:gridSpan w:val="17"/>
            <w:tcBorders>
              <w:top w:val="single" w:sz="4" w:space="0" w:color="auto"/>
              <w:left w:val="single" w:sz="4" w:space="0" w:color="auto"/>
              <w:bottom w:val="single" w:sz="4" w:space="0" w:color="auto"/>
              <w:right w:val="single" w:sz="4" w:space="0" w:color="auto"/>
            </w:tcBorders>
            <w:shd w:val="clear" w:color="000000" w:fill="EDEDED"/>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Impact attendu : L’émergence d’une économie moderne, basée sur une agriculture évolutive et des industries de transformation et de services de plus en plus dynamiques, avec une croissance économique soutenue de 8,5%, créatrice d’au moins 130 000 emplois productifs par an, susceptible de faire baisser l’incidence de pauvreté à 35% à l’horizon 2020</w:t>
            </w:r>
          </w:p>
        </w:tc>
      </w:tr>
      <w:tr w:rsidR="00D73445" w:rsidRPr="00422183" w:rsidTr="00ED09B4">
        <w:trPr>
          <w:gridAfter w:val="1"/>
          <w:wAfter w:w="145" w:type="pct"/>
          <w:trHeight w:val="480"/>
        </w:trPr>
        <w:tc>
          <w:tcPr>
            <w:tcW w:w="3358" w:type="pct"/>
            <w:gridSpan w:val="9"/>
            <w:tcBorders>
              <w:top w:val="single" w:sz="4" w:space="0" w:color="auto"/>
              <w:left w:val="single" w:sz="4" w:space="0" w:color="auto"/>
              <w:bottom w:val="single" w:sz="4" w:space="0" w:color="auto"/>
              <w:right w:val="single" w:sz="4" w:space="0" w:color="auto"/>
            </w:tcBorders>
            <w:shd w:val="clear" w:color="000000" w:fill="E2EFDA"/>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Axe stratégique 1 : réformer les institutions et moderniser l'administration</w:t>
            </w:r>
          </w:p>
        </w:tc>
        <w:tc>
          <w:tcPr>
            <w:tcW w:w="296" w:type="pct"/>
            <w:gridSpan w:val="2"/>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0</w:t>
            </w:r>
          </w:p>
        </w:tc>
        <w:tc>
          <w:tcPr>
            <w:tcW w:w="163" w:type="pct"/>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0</w:t>
            </w:r>
          </w:p>
        </w:tc>
        <w:tc>
          <w:tcPr>
            <w:tcW w:w="218" w:type="pct"/>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0</w:t>
            </w:r>
          </w:p>
        </w:tc>
        <w:tc>
          <w:tcPr>
            <w:tcW w:w="219" w:type="pct"/>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0</w:t>
            </w:r>
          </w:p>
        </w:tc>
        <w:tc>
          <w:tcPr>
            <w:tcW w:w="187" w:type="pct"/>
            <w:gridSpan w:val="2"/>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0</w:t>
            </w:r>
          </w:p>
        </w:tc>
        <w:tc>
          <w:tcPr>
            <w:tcW w:w="414" w:type="pct"/>
            <w:tcBorders>
              <w:top w:val="nil"/>
              <w:left w:val="nil"/>
              <w:bottom w:val="single" w:sz="4" w:space="0" w:color="auto"/>
              <w:right w:val="single" w:sz="4" w:space="0" w:color="auto"/>
            </w:tcBorders>
            <w:shd w:val="clear" w:color="000000" w:fill="E2EFDA"/>
            <w:noWrap/>
            <w:vAlign w:val="center"/>
            <w:hideMark/>
          </w:tcPr>
          <w:p w:rsidR="002F01B6" w:rsidRPr="00422183" w:rsidRDefault="002F01B6" w:rsidP="007711B5">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31.00</w:t>
            </w:r>
          </w:p>
        </w:tc>
      </w:tr>
      <w:tr w:rsidR="00D73445" w:rsidRPr="00422183" w:rsidTr="00ED09B4">
        <w:trPr>
          <w:gridAfter w:val="1"/>
          <w:wAfter w:w="145" w:type="pct"/>
          <w:trHeight w:val="585"/>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 1.1 : Promouvoir la bonne gouvernance politique et administrative</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0.00</w:t>
            </w:r>
          </w:p>
        </w:tc>
      </w:tr>
      <w:tr w:rsidR="00504C7A"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Adopter une nouvelle constitution (Vème République)</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Opinions générales sur l’état de la démocratie au Burkina</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Présidence du Faso/ MJDHPC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Degré de confiance des populations aux institutions étatiques</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participation aux consultations électorales</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5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et mettre en œuvre le cadre juridique et règlementaire de lutte contre la corruption</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textes adoptés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ASCE/LC; Toute structure</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285"/>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Indice de perception de la corruption </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2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Instituer des chartes d'apaisement du climat socio-politique entre le gouvernement et les acteurs politiques et sociaux </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chartes adoptées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MFPTPS</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285"/>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Degré d’apaisement du climat social</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285"/>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Degré de satisfaction des partenaires sociaux et politiques</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7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Appliquer effectivement les textes relatifs à la discipline et à la déontologie dans les services publics</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conseils de discipline fonctionnels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MFPTPS; Toute structure</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720"/>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Degré de satisfaction de la population face à l’offre de services publics</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p>
        </w:tc>
        <w:tc>
          <w:tcPr>
            <w:tcW w:w="541"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Renforcer l'indépendance et l'efficacité de la   justice </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de mise en œuvre du pacte national pour le renouveau de la justice</w:t>
            </w:r>
          </w:p>
        </w:tc>
        <w:tc>
          <w:tcPr>
            <w:tcW w:w="446"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MJDHPC</w:t>
            </w:r>
          </w:p>
        </w:tc>
        <w:tc>
          <w:tcPr>
            <w:tcW w:w="253"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46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2F01B6" w:rsidRPr="00422183" w:rsidRDefault="002F01B6" w:rsidP="007711B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2F01B6" w:rsidP="00422183">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Améliorer la performance des forces de sécurité</w:t>
            </w: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des infrastructures réalisées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F01B6" w:rsidRPr="00422183" w:rsidRDefault="00DA1FCD"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MATDSI</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F01B6" w:rsidRPr="00422183" w:rsidRDefault="002F01B6" w:rsidP="007711B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600"/>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des infrastructures réhabilitées</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735"/>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d’équipement des forces de sécurité</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504C7A" w:rsidRPr="00422183" w:rsidTr="00794641">
        <w:trPr>
          <w:gridAfter w:val="1"/>
          <w:wAfter w:w="145" w:type="pct"/>
          <w:trHeight w:val="735"/>
        </w:trPr>
        <w:tc>
          <w:tcPr>
            <w:tcW w:w="174" w:type="pct"/>
            <w:vMerge/>
            <w:tcBorders>
              <w:top w:val="nil"/>
              <w:left w:val="single" w:sz="4" w:space="0" w:color="auto"/>
              <w:bottom w:val="single" w:sz="4" w:space="0" w:color="000000"/>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2F01B6" w:rsidRPr="00422183" w:rsidRDefault="002F01B6"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Le temps de réaction suite à une sollicitation</w:t>
            </w:r>
          </w:p>
        </w:tc>
        <w:tc>
          <w:tcPr>
            <w:tcW w:w="446"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F01B6" w:rsidRPr="00422183" w:rsidRDefault="002F01B6" w:rsidP="007711B5">
            <w:pPr>
              <w:spacing w:after="0" w:line="240" w:lineRule="auto"/>
              <w:rPr>
                <w:rFonts w:ascii="Rockwell" w:eastAsia="Times New Roman" w:hAnsi="Rockwell" w:cs="Times New Roman"/>
              </w:rPr>
            </w:pPr>
          </w:p>
        </w:tc>
      </w:tr>
      <w:tr w:rsidR="001D3B5D" w:rsidRPr="00422183" w:rsidTr="00794641">
        <w:trPr>
          <w:gridAfter w:val="1"/>
          <w:wAfter w:w="145" w:type="pct"/>
          <w:trHeight w:val="735"/>
        </w:trPr>
        <w:tc>
          <w:tcPr>
            <w:tcW w:w="174" w:type="pct"/>
            <w:vMerge w:val="restart"/>
            <w:tcBorders>
              <w:top w:val="nil"/>
              <w:left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7</w:t>
            </w:r>
          </w:p>
        </w:tc>
        <w:tc>
          <w:tcPr>
            <w:tcW w:w="541" w:type="pct"/>
            <w:vMerge w:val="restart"/>
            <w:tcBorders>
              <w:top w:val="nil"/>
              <w:left w:val="single" w:sz="4" w:space="0" w:color="auto"/>
              <w:right w:val="single" w:sz="4" w:space="0" w:color="auto"/>
            </w:tcBorders>
            <w:vAlign w:val="center"/>
          </w:tcPr>
          <w:p w:rsidR="001D3B5D" w:rsidRPr="00422183" w:rsidRDefault="001D3B5D" w:rsidP="00422183">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Reformer les forces armées nationales </w:t>
            </w:r>
          </w:p>
        </w:tc>
        <w:tc>
          <w:tcPr>
            <w:tcW w:w="1067" w:type="pct"/>
            <w:tcBorders>
              <w:top w:val="nil"/>
              <w:left w:val="nil"/>
              <w:bottom w:val="single" w:sz="4" w:space="0" w:color="auto"/>
              <w:right w:val="single" w:sz="4" w:space="0" w:color="auto"/>
            </w:tcBorders>
            <w:shd w:val="clear" w:color="auto" w:fill="auto"/>
            <w:vAlign w:val="center"/>
          </w:tcPr>
          <w:p w:rsidR="001D3B5D" w:rsidRPr="00422183" w:rsidRDefault="001D3B5D" w:rsidP="007711B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du document de réformes</w:t>
            </w:r>
          </w:p>
        </w:tc>
        <w:tc>
          <w:tcPr>
            <w:tcW w:w="446" w:type="pct"/>
            <w:vMerge w:val="restart"/>
            <w:tcBorders>
              <w:top w:val="nil"/>
              <w:left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MDNAC</w:t>
            </w:r>
          </w:p>
        </w:tc>
        <w:tc>
          <w:tcPr>
            <w:tcW w:w="253"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p>
        </w:tc>
        <w:tc>
          <w:tcPr>
            <w:tcW w:w="210"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b/>
                <w:bCs/>
                <w:sz w:val="18"/>
                <w:szCs w:val="18"/>
              </w:rPr>
            </w:pP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c>
          <w:tcPr>
            <w:tcW w:w="214" w:type="pct"/>
            <w:gridSpan w:val="2"/>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c>
          <w:tcPr>
            <w:tcW w:w="218"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c>
          <w:tcPr>
            <w:tcW w:w="219"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c>
          <w:tcPr>
            <w:tcW w:w="182" w:type="pct"/>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c>
          <w:tcPr>
            <w:tcW w:w="419" w:type="pct"/>
            <w:gridSpan w:val="2"/>
            <w:tcBorders>
              <w:top w:val="nil"/>
              <w:left w:val="single" w:sz="4" w:space="0" w:color="auto"/>
              <w:bottom w:val="single" w:sz="4" w:space="0" w:color="auto"/>
              <w:right w:val="single" w:sz="4" w:space="0" w:color="auto"/>
            </w:tcBorders>
            <w:vAlign w:val="center"/>
          </w:tcPr>
          <w:p w:rsidR="001D3B5D" w:rsidRPr="00422183" w:rsidRDefault="001D3B5D" w:rsidP="007711B5">
            <w:pPr>
              <w:spacing w:after="0" w:line="240" w:lineRule="auto"/>
              <w:rPr>
                <w:rFonts w:ascii="Rockwell" w:eastAsia="Times New Roman" w:hAnsi="Rockwell" w:cs="Times New Roman"/>
              </w:rPr>
            </w:pPr>
          </w:p>
        </w:tc>
      </w:tr>
      <w:tr w:rsidR="001D3B5D" w:rsidRPr="00422183" w:rsidTr="00794641">
        <w:trPr>
          <w:gridAfter w:val="1"/>
          <w:wAfter w:w="145" w:type="pct"/>
          <w:trHeight w:val="735"/>
        </w:trPr>
        <w:tc>
          <w:tcPr>
            <w:tcW w:w="174" w:type="pct"/>
            <w:vMerge/>
            <w:tcBorders>
              <w:left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sz w:val="18"/>
                <w:szCs w:val="18"/>
              </w:rPr>
            </w:pPr>
          </w:p>
        </w:tc>
        <w:tc>
          <w:tcPr>
            <w:tcW w:w="541" w:type="pct"/>
            <w:vMerge/>
            <w:tcBorders>
              <w:left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1D3B5D" w:rsidRPr="00422183" w:rsidRDefault="001D3B5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d’équipement des forces de défense</w:t>
            </w:r>
          </w:p>
        </w:tc>
        <w:tc>
          <w:tcPr>
            <w:tcW w:w="446" w:type="pct"/>
            <w:vMerge/>
            <w:tcBorders>
              <w:left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b/>
                <w:bCs/>
                <w:sz w:val="18"/>
                <w:szCs w:val="18"/>
              </w:rPr>
            </w:pPr>
          </w:p>
        </w:tc>
        <w:tc>
          <w:tcPr>
            <w:tcW w:w="253"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b/>
                <w:bCs/>
                <w:sz w:val="18"/>
                <w:szCs w:val="18"/>
              </w:rPr>
            </w:pP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4" w:type="pct"/>
            <w:gridSpan w:val="2"/>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8"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9"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182"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419" w:type="pct"/>
            <w:gridSpan w:val="2"/>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r>
      <w:tr w:rsidR="001D3B5D" w:rsidRPr="00422183" w:rsidTr="00794641">
        <w:trPr>
          <w:gridAfter w:val="1"/>
          <w:wAfter w:w="145" w:type="pct"/>
          <w:trHeight w:val="735"/>
        </w:trPr>
        <w:tc>
          <w:tcPr>
            <w:tcW w:w="174" w:type="pct"/>
            <w:vMerge/>
            <w:tcBorders>
              <w:left w:val="single" w:sz="4" w:space="0" w:color="auto"/>
              <w:bottom w:val="single" w:sz="4" w:space="0" w:color="000000"/>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sz w:val="18"/>
                <w:szCs w:val="18"/>
              </w:rPr>
            </w:pPr>
          </w:p>
        </w:tc>
        <w:tc>
          <w:tcPr>
            <w:tcW w:w="541" w:type="pct"/>
            <w:vMerge/>
            <w:tcBorders>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1D3B5D" w:rsidRPr="00422183" w:rsidRDefault="001D3B5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des infrastructures réalisées </w:t>
            </w:r>
          </w:p>
        </w:tc>
        <w:tc>
          <w:tcPr>
            <w:tcW w:w="446" w:type="pct"/>
            <w:vMerge/>
            <w:tcBorders>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b/>
                <w:bCs/>
                <w:sz w:val="18"/>
                <w:szCs w:val="18"/>
              </w:rPr>
            </w:pPr>
          </w:p>
        </w:tc>
        <w:tc>
          <w:tcPr>
            <w:tcW w:w="253"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1"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b/>
                <w:bCs/>
                <w:sz w:val="18"/>
                <w:szCs w:val="18"/>
              </w:rPr>
            </w:pPr>
          </w:p>
        </w:tc>
        <w:tc>
          <w:tcPr>
            <w:tcW w:w="245"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4" w:type="pct"/>
            <w:gridSpan w:val="2"/>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8"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219"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182" w:type="pct"/>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c>
          <w:tcPr>
            <w:tcW w:w="419" w:type="pct"/>
            <w:gridSpan w:val="2"/>
            <w:tcBorders>
              <w:top w:val="nil"/>
              <w:left w:val="single" w:sz="4" w:space="0" w:color="auto"/>
              <w:bottom w:val="single" w:sz="4" w:space="0" w:color="auto"/>
              <w:right w:val="single" w:sz="4" w:space="0" w:color="auto"/>
            </w:tcBorders>
            <w:vAlign w:val="center"/>
          </w:tcPr>
          <w:p w:rsidR="001D3B5D" w:rsidRPr="00422183" w:rsidRDefault="001D3B5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Elaborer et mettre en œuvre la loi de programmation militaire</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loi et de ses textes d'application</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MDNAC</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2802BC" w:rsidRPr="00422183" w:rsidTr="00ED09B4">
        <w:trPr>
          <w:trHeight w:val="510"/>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stratégique1. 2. Promouvoir la bonne gouvernance économique</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414"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145" w:type="pct"/>
            <w:vAlign w:val="center"/>
          </w:tcPr>
          <w:p w:rsidR="00DA1FCD" w:rsidRPr="00422183" w:rsidRDefault="00DA1FCD" w:rsidP="00DA1FCD">
            <w:pPr>
              <w:spacing w:after="0" w:line="240" w:lineRule="auto"/>
              <w:rPr>
                <w:rFonts w:ascii="Rockwell" w:eastAsia="Times New Roman" w:hAnsi="Rockwell" w:cs="Times New Roman"/>
                <w:b/>
                <w:bCs/>
                <w:sz w:val="18"/>
                <w:szCs w:val="18"/>
              </w:rPr>
            </w:pPr>
          </w:p>
        </w:tc>
      </w:tr>
      <w:tr w:rsidR="00504C7A" w:rsidRPr="00422183" w:rsidTr="00794641">
        <w:trPr>
          <w:gridAfter w:val="1"/>
          <w:wAfter w:w="145" w:type="pct"/>
          <w:trHeight w:val="111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Améliorer la gestion budgétaire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Proportion des structures publiques disposant  d'un budget programme opérationnel </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 et toutes structures</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66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Rationaliser les fonds nationaux de financement existants</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d'un texte qui rationalise les fonds nationaux de financement</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39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fonds fusionnés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43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de recouvrement des prêts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64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Relire le cadre juridique et institutionnel des PPP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nouveaux textes sur les PPP adoptés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PM / 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85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Volume des investissements réalisé dans le cadre du Partenariat public-privé</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7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12</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Rationaliser la  gestion des projets et programmes de développement</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d'un texte qui rationalise les Unités de gestions des projets et programmes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MINEFID/PTF</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76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d'unités de gestion des projets et programmes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9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13</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Réformer le cadre juridique et institutionnel des marchés publics</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nouveaux textes législatifs et règlementaire régissant les marchés publics adoptés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PM / 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61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Délai moyen de passation des marchés publics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57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d’exécution des marchés publics dans les délais contractuels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6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1D3B5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14</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Élaborer et mettre en œuvre une loi sur le pilotage et la gestion du développement</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loi et de ses textes d'application</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67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d’application de la loi</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r w:rsidR="007F1D66" w:rsidRPr="00422183">
              <w:rPr>
                <w:rFonts w:ascii="Rockwell" w:eastAsia="Times New Roman" w:hAnsi="Rockwell" w:cs="Times New Roman"/>
                <w:sz w:val="18"/>
                <w:szCs w:val="18"/>
              </w:rPr>
              <w:t>5</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Elaborer et mettre en œuvre la loi d'orientation en matière d'aménagement du territoire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loi et de ses textes d'application</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28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d’application de la loi</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7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r w:rsidR="007F1D66" w:rsidRPr="00422183">
              <w:rPr>
                <w:rFonts w:ascii="Rockwell" w:eastAsia="Times New Roman" w:hAnsi="Rockwell" w:cs="Times New Roman"/>
                <w:sz w:val="18"/>
                <w:szCs w:val="18"/>
              </w:rPr>
              <w:t>6</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des plateformes multifonctionnelles pour la lutte contre la pauvreté</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 Nombre de plateformes multifonctionnelles réalisées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31.00</w:t>
            </w: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Niveau d’amélioration des conditions de vie des populations bénéficiaires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DA1FCD" w:rsidRPr="00422183" w:rsidTr="00ED09B4">
        <w:trPr>
          <w:gridAfter w:val="1"/>
          <w:wAfter w:w="145" w:type="pct"/>
          <w:trHeight w:val="300"/>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stratégique1. 3. Renforcer la décentralisation, la gouvernance locale et le développement régional</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0.00</w:t>
            </w:r>
          </w:p>
        </w:tc>
      </w:tr>
      <w:tr w:rsidR="00504C7A"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r w:rsidR="007F1D66" w:rsidRPr="00422183">
              <w:rPr>
                <w:rFonts w:ascii="Rockwell" w:eastAsia="Times New Roman" w:hAnsi="Rockwell" w:cs="Times New Roman"/>
                <w:sz w:val="18"/>
                <w:szCs w:val="18"/>
              </w:rPr>
              <w:t>7</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Renforcer les capacités des collectivités territoriales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Part des ressources transférées aux collectivités territoriales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xml:space="preserve"> MATDSI et MINEFID</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78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de mise en œuvre des plans locaux de développement</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DA1FCD" w:rsidRPr="00422183" w:rsidTr="00ED09B4">
        <w:trPr>
          <w:gridAfter w:val="1"/>
          <w:wAfter w:w="145" w:type="pct"/>
          <w:trHeight w:val="420"/>
        </w:trPr>
        <w:tc>
          <w:tcPr>
            <w:tcW w:w="3358" w:type="pct"/>
            <w:gridSpan w:val="9"/>
            <w:tcBorders>
              <w:top w:val="single" w:sz="4" w:space="0" w:color="auto"/>
              <w:left w:val="single" w:sz="4" w:space="0" w:color="auto"/>
              <w:bottom w:val="single" w:sz="4" w:space="0" w:color="auto"/>
              <w:right w:val="single" w:sz="4" w:space="0" w:color="auto"/>
            </w:tcBorders>
            <w:shd w:val="clear" w:color="000000" w:fill="E2EFDA"/>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Axe stratégique 2 : développer le capital humain</w:t>
            </w:r>
          </w:p>
        </w:tc>
        <w:tc>
          <w:tcPr>
            <w:tcW w:w="296" w:type="pct"/>
            <w:gridSpan w:val="2"/>
            <w:tcBorders>
              <w:top w:val="nil"/>
              <w:left w:val="nil"/>
              <w:bottom w:val="single" w:sz="4" w:space="0" w:color="auto"/>
              <w:right w:val="single" w:sz="4" w:space="0" w:color="auto"/>
            </w:tcBorders>
            <w:shd w:val="clear" w:color="000000" w:fill="E2EFDA"/>
            <w:noWrap/>
            <w:vAlign w:val="center"/>
          </w:tcPr>
          <w:p w:rsidR="00DA1FCD" w:rsidRPr="00422183" w:rsidRDefault="00DA1FCD" w:rsidP="00DA1FCD">
            <w:pPr>
              <w:spacing w:after="0" w:line="240" w:lineRule="auto"/>
              <w:jc w:val="center"/>
              <w:rPr>
                <w:rFonts w:ascii="Rockwell" w:eastAsia="Times New Roman" w:hAnsi="Rockwell" w:cs="Times New Roman"/>
                <w:b/>
                <w:bCs/>
              </w:rPr>
            </w:pPr>
          </w:p>
        </w:tc>
        <w:tc>
          <w:tcPr>
            <w:tcW w:w="163" w:type="pct"/>
            <w:tcBorders>
              <w:top w:val="nil"/>
              <w:left w:val="nil"/>
              <w:bottom w:val="single" w:sz="4" w:space="0" w:color="auto"/>
              <w:right w:val="single" w:sz="4" w:space="0" w:color="auto"/>
            </w:tcBorders>
            <w:shd w:val="clear" w:color="000000" w:fill="E2EFDA"/>
            <w:noWrap/>
            <w:vAlign w:val="center"/>
          </w:tcPr>
          <w:p w:rsidR="00DA1FCD" w:rsidRPr="00422183" w:rsidRDefault="00DA1FCD" w:rsidP="00DA1FCD">
            <w:pPr>
              <w:spacing w:after="0" w:line="240" w:lineRule="auto"/>
              <w:jc w:val="center"/>
              <w:rPr>
                <w:rFonts w:ascii="Rockwell" w:eastAsia="Times New Roman" w:hAnsi="Rockwell" w:cs="Times New Roman"/>
                <w:b/>
                <w:bCs/>
              </w:rPr>
            </w:pPr>
          </w:p>
        </w:tc>
        <w:tc>
          <w:tcPr>
            <w:tcW w:w="218" w:type="pct"/>
            <w:tcBorders>
              <w:top w:val="nil"/>
              <w:left w:val="nil"/>
              <w:bottom w:val="single" w:sz="4" w:space="0" w:color="auto"/>
              <w:right w:val="single" w:sz="4" w:space="0" w:color="auto"/>
            </w:tcBorders>
            <w:shd w:val="clear" w:color="000000" w:fill="E2EFDA"/>
            <w:noWrap/>
            <w:vAlign w:val="center"/>
          </w:tcPr>
          <w:p w:rsidR="00DA1FCD" w:rsidRPr="00422183" w:rsidRDefault="00DA1FCD" w:rsidP="00DA1FCD">
            <w:pPr>
              <w:spacing w:after="0" w:line="240" w:lineRule="auto"/>
              <w:jc w:val="center"/>
              <w:rPr>
                <w:rFonts w:ascii="Rockwell" w:eastAsia="Times New Roman" w:hAnsi="Rockwell" w:cs="Times New Roman"/>
                <w:b/>
                <w:bCs/>
              </w:rPr>
            </w:pPr>
          </w:p>
        </w:tc>
        <w:tc>
          <w:tcPr>
            <w:tcW w:w="219" w:type="pct"/>
            <w:tcBorders>
              <w:top w:val="nil"/>
              <w:left w:val="nil"/>
              <w:bottom w:val="single" w:sz="4" w:space="0" w:color="auto"/>
              <w:right w:val="single" w:sz="4" w:space="0" w:color="auto"/>
            </w:tcBorders>
            <w:shd w:val="clear" w:color="000000" w:fill="E2EFDA"/>
            <w:noWrap/>
            <w:vAlign w:val="center"/>
          </w:tcPr>
          <w:p w:rsidR="00DA1FCD" w:rsidRPr="00422183" w:rsidRDefault="00DA1FCD" w:rsidP="00DA1FCD">
            <w:pPr>
              <w:spacing w:after="0" w:line="240" w:lineRule="auto"/>
              <w:jc w:val="center"/>
              <w:rPr>
                <w:rFonts w:ascii="Rockwell" w:eastAsia="Times New Roman" w:hAnsi="Rockwell" w:cs="Times New Roman"/>
                <w:b/>
                <w:bCs/>
              </w:rPr>
            </w:pPr>
          </w:p>
        </w:tc>
        <w:tc>
          <w:tcPr>
            <w:tcW w:w="187" w:type="pct"/>
            <w:gridSpan w:val="2"/>
            <w:tcBorders>
              <w:top w:val="nil"/>
              <w:left w:val="nil"/>
              <w:bottom w:val="single" w:sz="4" w:space="0" w:color="auto"/>
              <w:right w:val="single" w:sz="4" w:space="0" w:color="auto"/>
            </w:tcBorders>
            <w:shd w:val="clear" w:color="000000" w:fill="E2EFDA"/>
            <w:noWrap/>
            <w:vAlign w:val="center"/>
          </w:tcPr>
          <w:p w:rsidR="00DA1FCD" w:rsidRPr="00422183" w:rsidRDefault="00DA1FCD" w:rsidP="00DA1FCD">
            <w:pPr>
              <w:spacing w:after="0" w:line="240" w:lineRule="auto"/>
              <w:jc w:val="center"/>
              <w:rPr>
                <w:rFonts w:ascii="Rockwell" w:eastAsia="Times New Roman" w:hAnsi="Rockwell" w:cs="Times New Roman"/>
                <w:b/>
                <w:bCs/>
              </w:rPr>
            </w:pPr>
          </w:p>
        </w:tc>
        <w:tc>
          <w:tcPr>
            <w:tcW w:w="414" w:type="pct"/>
            <w:tcBorders>
              <w:top w:val="nil"/>
              <w:left w:val="nil"/>
              <w:bottom w:val="single" w:sz="4" w:space="0" w:color="auto"/>
              <w:right w:val="single" w:sz="4" w:space="0" w:color="auto"/>
            </w:tcBorders>
            <w:shd w:val="clear" w:color="000000" w:fill="E2EFDA"/>
            <w:noWrap/>
            <w:vAlign w:val="center"/>
            <w:hideMark/>
          </w:tcPr>
          <w:p w:rsidR="00DA1FCD" w:rsidRPr="00422183" w:rsidRDefault="00DA1FCD" w:rsidP="00DA1FC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1 448.77</w:t>
            </w:r>
          </w:p>
        </w:tc>
      </w:tr>
      <w:tr w:rsidR="00DA1FCD" w:rsidRPr="00422183" w:rsidTr="00ED09B4">
        <w:trPr>
          <w:gridAfter w:val="1"/>
          <w:wAfter w:w="145" w:type="pct"/>
          <w:trHeight w:val="480"/>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DA1FCD" w:rsidRPr="00422183" w:rsidRDefault="00DA1FCD" w:rsidP="00FF754E">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xml:space="preserve">Objectif stratégique 2.1 : Promouvoir la santé des populations et </w:t>
            </w:r>
            <w:r w:rsidR="00FF754E" w:rsidRPr="00422183">
              <w:rPr>
                <w:rFonts w:ascii="Rockwell" w:eastAsia="Times New Roman" w:hAnsi="Rockwell" w:cs="Times New Roman"/>
                <w:b/>
                <w:bCs/>
                <w:sz w:val="18"/>
                <w:szCs w:val="18"/>
              </w:rPr>
              <w:t>accélérer</w:t>
            </w:r>
            <w:r w:rsidRPr="00422183">
              <w:rPr>
                <w:rFonts w:ascii="Rockwell" w:eastAsia="Times New Roman" w:hAnsi="Rockwell" w:cs="Times New Roman"/>
                <w:b/>
                <w:bCs/>
                <w:sz w:val="18"/>
                <w:szCs w:val="18"/>
              </w:rPr>
              <w:t xml:space="preserve"> la transition démographique</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106,74</w:t>
            </w:r>
          </w:p>
        </w:tc>
      </w:tr>
      <w:tr w:rsidR="00504C7A" w:rsidRPr="00422183" w:rsidTr="00794641">
        <w:trPr>
          <w:gridAfter w:val="1"/>
          <w:wAfter w:w="145" w:type="pct"/>
          <w:trHeight w:val="73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r w:rsidR="007F1D66" w:rsidRPr="00422183">
              <w:rPr>
                <w:rFonts w:ascii="Rockwell" w:eastAsia="Times New Roman" w:hAnsi="Rockwell" w:cs="Times New Roman"/>
                <w:sz w:val="18"/>
                <w:szCs w:val="18"/>
              </w:rPr>
              <w:t>8</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Elaborer et mettre en œuvre une loi sur la fonction publique hospitalière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loi et de ses textes d'application</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MS et MFPTPS</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3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w:t>
            </w:r>
            <w:r w:rsidR="007F1D66" w:rsidRPr="00422183">
              <w:rPr>
                <w:rFonts w:ascii="Rockwell" w:eastAsia="Times New Roman" w:hAnsi="Rockwell" w:cs="Times New Roman"/>
                <w:sz w:val="18"/>
                <w:szCs w:val="18"/>
              </w:rPr>
              <w:t>9</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un hôpital militaire de 1000 lits à Bobo-Dioulasso</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l’hôpital militaire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MDNAC et MS</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100,00</w:t>
            </w: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fonctionnalité de l’hôpital militaire</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7F1D66" w:rsidRPr="00422183" w:rsidTr="00794641">
        <w:trPr>
          <w:gridAfter w:val="1"/>
          <w:wAfter w:w="145" w:type="pct"/>
          <w:trHeight w:val="480"/>
        </w:trPr>
        <w:tc>
          <w:tcPr>
            <w:tcW w:w="174"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20</w:t>
            </w:r>
          </w:p>
        </w:tc>
        <w:tc>
          <w:tcPr>
            <w:tcW w:w="541"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un hôpital militaire de 300 lits à Ouagadougou</w:t>
            </w:r>
          </w:p>
        </w:tc>
        <w:tc>
          <w:tcPr>
            <w:tcW w:w="1067" w:type="pct"/>
            <w:tcBorders>
              <w:top w:val="nil"/>
              <w:left w:val="nil"/>
              <w:bottom w:val="single" w:sz="4" w:space="0" w:color="auto"/>
              <w:right w:val="single" w:sz="4" w:space="0" w:color="auto"/>
            </w:tcBorders>
            <w:shd w:val="clear" w:color="auto" w:fill="auto"/>
            <w:vAlign w:val="center"/>
          </w:tcPr>
          <w:p w:rsidR="007F1D66" w:rsidRPr="00422183" w:rsidRDefault="007F1D66"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l’hôpital militaire</w:t>
            </w:r>
          </w:p>
        </w:tc>
        <w:tc>
          <w:tcPr>
            <w:tcW w:w="446"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MDNAC et MS</w:t>
            </w:r>
          </w:p>
        </w:tc>
        <w:tc>
          <w:tcPr>
            <w:tcW w:w="253"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4" w:type="pct"/>
            <w:gridSpan w:val="2"/>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8"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9"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182" w:type="pct"/>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419" w:type="pct"/>
            <w:gridSpan w:val="2"/>
            <w:vMerge w:val="restart"/>
            <w:tcBorders>
              <w:top w:val="nil"/>
              <w:left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r>
      <w:tr w:rsidR="007F1D66" w:rsidRPr="00422183" w:rsidTr="00794641">
        <w:trPr>
          <w:gridAfter w:val="1"/>
          <w:wAfter w:w="145" w:type="pct"/>
          <w:trHeight w:val="480"/>
        </w:trPr>
        <w:tc>
          <w:tcPr>
            <w:tcW w:w="174" w:type="pct"/>
            <w:vMerge/>
            <w:tcBorders>
              <w:left w:val="single" w:sz="4" w:space="0" w:color="auto"/>
              <w:bottom w:val="single" w:sz="4" w:space="0" w:color="000000"/>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sz w:val="18"/>
                <w:szCs w:val="18"/>
              </w:rPr>
            </w:pPr>
          </w:p>
        </w:tc>
        <w:tc>
          <w:tcPr>
            <w:tcW w:w="541"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7F1D66" w:rsidRPr="00422183" w:rsidRDefault="007F1D66"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fonctionnalité de l’hôpital militaire</w:t>
            </w:r>
          </w:p>
        </w:tc>
        <w:tc>
          <w:tcPr>
            <w:tcW w:w="446"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53"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11"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10"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11"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45"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b/>
                <w:bCs/>
                <w:sz w:val="18"/>
                <w:szCs w:val="18"/>
              </w:rPr>
            </w:pPr>
          </w:p>
        </w:tc>
        <w:tc>
          <w:tcPr>
            <w:tcW w:w="245"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4" w:type="pct"/>
            <w:gridSpan w:val="2"/>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8"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219"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182" w:type="pct"/>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c>
          <w:tcPr>
            <w:tcW w:w="419" w:type="pct"/>
            <w:gridSpan w:val="2"/>
            <w:vMerge/>
            <w:tcBorders>
              <w:left w:val="single" w:sz="4" w:space="0" w:color="auto"/>
              <w:bottom w:val="single" w:sz="4" w:space="0" w:color="auto"/>
              <w:right w:val="single" w:sz="4" w:space="0" w:color="auto"/>
            </w:tcBorders>
            <w:vAlign w:val="center"/>
          </w:tcPr>
          <w:p w:rsidR="007F1D66" w:rsidRPr="00422183" w:rsidRDefault="007F1D66"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55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7F1D66"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r w:rsidR="00DA1FCD" w:rsidRPr="00422183">
              <w:rPr>
                <w:rFonts w:ascii="Rockwell" w:eastAsia="Times New Roman" w:hAnsi="Rockwell" w:cs="Times New Roman"/>
                <w:sz w:val="18"/>
                <w:szCs w:val="18"/>
              </w:rPr>
              <w:t>1</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Transformer progressivement tous les CHR en CHU</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Proportion de CHR Transformés en Centre Hospitaliers Universitaires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MS</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5,00</w:t>
            </w:r>
          </w:p>
        </w:tc>
      </w:tr>
      <w:tr w:rsidR="00504C7A" w:rsidRPr="00422183" w:rsidTr="00794641">
        <w:trPr>
          <w:gridAfter w:val="1"/>
          <w:wAfter w:w="145" w:type="pct"/>
          <w:trHeight w:val="66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d’amélioration de l’offre de services sanitaires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69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r w:rsidR="007F1D66" w:rsidRPr="00422183">
              <w:rPr>
                <w:rFonts w:ascii="Rockwell" w:eastAsia="Times New Roman" w:hAnsi="Rockwell" w:cs="Times New Roman"/>
                <w:sz w:val="18"/>
                <w:szCs w:val="18"/>
              </w:rPr>
              <w:t>2</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Rendre opérationnel le régime  d'assurance maladie universelle</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 Nombre de personnes prises en charges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MS</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54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d'adhérents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r>
      <w:tr w:rsidR="00504C7A" w:rsidRPr="00422183" w:rsidTr="00794641">
        <w:trPr>
          <w:gridAfter w:val="1"/>
          <w:wAfter w:w="145" w:type="pct"/>
          <w:trHeight w:val="69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r w:rsidR="007F1D66" w:rsidRPr="00422183">
              <w:rPr>
                <w:rFonts w:ascii="Rockwell" w:eastAsia="Times New Roman" w:hAnsi="Rockwell" w:cs="Times New Roman"/>
                <w:sz w:val="18"/>
                <w:szCs w:val="18"/>
              </w:rPr>
              <w:t>3</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Intensifier la pratique de la planification familiale</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B3F00"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Couple-année protection </w:t>
            </w:r>
            <w:r w:rsidR="00AB7E64" w:rsidRPr="00422183">
              <w:rPr>
                <w:rFonts w:ascii="Rockwell" w:eastAsia="Times New Roman" w:hAnsi="Rockwell" w:cs="Times New Roman"/>
                <w:sz w:val="18"/>
                <w:szCs w:val="18"/>
              </w:rPr>
              <w:t>en pourcentage</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MS</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04C7A" w:rsidRPr="00422183" w:rsidTr="00794641">
        <w:trPr>
          <w:gridAfter w:val="1"/>
          <w:wAfter w:w="145" w:type="pct"/>
          <w:trHeight w:val="9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7F1D66"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24</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AB7E64"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unité de production de médicaments essentiels génériques du "panier mère-enfants"</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Disponibilité d'une unité de production de médicament fonctionnelle </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MS</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1,74</w:t>
            </w:r>
          </w:p>
        </w:tc>
      </w:tr>
      <w:tr w:rsidR="00DA1FCD" w:rsidRPr="00422183" w:rsidTr="00ED09B4">
        <w:trPr>
          <w:gridAfter w:val="1"/>
          <w:wAfter w:w="145" w:type="pct"/>
          <w:trHeight w:val="645"/>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 2.2 : Accroitre l’offre et améliorer la qualité de l’éducation, de l’enseignement supérieur et de la formation en adéquation avec les besoins de l’économie</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932.90</w:t>
            </w:r>
          </w:p>
        </w:tc>
      </w:tr>
      <w:tr w:rsidR="00504C7A" w:rsidRPr="00422183" w:rsidTr="00794641">
        <w:trPr>
          <w:gridAfter w:val="1"/>
          <w:wAfter w:w="145" w:type="pct"/>
          <w:trHeight w:val="99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7F1D66"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25</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des infrastructures pour la résorption des classes sous paillote</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w:t>
            </w:r>
            <w:r w:rsidR="00242895" w:rsidRPr="00422183">
              <w:rPr>
                <w:rFonts w:ascii="Rockwell" w:eastAsia="Times New Roman" w:hAnsi="Rockwell" w:cs="Times New Roman"/>
                <w:sz w:val="18"/>
                <w:szCs w:val="18"/>
              </w:rPr>
              <w:t xml:space="preserve"> salles de</w:t>
            </w:r>
            <w:r w:rsidRPr="00422183">
              <w:rPr>
                <w:rFonts w:ascii="Rockwell" w:eastAsia="Times New Roman" w:hAnsi="Rockwell" w:cs="Times New Roman"/>
                <w:sz w:val="18"/>
                <w:szCs w:val="18"/>
              </w:rPr>
              <w:t xml:space="preserve"> classe sous paillotes </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MENA</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DA1FCD" w:rsidRPr="00422183" w:rsidRDefault="00242895"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40,</w:t>
            </w:r>
            <w:r w:rsidR="00DA1FCD" w:rsidRPr="00422183">
              <w:rPr>
                <w:rFonts w:ascii="Rockwell" w:eastAsia="Times New Roman" w:hAnsi="Rockwell" w:cs="Times New Roman"/>
                <w:sz w:val="18"/>
                <w:szCs w:val="18"/>
              </w:rPr>
              <w:t>00</w:t>
            </w:r>
          </w:p>
        </w:tc>
      </w:tr>
      <w:tr w:rsidR="00504C7A" w:rsidRPr="00422183" w:rsidTr="00794641">
        <w:trPr>
          <w:gridAfter w:val="1"/>
          <w:wAfter w:w="145" w:type="pct"/>
          <w:trHeight w:val="4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7F1D66"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26</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Appuyer les enseignements technique, professionnel et secondaire général (recrutement d'enseignants pour le compte du MENA)</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d'enseignants recrutés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MENA</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111.37</w:t>
            </w:r>
          </w:p>
        </w:tc>
      </w:tr>
      <w:tr w:rsidR="00504C7A" w:rsidRPr="00422183" w:rsidTr="00794641">
        <w:trPr>
          <w:gridAfter w:val="1"/>
          <w:wAfter w:w="145" w:type="pct"/>
          <w:trHeight w:val="73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Ratio enseignant/élèves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504C7A" w:rsidRPr="00422183" w:rsidTr="00794641">
        <w:trPr>
          <w:gridAfter w:val="1"/>
          <w:wAfter w:w="145" w:type="pct"/>
          <w:trHeight w:val="49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7F1D66"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27</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242895" w:rsidP="0024289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w:t>
            </w:r>
            <w:r w:rsidR="00DA1FCD" w:rsidRPr="00422183">
              <w:rPr>
                <w:rFonts w:ascii="Rockwell" w:eastAsia="Times New Roman" w:hAnsi="Rockwell" w:cs="Times New Roman"/>
                <w:sz w:val="18"/>
                <w:szCs w:val="18"/>
              </w:rPr>
              <w:t>enforce</w:t>
            </w:r>
            <w:r w:rsidRPr="00422183">
              <w:rPr>
                <w:rFonts w:ascii="Rockwell" w:eastAsia="Times New Roman" w:hAnsi="Rockwell" w:cs="Times New Roman"/>
                <w:sz w:val="18"/>
                <w:szCs w:val="18"/>
              </w:rPr>
              <w:t>r les infrastructures et l</w:t>
            </w:r>
            <w:r w:rsidR="00DA1FCD" w:rsidRPr="00422183">
              <w:rPr>
                <w:rFonts w:ascii="Rockwell" w:eastAsia="Times New Roman" w:hAnsi="Rockwell" w:cs="Times New Roman"/>
                <w:sz w:val="18"/>
                <w:szCs w:val="18"/>
              </w:rPr>
              <w:t xml:space="preserve">es équipements des centres universitaires et universités </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d'infrastructures construites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MESRI</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781.10</w:t>
            </w:r>
          </w:p>
        </w:tc>
      </w:tr>
      <w:tr w:rsidR="00504C7A" w:rsidRPr="00422183" w:rsidTr="00794641">
        <w:trPr>
          <w:gridAfter w:val="1"/>
          <w:wAfter w:w="145" w:type="pct"/>
          <w:trHeight w:val="49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Durée moyenne d'une année académique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504C7A" w:rsidRPr="00422183" w:rsidTr="00794641">
        <w:trPr>
          <w:gridAfter w:val="1"/>
          <w:wAfter w:w="145" w:type="pct"/>
          <w:trHeight w:val="75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d'infrastructures équipées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1E7F05" w:rsidRPr="00422183" w:rsidTr="00794641">
        <w:trPr>
          <w:gridAfter w:val="1"/>
          <w:wAfter w:w="145" w:type="pct"/>
          <w:trHeight w:val="60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42895" w:rsidRPr="00422183" w:rsidRDefault="00242895"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r w:rsidR="007F1D66" w:rsidRPr="00422183">
              <w:rPr>
                <w:rFonts w:ascii="Rockwell" w:eastAsia="Times New Roman" w:hAnsi="Rockwell" w:cs="Times New Roman"/>
                <w:sz w:val="18"/>
                <w:szCs w:val="18"/>
              </w:rPr>
              <w:t>8</w:t>
            </w:r>
          </w:p>
        </w:tc>
        <w:tc>
          <w:tcPr>
            <w:tcW w:w="541" w:type="pct"/>
            <w:tcBorders>
              <w:top w:val="nil"/>
              <w:left w:val="nil"/>
              <w:bottom w:val="single" w:sz="4" w:space="0" w:color="auto"/>
              <w:right w:val="single" w:sz="4" w:space="0" w:color="auto"/>
            </w:tcBorders>
            <w:shd w:val="clear" w:color="auto" w:fill="auto"/>
            <w:vAlign w:val="center"/>
            <w:hideMark/>
          </w:tcPr>
          <w:p w:rsidR="00242895" w:rsidRPr="00422183" w:rsidRDefault="00242895" w:rsidP="0024289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Reformer le système éducatif à travers le développement de l’enseignement et la formation techniques et professionnels</w:t>
            </w:r>
          </w:p>
        </w:tc>
        <w:tc>
          <w:tcPr>
            <w:tcW w:w="1067" w:type="pct"/>
            <w:tcBorders>
              <w:top w:val="nil"/>
              <w:left w:val="nil"/>
              <w:bottom w:val="single" w:sz="4" w:space="0" w:color="auto"/>
              <w:right w:val="single" w:sz="4" w:space="0" w:color="auto"/>
            </w:tcBorders>
            <w:shd w:val="clear" w:color="auto" w:fill="auto"/>
            <w:vAlign w:val="center"/>
            <w:hideMark/>
          </w:tcPr>
          <w:p w:rsidR="00242895" w:rsidRPr="00422183" w:rsidRDefault="00242895" w:rsidP="0024289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Effectivité de la reforme</w:t>
            </w:r>
          </w:p>
        </w:tc>
        <w:tc>
          <w:tcPr>
            <w:tcW w:w="446" w:type="pct"/>
            <w:tcBorders>
              <w:top w:val="nil"/>
              <w:left w:val="nil"/>
              <w:bottom w:val="single" w:sz="4" w:space="0" w:color="auto"/>
              <w:right w:val="single" w:sz="4" w:space="0" w:color="auto"/>
            </w:tcBorders>
            <w:shd w:val="clear" w:color="auto" w:fill="auto"/>
            <w:vAlign w:val="center"/>
            <w:hideMark/>
          </w:tcPr>
          <w:p w:rsidR="00242895" w:rsidRPr="00422183" w:rsidRDefault="00242895" w:rsidP="0024289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MENA</w:t>
            </w:r>
          </w:p>
        </w:tc>
        <w:tc>
          <w:tcPr>
            <w:tcW w:w="253"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242895" w:rsidRPr="00422183" w:rsidRDefault="00242895" w:rsidP="00242895">
            <w:pPr>
              <w:spacing w:after="0" w:line="240" w:lineRule="auto"/>
              <w:jc w:val="center"/>
              <w:rPr>
                <w:rFonts w:ascii="Rockwell" w:eastAsia="Times New Roman" w:hAnsi="Rockwell" w:cs="Times New Roman"/>
              </w:rPr>
            </w:pPr>
          </w:p>
        </w:tc>
      </w:tr>
      <w:tr w:rsidR="00504C7A" w:rsidRPr="00422183" w:rsidTr="00794641">
        <w:trPr>
          <w:gridAfter w:val="1"/>
          <w:wAfter w:w="145" w:type="pct"/>
          <w:trHeight w:val="36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DA1FCD" w:rsidRPr="00422183" w:rsidRDefault="00DA1FCD" w:rsidP="007F1D66">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w:t>
            </w:r>
            <w:r w:rsidR="007F1D66" w:rsidRPr="00422183">
              <w:rPr>
                <w:rFonts w:ascii="Rockwell" w:eastAsia="Times New Roman" w:hAnsi="Rockwell" w:cs="Times New Roman"/>
                <w:sz w:val="18"/>
                <w:szCs w:val="18"/>
              </w:rPr>
              <w:t>9</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Reformer le système d’enseignement supérieur  en adéquation avec les besoins réels d'emplois de l'économie nationale</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2455E0"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Durée moyenne d’une année académique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MERSI</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10.00</w:t>
            </w:r>
          </w:p>
        </w:tc>
      </w:tr>
      <w:tr w:rsidR="00504C7A" w:rsidRPr="00422183" w:rsidTr="00794641">
        <w:trPr>
          <w:gridAfter w:val="1"/>
          <w:wAfter w:w="145" w:type="pct"/>
          <w:trHeight w:val="585"/>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Effectif des nouvelles offres de formations proposées </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504C7A"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d’universités régionales Spécialisées</w:t>
            </w:r>
          </w:p>
        </w:tc>
        <w:tc>
          <w:tcPr>
            <w:tcW w:w="446"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DA1FCD" w:rsidRPr="00422183" w:rsidRDefault="00DA1FCD" w:rsidP="00DA1FCD">
            <w:pPr>
              <w:spacing w:after="0" w:line="240" w:lineRule="auto"/>
              <w:rPr>
                <w:rFonts w:ascii="Rockwell" w:eastAsia="Times New Roman" w:hAnsi="Rockwell" w:cs="Times New Roman"/>
                <w:sz w:val="18"/>
                <w:szCs w:val="18"/>
              </w:rPr>
            </w:pPr>
          </w:p>
        </w:tc>
      </w:tr>
      <w:tr w:rsidR="00504C7A" w:rsidRPr="00422183" w:rsidTr="00794641">
        <w:trPr>
          <w:gridAfter w:val="1"/>
          <w:wAfter w:w="145" w:type="pct"/>
          <w:trHeight w:val="81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DA1FCD" w:rsidRPr="00422183" w:rsidRDefault="007F1D66" w:rsidP="00DA1FC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30</w:t>
            </w:r>
          </w:p>
        </w:tc>
        <w:tc>
          <w:tcPr>
            <w:tcW w:w="541"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Subventionner à concurrence de 40% l'acquisition du premier ordinateur pour les étudiants</w:t>
            </w:r>
          </w:p>
        </w:tc>
        <w:tc>
          <w:tcPr>
            <w:tcW w:w="1067"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d'étudiants ayant bénéficié de la subvention</w:t>
            </w:r>
          </w:p>
        </w:tc>
        <w:tc>
          <w:tcPr>
            <w:tcW w:w="446" w:type="pct"/>
            <w:tcBorders>
              <w:top w:val="nil"/>
              <w:left w:val="nil"/>
              <w:bottom w:val="single" w:sz="4" w:space="0" w:color="auto"/>
              <w:right w:val="single" w:sz="4" w:space="0" w:color="auto"/>
            </w:tcBorders>
            <w:shd w:val="clear" w:color="auto" w:fill="auto"/>
            <w:vAlign w:val="center"/>
            <w:hideMark/>
          </w:tcPr>
          <w:p w:rsidR="00DA1FCD" w:rsidRPr="00422183" w:rsidRDefault="00DA1FCD" w:rsidP="00DA1FC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MESRI</w:t>
            </w:r>
          </w:p>
        </w:tc>
        <w:tc>
          <w:tcPr>
            <w:tcW w:w="253"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DA1FCD" w:rsidRPr="00422183" w:rsidRDefault="00DA1FCD" w:rsidP="00DA1FCD">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2802BC" w:rsidRPr="00422183" w:rsidTr="00794641">
        <w:trPr>
          <w:gridAfter w:val="1"/>
          <w:wAfter w:w="145" w:type="pct"/>
          <w:trHeight w:val="810"/>
        </w:trPr>
        <w:tc>
          <w:tcPr>
            <w:tcW w:w="174" w:type="pct"/>
            <w:tcBorders>
              <w:top w:val="nil"/>
              <w:left w:val="single" w:sz="4" w:space="0" w:color="auto"/>
              <w:bottom w:val="single" w:sz="4" w:space="0" w:color="auto"/>
              <w:right w:val="single" w:sz="4" w:space="0" w:color="auto"/>
            </w:tcBorders>
            <w:shd w:val="clear" w:color="auto" w:fill="auto"/>
            <w:vAlign w:val="center"/>
          </w:tcPr>
          <w:p w:rsidR="002802BC" w:rsidRPr="00422183" w:rsidRDefault="007F1D66" w:rsidP="002802BC">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31</w:t>
            </w:r>
          </w:p>
        </w:tc>
        <w:tc>
          <w:tcPr>
            <w:tcW w:w="541"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et équiper 26 centres de formation professionnelle et 15 centres d’écoute pour jeunes</w:t>
            </w:r>
          </w:p>
        </w:tc>
        <w:tc>
          <w:tcPr>
            <w:tcW w:w="1067"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centres de formation professionnelle et d’écoute pour jeunes fonctionnels</w:t>
            </w:r>
          </w:p>
        </w:tc>
        <w:tc>
          <w:tcPr>
            <w:tcW w:w="446"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w:t>
            </w:r>
          </w:p>
        </w:tc>
        <w:tc>
          <w:tcPr>
            <w:tcW w:w="253"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10,310</w:t>
            </w:r>
          </w:p>
        </w:tc>
      </w:tr>
      <w:tr w:rsidR="002802BC" w:rsidRPr="00422183" w:rsidTr="00794641">
        <w:trPr>
          <w:gridAfter w:val="1"/>
          <w:wAfter w:w="145" w:type="pct"/>
          <w:trHeight w:val="810"/>
        </w:trPr>
        <w:tc>
          <w:tcPr>
            <w:tcW w:w="174" w:type="pct"/>
            <w:tcBorders>
              <w:top w:val="nil"/>
              <w:left w:val="single" w:sz="4" w:space="0" w:color="auto"/>
              <w:bottom w:val="single" w:sz="4" w:space="0" w:color="auto"/>
              <w:right w:val="single" w:sz="4" w:space="0" w:color="auto"/>
            </w:tcBorders>
            <w:shd w:val="clear" w:color="auto" w:fill="auto"/>
            <w:vAlign w:val="center"/>
          </w:tcPr>
          <w:p w:rsidR="002802BC" w:rsidRPr="00422183" w:rsidRDefault="007F1D66" w:rsidP="002802BC">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32</w:t>
            </w:r>
          </w:p>
        </w:tc>
        <w:tc>
          <w:tcPr>
            <w:tcW w:w="541"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la culture entrepreneurial et l’entrepreneuriat des jeunes</w:t>
            </w:r>
          </w:p>
        </w:tc>
        <w:tc>
          <w:tcPr>
            <w:tcW w:w="1067"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personnes formées en entrepreneuriat </w:t>
            </w:r>
          </w:p>
        </w:tc>
        <w:tc>
          <w:tcPr>
            <w:tcW w:w="446"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w:t>
            </w:r>
          </w:p>
        </w:tc>
        <w:tc>
          <w:tcPr>
            <w:tcW w:w="253"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11,5</w:t>
            </w:r>
          </w:p>
        </w:tc>
      </w:tr>
      <w:tr w:rsidR="002802BC" w:rsidRPr="00422183" w:rsidTr="00794641">
        <w:trPr>
          <w:gridAfter w:val="1"/>
          <w:wAfter w:w="145" w:type="pct"/>
          <w:trHeight w:val="810"/>
        </w:trPr>
        <w:tc>
          <w:tcPr>
            <w:tcW w:w="174" w:type="pct"/>
            <w:tcBorders>
              <w:top w:val="nil"/>
              <w:left w:val="single" w:sz="4" w:space="0" w:color="auto"/>
              <w:bottom w:val="single" w:sz="4" w:space="0" w:color="auto"/>
              <w:right w:val="single" w:sz="4" w:space="0" w:color="auto"/>
            </w:tcBorders>
            <w:shd w:val="clear" w:color="auto" w:fill="auto"/>
            <w:vAlign w:val="center"/>
          </w:tcPr>
          <w:p w:rsidR="002802BC" w:rsidRPr="00422183" w:rsidRDefault="007F1D66" w:rsidP="002802BC">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33</w:t>
            </w:r>
          </w:p>
        </w:tc>
        <w:tc>
          <w:tcPr>
            <w:tcW w:w="541"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les capacités des acteurs dans les métiers de transformation agricole</w:t>
            </w:r>
          </w:p>
        </w:tc>
        <w:tc>
          <w:tcPr>
            <w:tcW w:w="1067"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d’acteurs formés</w:t>
            </w:r>
          </w:p>
        </w:tc>
        <w:tc>
          <w:tcPr>
            <w:tcW w:w="446" w:type="pct"/>
            <w:tcBorders>
              <w:top w:val="nil"/>
              <w:left w:val="nil"/>
              <w:bottom w:val="single" w:sz="4" w:space="0" w:color="auto"/>
              <w:right w:val="single" w:sz="4" w:space="0" w:color="auto"/>
            </w:tcBorders>
            <w:shd w:val="clear" w:color="auto" w:fill="auto"/>
            <w:vAlign w:val="center"/>
          </w:tcPr>
          <w:p w:rsidR="002802BC" w:rsidRPr="00422183" w:rsidRDefault="002802BC" w:rsidP="002802BC">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 et MAAH</w:t>
            </w:r>
          </w:p>
        </w:tc>
        <w:tc>
          <w:tcPr>
            <w:tcW w:w="253"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15</w:t>
            </w:r>
          </w:p>
        </w:tc>
      </w:tr>
      <w:tr w:rsidR="002802BC" w:rsidRPr="00422183" w:rsidTr="00ED09B4">
        <w:trPr>
          <w:gridAfter w:val="1"/>
          <w:wAfter w:w="145" w:type="pct"/>
          <w:trHeight w:val="615"/>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2802BC" w:rsidRPr="00422183" w:rsidRDefault="004A2734" w:rsidP="002802BC">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 xml:space="preserve">Objectif stratégique 2.3 </w:t>
            </w:r>
            <w:r w:rsidR="002802BC" w:rsidRPr="00422183">
              <w:rPr>
                <w:rFonts w:ascii="Rockwell" w:eastAsia="Times New Roman" w:hAnsi="Rockwell" w:cs="Times New Roman"/>
                <w:b/>
                <w:bCs/>
                <w:sz w:val="18"/>
                <w:szCs w:val="18"/>
              </w:rPr>
              <w:t>Promouvoir la recherche et l'innovation au service de la transformation structurelle de l'économie</w:t>
            </w:r>
            <w:r w:rsidR="002802BC" w:rsidRPr="00422183">
              <w:rPr>
                <w:rFonts w:ascii="Rockwell" w:eastAsia="Times New Roman" w:hAnsi="Rockwell" w:cs="Times New Roman"/>
              </w:rPr>
              <w:t> </w:t>
            </w:r>
          </w:p>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255.04</w:t>
            </w:r>
          </w:p>
        </w:tc>
      </w:tr>
      <w:tr w:rsidR="00504C7A" w:rsidRPr="00422183" w:rsidTr="00794641">
        <w:trPr>
          <w:gridAfter w:val="1"/>
          <w:wAfter w:w="145" w:type="pct"/>
          <w:trHeight w:val="210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802BC" w:rsidRPr="00422183" w:rsidRDefault="007F1D66" w:rsidP="002802BC">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34</w:t>
            </w:r>
          </w:p>
        </w:tc>
        <w:tc>
          <w:tcPr>
            <w:tcW w:w="541" w:type="pct"/>
            <w:tcBorders>
              <w:top w:val="nil"/>
              <w:left w:val="nil"/>
              <w:bottom w:val="single" w:sz="4" w:space="0" w:color="auto"/>
              <w:right w:val="single" w:sz="4" w:space="0" w:color="auto"/>
            </w:tcBorders>
            <w:shd w:val="clear" w:color="auto" w:fill="auto"/>
            <w:vAlign w:val="center"/>
            <w:hideMark/>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Créer 2 technopôles dans les domaines de la production pharmaceutique, de la transformation agro-alimentaire </w:t>
            </w:r>
          </w:p>
        </w:tc>
        <w:tc>
          <w:tcPr>
            <w:tcW w:w="1067" w:type="pct"/>
            <w:tcBorders>
              <w:top w:val="nil"/>
              <w:left w:val="nil"/>
              <w:bottom w:val="single" w:sz="4" w:space="0" w:color="auto"/>
              <w:right w:val="single" w:sz="4" w:space="0" w:color="auto"/>
            </w:tcBorders>
            <w:shd w:val="clear" w:color="auto" w:fill="auto"/>
            <w:vAlign w:val="center"/>
            <w:hideMark/>
          </w:tcPr>
          <w:p w:rsidR="002802BC" w:rsidRPr="00422183" w:rsidRDefault="002802BC" w:rsidP="002802BC">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technopôles fonctionnels</w:t>
            </w:r>
          </w:p>
        </w:tc>
        <w:tc>
          <w:tcPr>
            <w:tcW w:w="446" w:type="pct"/>
            <w:tcBorders>
              <w:top w:val="nil"/>
              <w:left w:val="nil"/>
              <w:bottom w:val="single" w:sz="4" w:space="0" w:color="auto"/>
              <w:right w:val="single" w:sz="4" w:space="0" w:color="auto"/>
            </w:tcBorders>
            <w:shd w:val="clear" w:color="auto" w:fill="auto"/>
            <w:vAlign w:val="center"/>
            <w:hideMark/>
          </w:tcPr>
          <w:p w:rsidR="002802BC" w:rsidRPr="00422183" w:rsidRDefault="002802BC" w:rsidP="002802BC">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MESRI</w:t>
            </w:r>
          </w:p>
        </w:tc>
        <w:tc>
          <w:tcPr>
            <w:tcW w:w="253"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2802BC" w:rsidRPr="00422183" w:rsidRDefault="002802BC" w:rsidP="002802BC">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2802BC" w:rsidRPr="00422183" w:rsidRDefault="002802BC"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245</w:t>
            </w:r>
            <w:r w:rsidR="004A2734" w:rsidRPr="00422183">
              <w:rPr>
                <w:rFonts w:ascii="Rockwell" w:eastAsia="Times New Roman" w:hAnsi="Rockwell" w:cs="Times New Roman"/>
              </w:rPr>
              <w:t>,</w:t>
            </w:r>
            <w:r w:rsidRPr="00422183">
              <w:rPr>
                <w:rFonts w:ascii="Rockwell" w:eastAsia="Times New Roman" w:hAnsi="Rockwell" w:cs="Times New Roman"/>
              </w:rPr>
              <w:t>00</w:t>
            </w:r>
          </w:p>
        </w:tc>
      </w:tr>
      <w:tr w:rsidR="004A2734" w:rsidRPr="00422183" w:rsidTr="00794641">
        <w:trPr>
          <w:gridAfter w:val="1"/>
          <w:wAfter w:w="145" w:type="pct"/>
          <w:trHeight w:val="1499"/>
        </w:trPr>
        <w:tc>
          <w:tcPr>
            <w:tcW w:w="174" w:type="pct"/>
            <w:vMerge w:val="restart"/>
            <w:tcBorders>
              <w:top w:val="nil"/>
              <w:left w:val="single" w:sz="4" w:space="0" w:color="auto"/>
              <w:right w:val="single" w:sz="4" w:space="0" w:color="auto"/>
            </w:tcBorders>
            <w:shd w:val="clear" w:color="auto" w:fill="auto"/>
            <w:vAlign w:val="center"/>
          </w:tcPr>
          <w:p w:rsidR="004A2734" w:rsidRPr="00422183" w:rsidRDefault="007F1D66"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35</w:t>
            </w:r>
          </w:p>
        </w:tc>
        <w:tc>
          <w:tcPr>
            <w:tcW w:w="541" w:type="pct"/>
            <w:vMerge w:val="restart"/>
            <w:tcBorders>
              <w:top w:val="nil"/>
              <w:left w:val="nil"/>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les capacités du système national de la recherche et de l’innovation</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d’infrastructures de recherche construites et équipées</w:t>
            </w:r>
          </w:p>
        </w:tc>
        <w:tc>
          <w:tcPr>
            <w:tcW w:w="446" w:type="pct"/>
            <w:vMerge w:val="restart"/>
            <w:tcBorders>
              <w:top w:val="nil"/>
              <w:left w:val="nil"/>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sz w:val="18"/>
                <w:szCs w:val="18"/>
              </w:rPr>
              <w:t>MESRSI</w:t>
            </w:r>
          </w:p>
        </w:tc>
        <w:tc>
          <w:tcPr>
            <w:tcW w:w="253"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23,6</w:t>
            </w:r>
          </w:p>
        </w:tc>
        <w:tc>
          <w:tcPr>
            <w:tcW w:w="218"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16,7</w:t>
            </w:r>
          </w:p>
        </w:tc>
        <w:tc>
          <w:tcPr>
            <w:tcW w:w="219"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9,1</w:t>
            </w:r>
          </w:p>
        </w:tc>
        <w:tc>
          <w:tcPr>
            <w:tcW w:w="182" w:type="pct"/>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6,4</w:t>
            </w:r>
          </w:p>
        </w:tc>
        <w:tc>
          <w:tcPr>
            <w:tcW w:w="419" w:type="pct"/>
            <w:gridSpan w:val="2"/>
            <w:vMerge w:val="restart"/>
            <w:tcBorders>
              <w:top w:val="nil"/>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55,8</w:t>
            </w:r>
          </w:p>
        </w:tc>
      </w:tr>
      <w:tr w:rsidR="004A2734" w:rsidRPr="00422183" w:rsidTr="00794641">
        <w:trPr>
          <w:gridAfter w:val="1"/>
          <w:wAfter w:w="145" w:type="pct"/>
          <w:trHeight w:val="2100"/>
        </w:trPr>
        <w:tc>
          <w:tcPr>
            <w:tcW w:w="174" w:type="pct"/>
            <w:vMerge/>
            <w:tcBorders>
              <w:left w:val="single" w:sz="4" w:space="0" w:color="auto"/>
              <w:right w:val="single" w:sz="4" w:space="0" w:color="auto"/>
            </w:tcBorders>
            <w:shd w:val="clear" w:color="auto" w:fill="auto"/>
            <w:vAlign w:val="center"/>
          </w:tcPr>
          <w:p w:rsidR="004A2734" w:rsidRPr="00422183" w:rsidRDefault="004A2734" w:rsidP="004A2734">
            <w:pPr>
              <w:spacing w:after="0" w:line="240" w:lineRule="auto"/>
              <w:jc w:val="center"/>
              <w:rPr>
                <w:rFonts w:ascii="Rockwell" w:eastAsia="Times New Roman" w:hAnsi="Rockwell" w:cs="Times New Roman"/>
                <w:sz w:val="18"/>
                <w:szCs w:val="18"/>
              </w:rPr>
            </w:pPr>
          </w:p>
        </w:tc>
        <w:tc>
          <w:tcPr>
            <w:tcW w:w="541" w:type="pct"/>
            <w:vMerge/>
            <w:tcBorders>
              <w:left w:val="nil"/>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jeunes chercheurs recrutés et formés</w:t>
            </w:r>
          </w:p>
        </w:tc>
        <w:tc>
          <w:tcPr>
            <w:tcW w:w="446" w:type="pct"/>
            <w:vMerge/>
            <w:tcBorders>
              <w:left w:val="nil"/>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p>
        </w:tc>
        <w:tc>
          <w:tcPr>
            <w:tcW w:w="253"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0"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vMerge/>
            <w:tcBorders>
              <w:left w:val="nil"/>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r>
      <w:tr w:rsidR="004A2734" w:rsidRPr="00422183" w:rsidTr="00794641">
        <w:trPr>
          <w:gridAfter w:val="1"/>
          <w:wAfter w:w="145" w:type="pct"/>
          <w:trHeight w:val="60"/>
        </w:trPr>
        <w:tc>
          <w:tcPr>
            <w:tcW w:w="174" w:type="pct"/>
            <w:vMerge/>
            <w:tcBorders>
              <w:left w:val="single" w:sz="4" w:space="0" w:color="auto"/>
              <w:bottom w:val="single" w:sz="4" w:space="0" w:color="auto"/>
              <w:right w:val="single" w:sz="4" w:space="0" w:color="auto"/>
            </w:tcBorders>
            <w:shd w:val="clear" w:color="auto" w:fill="auto"/>
            <w:vAlign w:val="center"/>
          </w:tcPr>
          <w:p w:rsidR="004A2734" w:rsidRPr="00422183" w:rsidRDefault="004A2734" w:rsidP="004A2734">
            <w:pPr>
              <w:spacing w:after="0" w:line="240" w:lineRule="auto"/>
              <w:jc w:val="center"/>
              <w:rPr>
                <w:rFonts w:ascii="Rockwell" w:eastAsia="Times New Roman" w:hAnsi="Rockwell" w:cs="Times New Roman"/>
                <w:sz w:val="18"/>
                <w:szCs w:val="18"/>
              </w:rPr>
            </w:pPr>
          </w:p>
        </w:tc>
        <w:tc>
          <w:tcPr>
            <w:tcW w:w="541" w:type="pct"/>
            <w:vMerge/>
            <w:tcBorders>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stations de recherche sécurisés et aménagés</w:t>
            </w:r>
          </w:p>
        </w:tc>
        <w:tc>
          <w:tcPr>
            <w:tcW w:w="446" w:type="pct"/>
            <w:vMerge/>
            <w:tcBorders>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p>
        </w:tc>
        <w:tc>
          <w:tcPr>
            <w:tcW w:w="253"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0"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r>
      <w:tr w:rsidR="004A2734" w:rsidRPr="00422183" w:rsidTr="00794641">
        <w:trPr>
          <w:gridAfter w:val="1"/>
          <w:wAfter w:w="145" w:type="pct"/>
          <w:trHeight w:val="45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794641">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36</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un centre d’excellence, de formation et de transfert de technologie dans les domaines de la mécanisation, de la transformation et des énergies nouvelles et renouvelables de l’espace UEMOA</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du centre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MESRI</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10.04</w:t>
            </w:r>
          </w:p>
        </w:tc>
      </w:tr>
      <w:tr w:rsidR="004A2734" w:rsidRPr="00422183" w:rsidTr="00794641">
        <w:trPr>
          <w:gridAfter w:val="1"/>
          <w:wAfter w:w="145" w:type="pct"/>
          <w:trHeight w:val="42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de fonctionnalité du centre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81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d’étudiants formés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FF754E" w:rsidRPr="00422183" w:rsidTr="00FF754E">
        <w:trPr>
          <w:gridAfter w:val="1"/>
          <w:wAfter w:w="145" w:type="pct"/>
          <w:trHeight w:val="585"/>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FF754E" w:rsidRPr="00422183" w:rsidRDefault="00FF754E" w:rsidP="00FF754E">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Objectif stratégique 2.4  Promouvoir l'emploi décent et la protection sociale pour tous y compris les jeunes et les femmes</w:t>
            </w:r>
          </w:p>
          <w:p w:rsidR="00FF754E" w:rsidRPr="00422183" w:rsidRDefault="00FF754E"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FF754E" w:rsidRPr="00422183" w:rsidRDefault="00FF754E"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53.03</w:t>
            </w:r>
          </w:p>
        </w:tc>
      </w:tr>
      <w:tr w:rsidR="004A2734" w:rsidRPr="00422183" w:rsidTr="00794641">
        <w:trPr>
          <w:gridAfter w:val="1"/>
          <w:wAfter w:w="145" w:type="pct"/>
          <w:trHeight w:val="66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794641">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w:t>
            </w:r>
            <w:r w:rsidR="00794641" w:rsidRPr="00422183">
              <w:rPr>
                <w:rFonts w:ascii="Rockwell" w:eastAsia="Times New Roman" w:hAnsi="Rockwell" w:cs="Times New Roman"/>
                <w:sz w:val="18"/>
                <w:szCs w:val="18"/>
              </w:rPr>
              <w:t>7</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Recruter 2 agents de santé communautaires au profit de 8000 villages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Effectif des agents communautaires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 et MS</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19.20</w:t>
            </w:r>
          </w:p>
        </w:tc>
      </w:tr>
      <w:tr w:rsidR="004A2734" w:rsidRPr="00422183" w:rsidTr="00794641">
        <w:trPr>
          <w:gridAfter w:val="1"/>
          <w:wAfter w:w="145" w:type="pct"/>
          <w:trHeight w:val="660"/>
        </w:trPr>
        <w:tc>
          <w:tcPr>
            <w:tcW w:w="174" w:type="pct"/>
            <w:tcBorders>
              <w:top w:val="nil"/>
              <w:left w:val="single" w:sz="4" w:space="0" w:color="auto"/>
              <w:bottom w:val="single" w:sz="4" w:space="0" w:color="auto"/>
              <w:right w:val="single" w:sz="4" w:space="0" w:color="auto"/>
            </w:tcBorders>
            <w:shd w:val="clear" w:color="auto" w:fill="auto"/>
            <w:vAlign w:val="center"/>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38</w:t>
            </w:r>
          </w:p>
        </w:tc>
        <w:tc>
          <w:tcPr>
            <w:tcW w:w="541"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l’emploi des jeunes diplômés dans l’éducation nationale</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Effectif des étudiants recrutés au profit de l’éducation nationale</w:t>
            </w:r>
          </w:p>
        </w:tc>
        <w:tc>
          <w:tcPr>
            <w:tcW w:w="446"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 et MENA</w:t>
            </w:r>
          </w:p>
        </w:tc>
        <w:tc>
          <w:tcPr>
            <w:tcW w:w="253"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47</w:t>
            </w:r>
          </w:p>
        </w:tc>
      </w:tr>
      <w:tr w:rsidR="004A2734" w:rsidRPr="00422183" w:rsidTr="00794641">
        <w:trPr>
          <w:gridAfter w:val="1"/>
          <w:wAfter w:w="145" w:type="pct"/>
          <w:trHeight w:val="660"/>
        </w:trPr>
        <w:tc>
          <w:tcPr>
            <w:tcW w:w="174" w:type="pct"/>
            <w:tcBorders>
              <w:top w:val="nil"/>
              <w:left w:val="single" w:sz="4" w:space="0" w:color="auto"/>
              <w:bottom w:val="single" w:sz="4" w:space="0" w:color="auto"/>
              <w:right w:val="single" w:sz="4" w:space="0" w:color="auto"/>
            </w:tcBorders>
            <w:shd w:val="clear" w:color="auto" w:fill="auto"/>
            <w:vAlign w:val="center"/>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39</w:t>
            </w:r>
          </w:p>
        </w:tc>
        <w:tc>
          <w:tcPr>
            <w:tcW w:w="541"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l’auto emploi des jeunes</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jeunes installés dans l’auto emploi</w:t>
            </w:r>
          </w:p>
        </w:tc>
        <w:tc>
          <w:tcPr>
            <w:tcW w:w="446"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w:t>
            </w:r>
          </w:p>
        </w:tc>
        <w:tc>
          <w:tcPr>
            <w:tcW w:w="253"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22</w:t>
            </w:r>
          </w:p>
        </w:tc>
      </w:tr>
      <w:tr w:rsidR="004A2734" w:rsidRPr="00422183" w:rsidTr="00794641">
        <w:trPr>
          <w:gridAfter w:val="1"/>
          <w:wAfter w:w="145" w:type="pct"/>
          <w:trHeight w:val="660"/>
        </w:trPr>
        <w:tc>
          <w:tcPr>
            <w:tcW w:w="174" w:type="pct"/>
            <w:tcBorders>
              <w:top w:val="nil"/>
              <w:left w:val="single" w:sz="4" w:space="0" w:color="auto"/>
              <w:bottom w:val="single" w:sz="4" w:space="0" w:color="auto"/>
              <w:right w:val="single" w:sz="4" w:space="0" w:color="auto"/>
            </w:tcBorders>
            <w:shd w:val="clear" w:color="auto" w:fill="auto"/>
            <w:vAlign w:val="center"/>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40</w:t>
            </w:r>
          </w:p>
        </w:tc>
        <w:tc>
          <w:tcPr>
            <w:tcW w:w="541"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l’approche haute intensité de main d’œuvre (HIMO)</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Effectif de jeunes déscolarisés et non scolarisés recrutés pour l’exécution des travaux HIMO</w:t>
            </w:r>
          </w:p>
        </w:tc>
        <w:tc>
          <w:tcPr>
            <w:tcW w:w="446"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 et MI</w:t>
            </w:r>
          </w:p>
        </w:tc>
        <w:tc>
          <w:tcPr>
            <w:tcW w:w="253"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15</w:t>
            </w:r>
          </w:p>
        </w:tc>
      </w:tr>
      <w:tr w:rsidR="004A2734" w:rsidRPr="00422183" w:rsidTr="00794641">
        <w:trPr>
          <w:gridAfter w:val="1"/>
          <w:wAfter w:w="145" w:type="pct"/>
          <w:trHeight w:val="660"/>
        </w:trPr>
        <w:tc>
          <w:tcPr>
            <w:tcW w:w="174" w:type="pct"/>
            <w:tcBorders>
              <w:top w:val="nil"/>
              <w:left w:val="single" w:sz="4" w:space="0" w:color="auto"/>
              <w:bottom w:val="single" w:sz="4" w:space="0" w:color="auto"/>
              <w:right w:val="single" w:sz="4" w:space="0" w:color="auto"/>
            </w:tcBorders>
            <w:shd w:val="clear" w:color="auto" w:fill="auto"/>
            <w:vAlign w:val="center"/>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41</w:t>
            </w:r>
          </w:p>
        </w:tc>
        <w:tc>
          <w:tcPr>
            <w:tcW w:w="541"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l’insertion socio professionnelle des jeunes diplômés et des jeunes formés aux métiers</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des diplômés et des formés aux métiers insérés professionnellement</w:t>
            </w:r>
          </w:p>
        </w:tc>
        <w:tc>
          <w:tcPr>
            <w:tcW w:w="446"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w:t>
            </w:r>
          </w:p>
        </w:tc>
        <w:tc>
          <w:tcPr>
            <w:tcW w:w="253"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50</w:t>
            </w:r>
          </w:p>
        </w:tc>
      </w:tr>
      <w:tr w:rsidR="004A2734" w:rsidRPr="00422183" w:rsidTr="00794641">
        <w:trPr>
          <w:gridAfter w:val="1"/>
          <w:wAfter w:w="145" w:type="pct"/>
          <w:trHeight w:val="66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42</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l’entreprenariat féminin</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d’accès aux crédits et aux technologies par les femmes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MFSNF</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10.00</w:t>
            </w: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d’autonomisation économique des femmes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40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43</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l’autonomisation de la femme</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d’autonomisation des femmes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MFSNF</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23.83</w:t>
            </w:r>
          </w:p>
        </w:tc>
      </w:tr>
      <w:tr w:rsidR="00FF754E" w:rsidRPr="00422183" w:rsidTr="00FF754E">
        <w:trPr>
          <w:gridAfter w:val="1"/>
          <w:wAfter w:w="145" w:type="pct"/>
          <w:trHeight w:val="485"/>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FF754E" w:rsidRPr="00422183" w:rsidRDefault="00FF754E" w:rsidP="00FF754E">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Objectif stratégique 2.5 : Améliorer le cadre de vie, l'accès à l'eau, à l'assainissement et aux services énergétiques de qualité</w:t>
            </w: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FF754E" w:rsidRPr="00422183" w:rsidRDefault="00FF754E"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101,06</w:t>
            </w:r>
          </w:p>
        </w:tc>
      </w:tr>
      <w:tr w:rsidR="004A2734" w:rsidRPr="00422183" w:rsidTr="00794641">
        <w:trPr>
          <w:gridAfter w:val="1"/>
          <w:wAfter w:w="145" w:type="pct"/>
          <w:trHeight w:val="4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44</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Réaliser 10 376 forages neufs et réhabilité 3 020 forages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forages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MEA</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90,00</w:t>
            </w:r>
          </w:p>
        </w:tc>
      </w:tr>
      <w:tr w:rsidR="004A2734"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45</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Promouvoir à Ouagadougou et à Bobo-Dioulasso la construction d'Habitats à loyers modérés (HLM)</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bénéficiaires d'habitats à loyer Modéré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MUH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10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46</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Créer cinq (05) unités industrielles de traitement et de valorisation des déchets urbains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d’unités industrielles de traitement et de valorisation des déchets urbains fonctionnels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15,00</w:t>
            </w:r>
          </w:p>
        </w:tc>
      </w:tr>
      <w:tr w:rsidR="004A2734" w:rsidRPr="00422183" w:rsidTr="00794641">
        <w:trPr>
          <w:gridAfter w:val="1"/>
          <w:wAfter w:w="145" w:type="pct"/>
          <w:trHeight w:val="87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47</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Restaurer, protéger et valoriser le lac Bam</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Niveau de mise en œuvre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MEA</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24.00</w:t>
            </w:r>
          </w:p>
        </w:tc>
      </w:tr>
      <w:tr w:rsidR="004A2734" w:rsidRPr="00422183" w:rsidTr="00794641">
        <w:trPr>
          <w:gridAfter w:val="1"/>
          <w:wAfter w:w="145" w:type="pct"/>
          <w:trHeight w:val="7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48</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des logements sociaux et économiques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logement sociaux  et économique construite</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MHU</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20.96</w:t>
            </w:r>
          </w:p>
        </w:tc>
      </w:tr>
      <w:tr w:rsidR="004A2734" w:rsidRPr="00422183" w:rsidTr="00794641">
        <w:trPr>
          <w:gridAfter w:val="1"/>
          <w:wAfter w:w="145" w:type="pct"/>
          <w:trHeight w:val="14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49</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la résilience des populations rurales aux effets des changements climatiques par l'amélioration de la productivité agricole (PRAPA)</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Proportion des ménages résilients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32.11</w:t>
            </w:r>
          </w:p>
        </w:tc>
      </w:tr>
      <w:tr w:rsidR="004A2734" w:rsidRPr="00422183" w:rsidTr="00ED09B4">
        <w:trPr>
          <w:gridAfter w:val="1"/>
          <w:wAfter w:w="145" w:type="pct"/>
          <w:trHeight w:val="315"/>
        </w:trPr>
        <w:tc>
          <w:tcPr>
            <w:tcW w:w="3358" w:type="pct"/>
            <w:gridSpan w:val="9"/>
            <w:tcBorders>
              <w:top w:val="single" w:sz="4" w:space="0" w:color="auto"/>
              <w:left w:val="single" w:sz="4" w:space="0" w:color="auto"/>
              <w:bottom w:val="single" w:sz="4" w:space="0" w:color="auto"/>
              <w:right w:val="single" w:sz="4" w:space="0" w:color="auto"/>
            </w:tcBorders>
            <w:shd w:val="clear" w:color="000000" w:fill="E2EFDA"/>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Axe stratégique 3 : Dynamiser les secteurs porteurs pour l'économie et l'emploi</w:t>
            </w:r>
          </w:p>
        </w:tc>
        <w:tc>
          <w:tcPr>
            <w:tcW w:w="296" w:type="pct"/>
            <w:gridSpan w:val="2"/>
            <w:tcBorders>
              <w:top w:val="nil"/>
              <w:left w:val="nil"/>
              <w:bottom w:val="single" w:sz="4" w:space="0" w:color="auto"/>
              <w:right w:val="single" w:sz="4" w:space="0" w:color="auto"/>
            </w:tcBorders>
            <w:shd w:val="clear" w:color="000000" w:fill="E2EFDA"/>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63" w:type="pct"/>
            <w:tcBorders>
              <w:top w:val="nil"/>
              <w:left w:val="nil"/>
              <w:bottom w:val="single" w:sz="4" w:space="0" w:color="auto"/>
              <w:right w:val="single" w:sz="4" w:space="0" w:color="auto"/>
            </w:tcBorders>
            <w:shd w:val="clear" w:color="000000" w:fill="E2EFDA"/>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000000" w:fill="E2EFDA"/>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000000" w:fill="E2EFDA"/>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7" w:type="pct"/>
            <w:gridSpan w:val="2"/>
            <w:tcBorders>
              <w:top w:val="nil"/>
              <w:left w:val="nil"/>
              <w:bottom w:val="single" w:sz="4" w:space="0" w:color="auto"/>
              <w:right w:val="single" w:sz="4" w:space="0" w:color="auto"/>
            </w:tcBorders>
            <w:shd w:val="clear" w:color="000000" w:fill="E2EFDA"/>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4" w:type="pct"/>
            <w:tcBorders>
              <w:top w:val="nil"/>
              <w:left w:val="nil"/>
              <w:bottom w:val="single" w:sz="4" w:space="0" w:color="auto"/>
              <w:right w:val="single" w:sz="4" w:space="0" w:color="auto"/>
            </w:tcBorders>
            <w:shd w:val="clear" w:color="000000" w:fill="E2EFDA"/>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4 588.92</w:t>
            </w:r>
          </w:p>
        </w:tc>
      </w:tr>
      <w:tr w:rsidR="004A2734" w:rsidRPr="00422183" w:rsidTr="00ED09B4">
        <w:trPr>
          <w:gridAfter w:val="1"/>
          <w:wAfter w:w="145" w:type="pct"/>
          <w:trHeight w:val="660"/>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4A2734" w:rsidRPr="00422183" w:rsidRDefault="004A2734" w:rsidP="002F18E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 3.1. Développer un secteur agro-sylvo-pastoral, fauniques et halieutiques productif</w:t>
            </w:r>
            <w:r w:rsidR="00FF754E" w:rsidRPr="00422183">
              <w:rPr>
                <w:rFonts w:ascii="Rockwell" w:eastAsia="Times New Roman" w:hAnsi="Rockwell" w:cs="Times New Roman"/>
                <w:b/>
                <w:bCs/>
                <w:sz w:val="18"/>
                <w:szCs w:val="18"/>
              </w:rPr>
              <w:t xml:space="preserve"> e</w:t>
            </w:r>
            <w:r w:rsidR="002F18E4" w:rsidRPr="00422183">
              <w:rPr>
                <w:rFonts w:ascii="Rockwell" w:eastAsia="Times New Roman" w:hAnsi="Rockwell" w:cs="Times New Roman"/>
                <w:b/>
                <w:bCs/>
                <w:sz w:val="18"/>
                <w:szCs w:val="18"/>
              </w:rPr>
              <w:t>t</w:t>
            </w:r>
            <w:r w:rsidR="00FF754E" w:rsidRPr="00422183">
              <w:rPr>
                <w:rFonts w:ascii="Rockwell" w:eastAsia="Times New Roman" w:hAnsi="Rockwell" w:cs="Times New Roman"/>
                <w:b/>
                <w:bCs/>
                <w:sz w:val="18"/>
                <w:szCs w:val="18"/>
              </w:rPr>
              <w:t xml:space="preserve"> résilient</w:t>
            </w:r>
            <w:r w:rsidRPr="00422183">
              <w:rPr>
                <w:rFonts w:ascii="Rockwell" w:eastAsia="Times New Roman" w:hAnsi="Rockwell" w:cs="Times New Roman"/>
                <w:b/>
                <w:bCs/>
                <w:sz w:val="18"/>
                <w:szCs w:val="18"/>
              </w:rPr>
              <w:t>, davantage orienté vers le marché et basé sur les principes de développement durable</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624.51</w:t>
            </w:r>
          </w:p>
        </w:tc>
      </w:tr>
      <w:tr w:rsidR="004A2734" w:rsidRPr="00422183" w:rsidTr="00794641">
        <w:trPr>
          <w:gridAfter w:val="1"/>
          <w:wAfter w:w="145" w:type="pct"/>
          <w:trHeight w:val="63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50</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des lycées agricoles spécialisés par région</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lycées agricoles crées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MENA</w:t>
            </w:r>
          </w:p>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Et 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630"/>
        </w:trPr>
        <w:tc>
          <w:tcPr>
            <w:tcW w:w="174" w:type="pct"/>
            <w:tcBorders>
              <w:top w:val="nil"/>
              <w:left w:val="single" w:sz="4" w:space="0" w:color="auto"/>
              <w:bottom w:val="single" w:sz="4" w:space="0" w:color="auto"/>
              <w:right w:val="single" w:sz="4" w:space="0" w:color="auto"/>
            </w:tcBorders>
            <w:shd w:val="clear" w:color="auto" w:fill="auto"/>
            <w:vAlign w:val="center"/>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51</w:t>
            </w:r>
          </w:p>
        </w:tc>
        <w:tc>
          <w:tcPr>
            <w:tcW w:w="541"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Adopter le Code des investissements agro sylvo pastoraux, halieutiques et fauniques et ses décrets d’application</w:t>
            </w: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Textes d'applications adoptés</w:t>
            </w:r>
          </w:p>
        </w:tc>
        <w:tc>
          <w:tcPr>
            <w:tcW w:w="446"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r>
      <w:tr w:rsidR="004A2734" w:rsidRPr="00422183" w:rsidTr="00794641">
        <w:trPr>
          <w:gridAfter w:val="1"/>
          <w:wAfter w:w="145" w:type="pct"/>
          <w:trHeight w:val="34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2</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Mettre en place et rendre fonctionnelle une centrale d'achat des intrants et du matériel agricoles (CAIMA)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CAIMA</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263.48</w:t>
            </w:r>
          </w:p>
        </w:tc>
      </w:tr>
      <w:tr w:rsidR="004A2734" w:rsidRPr="00422183" w:rsidTr="00794641">
        <w:trPr>
          <w:gridAfter w:val="1"/>
          <w:wAfter w:w="145" w:type="pct"/>
          <w:trHeight w:val="51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d'utilisation des semences améliorées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Dose brut d'utilisation des engrais (Kg/ha)</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42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3</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Mettre en place et rendre fonctionnelle une unité de montage de tracteurs et motoculteurs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d'équipement des exploitations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11.00</w:t>
            </w:r>
          </w:p>
        </w:tc>
      </w:tr>
      <w:tr w:rsidR="004A2734" w:rsidRPr="00422183" w:rsidTr="00794641">
        <w:trPr>
          <w:gridAfter w:val="1"/>
          <w:wAfter w:w="145" w:type="pct"/>
          <w:trHeight w:val="645"/>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pratique de labour moderne (attelé, tracteur)</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4</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Aménager et réhabiliter les périmètres irrigués de la vallée du Sourou</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Superficies de périmètres irriguées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18.00</w:t>
            </w: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producteurs installés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10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5</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Mettre en place une unité de production d’engrais minéraux à base de phosphate naturel</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d’engrais produites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19.00</w:t>
            </w:r>
          </w:p>
        </w:tc>
      </w:tr>
      <w:tr w:rsidR="004A2734" w:rsidRPr="00422183" w:rsidTr="00794641">
        <w:trPr>
          <w:gridAfter w:val="1"/>
          <w:wAfter w:w="145" w:type="pct"/>
          <w:trHeight w:val="63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6</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Aménager des périmètres irrigués (grands et moyens) en maitrise totale de l'eau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Superficies de périmètres irrigués aménagées en ha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7</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Aménager  40 000 ha de bas-fonds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Superficies de bas-fonds aménagées en ha</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80.00</w:t>
            </w:r>
          </w:p>
        </w:tc>
      </w:tr>
      <w:tr w:rsidR="004A2734" w:rsidRPr="00422183" w:rsidTr="00794641">
        <w:trPr>
          <w:gridAfter w:val="1"/>
          <w:wAfter w:w="145" w:type="pct"/>
          <w:trHeight w:val="735"/>
        </w:trPr>
        <w:tc>
          <w:tcPr>
            <w:tcW w:w="174" w:type="pct"/>
            <w:vMerge w:val="restart"/>
            <w:tcBorders>
              <w:top w:val="nil"/>
              <w:left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8</w:t>
            </w:r>
          </w:p>
        </w:tc>
        <w:tc>
          <w:tcPr>
            <w:tcW w:w="541" w:type="pct"/>
            <w:vMerge w:val="restart"/>
            <w:tcBorders>
              <w:top w:val="nil"/>
              <w:left w:val="nil"/>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des ouvrages de mobilisation d'eau agricole</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barrages construits et réhabilités</w:t>
            </w:r>
          </w:p>
        </w:tc>
        <w:tc>
          <w:tcPr>
            <w:tcW w:w="446" w:type="pct"/>
            <w:vMerge w:val="restart"/>
            <w:tcBorders>
              <w:top w:val="nil"/>
              <w:left w:val="nil"/>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 et MEA</w:t>
            </w:r>
          </w:p>
        </w:tc>
        <w:tc>
          <w:tcPr>
            <w:tcW w:w="253"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nil"/>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735"/>
        </w:trPr>
        <w:tc>
          <w:tcPr>
            <w:tcW w:w="174" w:type="pct"/>
            <w:vMerge/>
            <w:tcBorders>
              <w:left w:val="single" w:sz="4" w:space="0" w:color="auto"/>
              <w:bottom w:val="single" w:sz="4" w:space="0" w:color="auto"/>
              <w:right w:val="single" w:sz="4" w:space="0" w:color="auto"/>
            </w:tcBorders>
            <w:shd w:val="clear" w:color="auto" w:fill="auto"/>
            <w:vAlign w:val="center"/>
          </w:tcPr>
          <w:p w:rsidR="004A2734" w:rsidRPr="00422183" w:rsidRDefault="004A2734" w:rsidP="004A2734">
            <w:pPr>
              <w:spacing w:after="0" w:line="240" w:lineRule="auto"/>
              <w:jc w:val="center"/>
              <w:rPr>
                <w:rFonts w:ascii="Rockwell" w:eastAsia="Times New Roman" w:hAnsi="Rockwell" w:cs="Times New Roman"/>
                <w:sz w:val="18"/>
                <w:szCs w:val="18"/>
              </w:rPr>
            </w:pPr>
          </w:p>
        </w:tc>
        <w:tc>
          <w:tcPr>
            <w:tcW w:w="541" w:type="pct"/>
            <w:vMerge/>
            <w:tcBorders>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BCER, boulis construits et réhabilités</w:t>
            </w:r>
          </w:p>
        </w:tc>
        <w:tc>
          <w:tcPr>
            <w:tcW w:w="446" w:type="pct"/>
            <w:vMerge/>
            <w:tcBorders>
              <w:left w:val="nil"/>
              <w:bottom w:val="single" w:sz="4" w:space="0" w:color="auto"/>
              <w:right w:val="single" w:sz="4" w:space="0" w:color="auto"/>
            </w:tcBorders>
            <w:shd w:val="clear" w:color="auto" w:fill="auto"/>
            <w:vAlign w:val="center"/>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0"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4" w:type="pct"/>
            <w:gridSpan w:val="2"/>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8"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219"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182" w:type="pct"/>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c>
          <w:tcPr>
            <w:tcW w:w="419" w:type="pct"/>
            <w:gridSpan w:val="2"/>
            <w:vMerge/>
            <w:tcBorders>
              <w:left w:val="nil"/>
              <w:bottom w:val="single" w:sz="4" w:space="0" w:color="auto"/>
              <w:right w:val="single" w:sz="4" w:space="0" w:color="auto"/>
            </w:tcBorders>
            <w:shd w:val="clear" w:color="auto" w:fill="auto"/>
            <w:noWrap/>
            <w:vAlign w:val="center"/>
          </w:tcPr>
          <w:p w:rsidR="004A2734" w:rsidRPr="00422183" w:rsidRDefault="004A2734" w:rsidP="004A2734">
            <w:pPr>
              <w:spacing w:after="0" w:line="240" w:lineRule="auto"/>
              <w:jc w:val="center"/>
              <w:rPr>
                <w:rFonts w:ascii="Rockwell" w:eastAsia="Times New Roman" w:hAnsi="Rockwell" w:cs="Times New Roman"/>
              </w:rPr>
            </w:pPr>
          </w:p>
        </w:tc>
      </w:tr>
      <w:tr w:rsidR="004A2734"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w:t>
            </w:r>
            <w:r w:rsidR="004A2734" w:rsidRPr="00422183">
              <w:rPr>
                <w:rFonts w:ascii="Rockwell" w:eastAsia="Times New Roman" w:hAnsi="Rockwell" w:cs="Times New Roman"/>
                <w:sz w:val="18"/>
                <w:szCs w:val="18"/>
              </w:rPr>
              <w:t>9</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deux pôles de croissance agricoles (Samendeni et Sourou)</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Part des pôles de croissance agricole à la croissance du PIB agricole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Part des productions irriguées dans la production agricole totale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pôles de croissance promus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0</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les barrages hydro agricoles et hydroélectriques de Ouessa et Bougouriba</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d'accroissement de la capacité de stockage en eau de surface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 et MEMC et MEA</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122.00</w:t>
            </w:r>
          </w:p>
        </w:tc>
      </w:tr>
      <w:tr w:rsidR="004A2734" w:rsidRPr="00422183" w:rsidTr="00794641">
        <w:trPr>
          <w:gridAfter w:val="1"/>
          <w:wAfter w:w="145" w:type="pct"/>
          <w:trHeight w:val="495"/>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d’énergie produite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57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1</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Investir dans les infrastructures agricoles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d’infrastructures agricoles réalisés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50.68</w:t>
            </w:r>
          </w:p>
        </w:tc>
      </w:tr>
      <w:tr w:rsidR="004A2734" w:rsidRPr="00422183" w:rsidTr="00794641">
        <w:trPr>
          <w:gridAfter w:val="1"/>
          <w:wAfter w:w="145" w:type="pct"/>
          <w:trHeight w:val="75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2</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Exécuter le projet d'aménagements hydro-agricoles dans la région du Liptako-Gourma</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Disponibilité des ouvrages hydro-agricoles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3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3</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16349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et</w:t>
            </w:r>
            <w:r w:rsidR="0016349D" w:rsidRPr="00422183">
              <w:rPr>
                <w:rFonts w:ascii="Rockwell" w:eastAsia="Times New Roman" w:hAnsi="Rockwell" w:cs="Times New Roman"/>
                <w:sz w:val="18"/>
                <w:szCs w:val="18"/>
              </w:rPr>
              <w:t xml:space="preserve"> réhabiliter les </w:t>
            </w:r>
            <w:r w:rsidRPr="00422183">
              <w:rPr>
                <w:rFonts w:ascii="Rockwell" w:eastAsia="Times New Roman" w:hAnsi="Rockwell" w:cs="Times New Roman"/>
                <w:sz w:val="18"/>
                <w:szCs w:val="18"/>
              </w:rPr>
              <w:t xml:space="preserve"> abattoir</w:t>
            </w:r>
            <w:r w:rsidR="0016349D" w:rsidRPr="00422183">
              <w:rPr>
                <w:rFonts w:ascii="Rockwell" w:eastAsia="Times New Roman" w:hAnsi="Rockwell" w:cs="Times New Roman"/>
                <w:sz w:val="18"/>
                <w:szCs w:val="18"/>
              </w:rPr>
              <w:t>s</w:t>
            </w:r>
            <w:r w:rsidRPr="00422183">
              <w:rPr>
                <w:rFonts w:ascii="Rockwell" w:eastAsia="Times New Roman" w:hAnsi="Rockwell" w:cs="Times New Roman"/>
                <w:sz w:val="18"/>
                <w:szCs w:val="18"/>
              </w:rPr>
              <w:t xml:space="preserve"> </w:t>
            </w:r>
            <w:r w:rsidR="0016349D" w:rsidRPr="00422183">
              <w:rPr>
                <w:rFonts w:ascii="Rockwell" w:eastAsia="Times New Roman" w:hAnsi="Rockwell" w:cs="Times New Roman"/>
                <w:sz w:val="18"/>
                <w:szCs w:val="18"/>
              </w:rPr>
              <w:t xml:space="preserve">modernes de Ouagadougou, </w:t>
            </w:r>
            <w:r w:rsidRPr="00422183">
              <w:rPr>
                <w:rFonts w:ascii="Rockwell" w:eastAsia="Times New Roman" w:hAnsi="Rockwell" w:cs="Times New Roman"/>
                <w:sz w:val="18"/>
                <w:szCs w:val="18"/>
              </w:rPr>
              <w:t>de Bobo-Dioulasso</w:t>
            </w:r>
            <w:r w:rsidR="0016349D" w:rsidRPr="00422183">
              <w:rPr>
                <w:rFonts w:ascii="Rockwell" w:eastAsia="Times New Roman" w:hAnsi="Rockwell" w:cs="Times New Roman"/>
                <w:sz w:val="18"/>
                <w:szCs w:val="18"/>
              </w:rPr>
              <w:t xml:space="preserve"> et ceux de 5 villes moyennes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de viande produite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MRAH/MCIA</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10.00</w:t>
            </w:r>
          </w:p>
        </w:tc>
      </w:tr>
      <w:tr w:rsidR="004A2734" w:rsidRPr="00422183" w:rsidTr="00794641">
        <w:trPr>
          <w:gridAfter w:val="1"/>
          <w:wAfter w:w="145" w:type="pct"/>
          <w:trHeight w:val="435"/>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de viande exportée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r>
      <w:tr w:rsidR="004A2734"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4</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centrale d'achat des médicaments vétérinaires</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d’accès aux médicaments vétérinaires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MRAH</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couverture vaccinale contre la maladie de New Castle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couverture vaccinale contre la péripneumonie contagieuse bovine</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C36A49" w:rsidRPr="00422183" w:rsidTr="00794641">
        <w:trPr>
          <w:gridAfter w:val="1"/>
          <w:wAfter w:w="145" w:type="pct"/>
          <w:trHeight w:val="57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C36A49"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C36A49" w:rsidRPr="00422183">
              <w:rPr>
                <w:rFonts w:ascii="Rockwell" w:eastAsia="Times New Roman" w:hAnsi="Rockwell" w:cs="Times New Roman"/>
                <w:sz w:val="18"/>
                <w:szCs w:val="18"/>
              </w:rPr>
              <w:t>5</w:t>
            </w:r>
          </w:p>
        </w:tc>
        <w:tc>
          <w:tcPr>
            <w:tcW w:w="541" w:type="pct"/>
            <w:vMerge w:val="restart"/>
            <w:tcBorders>
              <w:top w:val="nil"/>
              <w:left w:val="nil"/>
              <w:right w:val="single" w:sz="4" w:space="0" w:color="auto"/>
            </w:tcBorders>
            <w:shd w:val="clear" w:color="auto" w:fill="auto"/>
            <w:vAlign w:val="center"/>
            <w:hideMark/>
          </w:tcPr>
          <w:p w:rsidR="00C36A49" w:rsidRPr="00422183" w:rsidRDefault="00C36A49" w:rsidP="00CC7E7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unité de production de vaccins pour l’animaux</w:t>
            </w:r>
          </w:p>
        </w:tc>
        <w:tc>
          <w:tcPr>
            <w:tcW w:w="1067" w:type="pct"/>
            <w:tcBorders>
              <w:top w:val="nil"/>
              <w:left w:val="nil"/>
              <w:bottom w:val="single" w:sz="4" w:space="0" w:color="auto"/>
              <w:right w:val="single" w:sz="4" w:space="0" w:color="auto"/>
            </w:tcBorders>
            <w:shd w:val="clear" w:color="auto" w:fill="auto"/>
            <w:vAlign w:val="center"/>
            <w:hideMark/>
          </w:tcPr>
          <w:p w:rsidR="00C36A49" w:rsidRPr="00422183" w:rsidRDefault="00C36A49"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de couverture vaccinale contre la maladie de news-castle </w:t>
            </w:r>
          </w:p>
        </w:tc>
        <w:tc>
          <w:tcPr>
            <w:tcW w:w="446" w:type="pct"/>
            <w:vMerge w:val="restart"/>
            <w:tcBorders>
              <w:top w:val="nil"/>
              <w:left w:val="nil"/>
              <w:right w:val="single" w:sz="4" w:space="0" w:color="auto"/>
            </w:tcBorders>
            <w:shd w:val="clear" w:color="auto" w:fill="auto"/>
            <w:vAlign w:val="center"/>
            <w:hideMark/>
          </w:tcPr>
          <w:p w:rsidR="00C36A49" w:rsidRPr="00422183" w:rsidRDefault="00C36A49"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MRAH</w:t>
            </w:r>
          </w:p>
        </w:tc>
        <w:tc>
          <w:tcPr>
            <w:tcW w:w="253"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nil"/>
              <w:right w:val="single" w:sz="4" w:space="0" w:color="auto"/>
            </w:tcBorders>
            <w:shd w:val="clear" w:color="auto" w:fill="auto"/>
            <w:noWrap/>
            <w:vAlign w:val="center"/>
            <w:hideMark/>
          </w:tcPr>
          <w:p w:rsidR="00C36A49" w:rsidRPr="00422183" w:rsidRDefault="00C36A49"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C36A49" w:rsidRPr="00422183" w:rsidTr="00794641">
        <w:trPr>
          <w:gridAfter w:val="1"/>
          <w:wAfter w:w="145" w:type="pct"/>
          <w:trHeight w:val="570"/>
        </w:trPr>
        <w:tc>
          <w:tcPr>
            <w:tcW w:w="174" w:type="pct"/>
            <w:tcBorders>
              <w:top w:val="nil"/>
              <w:left w:val="single" w:sz="4" w:space="0" w:color="auto"/>
              <w:bottom w:val="single" w:sz="4" w:space="0" w:color="auto"/>
              <w:right w:val="single" w:sz="4" w:space="0" w:color="auto"/>
            </w:tcBorders>
            <w:shd w:val="clear" w:color="auto" w:fill="auto"/>
            <w:vAlign w:val="center"/>
          </w:tcPr>
          <w:p w:rsidR="00C36A49" w:rsidRPr="00422183" w:rsidRDefault="00C36A49" w:rsidP="00794641">
            <w:pPr>
              <w:spacing w:after="0" w:line="240" w:lineRule="auto"/>
              <w:rPr>
                <w:rFonts w:ascii="Rockwell" w:eastAsia="Times New Roman" w:hAnsi="Rockwell" w:cs="Times New Roman"/>
                <w:sz w:val="18"/>
                <w:szCs w:val="18"/>
              </w:rPr>
            </w:pPr>
          </w:p>
        </w:tc>
        <w:tc>
          <w:tcPr>
            <w:tcW w:w="541" w:type="pct"/>
            <w:vMerge/>
            <w:tcBorders>
              <w:left w:val="nil"/>
              <w:bottom w:val="single" w:sz="4" w:space="0" w:color="auto"/>
              <w:right w:val="single" w:sz="4" w:space="0" w:color="auto"/>
            </w:tcBorders>
            <w:shd w:val="clear" w:color="auto" w:fill="auto"/>
            <w:vAlign w:val="center"/>
          </w:tcPr>
          <w:p w:rsidR="00C36A49" w:rsidRPr="00422183" w:rsidRDefault="00C36A49" w:rsidP="00CC7E7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C36A49" w:rsidRPr="00422183" w:rsidRDefault="00C36A49"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couverture vaccinale contre la pneumonie contagieuse bovine</w:t>
            </w:r>
          </w:p>
        </w:tc>
        <w:tc>
          <w:tcPr>
            <w:tcW w:w="446" w:type="pct"/>
            <w:vMerge/>
            <w:tcBorders>
              <w:left w:val="nil"/>
              <w:bottom w:val="single" w:sz="4" w:space="0" w:color="auto"/>
              <w:right w:val="single" w:sz="4" w:space="0" w:color="auto"/>
            </w:tcBorders>
            <w:shd w:val="clear" w:color="auto" w:fill="auto"/>
            <w:vAlign w:val="center"/>
          </w:tcPr>
          <w:p w:rsidR="00C36A49" w:rsidRPr="00422183" w:rsidRDefault="00C36A49" w:rsidP="004A2734">
            <w:pPr>
              <w:spacing w:after="0" w:line="240" w:lineRule="auto"/>
              <w:rPr>
                <w:rFonts w:ascii="Rockwell" w:eastAsia="Times New Roman" w:hAnsi="Rockwell" w:cs="Times New Roman"/>
                <w:b/>
                <w:bCs/>
                <w:sz w:val="18"/>
                <w:szCs w:val="18"/>
              </w:rPr>
            </w:pPr>
          </w:p>
        </w:tc>
        <w:tc>
          <w:tcPr>
            <w:tcW w:w="253"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b/>
                <w:bCs/>
                <w:sz w:val="18"/>
                <w:szCs w:val="18"/>
              </w:rPr>
            </w:pPr>
          </w:p>
        </w:tc>
        <w:tc>
          <w:tcPr>
            <w:tcW w:w="210"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b/>
                <w:bCs/>
                <w:sz w:val="18"/>
                <w:szCs w:val="18"/>
              </w:rPr>
            </w:pPr>
          </w:p>
        </w:tc>
        <w:tc>
          <w:tcPr>
            <w:tcW w:w="245"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c>
          <w:tcPr>
            <w:tcW w:w="214" w:type="pct"/>
            <w:gridSpan w:val="2"/>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c>
          <w:tcPr>
            <w:tcW w:w="218"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c>
          <w:tcPr>
            <w:tcW w:w="219"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c>
          <w:tcPr>
            <w:tcW w:w="182" w:type="pct"/>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c>
          <w:tcPr>
            <w:tcW w:w="419" w:type="pct"/>
            <w:gridSpan w:val="2"/>
            <w:vMerge/>
            <w:tcBorders>
              <w:left w:val="nil"/>
              <w:bottom w:val="single" w:sz="4" w:space="0" w:color="auto"/>
              <w:right w:val="single" w:sz="4" w:space="0" w:color="auto"/>
            </w:tcBorders>
            <w:shd w:val="clear" w:color="auto" w:fill="auto"/>
            <w:noWrap/>
            <w:vAlign w:val="center"/>
          </w:tcPr>
          <w:p w:rsidR="00C36A49" w:rsidRPr="00422183" w:rsidRDefault="00C36A49" w:rsidP="004A2734">
            <w:pPr>
              <w:spacing w:after="0" w:line="240" w:lineRule="auto"/>
              <w:jc w:val="center"/>
              <w:rPr>
                <w:rFonts w:ascii="Rockwell" w:eastAsia="Times New Roman" w:hAnsi="Rockwell" w:cs="Times New Roman"/>
              </w:rPr>
            </w:pPr>
          </w:p>
        </w:tc>
      </w:tr>
      <w:tr w:rsidR="004A2734" w:rsidRPr="00422183" w:rsidTr="00794641">
        <w:trPr>
          <w:gridAfter w:val="1"/>
          <w:wAfter w:w="145" w:type="pct"/>
          <w:trHeight w:val="52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6</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C36A49">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Développer la filière lait (bassin</w:t>
            </w:r>
            <w:r w:rsidR="00C36A49" w:rsidRPr="00422183">
              <w:rPr>
                <w:rFonts w:ascii="Rockwell" w:eastAsia="Times New Roman" w:hAnsi="Rockwell" w:cs="Times New Roman"/>
                <w:sz w:val="18"/>
                <w:szCs w:val="18"/>
              </w:rPr>
              <w:t>s</w:t>
            </w:r>
            <w:r w:rsidRPr="00422183">
              <w:rPr>
                <w:rFonts w:ascii="Rockwell" w:eastAsia="Times New Roman" w:hAnsi="Rockwell" w:cs="Times New Roman"/>
                <w:sz w:val="18"/>
                <w:szCs w:val="18"/>
              </w:rPr>
              <w:t xml:space="preserve"> laitier</w:t>
            </w:r>
            <w:r w:rsidR="00C36A49" w:rsidRPr="00422183">
              <w:rPr>
                <w:rFonts w:ascii="Rockwell" w:eastAsia="Times New Roman" w:hAnsi="Rockwell" w:cs="Times New Roman"/>
                <w:sz w:val="18"/>
                <w:szCs w:val="18"/>
              </w:rPr>
              <w:t>s</w:t>
            </w:r>
            <w:r w:rsidRPr="00422183">
              <w:rPr>
                <w:rFonts w:ascii="Rockwell" w:eastAsia="Times New Roman" w:hAnsi="Rockwell" w:cs="Times New Roman"/>
                <w:sz w:val="18"/>
                <w:szCs w:val="18"/>
              </w:rPr>
              <w:t xml:space="preserve"> de Bobo</w:t>
            </w:r>
            <w:r w:rsidR="00C36A49" w:rsidRPr="00422183">
              <w:rPr>
                <w:rFonts w:ascii="Rockwell" w:eastAsia="Times New Roman" w:hAnsi="Rockwell" w:cs="Times New Roman"/>
                <w:sz w:val="18"/>
                <w:szCs w:val="18"/>
              </w:rPr>
              <w:t xml:space="preserve"> et Ouaga</w:t>
            </w:r>
            <w:r w:rsidRPr="00422183">
              <w:rPr>
                <w:rFonts w:ascii="Rockwell" w:eastAsia="Times New Roman" w:hAnsi="Rockwell" w:cs="Times New Roman"/>
                <w:sz w:val="18"/>
                <w:szCs w:val="18"/>
              </w:rPr>
              <w:t>)</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de lait local transformée</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MRAH</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50.35</w:t>
            </w:r>
          </w:p>
        </w:tc>
      </w:tr>
      <w:tr w:rsidR="004A2734" w:rsidRPr="00422183" w:rsidTr="00ED09B4">
        <w:trPr>
          <w:gridAfter w:val="1"/>
          <w:wAfter w:w="145" w:type="pct"/>
          <w:trHeight w:val="765"/>
        </w:trPr>
        <w:tc>
          <w:tcPr>
            <w:tcW w:w="3358" w:type="pct"/>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Objectif stratégique 3.2. Développer un secteur industriel et artisanal compétitif, à forte valeur ajoutée et créateur d'emplois décents.</w:t>
            </w:r>
          </w:p>
        </w:tc>
        <w:tc>
          <w:tcPr>
            <w:tcW w:w="296" w:type="pct"/>
            <w:gridSpan w:val="2"/>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63"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7" w:type="pct"/>
            <w:gridSpan w:val="2"/>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59.25</w:t>
            </w:r>
          </w:p>
        </w:tc>
      </w:tr>
      <w:tr w:rsidR="004A2734" w:rsidRPr="00422183" w:rsidTr="00794641">
        <w:trPr>
          <w:gridAfter w:val="1"/>
          <w:wAfter w:w="145" w:type="pct"/>
          <w:trHeight w:val="10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7</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Équiper les services géologiques en moyens matériels capables d'effectuer des levées aéro-physiques sur le territoire national</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services géologiques équipés et opérationnels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MEMC/MI</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rPr>
                <w:rFonts w:ascii="Rockwell" w:eastAsia="Times New Roman" w:hAnsi="Rockwell" w:cs="Times New Roman"/>
              </w:rPr>
            </w:pPr>
            <w:r w:rsidRPr="00422183">
              <w:rPr>
                <w:rFonts w:ascii="Rockwell" w:eastAsia="Times New Roman" w:hAnsi="Rockwell" w:cs="Times New Roman"/>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4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8</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Rendre opérationnel le nouveau code minier</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Textes d'applications adoptés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 </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73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w:t>
            </w:r>
            <w:r w:rsidR="004A2734" w:rsidRPr="00422183">
              <w:rPr>
                <w:rFonts w:ascii="Rockwell" w:eastAsia="Times New Roman" w:hAnsi="Rockwell" w:cs="Times New Roman"/>
                <w:sz w:val="18"/>
                <w:szCs w:val="18"/>
              </w:rPr>
              <w:t>9</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Rendre opérationnel le fonds d'industrialisation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d'entreprises à caractère stratégique financés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MCIA</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5.00</w:t>
            </w:r>
          </w:p>
        </w:tc>
      </w:tr>
      <w:tr w:rsidR="004A2734" w:rsidRPr="00422183" w:rsidTr="00794641">
        <w:trPr>
          <w:gridAfter w:val="1"/>
          <w:wAfter w:w="145" w:type="pct"/>
          <w:trHeight w:val="3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w:t>
            </w:r>
            <w:r w:rsidR="004A2734" w:rsidRPr="00422183">
              <w:rPr>
                <w:rFonts w:ascii="Rockwell" w:eastAsia="Times New Roman" w:hAnsi="Rockwell" w:cs="Times New Roman"/>
                <w:sz w:val="18"/>
                <w:szCs w:val="18"/>
              </w:rPr>
              <w:t>0</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Créer une entreprise de fabrication d’emballage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 Disponibilité de l’entreprise</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MCIA</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4A2734" w:rsidRPr="00422183" w:rsidTr="00794641">
        <w:trPr>
          <w:gridAfter w:val="1"/>
          <w:wAfter w:w="145" w:type="pct"/>
          <w:trHeight w:val="285"/>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d’emballages produits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réduction des emballages importés</w:t>
            </w:r>
          </w:p>
        </w:tc>
        <w:tc>
          <w:tcPr>
            <w:tcW w:w="446"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4A2734" w:rsidRPr="00422183" w:rsidRDefault="004A2734" w:rsidP="004A2734">
            <w:pPr>
              <w:spacing w:after="0" w:line="240" w:lineRule="auto"/>
              <w:rPr>
                <w:rFonts w:ascii="Rockwell" w:eastAsia="Times New Roman" w:hAnsi="Rockwell" w:cs="Times New Roman"/>
              </w:rPr>
            </w:pPr>
          </w:p>
        </w:tc>
      </w:tr>
      <w:tr w:rsidR="004A2734"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w:t>
            </w:r>
            <w:r w:rsidR="004A2734" w:rsidRPr="00422183">
              <w:rPr>
                <w:rFonts w:ascii="Rockwell" w:eastAsia="Times New Roman" w:hAnsi="Rockwell" w:cs="Times New Roman"/>
                <w:sz w:val="18"/>
                <w:szCs w:val="18"/>
              </w:rPr>
              <w:t>1</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Relancer les industries en difficulté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Proportion des industries en difficultés relancées </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MCIA</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30.00</w:t>
            </w:r>
          </w:p>
        </w:tc>
      </w:tr>
      <w:tr w:rsidR="004A2734" w:rsidRPr="00422183" w:rsidTr="00794641">
        <w:trPr>
          <w:gridAfter w:val="1"/>
          <w:wAfter w:w="145" w:type="pct"/>
          <w:trHeight w:val="69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w:t>
            </w:r>
            <w:r w:rsidR="004A2734" w:rsidRPr="00422183">
              <w:rPr>
                <w:rFonts w:ascii="Rockwell" w:eastAsia="Times New Roman" w:hAnsi="Rockwell" w:cs="Times New Roman"/>
                <w:sz w:val="18"/>
                <w:szCs w:val="18"/>
              </w:rPr>
              <w:t>2</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Implanter une filature classique à Bobo-Dioulasso</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de la production nationale de coton transformée au pays</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MCIA</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24.25</w:t>
            </w:r>
          </w:p>
        </w:tc>
      </w:tr>
      <w:tr w:rsidR="004A2734" w:rsidRPr="00422183" w:rsidTr="00794641">
        <w:trPr>
          <w:gridAfter w:val="1"/>
          <w:wAfter w:w="145" w:type="pct"/>
          <w:trHeight w:val="90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A2734" w:rsidRPr="00422183" w:rsidRDefault="00794641" w:rsidP="004A2734">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w:t>
            </w:r>
            <w:r w:rsidR="004A2734" w:rsidRPr="00422183">
              <w:rPr>
                <w:rFonts w:ascii="Rockwell" w:eastAsia="Times New Roman" w:hAnsi="Rockwell" w:cs="Times New Roman"/>
                <w:sz w:val="18"/>
                <w:szCs w:val="18"/>
              </w:rPr>
              <w:t>3</w:t>
            </w:r>
          </w:p>
        </w:tc>
        <w:tc>
          <w:tcPr>
            <w:tcW w:w="541"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Rendre opérationnel le Fonds de développement culturel et touristique (FDCT) </w:t>
            </w:r>
          </w:p>
        </w:tc>
        <w:tc>
          <w:tcPr>
            <w:tcW w:w="1067"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d'entreprises touristiques accompagnées par le FDCT</w:t>
            </w:r>
          </w:p>
        </w:tc>
        <w:tc>
          <w:tcPr>
            <w:tcW w:w="446" w:type="pct"/>
            <w:tcBorders>
              <w:top w:val="nil"/>
              <w:left w:val="nil"/>
              <w:bottom w:val="single" w:sz="4" w:space="0" w:color="auto"/>
              <w:right w:val="single" w:sz="4" w:space="0" w:color="auto"/>
            </w:tcBorders>
            <w:shd w:val="clear" w:color="auto" w:fill="auto"/>
            <w:vAlign w:val="center"/>
            <w:hideMark/>
          </w:tcPr>
          <w:p w:rsidR="004A2734" w:rsidRPr="00422183" w:rsidRDefault="004A2734" w:rsidP="004A2734">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MCAT</w:t>
            </w:r>
          </w:p>
        </w:tc>
        <w:tc>
          <w:tcPr>
            <w:tcW w:w="253"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4A2734" w:rsidRPr="00422183" w:rsidRDefault="004A2734" w:rsidP="004A2734">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217BF" w:rsidRPr="00422183" w:rsidTr="00794641">
        <w:trPr>
          <w:gridAfter w:val="1"/>
          <w:wAfter w:w="145" w:type="pct"/>
          <w:trHeight w:val="900"/>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74</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des infrastructures sportives et de loisirs de qualité accessible à tous</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centres de sports et de loisir de proximité réalisé</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MSL</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X</w:t>
            </w: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0,385</w:t>
            </w: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0,385</w:t>
            </w: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0,385</w:t>
            </w: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0,38</w:t>
            </w: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1,54</w:t>
            </w:r>
          </w:p>
        </w:tc>
      </w:tr>
      <w:tr w:rsidR="005217BF" w:rsidRPr="00422183" w:rsidTr="00FF754E">
        <w:trPr>
          <w:gridAfter w:val="1"/>
          <w:wAfter w:w="145" w:type="pct"/>
          <w:trHeight w:val="509"/>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5217BF" w:rsidRPr="00422183" w:rsidRDefault="005217BF" w:rsidP="005217BF">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Objectif stratégique 3.3. Promouvoir l'expansion des industries de services à forte valeur ajoutée et créatrices d'emplois décents.</w:t>
            </w: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165.32</w:t>
            </w:r>
          </w:p>
        </w:tc>
      </w:tr>
      <w:tr w:rsidR="005217BF"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794641">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75</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Rendre fonctionnel le réseau de transmission et de diffusion de la TNT</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du réseau de transmission et de diffusion de la TNT</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MCRP</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217BF"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76</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et aménager des infrastructures et espaces culturels et touristiques</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d’infrastructures culturelles et touristiques réalisés</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MCAT/MHU/MI</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jc w:val="cente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jc w:val="cente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jc w:val="cente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1,2</w:t>
            </w: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4,1</w:t>
            </w: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8,6</w:t>
            </w: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9,9</w:t>
            </w: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12</w:t>
            </w: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40,8</w:t>
            </w:r>
          </w:p>
        </w:tc>
      </w:tr>
      <w:tr w:rsidR="005217BF" w:rsidRPr="00422183" w:rsidTr="00794641">
        <w:trPr>
          <w:gridAfter w:val="1"/>
          <w:wAfter w:w="145" w:type="pct"/>
          <w:trHeight w:val="4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77</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caisse de dépôts et de consignations</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de la caisse</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217BF" w:rsidRPr="00422183" w:rsidTr="00794641">
        <w:trPr>
          <w:gridAfter w:val="1"/>
          <w:wAfter w:w="145" w:type="pct"/>
          <w:trHeight w:val="51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78</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banque pour le financement de l'agriculture</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de la banque</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 et MAAH</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217BF"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79</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une banque pour le financement des PME/PMI</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de la banque</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MINEFID et MAAH</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r>
      <w:tr w:rsidR="005217BF" w:rsidRPr="00422183" w:rsidTr="00794641">
        <w:trPr>
          <w:gridAfter w:val="1"/>
          <w:wAfter w:w="145" w:type="pct"/>
          <w:trHeight w:val="9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w:t>
            </w:r>
            <w:r w:rsidR="00794641" w:rsidRPr="00422183">
              <w:rPr>
                <w:rFonts w:ascii="Rockwell" w:eastAsia="Times New Roman" w:hAnsi="Rockwell" w:cs="Times New Roman"/>
                <w:sz w:val="18"/>
                <w:szCs w:val="18"/>
              </w:rPr>
              <w:t>0</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et rendre fonctionnel  des  pépinières, des incubateurs et d'hôtels entreprises dans le secteur agroalimentaire( PIPHE-SA)</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d'entreprises crées et fonctionnelles</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MCIA/MAAH</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3,32</w:t>
            </w:r>
          </w:p>
        </w:tc>
      </w:tr>
      <w:tr w:rsidR="005217BF" w:rsidRPr="00422183" w:rsidTr="00794641">
        <w:trPr>
          <w:gridAfter w:val="1"/>
          <w:wAfter w:w="145" w:type="pct"/>
          <w:trHeight w:val="4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81</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Mettre en place deux Zones Economiques Spéciales à Ouaga et à Bobo </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Existence et fonctionnalité d’une ZES</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single" w:sz="8" w:space="0" w:color="000000"/>
              <w:left w:val="nil"/>
              <w:bottom w:val="single" w:sz="8" w:space="0" w:color="000000"/>
              <w:right w:val="single" w:sz="8" w:space="0" w:color="000000"/>
            </w:tcBorders>
            <w:shd w:val="clear" w:color="000000" w:fill="F2F2F2"/>
            <w:hideMark/>
          </w:tcPr>
          <w:p w:rsidR="005217BF" w:rsidRPr="00422183" w:rsidRDefault="005217BF" w:rsidP="005217BF">
            <w:pPr>
              <w:spacing w:after="0" w:line="240" w:lineRule="auto"/>
              <w:jc w:val="both"/>
              <w:rPr>
                <w:rFonts w:ascii="Cambria" w:eastAsia="Times New Roman" w:hAnsi="Cambria" w:cs="Times New Roman"/>
                <w:i/>
                <w:iCs/>
                <w:sz w:val="20"/>
                <w:szCs w:val="20"/>
              </w:rPr>
            </w:pPr>
            <w:r w:rsidRPr="00422183">
              <w:rPr>
                <w:rFonts w:ascii="Cambria" w:eastAsia="Times New Roman" w:hAnsi="Cambria" w:cs="Times New Roman"/>
                <w:i/>
                <w:iCs/>
                <w:sz w:val="20"/>
                <w:szCs w:val="20"/>
              </w:rPr>
              <w:t> </w:t>
            </w:r>
          </w:p>
        </w:tc>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250 </w:t>
            </w:r>
          </w:p>
        </w:tc>
      </w:tr>
      <w:tr w:rsidR="005217BF" w:rsidRPr="00422183" w:rsidTr="00794641">
        <w:trPr>
          <w:gridAfter w:val="1"/>
          <w:wAfter w:w="145" w:type="pct"/>
          <w:trHeight w:val="495"/>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82</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Construction du port sec multimodal de Ouaga</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l’Infrastructure fonctionnel</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single" w:sz="8" w:space="0" w:color="000000"/>
              <w:left w:val="nil"/>
              <w:bottom w:val="single" w:sz="8" w:space="0" w:color="000000"/>
              <w:right w:val="single" w:sz="8" w:space="0" w:color="000000"/>
            </w:tcBorders>
            <w:shd w:val="clear" w:color="000000" w:fill="F2F2F2"/>
          </w:tcPr>
          <w:p w:rsidR="005217BF" w:rsidRPr="00422183" w:rsidRDefault="005217BF" w:rsidP="005217BF">
            <w:pPr>
              <w:spacing w:after="0" w:line="240" w:lineRule="auto"/>
              <w:jc w:val="both"/>
              <w:rPr>
                <w:rFonts w:ascii="Cambria" w:eastAsia="Times New Roman" w:hAnsi="Cambria" w:cs="Times New Roman"/>
                <w:i/>
                <w:iCs/>
                <w:sz w:val="20"/>
                <w:szCs w:val="20"/>
              </w:rPr>
            </w:pPr>
          </w:p>
        </w:tc>
        <w:tc>
          <w:tcPr>
            <w:tcW w:w="245" w:type="pct"/>
            <w:tcBorders>
              <w:top w:val="nil"/>
              <w:left w:val="single" w:sz="4" w:space="0" w:color="auto"/>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77</w:t>
            </w:r>
          </w:p>
        </w:tc>
      </w:tr>
      <w:tr w:rsidR="005217BF" w:rsidRPr="00422183" w:rsidTr="00794641">
        <w:trPr>
          <w:gridAfter w:val="1"/>
          <w:wAfter w:w="145" w:type="pct"/>
          <w:trHeight w:val="495"/>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83</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Mettre en place une plateforme de système d’information sur les marchés (Bourse de commerce)</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Disponibilité du système </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45" w:type="pct"/>
            <w:tcBorders>
              <w:top w:val="single" w:sz="8" w:space="0" w:color="000000"/>
              <w:left w:val="nil"/>
              <w:bottom w:val="single" w:sz="8" w:space="0" w:color="000000"/>
              <w:right w:val="single" w:sz="8" w:space="0" w:color="000000"/>
            </w:tcBorders>
            <w:shd w:val="clear" w:color="000000" w:fill="F2F2F2"/>
          </w:tcPr>
          <w:p w:rsidR="005217BF" w:rsidRPr="00422183" w:rsidRDefault="005217BF" w:rsidP="005217BF">
            <w:pPr>
              <w:spacing w:after="0" w:line="240" w:lineRule="auto"/>
              <w:jc w:val="both"/>
              <w:rPr>
                <w:rFonts w:ascii="Cambria" w:eastAsia="Times New Roman" w:hAnsi="Cambria" w:cs="Times New Roman"/>
                <w:i/>
                <w:iCs/>
                <w:sz w:val="20"/>
                <w:szCs w:val="20"/>
              </w:rPr>
            </w:pPr>
          </w:p>
        </w:tc>
        <w:tc>
          <w:tcPr>
            <w:tcW w:w="245" w:type="pct"/>
            <w:tcBorders>
              <w:top w:val="nil"/>
              <w:left w:val="single" w:sz="4" w:space="0" w:color="auto"/>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2,5</w:t>
            </w:r>
          </w:p>
        </w:tc>
      </w:tr>
      <w:tr w:rsidR="005217BF" w:rsidRPr="00422183" w:rsidTr="00794641">
        <w:trPr>
          <w:gridAfter w:val="1"/>
          <w:wAfter w:w="145" w:type="pct"/>
          <w:trHeight w:val="96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84</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Créer et équiper des infrastructures commerciales dans les zones à fortes potentialités de produits artisanaux porteurs (VAB, CNATAC)</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infrastructures</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0"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182"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10,50</w:t>
            </w:r>
          </w:p>
        </w:tc>
      </w:tr>
      <w:tr w:rsidR="005217BF"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85</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Opérationnaliser le Fonds d’Appui aux Exportations (FAPEX)</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d’exportateurs bénéficiaires du fonds</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0"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4" w:type="pct"/>
            <w:gridSpan w:val="2"/>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219"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182"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2,50</w:t>
            </w:r>
          </w:p>
        </w:tc>
      </w:tr>
      <w:tr w:rsidR="005217BF"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86</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des centres de formation de référence aux métiers de l’artisanat</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d’infrastructures construites</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MCIA</w:t>
            </w:r>
          </w:p>
        </w:tc>
        <w:tc>
          <w:tcPr>
            <w:tcW w:w="253"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0"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1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X</w:t>
            </w:r>
          </w:p>
        </w:tc>
        <w:tc>
          <w:tcPr>
            <w:tcW w:w="245"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214" w:type="pct"/>
            <w:gridSpan w:val="2"/>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218"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219"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182"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75</w:t>
            </w:r>
          </w:p>
        </w:tc>
      </w:tr>
      <w:tr w:rsidR="005217BF" w:rsidRPr="00422183" w:rsidTr="00794641">
        <w:trPr>
          <w:gridAfter w:val="1"/>
          <w:wAfter w:w="145" w:type="pct"/>
          <w:trHeight w:val="507"/>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87</w:t>
            </w:r>
          </w:p>
        </w:tc>
        <w:tc>
          <w:tcPr>
            <w:tcW w:w="541"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Aménager les nouvelles zones industrielles de KOSSODO et de Bobo Dioulasso ainsi que les nouvelles zones industrielles aux sorties de Ouagadougou et de Bobo Dioulasso</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Superficie de zones aménagées</w:t>
            </w:r>
          </w:p>
        </w:tc>
        <w:tc>
          <w:tcPr>
            <w:tcW w:w="446"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MCIA/MINEFID/MUH/MATDSI</w:t>
            </w:r>
          </w:p>
        </w:tc>
        <w:tc>
          <w:tcPr>
            <w:tcW w:w="253"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53,00</w:t>
            </w:r>
          </w:p>
        </w:tc>
      </w:tr>
      <w:tr w:rsidR="005217BF" w:rsidRPr="00422183" w:rsidTr="00794641">
        <w:trPr>
          <w:gridAfter w:val="1"/>
          <w:wAfter w:w="145" w:type="pct"/>
          <w:trHeight w:val="1200"/>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88</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Adopter et mettre en œuvre la loi d’orientation pour la promotion des PME</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PME/PMI bénéficiaires des incitations prévues par la loi</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MCIA et MINEFID</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5</w:t>
            </w:r>
          </w:p>
        </w:tc>
      </w:tr>
      <w:tr w:rsidR="005217BF" w:rsidRPr="00422183" w:rsidTr="00794641">
        <w:trPr>
          <w:gridAfter w:val="1"/>
          <w:wAfter w:w="145" w:type="pct"/>
          <w:trHeight w:val="1200"/>
        </w:trPr>
        <w:tc>
          <w:tcPr>
            <w:tcW w:w="174" w:type="pct"/>
            <w:tcBorders>
              <w:top w:val="nil"/>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89</w:t>
            </w:r>
          </w:p>
        </w:tc>
        <w:tc>
          <w:tcPr>
            <w:tcW w:w="541"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Adopter et mettre en œuvre un nouveau code des investissements plus attractifs</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décrets d’application</w:t>
            </w:r>
          </w:p>
        </w:tc>
        <w:tc>
          <w:tcPr>
            <w:tcW w:w="446"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MCIA et MINEFID</w:t>
            </w:r>
          </w:p>
        </w:tc>
        <w:tc>
          <w:tcPr>
            <w:tcW w:w="253"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tcBorders>
              <w:top w:val="nil"/>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r>
      <w:tr w:rsidR="005217BF" w:rsidRPr="00422183" w:rsidTr="00794641">
        <w:trPr>
          <w:gridAfter w:val="1"/>
          <w:wAfter w:w="145" w:type="pct"/>
          <w:trHeight w:val="480"/>
        </w:trPr>
        <w:tc>
          <w:tcPr>
            <w:tcW w:w="174" w:type="pct"/>
            <w:vMerge w:val="restart"/>
            <w:tcBorders>
              <w:top w:val="nil"/>
              <w:left w:val="single" w:sz="4" w:space="0" w:color="auto"/>
              <w:right w:val="single" w:sz="4" w:space="0" w:color="auto"/>
            </w:tcBorders>
            <w:shd w:val="clear" w:color="auto" w:fill="auto"/>
            <w:vAlign w:val="center"/>
            <w:hideMark/>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90</w:t>
            </w:r>
          </w:p>
        </w:tc>
        <w:tc>
          <w:tcPr>
            <w:tcW w:w="541" w:type="pct"/>
            <w:vMerge w:val="restart"/>
            <w:tcBorders>
              <w:top w:val="nil"/>
              <w:left w:val="nil"/>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Mettre en place un mécanisme de gestion des risques agricoles</w:t>
            </w:r>
          </w:p>
        </w:tc>
        <w:tc>
          <w:tcPr>
            <w:tcW w:w="1067" w:type="pct"/>
            <w:tcBorders>
              <w:top w:val="nil"/>
              <w:left w:val="nil"/>
              <w:bottom w:val="single" w:sz="4" w:space="0" w:color="auto"/>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produits assurantiels promus</w:t>
            </w:r>
          </w:p>
        </w:tc>
        <w:tc>
          <w:tcPr>
            <w:tcW w:w="446" w:type="pct"/>
            <w:vMerge w:val="restart"/>
            <w:tcBorders>
              <w:top w:val="nil"/>
              <w:left w:val="nil"/>
              <w:right w:val="single" w:sz="4" w:space="0" w:color="auto"/>
            </w:tcBorders>
            <w:shd w:val="clear" w:color="auto" w:fill="auto"/>
            <w:vAlign w:val="center"/>
            <w:hideMark/>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rPr>
                <w:rFonts w:ascii="Rockwell" w:eastAsia="Times New Roman" w:hAnsi="Rockwell" w:cs="Times New Roman"/>
              </w:rPr>
            </w:pPr>
            <w:r w:rsidRPr="00422183">
              <w:rPr>
                <w:rFonts w:ascii="Rockwell" w:eastAsia="Times New Roman" w:hAnsi="Rockwell" w:cs="Times New Roman"/>
              </w:rPr>
              <w:t>X</w:t>
            </w:r>
          </w:p>
        </w:tc>
        <w:tc>
          <w:tcPr>
            <w:tcW w:w="245"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rPr>
                <w:rFonts w:ascii="Rockwell" w:eastAsia="Times New Roman" w:hAnsi="Rockwell" w:cs="Times New Roman"/>
              </w:rPr>
            </w:pPr>
            <w:r w:rsidRPr="00422183">
              <w:rPr>
                <w:rFonts w:ascii="Rockwell" w:eastAsia="Times New Roman" w:hAnsi="Rockwell" w:cs="Times New Roman"/>
              </w:rPr>
              <w:t>X</w:t>
            </w:r>
          </w:p>
        </w:tc>
        <w:tc>
          <w:tcPr>
            <w:tcW w:w="245"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nil"/>
              <w:right w:val="single" w:sz="4" w:space="0" w:color="auto"/>
            </w:tcBorders>
            <w:shd w:val="clear" w:color="auto" w:fill="auto"/>
            <w:noWrap/>
            <w:vAlign w:val="center"/>
            <w:hideMark/>
          </w:tcPr>
          <w:p w:rsidR="005217BF" w:rsidRPr="00422183" w:rsidRDefault="005217BF" w:rsidP="005217BF">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nil"/>
              <w:right w:val="single" w:sz="4" w:space="0" w:color="auto"/>
            </w:tcBorders>
            <w:shd w:val="clear" w:color="auto" w:fill="auto"/>
            <w:vAlign w:val="center"/>
            <w:hideMark/>
          </w:tcPr>
          <w:p w:rsidR="005217BF" w:rsidRPr="00422183" w:rsidRDefault="005217BF"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100,00</w:t>
            </w:r>
          </w:p>
        </w:tc>
      </w:tr>
      <w:tr w:rsidR="005217BF" w:rsidRPr="00422183" w:rsidTr="00794641">
        <w:trPr>
          <w:gridAfter w:val="1"/>
          <w:wAfter w:w="145" w:type="pct"/>
          <w:trHeight w:val="480"/>
        </w:trPr>
        <w:tc>
          <w:tcPr>
            <w:tcW w:w="174" w:type="pct"/>
            <w:vMerge/>
            <w:tcBorders>
              <w:left w:val="single" w:sz="4" w:space="0" w:color="auto"/>
              <w:bottom w:val="single" w:sz="4" w:space="0" w:color="auto"/>
              <w:right w:val="single" w:sz="4" w:space="0" w:color="auto"/>
            </w:tcBorders>
            <w:shd w:val="clear" w:color="auto" w:fill="auto"/>
            <w:vAlign w:val="center"/>
          </w:tcPr>
          <w:p w:rsidR="005217BF" w:rsidRPr="00422183" w:rsidRDefault="005217BF" w:rsidP="005217BF">
            <w:pPr>
              <w:spacing w:after="0" w:line="240" w:lineRule="auto"/>
              <w:jc w:val="center"/>
              <w:rPr>
                <w:rFonts w:ascii="Rockwell" w:eastAsia="Times New Roman" w:hAnsi="Rockwell" w:cs="Times New Roman"/>
                <w:sz w:val="18"/>
                <w:szCs w:val="18"/>
              </w:rPr>
            </w:pPr>
          </w:p>
        </w:tc>
        <w:tc>
          <w:tcPr>
            <w:tcW w:w="541" w:type="pct"/>
            <w:vMerge/>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des exploitations agricoles disposant d’une assurance agricole</w:t>
            </w:r>
          </w:p>
        </w:tc>
        <w:tc>
          <w:tcPr>
            <w:tcW w:w="446" w:type="pct"/>
            <w:vMerge/>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p>
        </w:tc>
        <w:tc>
          <w:tcPr>
            <w:tcW w:w="253"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10"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p>
        </w:tc>
        <w:tc>
          <w:tcPr>
            <w:tcW w:w="211"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rPr>
                <w:rFonts w:ascii="Rockwell" w:eastAsia="Times New Roman" w:hAnsi="Rockwell" w:cs="Times New Roman"/>
              </w:rPr>
            </w:pPr>
          </w:p>
        </w:tc>
        <w:tc>
          <w:tcPr>
            <w:tcW w:w="245"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rPr>
                <w:rFonts w:ascii="Rockwell" w:eastAsia="Times New Roman" w:hAnsi="Rockwell" w:cs="Times New Roman"/>
              </w:rPr>
            </w:pPr>
          </w:p>
        </w:tc>
        <w:tc>
          <w:tcPr>
            <w:tcW w:w="245"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vMerge/>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vMerge/>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jc w:val="center"/>
              <w:rPr>
                <w:rFonts w:ascii="Rockwell" w:eastAsia="Times New Roman" w:hAnsi="Rockwell" w:cs="Times New Roman"/>
                <w:sz w:val="18"/>
                <w:szCs w:val="18"/>
              </w:rPr>
            </w:pPr>
          </w:p>
        </w:tc>
      </w:tr>
      <w:tr w:rsidR="005217BF" w:rsidRPr="00422183" w:rsidTr="00794641">
        <w:trPr>
          <w:gridAfter w:val="1"/>
          <w:wAfter w:w="145" w:type="pct"/>
          <w:trHeight w:val="480"/>
        </w:trPr>
        <w:tc>
          <w:tcPr>
            <w:tcW w:w="174" w:type="pct"/>
            <w:tcBorders>
              <w:left w:val="single" w:sz="4" w:space="0" w:color="auto"/>
              <w:bottom w:val="single" w:sz="4" w:space="0" w:color="auto"/>
              <w:right w:val="single" w:sz="4" w:space="0" w:color="auto"/>
            </w:tcBorders>
            <w:shd w:val="clear" w:color="auto" w:fill="auto"/>
            <w:vAlign w:val="center"/>
          </w:tcPr>
          <w:p w:rsidR="005217BF" w:rsidRPr="00422183" w:rsidRDefault="00794641" w:rsidP="005217BF">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91</w:t>
            </w:r>
          </w:p>
        </w:tc>
        <w:tc>
          <w:tcPr>
            <w:tcW w:w="541" w:type="pct"/>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Mettre en place un incubateur innovant d’entrepreneurs agricoles </w:t>
            </w:r>
          </w:p>
        </w:tc>
        <w:tc>
          <w:tcPr>
            <w:tcW w:w="1067" w:type="pct"/>
            <w:tcBorders>
              <w:top w:val="nil"/>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d’entrepreneurs modèles formés et installés</w:t>
            </w:r>
          </w:p>
        </w:tc>
        <w:tc>
          <w:tcPr>
            <w:tcW w:w="446" w:type="pct"/>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MAAH</w:t>
            </w:r>
          </w:p>
        </w:tc>
        <w:tc>
          <w:tcPr>
            <w:tcW w:w="253"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X</w:t>
            </w:r>
          </w:p>
        </w:tc>
        <w:tc>
          <w:tcPr>
            <w:tcW w:w="245"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X</w:t>
            </w:r>
          </w:p>
        </w:tc>
        <w:tc>
          <w:tcPr>
            <w:tcW w:w="245"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4" w:type="pct"/>
            <w:gridSpan w:val="2"/>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8"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219"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182" w:type="pct"/>
            <w:tcBorders>
              <w:left w:val="nil"/>
              <w:bottom w:val="single" w:sz="4" w:space="0" w:color="auto"/>
              <w:right w:val="single" w:sz="4" w:space="0" w:color="auto"/>
            </w:tcBorders>
            <w:shd w:val="clear" w:color="auto" w:fill="auto"/>
            <w:noWrap/>
            <w:vAlign w:val="center"/>
          </w:tcPr>
          <w:p w:rsidR="005217BF" w:rsidRPr="00422183" w:rsidRDefault="005217BF" w:rsidP="005217BF">
            <w:pPr>
              <w:spacing w:after="0" w:line="240" w:lineRule="auto"/>
              <w:jc w:val="center"/>
              <w:rPr>
                <w:rFonts w:ascii="Rockwell" w:eastAsia="Times New Roman" w:hAnsi="Rockwell" w:cs="Times New Roman"/>
              </w:rPr>
            </w:pPr>
          </w:p>
        </w:tc>
        <w:tc>
          <w:tcPr>
            <w:tcW w:w="419" w:type="pct"/>
            <w:gridSpan w:val="2"/>
            <w:tcBorders>
              <w:left w:val="nil"/>
              <w:bottom w:val="single" w:sz="4" w:space="0" w:color="auto"/>
              <w:right w:val="single" w:sz="4" w:space="0" w:color="auto"/>
            </w:tcBorders>
            <w:shd w:val="clear" w:color="auto" w:fill="auto"/>
            <w:vAlign w:val="center"/>
          </w:tcPr>
          <w:p w:rsidR="005217BF" w:rsidRPr="00422183" w:rsidRDefault="005217BF" w:rsidP="005217BF">
            <w:pPr>
              <w:spacing w:after="0" w:line="240" w:lineRule="auto"/>
              <w:jc w:val="center"/>
              <w:rPr>
                <w:rFonts w:ascii="Rockwell" w:eastAsia="Times New Roman" w:hAnsi="Rockwell" w:cs="Times New Roman"/>
                <w:sz w:val="18"/>
                <w:szCs w:val="18"/>
              </w:rPr>
            </w:pPr>
          </w:p>
        </w:tc>
      </w:tr>
      <w:tr w:rsidR="009E4475" w:rsidRPr="00422183" w:rsidTr="00794641">
        <w:trPr>
          <w:gridAfter w:val="1"/>
          <w:wAfter w:w="145" w:type="pct"/>
          <w:trHeight w:val="480"/>
        </w:trPr>
        <w:tc>
          <w:tcPr>
            <w:tcW w:w="174" w:type="pct"/>
            <w:tcBorders>
              <w:left w:val="single" w:sz="4" w:space="0" w:color="auto"/>
              <w:bottom w:val="single" w:sz="4" w:space="0" w:color="auto"/>
              <w:right w:val="single" w:sz="4" w:space="0" w:color="auto"/>
            </w:tcBorders>
            <w:shd w:val="clear" w:color="auto" w:fill="auto"/>
            <w:vAlign w:val="center"/>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92</w:t>
            </w:r>
          </w:p>
        </w:tc>
        <w:tc>
          <w:tcPr>
            <w:tcW w:w="541" w:type="pct"/>
            <w:tcBorders>
              <w:left w:val="nil"/>
              <w:bottom w:val="single" w:sz="4" w:space="0" w:color="auto"/>
              <w:right w:val="single" w:sz="4" w:space="0" w:color="auto"/>
            </w:tcBorders>
            <w:shd w:val="clear" w:color="auto" w:fill="auto"/>
            <w:vAlign w:val="center"/>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Favoriser la formalisation des unités économiques informelles</w:t>
            </w:r>
          </w:p>
        </w:tc>
        <w:tc>
          <w:tcPr>
            <w:tcW w:w="1067" w:type="pct"/>
            <w:tcBorders>
              <w:top w:val="nil"/>
              <w:left w:val="nil"/>
              <w:bottom w:val="single" w:sz="4" w:space="0" w:color="auto"/>
              <w:right w:val="single" w:sz="4" w:space="0" w:color="auto"/>
            </w:tcBorders>
            <w:shd w:val="clear" w:color="auto" w:fill="auto"/>
            <w:vAlign w:val="center"/>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Proportion des unités économiques formalisées</w:t>
            </w:r>
          </w:p>
        </w:tc>
        <w:tc>
          <w:tcPr>
            <w:tcW w:w="446" w:type="pct"/>
            <w:tcBorders>
              <w:left w:val="nil"/>
              <w:bottom w:val="single" w:sz="4" w:space="0" w:color="auto"/>
              <w:right w:val="single" w:sz="4" w:space="0" w:color="auto"/>
            </w:tcBorders>
            <w:shd w:val="clear" w:color="auto" w:fill="auto"/>
            <w:vAlign w:val="center"/>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MJFIP et MCIA et MINEFID</w:t>
            </w:r>
          </w:p>
        </w:tc>
        <w:tc>
          <w:tcPr>
            <w:tcW w:w="253"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X</w:t>
            </w:r>
          </w:p>
        </w:tc>
        <w:tc>
          <w:tcPr>
            <w:tcW w:w="245"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X</w:t>
            </w:r>
          </w:p>
        </w:tc>
        <w:tc>
          <w:tcPr>
            <w:tcW w:w="245"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rPr>
            </w:pPr>
          </w:p>
        </w:tc>
        <w:tc>
          <w:tcPr>
            <w:tcW w:w="214" w:type="pct"/>
            <w:gridSpan w:val="2"/>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rPr>
            </w:pPr>
          </w:p>
        </w:tc>
        <w:tc>
          <w:tcPr>
            <w:tcW w:w="218"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rPr>
            </w:pPr>
          </w:p>
        </w:tc>
        <w:tc>
          <w:tcPr>
            <w:tcW w:w="219"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rPr>
            </w:pPr>
          </w:p>
        </w:tc>
        <w:tc>
          <w:tcPr>
            <w:tcW w:w="182" w:type="pct"/>
            <w:tcBorders>
              <w:left w:val="nil"/>
              <w:bottom w:val="single" w:sz="4" w:space="0" w:color="auto"/>
              <w:right w:val="single" w:sz="4" w:space="0" w:color="auto"/>
            </w:tcBorders>
            <w:shd w:val="clear" w:color="auto" w:fill="auto"/>
            <w:noWrap/>
            <w:vAlign w:val="center"/>
          </w:tcPr>
          <w:p w:rsidR="009E4475" w:rsidRPr="00422183" w:rsidRDefault="009E4475" w:rsidP="009E4475">
            <w:pPr>
              <w:spacing w:after="0" w:line="240" w:lineRule="auto"/>
              <w:jc w:val="center"/>
              <w:rPr>
                <w:rFonts w:ascii="Rockwell" w:eastAsia="Times New Roman" w:hAnsi="Rockwell" w:cs="Times New Roman"/>
              </w:rPr>
            </w:pPr>
          </w:p>
        </w:tc>
        <w:tc>
          <w:tcPr>
            <w:tcW w:w="419" w:type="pct"/>
            <w:gridSpan w:val="2"/>
            <w:tcBorders>
              <w:left w:val="nil"/>
              <w:bottom w:val="single" w:sz="4" w:space="0" w:color="auto"/>
              <w:right w:val="single" w:sz="4" w:space="0" w:color="auto"/>
            </w:tcBorders>
            <w:shd w:val="clear" w:color="auto" w:fill="auto"/>
            <w:vAlign w:val="center"/>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50</w:t>
            </w:r>
          </w:p>
        </w:tc>
      </w:tr>
      <w:tr w:rsidR="009E4475" w:rsidRPr="00422183" w:rsidTr="001D3B5D">
        <w:trPr>
          <w:gridAfter w:val="1"/>
          <w:wAfter w:w="145" w:type="pct"/>
          <w:trHeight w:val="427"/>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9E4475" w:rsidRPr="00422183" w:rsidRDefault="009E4475" w:rsidP="00FF754E">
            <w:pPr>
              <w:spacing w:after="0" w:line="240" w:lineRule="auto"/>
              <w:rPr>
                <w:rFonts w:ascii="Rockwell" w:eastAsia="Times New Roman" w:hAnsi="Rockwell" w:cs="Times New Roman"/>
              </w:rPr>
            </w:pPr>
            <w:r w:rsidRPr="00422183">
              <w:rPr>
                <w:rFonts w:ascii="Rockwell" w:eastAsia="Times New Roman" w:hAnsi="Rockwell" w:cs="Times New Roman"/>
                <w:b/>
                <w:bCs/>
                <w:sz w:val="18"/>
                <w:szCs w:val="18"/>
              </w:rPr>
              <w:t>Objectif stratégique 3.4: développer des infrastructures de qualité et résilientes pour favoriser la transformation structurelle</w:t>
            </w:r>
            <w:r w:rsidR="001D3B5D" w:rsidRPr="00422183">
              <w:rPr>
                <w:rFonts w:ascii="Rockwell" w:eastAsia="Times New Roman" w:hAnsi="Rockwell" w:cs="Times New Roman"/>
                <w:b/>
                <w:bCs/>
                <w:sz w:val="18"/>
                <w:szCs w:val="18"/>
              </w:rPr>
              <w:t xml:space="preserve"> de l’économie</w:t>
            </w:r>
            <w:r w:rsidRPr="00422183">
              <w:rPr>
                <w:rFonts w:ascii="Rockwell" w:eastAsia="Times New Roman" w:hAnsi="Rockwell" w:cs="Times New Roman"/>
              </w:rPr>
              <w:t> </w:t>
            </w:r>
          </w:p>
        </w:tc>
        <w:tc>
          <w:tcPr>
            <w:tcW w:w="414" w:type="pct"/>
            <w:tcBorders>
              <w:top w:val="nil"/>
              <w:left w:val="nil"/>
              <w:bottom w:val="single" w:sz="4" w:space="0" w:color="auto"/>
              <w:right w:val="single" w:sz="4" w:space="0" w:color="auto"/>
            </w:tcBorders>
            <w:shd w:val="clear" w:color="000000" w:fill="BDD7EE"/>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3 670.61</w:t>
            </w:r>
          </w:p>
        </w:tc>
      </w:tr>
      <w:tr w:rsidR="009E4475" w:rsidRPr="00422183" w:rsidTr="00794641">
        <w:trPr>
          <w:gridAfter w:val="1"/>
          <w:wAfter w:w="145" w:type="pct"/>
          <w:trHeight w:val="831"/>
        </w:trPr>
        <w:tc>
          <w:tcPr>
            <w:tcW w:w="174" w:type="pct"/>
            <w:tcBorders>
              <w:top w:val="nil"/>
              <w:left w:val="single" w:sz="4" w:space="0" w:color="auto"/>
              <w:bottom w:val="single" w:sz="4" w:space="0" w:color="000000"/>
              <w:right w:val="single" w:sz="4" w:space="0" w:color="auto"/>
            </w:tcBorders>
            <w:shd w:val="clear" w:color="auto" w:fill="auto"/>
            <w:vAlign w:val="center"/>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93</w:t>
            </w:r>
          </w:p>
        </w:tc>
        <w:tc>
          <w:tcPr>
            <w:tcW w:w="541" w:type="pct"/>
            <w:tcBorders>
              <w:top w:val="nil"/>
              <w:left w:val="single" w:sz="4" w:space="0" w:color="auto"/>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Sécuriser les titres de transport et réimmatriculer le parc</w:t>
            </w:r>
          </w:p>
        </w:tc>
        <w:tc>
          <w:tcPr>
            <w:tcW w:w="1067" w:type="pct"/>
            <w:tcBorders>
              <w:top w:val="nil"/>
              <w:left w:val="nil"/>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Pourcentage de titres de transport sécurisés</w:t>
            </w:r>
          </w:p>
        </w:tc>
        <w:tc>
          <w:tcPr>
            <w:tcW w:w="446" w:type="pct"/>
            <w:tcBorders>
              <w:top w:val="nil"/>
              <w:left w:val="single" w:sz="4" w:space="0" w:color="auto"/>
              <w:bottom w:val="single" w:sz="4" w:space="0" w:color="auto"/>
              <w:right w:val="single" w:sz="4" w:space="0" w:color="auto"/>
            </w:tcBorders>
            <w:shd w:val="clear" w:color="auto" w:fill="auto"/>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MTMUSR</w:t>
            </w:r>
          </w:p>
        </w:tc>
        <w:tc>
          <w:tcPr>
            <w:tcW w:w="253"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0"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45"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45"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p>
        </w:tc>
        <w:tc>
          <w:tcPr>
            <w:tcW w:w="214" w:type="pct"/>
            <w:gridSpan w:val="2"/>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p>
        </w:tc>
        <w:tc>
          <w:tcPr>
            <w:tcW w:w="218"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2,9</w:t>
            </w:r>
          </w:p>
        </w:tc>
        <w:tc>
          <w:tcPr>
            <w:tcW w:w="219"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2,7</w:t>
            </w:r>
          </w:p>
        </w:tc>
        <w:tc>
          <w:tcPr>
            <w:tcW w:w="182"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2,5</w:t>
            </w:r>
          </w:p>
        </w:tc>
        <w:tc>
          <w:tcPr>
            <w:tcW w:w="419" w:type="pct"/>
            <w:gridSpan w:val="2"/>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16</w:t>
            </w:r>
          </w:p>
        </w:tc>
      </w:tr>
      <w:tr w:rsidR="009E4475" w:rsidRPr="00422183" w:rsidTr="00794641">
        <w:trPr>
          <w:gridAfter w:val="1"/>
          <w:wAfter w:w="145" w:type="pct"/>
          <w:trHeight w:val="932"/>
        </w:trPr>
        <w:tc>
          <w:tcPr>
            <w:tcW w:w="174" w:type="pct"/>
            <w:tcBorders>
              <w:top w:val="nil"/>
              <w:left w:val="single" w:sz="4" w:space="0" w:color="auto"/>
              <w:bottom w:val="single" w:sz="4" w:space="0" w:color="000000"/>
              <w:right w:val="single" w:sz="4" w:space="0" w:color="auto"/>
            </w:tcBorders>
            <w:shd w:val="clear" w:color="auto" w:fill="auto"/>
            <w:vAlign w:val="center"/>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94</w:t>
            </w:r>
          </w:p>
        </w:tc>
        <w:tc>
          <w:tcPr>
            <w:tcW w:w="541" w:type="pct"/>
            <w:tcBorders>
              <w:top w:val="nil"/>
              <w:left w:val="single" w:sz="4" w:space="0" w:color="auto"/>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Opérationnaliser le programme de renouvellement du parc</w:t>
            </w:r>
          </w:p>
        </w:tc>
        <w:tc>
          <w:tcPr>
            <w:tcW w:w="1067" w:type="pct"/>
            <w:tcBorders>
              <w:top w:val="nil"/>
              <w:left w:val="nil"/>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Nombre de véhicules importés</w:t>
            </w:r>
          </w:p>
        </w:tc>
        <w:tc>
          <w:tcPr>
            <w:tcW w:w="446" w:type="pct"/>
            <w:tcBorders>
              <w:top w:val="nil"/>
              <w:left w:val="single" w:sz="4" w:space="0" w:color="auto"/>
              <w:bottom w:val="single" w:sz="4" w:space="0" w:color="auto"/>
              <w:right w:val="single" w:sz="4" w:space="0" w:color="auto"/>
            </w:tcBorders>
            <w:shd w:val="clear" w:color="auto" w:fill="auto"/>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MTMUSR</w:t>
            </w:r>
          </w:p>
        </w:tc>
        <w:tc>
          <w:tcPr>
            <w:tcW w:w="253"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0"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45"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45"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4"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8"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9"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182"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419"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r>
      <w:tr w:rsidR="009E4475" w:rsidRPr="00422183" w:rsidTr="00794641">
        <w:trPr>
          <w:gridAfter w:val="1"/>
          <w:wAfter w:w="145" w:type="pct"/>
          <w:trHeight w:val="285"/>
        </w:trPr>
        <w:tc>
          <w:tcPr>
            <w:tcW w:w="174" w:type="pct"/>
            <w:tcBorders>
              <w:top w:val="nil"/>
              <w:left w:val="single" w:sz="4" w:space="0" w:color="auto"/>
              <w:bottom w:val="single" w:sz="4" w:space="0" w:color="000000"/>
              <w:right w:val="single" w:sz="4" w:space="0" w:color="auto"/>
            </w:tcBorders>
            <w:shd w:val="clear" w:color="auto" w:fill="auto"/>
            <w:vAlign w:val="center"/>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95</w:t>
            </w:r>
          </w:p>
        </w:tc>
        <w:tc>
          <w:tcPr>
            <w:tcW w:w="541" w:type="pct"/>
            <w:tcBorders>
              <w:top w:val="nil"/>
              <w:left w:val="single" w:sz="4" w:space="0" w:color="auto"/>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Créer et rendre fonctionnelle une Autorité organisatrice de la mobilité urbaine</w:t>
            </w:r>
          </w:p>
        </w:tc>
        <w:tc>
          <w:tcPr>
            <w:tcW w:w="1067" w:type="pct"/>
            <w:tcBorders>
              <w:top w:val="nil"/>
              <w:left w:val="nil"/>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Fonctionnalité de l’Autorité</w:t>
            </w:r>
          </w:p>
        </w:tc>
        <w:tc>
          <w:tcPr>
            <w:tcW w:w="446" w:type="pct"/>
            <w:tcBorders>
              <w:top w:val="nil"/>
              <w:left w:val="single" w:sz="4" w:space="0" w:color="auto"/>
              <w:bottom w:val="single" w:sz="4" w:space="0" w:color="auto"/>
              <w:right w:val="single" w:sz="4" w:space="0" w:color="auto"/>
            </w:tcBorders>
            <w:shd w:val="clear" w:color="auto" w:fill="auto"/>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MTMUSR</w:t>
            </w:r>
          </w:p>
        </w:tc>
        <w:tc>
          <w:tcPr>
            <w:tcW w:w="253"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0"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1"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45"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45"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4"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8"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9"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182"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419"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r>
      <w:tr w:rsidR="009E4475" w:rsidRPr="00422183" w:rsidTr="00794641">
        <w:trPr>
          <w:gridAfter w:val="1"/>
          <w:wAfter w:w="145" w:type="pct"/>
          <w:trHeight w:val="285"/>
        </w:trPr>
        <w:tc>
          <w:tcPr>
            <w:tcW w:w="174" w:type="pct"/>
            <w:tcBorders>
              <w:top w:val="nil"/>
              <w:left w:val="single" w:sz="4" w:space="0" w:color="auto"/>
              <w:bottom w:val="single" w:sz="4" w:space="0" w:color="000000"/>
              <w:right w:val="single" w:sz="4" w:space="0" w:color="auto"/>
            </w:tcBorders>
            <w:shd w:val="clear" w:color="auto" w:fill="auto"/>
            <w:vAlign w:val="center"/>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96</w:t>
            </w:r>
          </w:p>
        </w:tc>
        <w:tc>
          <w:tcPr>
            <w:tcW w:w="541" w:type="pct"/>
            <w:tcBorders>
              <w:top w:val="nil"/>
              <w:left w:val="single" w:sz="4" w:space="0" w:color="auto"/>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Acquérir 150 bus en appui à la mobilité urbaine</w:t>
            </w:r>
          </w:p>
        </w:tc>
        <w:tc>
          <w:tcPr>
            <w:tcW w:w="1067" w:type="pct"/>
            <w:tcBorders>
              <w:top w:val="nil"/>
              <w:left w:val="nil"/>
              <w:bottom w:val="single" w:sz="4" w:space="0" w:color="auto"/>
              <w:right w:val="single" w:sz="4" w:space="0" w:color="auto"/>
            </w:tcBorders>
            <w:shd w:val="clear" w:color="auto" w:fill="auto"/>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Nombre de bus acquis</w:t>
            </w:r>
          </w:p>
        </w:tc>
        <w:tc>
          <w:tcPr>
            <w:tcW w:w="446" w:type="pct"/>
            <w:tcBorders>
              <w:top w:val="nil"/>
              <w:left w:val="single" w:sz="4" w:space="0" w:color="auto"/>
              <w:bottom w:val="single" w:sz="4" w:space="0" w:color="auto"/>
              <w:right w:val="single" w:sz="4" w:space="0" w:color="auto"/>
            </w:tcBorders>
            <w:shd w:val="clear" w:color="auto" w:fill="auto"/>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MTMUSR</w:t>
            </w:r>
          </w:p>
        </w:tc>
        <w:tc>
          <w:tcPr>
            <w:tcW w:w="253"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0"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11"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45" w:type="pct"/>
            <w:tcBorders>
              <w:top w:val="nil"/>
              <w:left w:val="single" w:sz="4" w:space="0" w:color="auto"/>
              <w:bottom w:val="single" w:sz="4" w:space="0" w:color="auto"/>
              <w:right w:val="single" w:sz="4" w:space="0" w:color="auto"/>
            </w:tcBorders>
            <w:shd w:val="clear" w:color="auto" w:fill="auto"/>
            <w:noWrap/>
            <w:vAlign w:val="center"/>
          </w:tcPr>
          <w:p w:rsidR="009E4475" w:rsidRPr="00422183" w:rsidRDefault="009E4475" w:rsidP="009E4475">
            <w:pPr>
              <w:jc w:val="center"/>
              <w:rPr>
                <w:rFonts w:ascii="Rockwell" w:eastAsiaTheme="minorHAnsi" w:hAnsi="Rockwell" w:cs="Arial"/>
                <w:sz w:val="18"/>
              </w:rPr>
            </w:pPr>
            <w:r w:rsidRPr="00422183">
              <w:rPr>
                <w:rFonts w:ascii="Rockwell" w:eastAsiaTheme="minorHAnsi" w:hAnsi="Rockwell" w:cs="Arial"/>
                <w:sz w:val="18"/>
              </w:rPr>
              <w:t>x</w:t>
            </w:r>
          </w:p>
        </w:tc>
        <w:tc>
          <w:tcPr>
            <w:tcW w:w="245"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4"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8"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219"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182" w:type="pct"/>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p>
        </w:tc>
        <w:tc>
          <w:tcPr>
            <w:tcW w:w="419" w:type="pct"/>
            <w:gridSpan w:val="2"/>
            <w:tcBorders>
              <w:top w:val="nil"/>
              <w:left w:val="single" w:sz="4" w:space="0" w:color="auto"/>
              <w:bottom w:val="single" w:sz="4" w:space="0" w:color="auto"/>
              <w:right w:val="single" w:sz="4" w:space="0" w:color="auto"/>
            </w:tcBorders>
            <w:shd w:val="clear" w:color="auto" w:fill="auto"/>
            <w:noWrap/>
          </w:tcPr>
          <w:p w:rsidR="009E4475" w:rsidRPr="00422183" w:rsidRDefault="009E4475" w:rsidP="009E4475">
            <w:pPr>
              <w:rPr>
                <w:rFonts w:ascii="Rockwell" w:eastAsiaTheme="minorHAnsi" w:hAnsi="Rockwell" w:cs="Arial"/>
                <w:sz w:val="18"/>
              </w:rPr>
            </w:pPr>
            <w:r w:rsidRPr="00422183">
              <w:rPr>
                <w:rFonts w:ascii="Rockwell" w:eastAsiaTheme="minorHAnsi" w:hAnsi="Rockwell" w:cs="Arial"/>
                <w:sz w:val="18"/>
              </w:rPr>
              <w:t>8,523</w:t>
            </w:r>
          </w:p>
        </w:tc>
      </w:tr>
      <w:tr w:rsidR="009E4475" w:rsidRPr="00422183" w:rsidTr="00794641">
        <w:trPr>
          <w:gridAfter w:val="1"/>
          <w:wAfter w:w="145" w:type="pct"/>
          <w:trHeight w:val="2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97</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Réaliser cinq (05) centrales solaires d’une capacité globale de 80MW dans 5 régions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5 centrales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85.00</w:t>
            </w:r>
          </w:p>
        </w:tc>
      </w:tr>
      <w:tr w:rsidR="009E4475"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Capacité globale d’énergie fournie par les cinq centrales </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r>
      <w:tr w:rsidR="009E4475" w:rsidRPr="00422183" w:rsidTr="00794641">
        <w:trPr>
          <w:gridAfter w:val="1"/>
          <w:wAfter w:w="145" w:type="pct"/>
          <w:trHeight w:val="2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98</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Construire cinq (5) centrales photovoltaïques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centrales photovoltaïque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70.00</w:t>
            </w:r>
          </w:p>
        </w:tc>
      </w:tr>
      <w:tr w:rsidR="009E4475"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Capacité d’énergie photovoltaïque produite</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r>
      <w:tr w:rsidR="009E4475" w:rsidRPr="00422183" w:rsidTr="00794641">
        <w:trPr>
          <w:gridAfter w:val="1"/>
          <w:wAfter w:w="145" w:type="pct"/>
          <w:trHeight w:val="2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99</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la centrale hydro-électrique à Folonzo</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Centrale hydro-électrique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MEA/MEMC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37.04</w:t>
            </w:r>
          </w:p>
        </w:tc>
      </w:tr>
      <w:tr w:rsidR="009E4475" w:rsidRPr="00422183" w:rsidTr="00794641">
        <w:trPr>
          <w:gridAfter w:val="1"/>
          <w:wAfter w:w="145" w:type="pct"/>
          <w:trHeight w:val="585"/>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Capacité de production énergétique </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r>
      <w:tr w:rsidR="009E4475" w:rsidRPr="00422183" w:rsidTr="00794641">
        <w:trPr>
          <w:gridAfter w:val="1"/>
          <w:wAfter w:w="145" w:type="pct"/>
          <w:trHeight w:val="64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100</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la centrale hydroélectrique Bagré aval</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Quantité d’énergie fournie par le centrale</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66.71</w:t>
            </w:r>
          </w:p>
        </w:tc>
      </w:tr>
      <w:tr w:rsidR="009E4475" w:rsidRPr="00422183" w:rsidTr="00794641">
        <w:trPr>
          <w:gridAfter w:val="1"/>
          <w:wAfter w:w="145" w:type="pct"/>
          <w:trHeight w:val="28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101</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Mettre en place deux usines de montage de matériels solaires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d'usines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70.00</w:t>
            </w:r>
          </w:p>
        </w:tc>
      </w:tr>
      <w:tr w:rsidR="009E4475" w:rsidRPr="00422183" w:rsidTr="00794641">
        <w:trPr>
          <w:gridAfter w:val="1"/>
          <w:wAfter w:w="145" w:type="pct"/>
          <w:trHeight w:val="690"/>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composantes</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r>
      <w:tr w:rsidR="009E4475" w:rsidRPr="00422183" w:rsidTr="00794641">
        <w:trPr>
          <w:gridAfter w:val="1"/>
          <w:wAfter w:w="145" w:type="pct"/>
          <w:trHeight w:val="129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102</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Exécuter le projet d'électrification rurale de 500 localités rurales du Burkina Faso par raccordement au réseau des localités électrifiées</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localités rurales électrifiées </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93.45</w:t>
            </w:r>
          </w:p>
        </w:tc>
      </w:tr>
      <w:tr w:rsidR="009E4475" w:rsidRPr="00422183" w:rsidTr="00794641">
        <w:trPr>
          <w:gridAfter w:val="1"/>
          <w:wAfter w:w="145" w:type="pct"/>
          <w:trHeight w:val="69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103</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une centrale thermique de 210 MW à l’aéroport de Donsin</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centrale</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 xml:space="preserve">PM </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201.00</w:t>
            </w:r>
          </w:p>
        </w:tc>
      </w:tr>
      <w:tr w:rsidR="009E4475"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104</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l’étude de faisabilité du port fluviale</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des résultats de l’étude de faisabilité</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0,6 </w:t>
            </w:r>
          </w:p>
        </w:tc>
      </w:tr>
      <w:tr w:rsidR="009E4475" w:rsidRPr="00422183" w:rsidTr="00794641">
        <w:trPr>
          <w:gridAfter w:val="1"/>
          <w:wAfter w:w="145" w:type="pct"/>
          <w:trHeight w:val="28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105</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Construire le pipeline Ouaga-Bolgatanga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du pipeline</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123.68</w:t>
            </w:r>
          </w:p>
        </w:tc>
      </w:tr>
      <w:tr w:rsidR="009E4475" w:rsidRPr="00422183" w:rsidTr="00794641">
        <w:trPr>
          <w:gridAfter w:val="1"/>
          <w:wAfter w:w="145" w:type="pct"/>
          <w:trHeight w:val="48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106</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Accroitre les capacités de stockage des hydrocarbure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d’infrastructures de stockage réalisé</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MEMC</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51.50</w:t>
            </w:r>
          </w:p>
        </w:tc>
      </w:tr>
      <w:tr w:rsidR="009E4475" w:rsidRPr="00422183" w:rsidTr="00794641">
        <w:trPr>
          <w:gridAfter w:val="1"/>
          <w:wAfter w:w="145" w:type="pct"/>
          <w:trHeight w:val="480"/>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d’accroissement de la capacité de stockage</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r>
      <w:tr w:rsidR="009E4475" w:rsidRPr="00422183" w:rsidTr="00794641">
        <w:trPr>
          <w:gridAfter w:val="1"/>
          <w:wAfter w:w="145" w:type="pct"/>
          <w:trHeight w:val="60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107</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l’autoroute Ouagadougou-Yamoussoukro</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Fonctionnalité de l’autoroute</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1 204.02</w:t>
            </w:r>
          </w:p>
        </w:tc>
      </w:tr>
      <w:tr w:rsidR="009E4475" w:rsidRPr="00422183" w:rsidTr="00794641">
        <w:trPr>
          <w:gridAfter w:val="1"/>
          <w:wAfter w:w="145" w:type="pct"/>
          <w:trHeight w:val="58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108</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Construire l’échangeur du nord</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l’échangeur</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70.00</w:t>
            </w:r>
          </w:p>
        </w:tc>
      </w:tr>
      <w:tr w:rsidR="009E4475" w:rsidRPr="00422183" w:rsidTr="00794641">
        <w:trPr>
          <w:gridAfter w:val="1"/>
          <w:wAfter w:w="145" w:type="pct"/>
          <w:trHeight w:val="75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109</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Exécuter le programme de bitumage de1630 km de route</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Kilomètres de routes réalisées</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1023,00</w:t>
            </w:r>
          </w:p>
        </w:tc>
      </w:tr>
      <w:tr w:rsidR="009E4475" w:rsidRPr="00422183" w:rsidTr="00794641">
        <w:trPr>
          <w:gridAfter w:val="1"/>
          <w:wAfter w:w="145" w:type="pct"/>
          <w:trHeight w:val="94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110</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des travaux de construction, de réhabilitation et d’entretien de pistes rurales</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Linéaire de pistes rurales réalisé</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195.00</w:t>
            </w:r>
          </w:p>
        </w:tc>
      </w:tr>
      <w:tr w:rsidR="009E4475" w:rsidRPr="00422183" w:rsidTr="00794641">
        <w:trPr>
          <w:gridAfter w:val="1"/>
          <w:wAfter w:w="145" w:type="pct"/>
          <w:trHeight w:val="105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111</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les travaux de construction et bitumage des voies de contournement de la ville de Ouagadougou</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Disponibilité de la voie de contournement</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120.00</w:t>
            </w:r>
          </w:p>
        </w:tc>
      </w:tr>
      <w:tr w:rsidR="009E4475" w:rsidRPr="00422183" w:rsidTr="00794641">
        <w:trPr>
          <w:gridAfter w:val="1"/>
          <w:wAfter w:w="145" w:type="pct"/>
          <w:trHeight w:val="58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112</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Réhabiliter la voie ferrée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km de chemin de fer réhabilité</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33.80</w:t>
            </w:r>
          </w:p>
        </w:tc>
      </w:tr>
      <w:tr w:rsidR="009E4475" w:rsidRPr="00422183" w:rsidTr="00794641">
        <w:trPr>
          <w:gridAfter w:val="1"/>
          <w:wAfter w:w="145" w:type="pct"/>
          <w:trHeight w:val="16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113</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l'étude de faisabilité de la liason Kaya-Dori-Tambao- Ansongo (étude technique detaillée (ETD) + dossier d'appel d'offre (DAO)</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km de chemin de fer</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24.00</w:t>
            </w:r>
          </w:p>
        </w:tc>
      </w:tr>
      <w:tr w:rsidR="009E4475" w:rsidRPr="00422183" w:rsidTr="00794641">
        <w:trPr>
          <w:gridAfter w:val="1"/>
          <w:wAfter w:w="145" w:type="pct"/>
          <w:trHeight w:val="10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114</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Réaliser l’interconnexion Burkina-Niger/liaison ferroviaire Ouagadougou-Kaya-Dori-Tera-Niamey</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Nombre de km de chemin de fer construite</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MI</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227.30</w:t>
            </w:r>
          </w:p>
        </w:tc>
      </w:tr>
      <w:tr w:rsidR="009E4475" w:rsidRPr="00422183" w:rsidTr="00794641">
        <w:trPr>
          <w:gridAfter w:val="1"/>
          <w:wAfter w:w="145" w:type="pct"/>
          <w:trHeight w:val="300"/>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115</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Finaliser et rendre fonctionnel l'aéroport de Donsin</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fonctionnalité de l’aéroport</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PM</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301.66</w:t>
            </w:r>
          </w:p>
        </w:tc>
      </w:tr>
      <w:tr w:rsidR="009E4475" w:rsidRPr="00422183" w:rsidTr="00794641">
        <w:trPr>
          <w:gridAfter w:val="1"/>
          <w:wAfter w:w="145" w:type="pct"/>
          <w:trHeight w:val="450"/>
        </w:trPr>
        <w:tc>
          <w:tcPr>
            <w:tcW w:w="174" w:type="pct"/>
            <w:vMerge/>
            <w:tcBorders>
              <w:top w:val="nil"/>
              <w:left w:val="single" w:sz="4" w:space="0" w:color="auto"/>
              <w:bottom w:val="single" w:sz="4" w:space="0" w:color="000000"/>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54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du trafic aérien </w:t>
            </w:r>
          </w:p>
        </w:tc>
        <w:tc>
          <w:tcPr>
            <w:tcW w:w="446"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53"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0"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11"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p>
        </w:tc>
        <w:tc>
          <w:tcPr>
            <w:tcW w:w="245"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4"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8"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219"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182" w:type="pct"/>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rPr>
            </w:pPr>
          </w:p>
        </w:tc>
        <w:tc>
          <w:tcPr>
            <w:tcW w:w="419" w:type="pct"/>
            <w:gridSpan w:val="2"/>
            <w:vMerge/>
            <w:tcBorders>
              <w:top w:val="nil"/>
              <w:left w:val="single" w:sz="4" w:space="0" w:color="auto"/>
              <w:bottom w:val="single" w:sz="4" w:space="0" w:color="auto"/>
              <w:right w:val="single" w:sz="4" w:space="0" w:color="auto"/>
            </w:tcBorders>
            <w:vAlign w:val="center"/>
            <w:hideMark/>
          </w:tcPr>
          <w:p w:rsidR="009E4475" w:rsidRPr="00422183" w:rsidRDefault="009E4475" w:rsidP="009E4475">
            <w:pPr>
              <w:spacing w:after="0" w:line="240" w:lineRule="auto"/>
              <w:rPr>
                <w:rFonts w:ascii="Rockwell" w:eastAsia="Times New Roman" w:hAnsi="Rockwell" w:cs="Times New Roman"/>
                <w:sz w:val="18"/>
                <w:szCs w:val="18"/>
              </w:rPr>
            </w:pPr>
          </w:p>
        </w:tc>
      </w:tr>
      <w:tr w:rsidR="009E4475" w:rsidRPr="00422183" w:rsidTr="00794641">
        <w:trPr>
          <w:gridAfter w:val="1"/>
          <w:wAfter w:w="145" w:type="pct"/>
          <w:trHeight w:val="48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116</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Réaliser un technopole ou cyber parc de Ouagadougou </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Disponibilité du technopole </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MDENP</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rPr>
            </w:pPr>
            <w:r w:rsidRPr="00422183">
              <w:rPr>
                <w:rFonts w:ascii="Rockwell" w:eastAsia="Times New Roman" w:hAnsi="Rockwell" w:cs="Times New Roman"/>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190.07</w:t>
            </w:r>
          </w:p>
        </w:tc>
      </w:tr>
      <w:tr w:rsidR="009E4475"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9E4475" w:rsidRPr="00422183" w:rsidRDefault="00794641"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117</w:t>
            </w:r>
          </w:p>
        </w:tc>
        <w:tc>
          <w:tcPr>
            <w:tcW w:w="541"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Construction d'un réseau dorsal (backbone) des télécommunications en fibre optique du Burkina Faso</w:t>
            </w:r>
          </w:p>
        </w:tc>
        <w:tc>
          <w:tcPr>
            <w:tcW w:w="1067"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Taux de réalisation </w:t>
            </w:r>
          </w:p>
        </w:tc>
        <w:tc>
          <w:tcPr>
            <w:tcW w:w="446" w:type="pct"/>
            <w:tcBorders>
              <w:top w:val="nil"/>
              <w:left w:val="nil"/>
              <w:bottom w:val="single" w:sz="4" w:space="0" w:color="auto"/>
              <w:right w:val="single" w:sz="4" w:space="0" w:color="auto"/>
            </w:tcBorders>
            <w:shd w:val="clear" w:color="auto" w:fill="auto"/>
            <w:vAlign w:val="center"/>
            <w:hideMark/>
          </w:tcPr>
          <w:p w:rsidR="009E4475" w:rsidRPr="00422183" w:rsidRDefault="009E4475" w:rsidP="009E4475">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MDENP</w:t>
            </w:r>
          </w:p>
        </w:tc>
        <w:tc>
          <w:tcPr>
            <w:tcW w:w="253"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 </w:t>
            </w:r>
            <w:r w:rsidR="001D3B5D" w:rsidRPr="00422183">
              <w:rPr>
                <w:rFonts w:ascii="Rockwell" w:eastAsia="Times New Roman" w:hAnsi="Rockwell" w:cs="Times New Roman"/>
                <w:sz w:val="18"/>
                <w:szCs w:val="18"/>
              </w:rPr>
              <w:t>76</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9E4475" w:rsidRPr="00422183" w:rsidRDefault="001D3B5D"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31,5</w:t>
            </w:r>
            <w:r w:rsidR="009E4475" w:rsidRPr="00422183">
              <w:rPr>
                <w:rFonts w:ascii="Rockwell" w:eastAsia="Times New Roman" w:hAnsi="Rockwell" w:cs="Times New Roman"/>
                <w:sz w:val="18"/>
                <w:szCs w:val="18"/>
              </w:rPr>
              <w:t> </w:t>
            </w:r>
          </w:p>
        </w:tc>
        <w:tc>
          <w:tcPr>
            <w:tcW w:w="218" w:type="pct"/>
            <w:tcBorders>
              <w:top w:val="nil"/>
              <w:left w:val="nil"/>
              <w:bottom w:val="single" w:sz="4" w:space="0" w:color="auto"/>
              <w:right w:val="single" w:sz="4" w:space="0" w:color="auto"/>
            </w:tcBorders>
            <w:shd w:val="clear" w:color="auto" w:fill="auto"/>
            <w:noWrap/>
            <w:vAlign w:val="center"/>
            <w:hideMark/>
          </w:tcPr>
          <w:p w:rsidR="009E4475" w:rsidRPr="00422183" w:rsidRDefault="001D3B5D"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31,5</w:t>
            </w:r>
            <w:r w:rsidR="009E4475" w:rsidRPr="00422183">
              <w:rPr>
                <w:rFonts w:ascii="Rockwell" w:eastAsia="Times New Roman" w:hAnsi="Rockwell" w:cs="Times New Roman"/>
                <w:sz w:val="18"/>
                <w:szCs w:val="18"/>
              </w:rPr>
              <w:t> </w:t>
            </w:r>
          </w:p>
        </w:tc>
        <w:tc>
          <w:tcPr>
            <w:tcW w:w="219"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182" w:type="pct"/>
            <w:tcBorders>
              <w:top w:val="nil"/>
              <w:left w:val="nil"/>
              <w:bottom w:val="single" w:sz="4" w:space="0" w:color="auto"/>
              <w:right w:val="single" w:sz="4" w:space="0" w:color="auto"/>
            </w:tcBorders>
            <w:shd w:val="clear" w:color="auto" w:fill="auto"/>
            <w:noWrap/>
            <w:vAlign w:val="center"/>
            <w:hideMark/>
          </w:tcPr>
          <w:p w:rsidR="009E4475" w:rsidRPr="00422183" w:rsidRDefault="009E4475" w:rsidP="009E4475">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9E4475" w:rsidRPr="00422183" w:rsidRDefault="001D3B5D" w:rsidP="001D3B5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139</w:t>
            </w:r>
          </w:p>
        </w:tc>
      </w:tr>
      <w:tr w:rsidR="00FA7B1D" w:rsidRPr="00422183" w:rsidTr="00794641">
        <w:trPr>
          <w:gridAfter w:val="1"/>
          <w:wAfter w:w="145" w:type="pct"/>
          <w:trHeight w:val="720"/>
        </w:trPr>
        <w:tc>
          <w:tcPr>
            <w:tcW w:w="174" w:type="pct"/>
            <w:tcBorders>
              <w:top w:val="nil"/>
              <w:left w:val="single" w:sz="4" w:space="0" w:color="auto"/>
              <w:bottom w:val="single" w:sz="4" w:space="0" w:color="auto"/>
              <w:right w:val="single" w:sz="4" w:space="0" w:color="auto"/>
            </w:tcBorders>
            <w:shd w:val="clear" w:color="auto" w:fill="auto"/>
            <w:vAlign w:val="center"/>
          </w:tcPr>
          <w:p w:rsidR="00FA7B1D" w:rsidRPr="00422183" w:rsidRDefault="00794641" w:rsidP="00FA7B1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118</w:t>
            </w:r>
          </w:p>
        </w:tc>
        <w:tc>
          <w:tcPr>
            <w:tcW w:w="541"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Etendre la fibre optique dans toutes les provinces du Burkina</w:t>
            </w:r>
          </w:p>
        </w:tc>
        <w:tc>
          <w:tcPr>
            <w:tcW w:w="1067"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Taux de couverture du territoire national en fibre optique</w:t>
            </w:r>
          </w:p>
        </w:tc>
        <w:tc>
          <w:tcPr>
            <w:tcW w:w="446"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MDENP</w:t>
            </w:r>
          </w:p>
        </w:tc>
        <w:tc>
          <w:tcPr>
            <w:tcW w:w="253"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p>
        </w:tc>
        <w:tc>
          <w:tcPr>
            <w:tcW w:w="214" w:type="pct"/>
            <w:gridSpan w:val="2"/>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p>
        </w:tc>
        <w:tc>
          <w:tcPr>
            <w:tcW w:w="218"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p>
        </w:tc>
        <w:tc>
          <w:tcPr>
            <w:tcW w:w="219"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p>
        </w:tc>
        <w:tc>
          <w:tcPr>
            <w:tcW w:w="419" w:type="pct"/>
            <w:gridSpan w:val="2"/>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sz w:val="18"/>
                <w:szCs w:val="18"/>
              </w:rPr>
            </w:pPr>
            <w:r w:rsidRPr="00422183">
              <w:rPr>
                <w:rFonts w:ascii="Rockwell" w:eastAsia="Times New Roman" w:hAnsi="Rockwell" w:cs="Times New Roman"/>
                <w:sz w:val="18"/>
                <w:szCs w:val="18"/>
              </w:rPr>
              <w:t>16,5</w:t>
            </w:r>
          </w:p>
        </w:tc>
      </w:tr>
      <w:tr w:rsidR="00FA7B1D" w:rsidRPr="00422183" w:rsidTr="001D3B5D">
        <w:trPr>
          <w:gridAfter w:val="1"/>
          <w:wAfter w:w="145" w:type="pct"/>
          <w:trHeight w:val="507"/>
        </w:trPr>
        <w:tc>
          <w:tcPr>
            <w:tcW w:w="4441" w:type="pct"/>
            <w:gridSpan w:val="16"/>
            <w:tcBorders>
              <w:top w:val="single" w:sz="4" w:space="0" w:color="auto"/>
              <w:left w:val="single" w:sz="4" w:space="0" w:color="auto"/>
              <w:bottom w:val="single" w:sz="4" w:space="0" w:color="auto"/>
              <w:right w:val="single" w:sz="4" w:space="0" w:color="auto"/>
            </w:tcBorders>
            <w:shd w:val="clear" w:color="000000" w:fill="BDD7EE"/>
            <w:vAlign w:val="center"/>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sz w:val="18"/>
                <w:szCs w:val="18"/>
              </w:rPr>
              <w:t>Objectif stratégique 3.5 : Inverser la tendance de la dégradation de l'environnement et assurer durablement la gestion des ressources naturelles</w:t>
            </w:r>
            <w:r w:rsidRPr="00422183">
              <w:rPr>
                <w:rFonts w:ascii="Rockwell" w:eastAsia="Times New Roman" w:hAnsi="Rockwell" w:cs="Times New Roman"/>
                <w:b/>
                <w:bCs/>
              </w:rPr>
              <w:t> </w:t>
            </w:r>
          </w:p>
        </w:tc>
        <w:tc>
          <w:tcPr>
            <w:tcW w:w="414" w:type="pct"/>
            <w:tcBorders>
              <w:top w:val="nil"/>
              <w:left w:val="nil"/>
              <w:bottom w:val="single" w:sz="4" w:space="0" w:color="auto"/>
              <w:right w:val="single" w:sz="4" w:space="0" w:color="auto"/>
            </w:tcBorders>
            <w:shd w:val="clear" w:color="000000" w:fill="BDD7EE"/>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69,23</w:t>
            </w: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FA7B1D" w:rsidRPr="00422183" w:rsidRDefault="00794641" w:rsidP="00FA7B1D">
            <w:pPr>
              <w:spacing w:after="0" w:line="240" w:lineRule="auto"/>
              <w:jc w:val="center"/>
              <w:rPr>
                <w:rFonts w:ascii="Rockwell" w:eastAsia="Times New Roman" w:hAnsi="Rockwell" w:cs="Times New Roman"/>
                <w:bCs/>
                <w:sz w:val="18"/>
                <w:szCs w:val="18"/>
              </w:rPr>
            </w:pPr>
            <w:r w:rsidRPr="00422183">
              <w:rPr>
                <w:rFonts w:ascii="Rockwell" w:eastAsia="Times New Roman" w:hAnsi="Rockwell" w:cs="Times New Roman"/>
                <w:bCs/>
                <w:sz w:val="18"/>
                <w:szCs w:val="18"/>
              </w:rPr>
              <w:t>119</w:t>
            </w:r>
          </w:p>
        </w:tc>
        <w:tc>
          <w:tcPr>
            <w:tcW w:w="541"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Récupérer les terres  dégradées</w:t>
            </w:r>
          </w:p>
        </w:tc>
        <w:tc>
          <w:tcPr>
            <w:tcW w:w="1067"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Superficie de terres récupérées </w:t>
            </w:r>
          </w:p>
        </w:tc>
        <w:tc>
          <w:tcPr>
            <w:tcW w:w="446"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8"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9"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182"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1,50</w:t>
            </w: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tcPr>
          <w:p w:rsidR="00FA7B1D" w:rsidRPr="00422183" w:rsidRDefault="00794641" w:rsidP="00FA7B1D">
            <w:pPr>
              <w:spacing w:after="0" w:line="240" w:lineRule="auto"/>
              <w:jc w:val="center"/>
              <w:rPr>
                <w:rFonts w:ascii="Rockwell" w:eastAsia="Times New Roman" w:hAnsi="Rockwell" w:cs="Times New Roman"/>
                <w:bCs/>
                <w:sz w:val="18"/>
                <w:szCs w:val="18"/>
              </w:rPr>
            </w:pPr>
            <w:r w:rsidRPr="00422183">
              <w:rPr>
                <w:rFonts w:ascii="Rockwell" w:eastAsia="Times New Roman" w:hAnsi="Rockwell" w:cs="Times New Roman"/>
                <w:bCs/>
                <w:sz w:val="18"/>
                <w:szCs w:val="18"/>
              </w:rPr>
              <w:t>120</w:t>
            </w:r>
          </w:p>
        </w:tc>
        <w:tc>
          <w:tcPr>
            <w:tcW w:w="541"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Créer des éco villages en tant que modèle de développement durable </w:t>
            </w:r>
          </w:p>
        </w:tc>
        <w:tc>
          <w:tcPr>
            <w:tcW w:w="1067"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d’éco villages créés </w:t>
            </w:r>
          </w:p>
        </w:tc>
        <w:tc>
          <w:tcPr>
            <w:tcW w:w="446"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4" w:type="pct"/>
            <w:gridSpan w:val="2"/>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8"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9"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182"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419" w:type="pct"/>
            <w:gridSpan w:val="2"/>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32</w:t>
            </w: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FA7B1D" w:rsidRPr="00422183" w:rsidRDefault="00794641" w:rsidP="00FA7B1D">
            <w:pPr>
              <w:spacing w:after="0" w:line="240" w:lineRule="auto"/>
              <w:jc w:val="center"/>
              <w:rPr>
                <w:rFonts w:ascii="Rockwell" w:eastAsia="Times New Roman" w:hAnsi="Rockwell" w:cs="Times New Roman"/>
                <w:bCs/>
                <w:sz w:val="18"/>
                <w:szCs w:val="18"/>
              </w:rPr>
            </w:pPr>
            <w:r w:rsidRPr="00422183">
              <w:rPr>
                <w:rFonts w:ascii="Rockwell" w:eastAsia="Times New Roman" w:hAnsi="Rockwell" w:cs="Times New Roman"/>
                <w:bCs/>
                <w:sz w:val="18"/>
                <w:szCs w:val="18"/>
              </w:rPr>
              <w:t>121</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FA7B1D" w:rsidRPr="00422183" w:rsidRDefault="00FA7B1D" w:rsidP="00794641">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Améliorer la gouvernance environnementale</w:t>
            </w:r>
          </w:p>
        </w:tc>
        <w:tc>
          <w:tcPr>
            <w:tcW w:w="1067"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d'outils d'évaluation d'impact environnemental élaborés et mis en œuvre </w:t>
            </w:r>
          </w:p>
        </w:tc>
        <w:tc>
          <w:tcPr>
            <w:tcW w:w="446"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8"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9"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182"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67.73</w:t>
            </w: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541" w:type="pct"/>
            <w:vMerge/>
            <w:tcBorders>
              <w:top w:val="nil"/>
              <w:left w:val="single" w:sz="4" w:space="0" w:color="auto"/>
              <w:bottom w:val="single" w:sz="4" w:space="0" w:color="000000"/>
              <w:right w:val="single" w:sz="4" w:space="0" w:color="auto"/>
            </w:tcBorders>
            <w:vAlign w:val="center"/>
            <w:hideMark/>
          </w:tcPr>
          <w:p w:rsidR="00FA7B1D" w:rsidRPr="00422183" w:rsidRDefault="00FA7B1D" w:rsidP="00FA7B1D">
            <w:pPr>
              <w:spacing w:after="0" w:line="240" w:lineRule="auto"/>
              <w:rPr>
                <w:rFonts w:ascii="Rockwell" w:eastAsia="Times New Roman" w:hAnsi="Rockwell" w:cs="Times New Roman"/>
                <w:sz w:val="18"/>
                <w:szCs w:val="18"/>
              </w:rPr>
            </w:pPr>
          </w:p>
        </w:tc>
        <w:tc>
          <w:tcPr>
            <w:tcW w:w="1067"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Nombre de mécanismes d'incitation et ou d'indemnisation </w:t>
            </w:r>
          </w:p>
        </w:tc>
        <w:tc>
          <w:tcPr>
            <w:tcW w:w="446" w:type="pct"/>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53"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11"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c>
          <w:tcPr>
            <w:tcW w:w="245"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8"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219"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182" w:type="pct"/>
            <w:tcBorders>
              <w:top w:val="nil"/>
              <w:left w:val="nil"/>
              <w:bottom w:val="single" w:sz="4" w:space="0" w:color="auto"/>
              <w:right w:val="single" w:sz="4" w:space="0" w:color="auto"/>
            </w:tcBorders>
            <w:shd w:val="clear" w:color="auto" w:fill="auto"/>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 </w:t>
            </w:r>
          </w:p>
        </w:tc>
        <w:tc>
          <w:tcPr>
            <w:tcW w:w="419" w:type="pct"/>
            <w:gridSpan w:val="2"/>
            <w:tcBorders>
              <w:top w:val="nil"/>
              <w:left w:val="nil"/>
              <w:bottom w:val="single" w:sz="4" w:space="0" w:color="auto"/>
              <w:right w:val="single" w:sz="4" w:space="0" w:color="auto"/>
            </w:tcBorders>
            <w:shd w:val="clear" w:color="auto" w:fill="auto"/>
            <w:vAlign w:val="center"/>
            <w:hideMark/>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 </w:t>
            </w: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tcPr>
          <w:p w:rsidR="00FA7B1D" w:rsidRPr="00422183" w:rsidRDefault="00794641" w:rsidP="00FA7B1D">
            <w:pPr>
              <w:spacing w:after="0" w:line="240" w:lineRule="auto"/>
              <w:jc w:val="center"/>
              <w:rPr>
                <w:rFonts w:ascii="Rockwell" w:eastAsia="Times New Roman" w:hAnsi="Rockwell" w:cs="Times New Roman"/>
                <w:bCs/>
                <w:sz w:val="18"/>
                <w:szCs w:val="18"/>
              </w:rPr>
            </w:pPr>
            <w:r w:rsidRPr="00422183">
              <w:rPr>
                <w:rFonts w:ascii="Rockwell" w:eastAsia="Times New Roman" w:hAnsi="Rockwell" w:cs="Times New Roman"/>
                <w:bCs/>
                <w:sz w:val="18"/>
                <w:szCs w:val="18"/>
              </w:rPr>
              <w:t>122</w:t>
            </w:r>
          </w:p>
        </w:tc>
        <w:tc>
          <w:tcPr>
            <w:tcW w:w="541" w:type="pct"/>
            <w:tcBorders>
              <w:top w:val="nil"/>
              <w:left w:val="single" w:sz="4" w:space="0" w:color="auto"/>
              <w:bottom w:val="single" w:sz="4" w:space="0" w:color="000000"/>
              <w:right w:val="single" w:sz="4" w:space="0" w:color="auto"/>
            </w:tcBorders>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Renforcer les capacités de mobilisation des financements innovants du fonds d’intervention pour l’environnement </w:t>
            </w:r>
          </w:p>
        </w:tc>
        <w:tc>
          <w:tcPr>
            <w:tcW w:w="1067"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 xml:space="preserve">Volume de financements innovants </w:t>
            </w:r>
          </w:p>
        </w:tc>
        <w:tc>
          <w:tcPr>
            <w:tcW w:w="446"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4" w:type="pct"/>
            <w:gridSpan w:val="2"/>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8"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9"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182"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419" w:type="pct"/>
            <w:gridSpan w:val="2"/>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p>
        </w:tc>
      </w:tr>
      <w:tr w:rsidR="00FA7B1D" w:rsidRPr="00422183" w:rsidTr="00794641">
        <w:trPr>
          <w:gridAfter w:val="1"/>
          <w:wAfter w:w="145" w:type="pct"/>
          <w:trHeight w:val="915"/>
        </w:trPr>
        <w:tc>
          <w:tcPr>
            <w:tcW w:w="174" w:type="pct"/>
            <w:tcBorders>
              <w:top w:val="nil"/>
              <w:left w:val="single" w:sz="4" w:space="0" w:color="auto"/>
              <w:bottom w:val="single" w:sz="4" w:space="0" w:color="auto"/>
              <w:right w:val="single" w:sz="4" w:space="0" w:color="auto"/>
            </w:tcBorders>
            <w:shd w:val="clear" w:color="auto" w:fill="auto"/>
            <w:vAlign w:val="center"/>
          </w:tcPr>
          <w:p w:rsidR="00FA7B1D" w:rsidRPr="00422183" w:rsidRDefault="00794641" w:rsidP="00FA7B1D">
            <w:pPr>
              <w:spacing w:after="0" w:line="240" w:lineRule="auto"/>
              <w:jc w:val="center"/>
              <w:rPr>
                <w:rFonts w:ascii="Rockwell" w:eastAsia="Times New Roman" w:hAnsi="Rockwell" w:cs="Times New Roman"/>
                <w:bCs/>
                <w:sz w:val="18"/>
                <w:szCs w:val="18"/>
              </w:rPr>
            </w:pPr>
            <w:r w:rsidRPr="00422183">
              <w:rPr>
                <w:rFonts w:ascii="Rockwell" w:eastAsia="Times New Roman" w:hAnsi="Rockwell" w:cs="Times New Roman"/>
                <w:bCs/>
                <w:sz w:val="18"/>
                <w:szCs w:val="18"/>
              </w:rPr>
              <w:t>123</w:t>
            </w:r>
          </w:p>
        </w:tc>
        <w:tc>
          <w:tcPr>
            <w:tcW w:w="541" w:type="pct"/>
            <w:tcBorders>
              <w:top w:val="nil"/>
              <w:left w:val="single" w:sz="4" w:space="0" w:color="auto"/>
              <w:bottom w:val="single" w:sz="4" w:space="0" w:color="000000"/>
              <w:right w:val="single" w:sz="4" w:space="0" w:color="auto"/>
            </w:tcBorders>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Renforcer l’investissement forestier</w:t>
            </w:r>
          </w:p>
        </w:tc>
        <w:tc>
          <w:tcPr>
            <w:tcW w:w="1067"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rPr>
                <w:rFonts w:ascii="Rockwell" w:eastAsia="Times New Roman" w:hAnsi="Rockwell" w:cs="Times New Roman"/>
                <w:sz w:val="18"/>
                <w:szCs w:val="18"/>
              </w:rPr>
            </w:pPr>
            <w:r w:rsidRPr="00422183">
              <w:rPr>
                <w:rFonts w:ascii="Rockwell" w:eastAsia="Times New Roman" w:hAnsi="Rockwell" w:cs="Times New Roman"/>
                <w:sz w:val="18"/>
                <w:szCs w:val="18"/>
              </w:rPr>
              <w:t>Niveau des émissions de CO2 forestière</w:t>
            </w:r>
          </w:p>
        </w:tc>
        <w:tc>
          <w:tcPr>
            <w:tcW w:w="446" w:type="pct"/>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MEEVCC</w:t>
            </w:r>
          </w:p>
        </w:tc>
        <w:tc>
          <w:tcPr>
            <w:tcW w:w="253"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0"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11"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X</w:t>
            </w: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p>
        </w:tc>
        <w:tc>
          <w:tcPr>
            <w:tcW w:w="245"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4" w:type="pct"/>
            <w:gridSpan w:val="2"/>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8"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9"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182" w:type="pct"/>
            <w:tcBorders>
              <w:top w:val="nil"/>
              <w:left w:val="nil"/>
              <w:bottom w:val="single" w:sz="4" w:space="0" w:color="auto"/>
              <w:right w:val="single" w:sz="4" w:space="0" w:color="auto"/>
            </w:tcBorders>
            <w:shd w:val="clear" w:color="auto" w:fill="auto"/>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419" w:type="pct"/>
            <w:gridSpan w:val="2"/>
            <w:tcBorders>
              <w:top w:val="nil"/>
              <w:left w:val="nil"/>
              <w:bottom w:val="single" w:sz="4" w:space="0" w:color="auto"/>
              <w:right w:val="single" w:sz="4" w:space="0" w:color="auto"/>
            </w:tcBorders>
            <w:shd w:val="clear" w:color="auto" w:fill="auto"/>
            <w:vAlign w:val="center"/>
          </w:tcPr>
          <w:p w:rsidR="00FA7B1D" w:rsidRPr="00422183" w:rsidRDefault="00FA7B1D" w:rsidP="00FA7B1D">
            <w:pPr>
              <w:spacing w:after="0" w:line="240" w:lineRule="auto"/>
              <w:jc w:val="center"/>
              <w:rPr>
                <w:rFonts w:ascii="Rockwell" w:eastAsia="Times New Roman" w:hAnsi="Rockwell" w:cs="Times New Roman"/>
                <w:b/>
                <w:bCs/>
                <w:sz w:val="18"/>
                <w:szCs w:val="18"/>
              </w:rPr>
            </w:pPr>
            <w:r w:rsidRPr="00422183">
              <w:rPr>
                <w:rFonts w:ascii="Rockwell" w:eastAsia="Times New Roman" w:hAnsi="Rockwell" w:cs="Times New Roman"/>
                <w:b/>
                <w:bCs/>
                <w:sz w:val="18"/>
                <w:szCs w:val="18"/>
              </w:rPr>
              <w:t>14</w:t>
            </w:r>
          </w:p>
        </w:tc>
      </w:tr>
      <w:tr w:rsidR="00FA7B1D" w:rsidRPr="00422183" w:rsidTr="00794641">
        <w:trPr>
          <w:gridAfter w:val="1"/>
          <w:wAfter w:w="145" w:type="pct"/>
          <w:trHeight w:val="300"/>
        </w:trPr>
        <w:tc>
          <w:tcPr>
            <w:tcW w:w="174" w:type="pct"/>
            <w:tcBorders>
              <w:top w:val="nil"/>
              <w:left w:val="single" w:sz="4" w:space="0" w:color="auto"/>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541" w:type="pct"/>
            <w:tcBorders>
              <w:top w:val="nil"/>
              <w:left w:val="nil"/>
              <w:bottom w:val="single" w:sz="4" w:space="0" w:color="auto"/>
              <w:right w:val="single" w:sz="4" w:space="0" w:color="auto"/>
            </w:tcBorders>
            <w:shd w:val="clear" w:color="000000" w:fill="FFC000"/>
            <w:vAlign w:val="center"/>
            <w:hideMark/>
          </w:tcPr>
          <w:p w:rsidR="00FA7B1D" w:rsidRPr="00422183" w:rsidRDefault="00FA7B1D" w:rsidP="00FA7B1D">
            <w:pPr>
              <w:spacing w:after="0" w:line="240" w:lineRule="auto"/>
              <w:rPr>
                <w:rFonts w:ascii="Rockwell" w:eastAsia="Times New Roman" w:hAnsi="Rockwell" w:cs="Times New Roman"/>
                <w:b/>
                <w:bCs/>
                <w:sz w:val="18"/>
                <w:szCs w:val="18"/>
              </w:rPr>
            </w:pPr>
            <w:r w:rsidRPr="00422183">
              <w:rPr>
                <w:rFonts w:ascii="Rockwell" w:eastAsia="Times New Roman" w:hAnsi="Rockwell" w:cs="Times New Roman"/>
                <w:b/>
                <w:bCs/>
                <w:sz w:val="18"/>
                <w:szCs w:val="18"/>
              </w:rPr>
              <w:t>TOTAL</w:t>
            </w:r>
          </w:p>
        </w:tc>
        <w:tc>
          <w:tcPr>
            <w:tcW w:w="1067"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446" w:type="pct"/>
            <w:tcBorders>
              <w:top w:val="nil"/>
              <w:left w:val="nil"/>
              <w:bottom w:val="single" w:sz="4" w:space="0" w:color="auto"/>
              <w:right w:val="single" w:sz="4" w:space="0" w:color="auto"/>
            </w:tcBorders>
            <w:shd w:val="clear" w:color="000000" w:fill="FFC000"/>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53"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11"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10"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11"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45" w:type="pct"/>
            <w:tcBorders>
              <w:top w:val="nil"/>
              <w:left w:val="nil"/>
              <w:bottom w:val="single" w:sz="4" w:space="0" w:color="auto"/>
              <w:right w:val="single" w:sz="4" w:space="0" w:color="auto"/>
            </w:tcBorders>
            <w:shd w:val="clear" w:color="000000" w:fill="FFC000"/>
            <w:noWrap/>
            <w:vAlign w:val="bottom"/>
            <w:hideMark/>
          </w:tcPr>
          <w:p w:rsidR="00FA7B1D" w:rsidRPr="00422183" w:rsidRDefault="00FA7B1D" w:rsidP="00FA7B1D">
            <w:pPr>
              <w:spacing w:after="0" w:line="240" w:lineRule="auto"/>
              <w:rPr>
                <w:rFonts w:ascii="Rockwell" w:eastAsia="Times New Roman" w:hAnsi="Rockwell" w:cs="Times New Roman"/>
                <w:b/>
                <w:bCs/>
              </w:rPr>
            </w:pPr>
            <w:r w:rsidRPr="00422183">
              <w:rPr>
                <w:rFonts w:ascii="Rockwell" w:eastAsia="Times New Roman" w:hAnsi="Rockwell" w:cs="Times New Roman"/>
                <w:b/>
                <w:bCs/>
              </w:rPr>
              <w:t> </w:t>
            </w:r>
          </w:p>
        </w:tc>
        <w:tc>
          <w:tcPr>
            <w:tcW w:w="245" w:type="pct"/>
            <w:tcBorders>
              <w:top w:val="nil"/>
              <w:left w:val="nil"/>
              <w:bottom w:val="single" w:sz="4" w:space="0" w:color="auto"/>
              <w:right w:val="single" w:sz="4" w:space="0" w:color="auto"/>
            </w:tcBorders>
            <w:shd w:val="clear" w:color="000000" w:fill="FFC000"/>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4" w:type="pct"/>
            <w:gridSpan w:val="2"/>
            <w:tcBorders>
              <w:top w:val="nil"/>
              <w:left w:val="nil"/>
              <w:bottom w:val="single" w:sz="4" w:space="0" w:color="auto"/>
              <w:right w:val="single" w:sz="4" w:space="0" w:color="auto"/>
            </w:tcBorders>
            <w:shd w:val="clear" w:color="000000" w:fill="FFC000"/>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8" w:type="pct"/>
            <w:tcBorders>
              <w:top w:val="nil"/>
              <w:left w:val="nil"/>
              <w:bottom w:val="single" w:sz="4" w:space="0" w:color="auto"/>
              <w:right w:val="single" w:sz="4" w:space="0" w:color="auto"/>
            </w:tcBorders>
            <w:shd w:val="clear" w:color="000000" w:fill="FFC000"/>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219" w:type="pct"/>
            <w:tcBorders>
              <w:top w:val="nil"/>
              <w:left w:val="nil"/>
              <w:bottom w:val="single" w:sz="4" w:space="0" w:color="auto"/>
              <w:right w:val="single" w:sz="4" w:space="0" w:color="auto"/>
            </w:tcBorders>
            <w:shd w:val="clear" w:color="000000" w:fill="FFC000"/>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182" w:type="pct"/>
            <w:tcBorders>
              <w:top w:val="nil"/>
              <w:left w:val="nil"/>
              <w:bottom w:val="single" w:sz="4" w:space="0" w:color="auto"/>
              <w:right w:val="single" w:sz="4" w:space="0" w:color="auto"/>
            </w:tcBorders>
            <w:shd w:val="clear" w:color="000000" w:fill="FFC000"/>
            <w:noWrap/>
            <w:vAlign w:val="center"/>
          </w:tcPr>
          <w:p w:rsidR="00FA7B1D" w:rsidRPr="00422183" w:rsidRDefault="00FA7B1D" w:rsidP="00FA7B1D">
            <w:pPr>
              <w:spacing w:after="0" w:line="240" w:lineRule="auto"/>
              <w:jc w:val="center"/>
              <w:rPr>
                <w:rFonts w:ascii="Rockwell" w:eastAsia="Times New Roman" w:hAnsi="Rockwell" w:cs="Times New Roman"/>
                <w:b/>
                <w:bCs/>
              </w:rPr>
            </w:pPr>
          </w:p>
        </w:tc>
        <w:tc>
          <w:tcPr>
            <w:tcW w:w="419" w:type="pct"/>
            <w:gridSpan w:val="2"/>
            <w:tcBorders>
              <w:top w:val="nil"/>
              <w:left w:val="nil"/>
              <w:bottom w:val="single" w:sz="4" w:space="0" w:color="auto"/>
              <w:right w:val="single" w:sz="4" w:space="0" w:color="auto"/>
            </w:tcBorders>
            <w:shd w:val="clear" w:color="000000" w:fill="FFC000"/>
            <w:noWrap/>
            <w:vAlign w:val="center"/>
            <w:hideMark/>
          </w:tcPr>
          <w:p w:rsidR="00FA7B1D" w:rsidRPr="00422183" w:rsidRDefault="00FA7B1D" w:rsidP="00FA7B1D">
            <w:pPr>
              <w:spacing w:after="0" w:line="240" w:lineRule="auto"/>
              <w:jc w:val="center"/>
              <w:rPr>
                <w:rFonts w:ascii="Rockwell" w:eastAsia="Times New Roman" w:hAnsi="Rockwell" w:cs="Times New Roman"/>
                <w:b/>
                <w:bCs/>
              </w:rPr>
            </w:pPr>
            <w:r w:rsidRPr="00422183">
              <w:rPr>
                <w:rFonts w:ascii="Rockwell" w:eastAsia="Times New Roman" w:hAnsi="Rockwell" w:cs="Times New Roman"/>
                <w:b/>
                <w:bCs/>
              </w:rPr>
              <w:t>6 068.69</w:t>
            </w:r>
          </w:p>
        </w:tc>
      </w:tr>
    </w:tbl>
    <w:p w:rsidR="00FD19E5" w:rsidRPr="00422183" w:rsidRDefault="00FD19E5" w:rsidP="003A0820">
      <w:pPr>
        <w:spacing w:after="0" w:line="240" w:lineRule="auto"/>
        <w:jc w:val="both"/>
        <w:rPr>
          <w:rFonts w:ascii="Rockwell" w:hAnsi="Rockwell" w:cs="Times New Roman"/>
          <w:bCs/>
          <w:sz w:val="24"/>
          <w:szCs w:val="24"/>
        </w:rPr>
      </w:pPr>
    </w:p>
    <w:p w:rsidR="00D42A61" w:rsidRPr="00422183" w:rsidRDefault="00D42A61" w:rsidP="003A0820">
      <w:pPr>
        <w:spacing w:after="0" w:line="240" w:lineRule="auto"/>
        <w:jc w:val="both"/>
        <w:rPr>
          <w:rFonts w:ascii="Rockwell" w:hAnsi="Rockwell" w:cs="Times New Roman"/>
          <w:bCs/>
          <w:sz w:val="24"/>
          <w:szCs w:val="24"/>
        </w:rPr>
      </w:pPr>
    </w:p>
    <w:p w:rsidR="00D42A61" w:rsidRPr="00422183" w:rsidRDefault="00D42A61">
      <w:pPr>
        <w:rPr>
          <w:rFonts w:ascii="Rockwell" w:hAnsi="Rockwell" w:cs="Times New Roman"/>
          <w:bCs/>
          <w:sz w:val="24"/>
          <w:szCs w:val="24"/>
        </w:rPr>
      </w:pPr>
      <w:r w:rsidRPr="00422183">
        <w:rPr>
          <w:rFonts w:ascii="Rockwell" w:hAnsi="Rockwell" w:cs="Times New Roman"/>
          <w:bCs/>
          <w:sz w:val="24"/>
          <w:szCs w:val="24"/>
        </w:rPr>
        <w:br w:type="page"/>
      </w:r>
    </w:p>
    <w:p w:rsidR="00C137D5" w:rsidRPr="00422183" w:rsidRDefault="00C137D5" w:rsidP="003A0820">
      <w:pPr>
        <w:spacing w:after="0" w:line="240" w:lineRule="auto"/>
        <w:jc w:val="both"/>
        <w:rPr>
          <w:rFonts w:ascii="Rockwell" w:hAnsi="Rockwell" w:cs="Times New Roman"/>
          <w:bCs/>
          <w:sz w:val="24"/>
          <w:szCs w:val="24"/>
        </w:rPr>
        <w:sectPr w:rsidR="00C137D5" w:rsidRPr="00422183" w:rsidSect="00516FB0">
          <w:footerReference w:type="default" r:id="rId16"/>
          <w:headerReference w:type="first" r:id="rId17"/>
          <w:pgSz w:w="16838" w:h="11906" w:orient="landscape" w:code="9"/>
          <w:pgMar w:top="1134" w:right="1134" w:bottom="1134" w:left="1134" w:header="709" w:footer="709" w:gutter="0"/>
          <w:cols w:space="708"/>
          <w:docGrid w:linePitch="360"/>
        </w:sectPr>
      </w:pPr>
    </w:p>
    <w:p w:rsidR="00D42A61" w:rsidRPr="00422183" w:rsidRDefault="00D42A61" w:rsidP="003A0820">
      <w:pPr>
        <w:spacing w:after="0" w:line="240" w:lineRule="auto"/>
        <w:jc w:val="both"/>
        <w:rPr>
          <w:rFonts w:ascii="Rockwell" w:hAnsi="Rockwell" w:cs="Times New Roman"/>
          <w:bCs/>
          <w:sz w:val="24"/>
          <w:szCs w:val="24"/>
        </w:rPr>
      </w:pPr>
    </w:p>
    <w:p w:rsidR="00C137D5" w:rsidRPr="00422183" w:rsidRDefault="00C137D5" w:rsidP="003A0820">
      <w:pPr>
        <w:spacing w:after="0" w:line="240" w:lineRule="auto"/>
        <w:jc w:val="both"/>
        <w:rPr>
          <w:rFonts w:ascii="Rockwell" w:hAnsi="Rockwell" w:cs="Times New Roman"/>
          <w:bCs/>
          <w:sz w:val="24"/>
          <w:szCs w:val="24"/>
        </w:rPr>
      </w:pPr>
    </w:p>
    <w:p w:rsidR="00C137D5" w:rsidRPr="00422183" w:rsidRDefault="00C137D5" w:rsidP="00C137D5">
      <w:pPr>
        <w:pStyle w:val="PNDES1"/>
        <w:numPr>
          <w:ilvl w:val="0"/>
          <w:numId w:val="0"/>
        </w:numPr>
        <w:ind w:left="567" w:hanging="283"/>
      </w:pPr>
      <w:bookmarkStart w:id="1006" w:name="_Toc455079244"/>
      <w:bookmarkStart w:id="1007" w:name="_Toc455132815"/>
      <w:r w:rsidRPr="00422183">
        <w:t>Tables des matières</w:t>
      </w:r>
      <w:bookmarkEnd w:id="1006"/>
      <w:bookmarkEnd w:id="1007"/>
      <w:r w:rsidRPr="00422183">
        <w:t xml:space="preserve"> </w:t>
      </w:r>
    </w:p>
    <w:p w:rsidR="00FA78A8" w:rsidRPr="00FA78A8" w:rsidRDefault="00491B03" w:rsidP="00FA78A8">
      <w:pPr>
        <w:pStyle w:val="TM1"/>
        <w:tabs>
          <w:tab w:val="right" w:leader="dot" w:pos="9628"/>
        </w:tabs>
        <w:jc w:val="both"/>
        <w:rPr>
          <w:rFonts w:ascii="Rockwell" w:hAnsi="Rockwell"/>
          <w:b w:val="0"/>
          <w:bCs w:val="0"/>
          <w:caps w:val="0"/>
          <w:noProof/>
          <w:sz w:val="22"/>
          <w:szCs w:val="22"/>
        </w:rPr>
      </w:pPr>
      <w:r w:rsidRPr="00FA78A8">
        <w:rPr>
          <w:rFonts w:ascii="Rockwell" w:hAnsi="Rockwell" w:cs="Times New Roman"/>
          <w:bCs w:val="0"/>
          <w:sz w:val="24"/>
          <w:szCs w:val="24"/>
        </w:rPr>
        <w:fldChar w:fldCharType="begin"/>
      </w:r>
      <w:r w:rsidR="00C137D5" w:rsidRPr="00FA78A8">
        <w:rPr>
          <w:rFonts w:ascii="Rockwell" w:hAnsi="Rockwell" w:cs="Times New Roman"/>
          <w:bCs w:val="0"/>
          <w:sz w:val="24"/>
          <w:szCs w:val="24"/>
        </w:rPr>
        <w:instrText xml:space="preserve"> TOC \o "1-3" \h \z \u </w:instrText>
      </w:r>
      <w:r w:rsidRPr="00FA78A8">
        <w:rPr>
          <w:rFonts w:ascii="Rockwell" w:hAnsi="Rockwell" w:cs="Times New Roman"/>
          <w:bCs w:val="0"/>
          <w:sz w:val="24"/>
          <w:szCs w:val="24"/>
        </w:rPr>
        <w:fldChar w:fldCharType="separate"/>
      </w:r>
      <w:hyperlink w:anchor="_Toc455132701" w:history="1">
        <w:r w:rsidR="00FA78A8" w:rsidRPr="00FA78A8">
          <w:rPr>
            <w:rStyle w:val="Lienhypertexte"/>
            <w:rFonts w:ascii="Rockwell" w:hAnsi="Rockwell"/>
            <w:noProof/>
          </w:rPr>
          <w:t>SIGLES ET ABRÉVIATIONS</w:t>
        </w:r>
        <w:r w:rsidR="00FA78A8" w:rsidRPr="00FA78A8">
          <w:rPr>
            <w:rFonts w:ascii="Rockwell" w:hAnsi="Rockwell"/>
            <w:noProof/>
            <w:webHidden/>
          </w:rPr>
          <w:tab/>
        </w:r>
        <w:r w:rsidRPr="00FA78A8">
          <w:rPr>
            <w:rFonts w:ascii="Rockwell" w:hAnsi="Rockwell"/>
            <w:noProof/>
            <w:webHidden/>
          </w:rPr>
          <w:fldChar w:fldCharType="begin"/>
        </w:r>
        <w:r w:rsidR="00FA78A8" w:rsidRPr="00FA78A8">
          <w:rPr>
            <w:rFonts w:ascii="Rockwell" w:hAnsi="Rockwell"/>
            <w:noProof/>
            <w:webHidden/>
          </w:rPr>
          <w:instrText xml:space="preserve"> PAGEREF _Toc455132701 \h </w:instrText>
        </w:r>
        <w:r w:rsidRPr="00FA78A8">
          <w:rPr>
            <w:rFonts w:ascii="Rockwell" w:hAnsi="Rockwell"/>
            <w:noProof/>
            <w:webHidden/>
          </w:rPr>
        </w:r>
        <w:r w:rsidRPr="00FA78A8">
          <w:rPr>
            <w:rFonts w:ascii="Rockwell" w:hAnsi="Rockwell"/>
            <w:noProof/>
            <w:webHidden/>
          </w:rPr>
          <w:fldChar w:fldCharType="separate"/>
        </w:r>
        <w:r w:rsidR="00FA78A8" w:rsidRPr="00FA78A8">
          <w:rPr>
            <w:rFonts w:ascii="Rockwell" w:hAnsi="Rockwell"/>
            <w:noProof/>
            <w:webHidden/>
          </w:rPr>
          <w:t>3</w:t>
        </w:r>
        <w:r w:rsidRPr="00FA78A8">
          <w:rPr>
            <w:rFonts w:ascii="Rockwell" w:hAnsi="Rockwell"/>
            <w:noProof/>
            <w:webHidden/>
          </w:rPr>
          <w:fldChar w:fldCharType="end"/>
        </w:r>
      </w:hyperlink>
    </w:p>
    <w:p w:rsidR="00FA78A8" w:rsidRPr="00FA78A8" w:rsidRDefault="00DD31E1" w:rsidP="00FA78A8">
      <w:pPr>
        <w:pStyle w:val="TM1"/>
        <w:tabs>
          <w:tab w:val="right" w:leader="dot" w:pos="9628"/>
        </w:tabs>
        <w:jc w:val="both"/>
        <w:rPr>
          <w:rFonts w:ascii="Rockwell" w:hAnsi="Rockwell"/>
          <w:b w:val="0"/>
          <w:bCs w:val="0"/>
          <w:caps w:val="0"/>
          <w:noProof/>
          <w:sz w:val="22"/>
          <w:szCs w:val="22"/>
        </w:rPr>
      </w:pPr>
      <w:hyperlink w:anchor="_Toc455132702" w:history="1">
        <w:r w:rsidR="00FA78A8" w:rsidRPr="00FA78A8">
          <w:rPr>
            <w:rStyle w:val="Lienhypertexte"/>
            <w:rFonts w:ascii="Rockwell" w:hAnsi="Rockwell"/>
            <w:noProof/>
          </w:rPr>
          <w:t>Résumé exécutif</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w:t>
        </w:r>
        <w:r w:rsidR="00491B03" w:rsidRPr="00FA78A8">
          <w:rPr>
            <w:rFonts w:ascii="Rockwell" w:hAnsi="Rockwell"/>
            <w:noProof/>
            <w:webHidden/>
          </w:rPr>
          <w:fldChar w:fldCharType="end"/>
        </w:r>
      </w:hyperlink>
    </w:p>
    <w:p w:rsidR="00FA78A8" w:rsidRPr="00FA78A8" w:rsidRDefault="00DD31E1" w:rsidP="00FA78A8">
      <w:pPr>
        <w:pStyle w:val="TM1"/>
        <w:tabs>
          <w:tab w:val="right" w:leader="dot" w:pos="9628"/>
        </w:tabs>
        <w:jc w:val="both"/>
        <w:rPr>
          <w:rFonts w:ascii="Rockwell" w:hAnsi="Rockwell"/>
          <w:b w:val="0"/>
          <w:bCs w:val="0"/>
          <w:caps w:val="0"/>
          <w:noProof/>
          <w:sz w:val="22"/>
          <w:szCs w:val="22"/>
        </w:rPr>
      </w:pPr>
      <w:hyperlink w:anchor="_Toc455132703" w:history="1">
        <w:r w:rsidR="00FA78A8" w:rsidRPr="00FA78A8">
          <w:rPr>
            <w:rStyle w:val="Lienhypertexte"/>
            <w:rFonts w:ascii="Rockwell" w:hAnsi="Rockwell"/>
            <w:noProof/>
          </w:rPr>
          <w:t>INTRODUCTION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11</w:t>
        </w:r>
        <w:r w:rsidR="00491B03" w:rsidRPr="00FA78A8">
          <w:rPr>
            <w:rFonts w:ascii="Rockwell" w:hAnsi="Rockwell"/>
            <w:noProof/>
            <w:webHidden/>
          </w:rPr>
          <w:fldChar w:fldCharType="end"/>
        </w:r>
      </w:hyperlink>
    </w:p>
    <w:p w:rsidR="00FA78A8" w:rsidRPr="00FA78A8" w:rsidRDefault="00DD31E1" w:rsidP="00FA78A8">
      <w:pPr>
        <w:pStyle w:val="TM1"/>
        <w:tabs>
          <w:tab w:val="left" w:pos="440"/>
          <w:tab w:val="right" w:leader="dot" w:pos="9628"/>
        </w:tabs>
        <w:jc w:val="both"/>
        <w:rPr>
          <w:rFonts w:ascii="Rockwell" w:hAnsi="Rockwell"/>
          <w:b w:val="0"/>
          <w:bCs w:val="0"/>
          <w:caps w:val="0"/>
          <w:noProof/>
          <w:sz w:val="22"/>
          <w:szCs w:val="22"/>
        </w:rPr>
      </w:pPr>
      <w:hyperlink w:anchor="_Toc455132704" w:history="1">
        <w:r w:rsidR="00FA78A8" w:rsidRPr="00FA78A8">
          <w:rPr>
            <w:rStyle w:val="Lienhypertexte"/>
            <w:rFonts w:ascii="Rockwell" w:hAnsi="Rockwell"/>
            <w:noProof/>
          </w:rPr>
          <w:t>I.</w:t>
        </w:r>
        <w:r w:rsidR="00FA78A8" w:rsidRPr="00FA78A8">
          <w:rPr>
            <w:rFonts w:ascii="Rockwell" w:hAnsi="Rockwell"/>
            <w:b w:val="0"/>
            <w:bCs w:val="0"/>
            <w:caps w:val="0"/>
            <w:noProof/>
            <w:sz w:val="22"/>
            <w:szCs w:val="22"/>
          </w:rPr>
          <w:tab/>
        </w:r>
        <w:r w:rsidR="00FA78A8" w:rsidRPr="00FA78A8">
          <w:rPr>
            <w:rStyle w:val="Lienhypertexte"/>
            <w:rFonts w:ascii="Rockwell" w:hAnsi="Rockwell"/>
            <w:noProof/>
          </w:rPr>
          <w:t>ANALYSE DIAGNOSTIQUE DE LA SITUATION ÉCONOMIQUE ET SOCIALE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15</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05" w:history="1">
        <w:r w:rsidR="00FA78A8" w:rsidRPr="00FA78A8">
          <w:rPr>
            <w:rStyle w:val="Lienhypertexte"/>
            <w:rFonts w:ascii="Rockwell" w:hAnsi="Rockwell"/>
            <w:noProof/>
          </w:rPr>
          <w:t>1.1.</w:t>
        </w:r>
        <w:r w:rsidR="00FA78A8" w:rsidRPr="00FA78A8">
          <w:rPr>
            <w:rFonts w:ascii="Rockwell" w:hAnsi="Rockwell"/>
            <w:smallCaps w:val="0"/>
            <w:noProof/>
            <w:sz w:val="22"/>
            <w:szCs w:val="22"/>
          </w:rPr>
          <w:tab/>
        </w:r>
        <w:r w:rsidR="00FA78A8" w:rsidRPr="00FA78A8">
          <w:rPr>
            <w:rStyle w:val="Lienhypertexte"/>
            <w:rFonts w:ascii="Rockwell" w:hAnsi="Rockwell"/>
            <w:noProof/>
          </w:rPr>
          <w:t>Une dynamique sociale peu évolutive et marquée par des inegalités persistantes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15</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06" w:history="1">
        <w:r w:rsidR="00FA78A8" w:rsidRPr="00FA78A8">
          <w:rPr>
            <w:rStyle w:val="Lienhypertexte"/>
            <w:rFonts w:ascii="Rockwell" w:hAnsi="Rockwell"/>
            <w:noProof/>
          </w:rPr>
          <w:t>1.1.1.</w:t>
        </w:r>
        <w:r w:rsidR="00FA78A8" w:rsidRPr="00FA78A8">
          <w:rPr>
            <w:rFonts w:ascii="Rockwell" w:hAnsi="Rockwell"/>
            <w:i w:val="0"/>
            <w:iCs w:val="0"/>
            <w:noProof/>
            <w:sz w:val="22"/>
            <w:szCs w:val="22"/>
          </w:rPr>
          <w:tab/>
        </w:r>
        <w:r w:rsidR="00FA78A8" w:rsidRPr="00FA78A8">
          <w:rPr>
            <w:rStyle w:val="Lienhypertexte"/>
            <w:rFonts w:ascii="Rockwell" w:hAnsi="Rockwell"/>
            <w:noProof/>
          </w:rPr>
          <w:t>Acquis majeurs des politiques antérieures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15</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07" w:history="1">
        <w:r w:rsidR="00FA78A8" w:rsidRPr="00FA78A8">
          <w:rPr>
            <w:rStyle w:val="Lienhypertexte"/>
            <w:rFonts w:ascii="Rockwell" w:hAnsi="Rockwell"/>
            <w:noProof/>
          </w:rPr>
          <w:t>1.1.2.</w:t>
        </w:r>
        <w:r w:rsidR="00FA78A8" w:rsidRPr="00FA78A8">
          <w:rPr>
            <w:rFonts w:ascii="Rockwell" w:hAnsi="Rockwell"/>
            <w:i w:val="0"/>
            <w:iCs w:val="0"/>
            <w:noProof/>
            <w:sz w:val="22"/>
            <w:szCs w:val="22"/>
          </w:rPr>
          <w:tab/>
        </w:r>
        <w:r w:rsidR="00FA78A8" w:rsidRPr="00FA78A8">
          <w:rPr>
            <w:rStyle w:val="Lienhypertexte"/>
            <w:rFonts w:ascii="Rockwell" w:hAnsi="Rockwell"/>
            <w:noProof/>
          </w:rPr>
          <w:t>Un faible recul de la pauvreté monétaire entre 2009 et 2014</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08" w:history="1">
        <w:r w:rsidR="00FA78A8" w:rsidRPr="00FA78A8">
          <w:rPr>
            <w:rStyle w:val="Lienhypertexte"/>
            <w:rFonts w:ascii="Rockwell" w:eastAsia="Calibri" w:hAnsi="Rockwell"/>
            <w:noProof/>
          </w:rPr>
          <w:t>1.1.3.</w:t>
        </w:r>
        <w:r w:rsidR="00FA78A8" w:rsidRPr="00FA78A8">
          <w:rPr>
            <w:rFonts w:ascii="Rockwell" w:hAnsi="Rockwell"/>
            <w:i w:val="0"/>
            <w:iCs w:val="0"/>
            <w:noProof/>
            <w:sz w:val="22"/>
            <w:szCs w:val="22"/>
          </w:rPr>
          <w:tab/>
        </w:r>
        <w:r w:rsidR="00FA78A8" w:rsidRPr="00FA78A8">
          <w:rPr>
            <w:rStyle w:val="Lienhypertexte"/>
            <w:rFonts w:ascii="Rockwell" w:eastAsia="Calibri" w:hAnsi="Rockwell"/>
            <w:noProof/>
          </w:rPr>
          <w:t>Des disparités dans l’évolution de la pauvreté non monétaire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09" w:history="1">
        <w:r w:rsidR="00FA78A8" w:rsidRPr="00FA78A8">
          <w:rPr>
            <w:rStyle w:val="Lienhypertexte"/>
            <w:rFonts w:ascii="Rockwell" w:hAnsi="Rockwell"/>
            <w:noProof/>
          </w:rPr>
          <w:t>1.1.4.</w:t>
        </w:r>
        <w:r w:rsidR="00FA78A8" w:rsidRPr="00FA78A8">
          <w:rPr>
            <w:rFonts w:ascii="Rockwell" w:hAnsi="Rockwell"/>
            <w:i w:val="0"/>
            <w:iCs w:val="0"/>
            <w:noProof/>
            <w:sz w:val="22"/>
            <w:szCs w:val="22"/>
          </w:rPr>
          <w:tab/>
        </w:r>
        <w:r w:rsidR="00FA78A8" w:rsidRPr="00FA78A8">
          <w:rPr>
            <w:rStyle w:val="Lienhypertexte"/>
            <w:rFonts w:ascii="Rockwell" w:hAnsi="Rockwell"/>
            <w:noProof/>
          </w:rPr>
          <w:t>Des efforts à faire en matière de genre et d’inclusion sociale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_Toc455132709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18</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10" w:history="1">
        <w:r w:rsidR="00FA78A8" w:rsidRPr="00FA78A8">
          <w:rPr>
            <w:rStyle w:val="Lienhypertexte"/>
            <w:rFonts w:ascii="Rockwell" w:hAnsi="Rockwell"/>
            <w:noProof/>
          </w:rPr>
          <w:t>1.2.</w:t>
        </w:r>
        <w:r w:rsidR="00FA78A8" w:rsidRPr="00FA78A8">
          <w:rPr>
            <w:rFonts w:ascii="Rockwell" w:hAnsi="Rockwell"/>
            <w:smallCaps w:val="0"/>
            <w:noProof/>
            <w:sz w:val="22"/>
            <w:szCs w:val="22"/>
          </w:rPr>
          <w:tab/>
        </w:r>
        <w:r w:rsidR="00FA78A8" w:rsidRPr="00FA78A8">
          <w:rPr>
            <w:rStyle w:val="Lienhypertexte"/>
            <w:rFonts w:ascii="Rockwell" w:hAnsi="Rockwell"/>
            <w:noProof/>
          </w:rPr>
          <w:t>Une dynamique du système productif national vulnérable, peu inclusif et faiblement créateur d'emplois productifs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1" w:history="1">
        <w:r w:rsidR="00FA78A8" w:rsidRPr="00FA78A8">
          <w:rPr>
            <w:rStyle w:val="Lienhypertexte"/>
            <w:rFonts w:ascii="Rockwell" w:hAnsi="Rockwell"/>
            <w:noProof/>
          </w:rPr>
          <w:t>1.2.1.</w:t>
        </w:r>
        <w:r w:rsidR="00FA78A8" w:rsidRPr="00FA78A8">
          <w:rPr>
            <w:rFonts w:ascii="Rockwell" w:hAnsi="Rockwell"/>
            <w:i w:val="0"/>
            <w:iCs w:val="0"/>
            <w:noProof/>
            <w:sz w:val="22"/>
            <w:szCs w:val="22"/>
          </w:rPr>
          <w:tab/>
        </w:r>
        <w:r w:rsidR="00FA78A8" w:rsidRPr="00FA78A8">
          <w:rPr>
            <w:rStyle w:val="Lienhypertexte"/>
            <w:rFonts w:ascii="Rockwell" w:hAnsi="Rockwell"/>
            <w:noProof/>
          </w:rPr>
          <w:t>Un secteur primaire peu productif et vulnérable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2" w:history="1">
        <w:r w:rsidR="00FA78A8" w:rsidRPr="00FA78A8">
          <w:rPr>
            <w:rStyle w:val="Lienhypertexte"/>
            <w:rFonts w:ascii="Rockwell" w:hAnsi="Rockwell"/>
            <w:noProof/>
          </w:rPr>
          <w:t>1.2.1.1.</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de l'agriculture à faible productivité et sujet aux risques agricoles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3" w:history="1">
        <w:r w:rsidR="00FA78A8" w:rsidRPr="00FA78A8">
          <w:rPr>
            <w:rStyle w:val="Lienhypertexte"/>
            <w:rFonts w:ascii="Rockwell" w:hAnsi="Rockwell"/>
            <w:bCs/>
            <w:noProof/>
            <w:kern w:val="28"/>
          </w:rPr>
          <w:t>1.2.1.2.</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de l'élevage caractérisé par une faible compétitivité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4" w:history="1">
        <w:r w:rsidR="00FA78A8" w:rsidRPr="00FA78A8">
          <w:rPr>
            <w:rStyle w:val="Lienhypertexte"/>
            <w:rFonts w:ascii="Rockwell" w:hAnsi="Rockwell"/>
            <w:noProof/>
          </w:rPr>
          <w:t>1.2.1.3.</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des ressources halieutiques faiblement développé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5" w:history="1">
        <w:r w:rsidR="00FA78A8" w:rsidRPr="00FA78A8">
          <w:rPr>
            <w:rStyle w:val="Lienhypertexte"/>
            <w:rFonts w:ascii="Rockwell" w:hAnsi="Rockwell"/>
            <w:noProof/>
          </w:rPr>
          <w:t>1.2.1.4.</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de la production forestière et faunique devant accroître sa production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6" w:history="1">
        <w:r w:rsidR="00FA78A8" w:rsidRPr="00FA78A8">
          <w:rPr>
            <w:rStyle w:val="Lienhypertexte"/>
            <w:rFonts w:ascii="Rockwell" w:hAnsi="Rockwell"/>
            <w:noProof/>
          </w:rPr>
          <w:t>1.2.2.</w:t>
        </w:r>
        <w:r w:rsidR="00FA78A8" w:rsidRPr="00FA78A8">
          <w:rPr>
            <w:rFonts w:ascii="Rockwell" w:hAnsi="Rockwell"/>
            <w:i w:val="0"/>
            <w:iCs w:val="0"/>
            <w:noProof/>
            <w:sz w:val="22"/>
            <w:szCs w:val="22"/>
          </w:rPr>
          <w:tab/>
        </w:r>
        <w:r w:rsidR="00FA78A8" w:rsidRPr="00FA78A8">
          <w:rPr>
            <w:rStyle w:val="Lienhypertexte"/>
            <w:rFonts w:ascii="Rockwell" w:hAnsi="Rockwell"/>
            <w:noProof/>
          </w:rPr>
          <w:t>Un secteur secondaire fragilisé par le déclin des industries manufacturières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21</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7" w:history="1">
        <w:r w:rsidR="00FA78A8" w:rsidRPr="00FA78A8">
          <w:rPr>
            <w:rStyle w:val="Lienhypertexte"/>
            <w:rFonts w:ascii="Rockwell" w:hAnsi="Rockwell"/>
            <w:noProof/>
          </w:rPr>
          <w:t>1.2.2.1.</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minier en plein essor mais faiblement générateur d'emplois locaux</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21</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8" w:history="1">
        <w:r w:rsidR="00FA78A8" w:rsidRPr="00FA78A8">
          <w:rPr>
            <w:rStyle w:val="Lienhypertexte"/>
            <w:rFonts w:ascii="Rockwell" w:hAnsi="Rockwell"/>
            <w:noProof/>
          </w:rPr>
          <w:t>1.2.2.2.</w:t>
        </w:r>
        <w:r w:rsidR="00FA78A8" w:rsidRPr="00FA78A8">
          <w:rPr>
            <w:rFonts w:ascii="Rockwell" w:hAnsi="Rockwell"/>
            <w:i w:val="0"/>
            <w:iCs w:val="0"/>
            <w:noProof/>
            <w:sz w:val="22"/>
            <w:szCs w:val="22"/>
          </w:rPr>
          <w:tab/>
        </w:r>
        <w:r w:rsidR="00FA78A8" w:rsidRPr="00FA78A8">
          <w:rPr>
            <w:rStyle w:val="Lienhypertexte"/>
            <w:rFonts w:ascii="Rockwell" w:hAnsi="Rockwell"/>
            <w:noProof/>
          </w:rPr>
          <w:t>Des industries manufacturières peu compétitives et des entreprises en difficulté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19" w:history="1">
        <w:r w:rsidR="00FA78A8" w:rsidRPr="00FA78A8">
          <w:rPr>
            <w:rStyle w:val="Lienhypertexte"/>
            <w:rFonts w:ascii="Rockwell" w:hAnsi="Rockwell"/>
            <w:noProof/>
          </w:rPr>
          <w:t>1.2.2.3.</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de l'artisanat peu compétitif, à formaliser</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_Toc455132719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0" w:history="1">
        <w:r w:rsidR="00FA78A8" w:rsidRPr="00FA78A8">
          <w:rPr>
            <w:rStyle w:val="Lienhypertexte"/>
            <w:rFonts w:ascii="Rockwell" w:hAnsi="Rockwell"/>
            <w:noProof/>
          </w:rPr>
          <w:t>1.2.2.4.</w:t>
        </w:r>
        <w:r w:rsidR="00FA78A8" w:rsidRPr="00FA78A8">
          <w:rPr>
            <w:rFonts w:ascii="Rockwell" w:hAnsi="Rockwell"/>
            <w:i w:val="0"/>
            <w:iCs w:val="0"/>
            <w:noProof/>
            <w:sz w:val="22"/>
            <w:szCs w:val="22"/>
          </w:rPr>
          <w:tab/>
        </w:r>
        <w:r w:rsidR="00FA78A8" w:rsidRPr="00FA78A8">
          <w:rPr>
            <w:rStyle w:val="Lienhypertexte"/>
            <w:rFonts w:ascii="Rockwell" w:hAnsi="Rockwell"/>
            <w:noProof/>
          </w:rPr>
          <w:t>Un sous-secteur d'appui au développement industriel peu développé avec une offre d'énergie insuffisante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23</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1" w:history="1">
        <w:r w:rsidR="00FA78A8" w:rsidRPr="00FA78A8">
          <w:rPr>
            <w:rStyle w:val="Lienhypertexte"/>
            <w:rFonts w:ascii="Rockwell" w:hAnsi="Rockwell"/>
            <w:noProof/>
          </w:rPr>
          <w:t>1.2.3.</w:t>
        </w:r>
        <w:r w:rsidR="00FA78A8" w:rsidRPr="00FA78A8">
          <w:rPr>
            <w:rFonts w:ascii="Rockwell" w:hAnsi="Rockwell"/>
            <w:i w:val="0"/>
            <w:iCs w:val="0"/>
            <w:noProof/>
            <w:sz w:val="22"/>
            <w:szCs w:val="22"/>
          </w:rPr>
          <w:tab/>
        </w:r>
        <w:r w:rsidR="00FA78A8" w:rsidRPr="00FA78A8">
          <w:rPr>
            <w:rStyle w:val="Lienhypertexte"/>
            <w:rFonts w:ascii="Rockwell" w:hAnsi="Rockwell"/>
            <w:noProof/>
          </w:rPr>
          <w:t>Un secteur tertiaire de plus en plus informel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24</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2" w:history="1">
        <w:r w:rsidR="00FA78A8" w:rsidRPr="00FA78A8">
          <w:rPr>
            <w:rStyle w:val="Lienhypertexte"/>
            <w:rFonts w:ascii="Rockwell" w:hAnsi="Rockwell"/>
            <w:noProof/>
          </w:rPr>
          <w:t>1.2.4.</w:t>
        </w:r>
        <w:r w:rsidR="00FA78A8" w:rsidRPr="00FA78A8">
          <w:rPr>
            <w:rFonts w:ascii="Rockwell" w:hAnsi="Rockwell"/>
            <w:i w:val="0"/>
            <w:iCs w:val="0"/>
            <w:noProof/>
            <w:sz w:val="22"/>
            <w:szCs w:val="22"/>
          </w:rPr>
          <w:tab/>
        </w:r>
        <w:r w:rsidR="00FA78A8" w:rsidRPr="00FA78A8">
          <w:rPr>
            <w:rStyle w:val="Lienhypertexte"/>
            <w:rFonts w:ascii="Rockwell" w:hAnsi="Rockwell"/>
            <w:noProof/>
          </w:rPr>
          <w:t>Constats majeurs : un système productif national marqué par des insuffisances structurelles et sujet aux aléas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26</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23" w:history="1">
        <w:r w:rsidR="00FA78A8" w:rsidRPr="00FA78A8">
          <w:rPr>
            <w:rStyle w:val="Lienhypertexte"/>
            <w:rFonts w:ascii="Rockwell" w:hAnsi="Rockwell"/>
            <w:noProof/>
          </w:rPr>
          <w:t>1.3.</w:t>
        </w:r>
        <w:r w:rsidR="00FA78A8" w:rsidRPr="00FA78A8">
          <w:rPr>
            <w:rFonts w:ascii="Rockwell" w:hAnsi="Rockwell"/>
            <w:smallCaps w:val="0"/>
            <w:noProof/>
            <w:sz w:val="22"/>
            <w:szCs w:val="22"/>
          </w:rPr>
          <w:tab/>
        </w:r>
        <w:r w:rsidR="00FA78A8" w:rsidRPr="00FA78A8">
          <w:rPr>
            <w:rStyle w:val="Lienhypertexte"/>
            <w:rFonts w:ascii="Rockwell" w:hAnsi="Rockwell"/>
            <w:noProof/>
          </w:rPr>
          <w:t>Un capital humain insuffisant et peu adapté aux besoins du développement du système productif national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4" w:history="1">
        <w:r w:rsidR="00FA78A8" w:rsidRPr="00FA78A8">
          <w:rPr>
            <w:rStyle w:val="Lienhypertexte"/>
            <w:rFonts w:ascii="Rockwell" w:hAnsi="Rockwell"/>
            <w:noProof/>
          </w:rPr>
          <w:t>1.3.1.</w:t>
        </w:r>
        <w:r w:rsidR="00FA78A8" w:rsidRPr="00FA78A8">
          <w:rPr>
            <w:rFonts w:ascii="Rockwell" w:hAnsi="Rockwell"/>
            <w:i w:val="0"/>
            <w:iCs w:val="0"/>
            <w:noProof/>
            <w:sz w:val="22"/>
            <w:szCs w:val="22"/>
          </w:rPr>
          <w:tab/>
        </w:r>
        <w:r w:rsidR="00FA78A8" w:rsidRPr="00FA78A8">
          <w:rPr>
            <w:rStyle w:val="Lienhypertexte"/>
            <w:rFonts w:ascii="Rockwell" w:hAnsi="Rockwell"/>
            <w:noProof/>
          </w:rPr>
          <w:t>Une forte croissance démographique qui plombe les progrès en matière de développement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5" w:history="1">
        <w:r w:rsidR="00FA78A8" w:rsidRPr="00FA78A8">
          <w:rPr>
            <w:rStyle w:val="Lienhypertexte"/>
            <w:rFonts w:ascii="Rockwell" w:hAnsi="Rockwell"/>
            <w:bCs/>
            <w:noProof/>
            <w:kern w:val="28"/>
          </w:rPr>
          <w:t>1.3.2.</w:t>
        </w:r>
        <w:r w:rsidR="00FA78A8" w:rsidRPr="00FA78A8">
          <w:rPr>
            <w:rFonts w:ascii="Rockwell" w:hAnsi="Rockwell"/>
            <w:i w:val="0"/>
            <w:iCs w:val="0"/>
            <w:noProof/>
            <w:sz w:val="22"/>
            <w:szCs w:val="22"/>
          </w:rPr>
          <w:tab/>
        </w:r>
        <w:r w:rsidR="00FA78A8" w:rsidRPr="00FA78A8">
          <w:rPr>
            <w:rStyle w:val="Lienhypertexte"/>
            <w:rFonts w:ascii="Rockwell" w:hAnsi="Rockwell"/>
            <w:noProof/>
          </w:rPr>
          <w:t>Une insuffisance remarquable de ressources humaines, d'équipements et d'infrastructures, de produits de traitement et de qualité des services dans le secteur de la santé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6" w:history="1">
        <w:r w:rsidR="00FA78A8" w:rsidRPr="00FA78A8">
          <w:rPr>
            <w:rStyle w:val="Lienhypertexte"/>
            <w:rFonts w:ascii="Rockwell" w:hAnsi="Rockwell"/>
            <w:noProof/>
          </w:rPr>
          <w:t>1.3.3.</w:t>
        </w:r>
        <w:r w:rsidR="00FA78A8" w:rsidRPr="00FA78A8">
          <w:rPr>
            <w:rFonts w:ascii="Rockwell" w:hAnsi="Rockwell"/>
            <w:i w:val="0"/>
            <w:iCs w:val="0"/>
            <w:noProof/>
            <w:sz w:val="22"/>
            <w:szCs w:val="22"/>
          </w:rPr>
          <w:tab/>
        </w:r>
        <w:r w:rsidR="00FA78A8" w:rsidRPr="00FA78A8">
          <w:rPr>
            <w:rStyle w:val="Lienhypertexte"/>
            <w:rFonts w:ascii="Rockwell" w:hAnsi="Rockwell"/>
            <w:noProof/>
          </w:rPr>
          <w:t>Une éducation et une formation en perte de qualité et de performance faiblement adaptées aux besoins de l'économie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7" w:history="1">
        <w:r w:rsidR="00FA78A8" w:rsidRPr="00FA78A8">
          <w:rPr>
            <w:rStyle w:val="Lienhypertexte"/>
            <w:rFonts w:ascii="Rockwell" w:hAnsi="Rockwell"/>
            <w:noProof/>
          </w:rPr>
          <w:t>1.3.4.</w:t>
        </w:r>
        <w:r w:rsidR="00FA78A8" w:rsidRPr="00FA78A8">
          <w:rPr>
            <w:rFonts w:ascii="Rockwell" w:hAnsi="Rockwell"/>
            <w:i w:val="0"/>
            <w:iCs w:val="0"/>
            <w:noProof/>
            <w:sz w:val="22"/>
            <w:szCs w:val="22"/>
          </w:rPr>
          <w:tab/>
        </w:r>
        <w:r w:rsidR="00FA78A8" w:rsidRPr="00FA78A8">
          <w:rPr>
            <w:rStyle w:val="Lienhypertexte"/>
            <w:rFonts w:ascii="Rockwell" w:hAnsi="Rockwell"/>
            <w:noProof/>
          </w:rPr>
          <w:t>Une recherche scientifique faiblement développée et contribuant très peu au bien être des burkinabè</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8" w:history="1">
        <w:r w:rsidR="00FA78A8" w:rsidRPr="00FA78A8">
          <w:rPr>
            <w:rStyle w:val="Lienhypertexte"/>
            <w:rFonts w:ascii="Rockwell" w:hAnsi="Rockwell"/>
            <w:noProof/>
          </w:rPr>
          <w:t>1.3.5.</w:t>
        </w:r>
        <w:r w:rsidR="00FA78A8" w:rsidRPr="00FA78A8">
          <w:rPr>
            <w:rFonts w:ascii="Rockwell" w:hAnsi="Rockwell"/>
            <w:i w:val="0"/>
            <w:iCs w:val="0"/>
            <w:noProof/>
            <w:sz w:val="22"/>
            <w:szCs w:val="22"/>
          </w:rPr>
          <w:tab/>
        </w:r>
        <w:r w:rsidR="00FA78A8" w:rsidRPr="00FA78A8">
          <w:rPr>
            <w:rStyle w:val="Lienhypertexte"/>
            <w:rFonts w:ascii="Rockwell" w:hAnsi="Rockwell"/>
            <w:noProof/>
          </w:rPr>
          <w:t>Une offre d'emplois dominée par l'économie informelle et l'administration publique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29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29" w:history="1">
        <w:r w:rsidR="00FA78A8" w:rsidRPr="00FA78A8">
          <w:rPr>
            <w:rStyle w:val="Lienhypertexte"/>
            <w:rFonts w:ascii="Rockwell" w:hAnsi="Rockwell"/>
            <w:noProof/>
          </w:rPr>
          <w:t>1.3.6.</w:t>
        </w:r>
        <w:r w:rsidR="00FA78A8" w:rsidRPr="00FA78A8">
          <w:rPr>
            <w:rFonts w:ascii="Rockwell" w:hAnsi="Rockwell"/>
            <w:i w:val="0"/>
            <w:iCs w:val="0"/>
            <w:noProof/>
            <w:sz w:val="22"/>
            <w:szCs w:val="22"/>
          </w:rPr>
          <w:tab/>
        </w:r>
        <w:r w:rsidR="00FA78A8" w:rsidRPr="00FA78A8">
          <w:rPr>
            <w:rStyle w:val="Lienhypertexte"/>
            <w:rFonts w:ascii="Rockwell" w:hAnsi="Rockwell"/>
            <w:noProof/>
          </w:rPr>
          <w:t>Des acquis à consolider dans le secteur de l'environnement, de l'eau et de l'assainissement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_Toc455132729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0" w:history="1">
        <w:r w:rsidR="00FA78A8" w:rsidRPr="00FA78A8">
          <w:rPr>
            <w:rStyle w:val="Lienhypertexte"/>
            <w:rFonts w:ascii="Rockwell" w:hAnsi="Rockwell"/>
            <w:noProof/>
          </w:rPr>
          <w:t>1.3.7.</w:t>
        </w:r>
        <w:r w:rsidR="00FA78A8" w:rsidRPr="00FA78A8">
          <w:rPr>
            <w:rFonts w:ascii="Rockwell" w:hAnsi="Rockwell"/>
            <w:i w:val="0"/>
            <w:iCs w:val="0"/>
            <w:noProof/>
            <w:sz w:val="22"/>
            <w:szCs w:val="22"/>
          </w:rPr>
          <w:tab/>
        </w:r>
        <w:r w:rsidR="00FA78A8" w:rsidRPr="00FA78A8">
          <w:rPr>
            <w:rStyle w:val="Lienhypertexte"/>
            <w:rFonts w:ascii="Rockwell" w:hAnsi="Rockwell"/>
            <w:noProof/>
          </w:rPr>
          <w:t>Une forte extension des villes sans une véritable mise en œuvre des politiques d'urbanisation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30</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31" w:history="1">
        <w:r w:rsidR="00FA78A8" w:rsidRPr="00FA78A8">
          <w:rPr>
            <w:rStyle w:val="Lienhypertexte"/>
            <w:rFonts w:ascii="Rockwell" w:hAnsi="Rockwell"/>
            <w:noProof/>
          </w:rPr>
          <w:t>1.4.</w:t>
        </w:r>
        <w:r w:rsidR="00FA78A8" w:rsidRPr="00FA78A8">
          <w:rPr>
            <w:rFonts w:ascii="Rockwell" w:hAnsi="Rockwell"/>
            <w:smallCaps w:val="0"/>
            <w:noProof/>
            <w:sz w:val="22"/>
            <w:szCs w:val="22"/>
          </w:rPr>
          <w:tab/>
        </w:r>
        <w:r w:rsidR="00FA78A8" w:rsidRPr="00FA78A8">
          <w:rPr>
            <w:rStyle w:val="Lienhypertexte"/>
            <w:rFonts w:ascii="Rockwell" w:hAnsi="Rockwell"/>
            <w:noProof/>
          </w:rPr>
          <w:t>Des gouvernances politique, administrative, économique et locale peu performantes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31</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32" w:history="1">
        <w:r w:rsidR="00FA78A8" w:rsidRPr="00FA78A8">
          <w:rPr>
            <w:rStyle w:val="Lienhypertexte"/>
            <w:rFonts w:ascii="Rockwell" w:hAnsi="Rockwell"/>
            <w:noProof/>
          </w:rPr>
          <w:t>1.5.</w:t>
        </w:r>
        <w:r w:rsidR="00FA78A8" w:rsidRPr="00FA78A8">
          <w:rPr>
            <w:rFonts w:ascii="Rockwell" w:hAnsi="Rockwell"/>
            <w:smallCaps w:val="0"/>
            <w:noProof/>
            <w:sz w:val="22"/>
            <w:szCs w:val="22"/>
          </w:rPr>
          <w:tab/>
        </w:r>
        <w:r w:rsidR="00FA78A8" w:rsidRPr="00FA78A8">
          <w:rPr>
            <w:rStyle w:val="Lienhypertexte"/>
            <w:rFonts w:ascii="Rockwell" w:hAnsi="Rockwell"/>
            <w:noProof/>
          </w:rPr>
          <w:t>Les défis de la transformation structurelle de l'économie burkinabè</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3" w:history="1">
        <w:r w:rsidR="00FA78A8" w:rsidRPr="00FA78A8">
          <w:rPr>
            <w:rStyle w:val="Lienhypertexte"/>
            <w:rFonts w:ascii="Rockwell" w:hAnsi="Rockwell"/>
            <w:noProof/>
          </w:rPr>
          <w:t>1.5.1.</w:t>
        </w:r>
        <w:r w:rsidR="00FA78A8" w:rsidRPr="00FA78A8">
          <w:rPr>
            <w:rFonts w:ascii="Rockwell" w:hAnsi="Rockwell"/>
            <w:i w:val="0"/>
            <w:iCs w:val="0"/>
            <w:noProof/>
            <w:sz w:val="22"/>
            <w:szCs w:val="22"/>
          </w:rPr>
          <w:tab/>
        </w:r>
        <w:r w:rsidR="00FA78A8" w:rsidRPr="00FA78A8">
          <w:rPr>
            <w:rStyle w:val="Lienhypertexte"/>
            <w:rFonts w:ascii="Rockwell" w:hAnsi="Rockwell"/>
            <w:noProof/>
          </w:rPr>
          <w:t>Bonne gouvernance et qualité des institutions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4" w:history="1">
        <w:r w:rsidR="00FA78A8" w:rsidRPr="00FA78A8">
          <w:rPr>
            <w:rStyle w:val="Lienhypertexte"/>
            <w:rFonts w:ascii="Rockwell" w:hAnsi="Rockwell"/>
            <w:noProof/>
          </w:rPr>
          <w:t>1.5.2.</w:t>
        </w:r>
        <w:r w:rsidR="00FA78A8" w:rsidRPr="00FA78A8">
          <w:rPr>
            <w:rFonts w:ascii="Rockwell" w:hAnsi="Rockwell"/>
            <w:i w:val="0"/>
            <w:iCs w:val="0"/>
            <w:noProof/>
            <w:sz w:val="22"/>
            <w:szCs w:val="22"/>
          </w:rPr>
          <w:tab/>
        </w:r>
        <w:r w:rsidR="00FA78A8" w:rsidRPr="00FA78A8">
          <w:rPr>
            <w:rStyle w:val="Lienhypertexte"/>
            <w:rFonts w:ascii="Rockwell" w:hAnsi="Rockwell"/>
            <w:noProof/>
          </w:rPr>
          <w:t>Disponibilité et employabilité de ressources humaines adaptées aux besoins de l'économie nationale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5" w:history="1">
        <w:r w:rsidR="00FA78A8" w:rsidRPr="00FA78A8">
          <w:rPr>
            <w:rStyle w:val="Lienhypertexte"/>
            <w:rFonts w:ascii="Rockwell" w:hAnsi="Rockwell"/>
            <w:noProof/>
          </w:rPr>
          <w:t>1.5.3.</w:t>
        </w:r>
        <w:r w:rsidR="00FA78A8" w:rsidRPr="00FA78A8">
          <w:rPr>
            <w:rFonts w:ascii="Rockwell" w:hAnsi="Rockwell"/>
            <w:i w:val="0"/>
            <w:iCs w:val="0"/>
            <w:noProof/>
            <w:sz w:val="22"/>
            <w:szCs w:val="22"/>
          </w:rPr>
          <w:tab/>
        </w:r>
        <w:r w:rsidR="00FA78A8" w:rsidRPr="00FA78A8">
          <w:rPr>
            <w:rStyle w:val="Lienhypertexte"/>
            <w:rFonts w:ascii="Rockwell" w:hAnsi="Rockwell"/>
            <w:noProof/>
          </w:rPr>
          <w:t>Développement des bases productives et dynamisation des secteurs porteurs pour l’économie et l’emploi</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33</w:t>
        </w:r>
        <w:r w:rsidR="00491B03" w:rsidRPr="00FA78A8">
          <w:rPr>
            <w:rFonts w:ascii="Rockwell" w:hAnsi="Rockwell"/>
            <w:noProof/>
            <w:webHidden/>
          </w:rPr>
          <w:fldChar w:fldCharType="end"/>
        </w:r>
      </w:hyperlink>
    </w:p>
    <w:p w:rsidR="00FA78A8" w:rsidRPr="00FA78A8" w:rsidRDefault="00DD31E1" w:rsidP="00FA78A8">
      <w:pPr>
        <w:pStyle w:val="TM1"/>
        <w:tabs>
          <w:tab w:val="left" w:pos="440"/>
          <w:tab w:val="right" w:leader="dot" w:pos="9628"/>
        </w:tabs>
        <w:jc w:val="both"/>
        <w:rPr>
          <w:rFonts w:ascii="Rockwell" w:hAnsi="Rockwell"/>
          <w:b w:val="0"/>
          <w:bCs w:val="0"/>
          <w:caps w:val="0"/>
          <w:noProof/>
          <w:sz w:val="22"/>
          <w:szCs w:val="22"/>
        </w:rPr>
      </w:pPr>
      <w:hyperlink w:anchor="_Toc455132736" w:history="1">
        <w:r w:rsidR="00FA78A8" w:rsidRPr="00FA78A8">
          <w:rPr>
            <w:rStyle w:val="Lienhypertexte"/>
            <w:rFonts w:ascii="Rockwell" w:hAnsi="Rockwell"/>
            <w:noProof/>
          </w:rPr>
          <w:t>II.</w:t>
        </w:r>
        <w:r w:rsidR="00FA78A8" w:rsidRPr="00FA78A8">
          <w:rPr>
            <w:rFonts w:ascii="Rockwell" w:hAnsi="Rockwell"/>
            <w:b w:val="0"/>
            <w:bCs w:val="0"/>
            <w:caps w:val="0"/>
            <w:noProof/>
            <w:sz w:val="22"/>
            <w:szCs w:val="22"/>
          </w:rPr>
          <w:tab/>
        </w:r>
        <w:r w:rsidR="00FA78A8" w:rsidRPr="00FA78A8">
          <w:rPr>
            <w:rStyle w:val="Lienhypertexte"/>
            <w:rFonts w:ascii="Rockwell" w:hAnsi="Rockwell"/>
            <w:noProof/>
          </w:rPr>
          <w:t>STRATÉGIE DE DÉVELOPPEMENT ÉCONOMIQUE ET SOCIAL 2016-2020</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35</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37" w:history="1">
        <w:r w:rsidR="00FA78A8" w:rsidRPr="00FA78A8">
          <w:rPr>
            <w:rStyle w:val="Lienhypertexte"/>
            <w:rFonts w:ascii="Rockwell" w:hAnsi="Rockwell"/>
            <w:noProof/>
          </w:rPr>
          <w:t>2.1.</w:t>
        </w:r>
        <w:r w:rsidR="00FA78A8" w:rsidRPr="00FA78A8">
          <w:rPr>
            <w:rFonts w:ascii="Rockwell" w:hAnsi="Rockwell"/>
            <w:smallCaps w:val="0"/>
            <w:noProof/>
            <w:sz w:val="22"/>
            <w:szCs w:val="22"/>
          </w:rPr>
          <w:tab/>
        </w:r>
        <w:r w:rsidR="00FA78A8" w:rsidRPr="00FA78A8">
          <w:rPr>
            <w:rStyle w:val="Lienhypertexte"/>
            <w:rFonts w:ascii="Rockwell" w:hAnsi="Rockwell"/>
            <w:noProof/>
          </w:rPr>
          <w:t>Fondements et vision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35</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8" w:history="1">
        <w:r w:rsidR="00FA78A8" w:rsidRPr="00FA78A8">
          <w:rPr>
            <w:rStyle w:val="Lienhypertexte"/>
            <w:rFonts w:ascii="Rockwell" w:hAnsi="Rockwell"/>
            <w:noProof/>
          </w:rPr>
          <w:t>2.1.1.</w:t>
        </w:r>
        <w:r w:rsidR="00FA78A8" w:rsidRPr="00FA78A8">
          <w:rPr>
            <w:rFonts w:ascii="Rockwell" w:hAnsi="Rockwell"/>
            <w:i w:val="0"/>
            <w:iCs w:val="0"/>
            <w:noProof/>
            <w:sz w:val="22"/>
            <w:szCs w:val="22"/>
          </w:rPr>
          <w:tab/>
        </w:r>
        <w:r w:rsidR="00FA78A8" w:rsidRPr="00FA78A8">
          <w:rPr>
            <w:rStyle w:val="Lienhypertexte"/>
            <w:rFonts w:ascii="Rockwell" w:hAnsi="Rockwell"/>
            <w:noProof/>
          </w:rPr>
          <w:t>Fondements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35</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39" w:history="1">
        <w:r w:rsidR="00FA78A8" w:rsidRPr="00FA78A8">
          <w:rPr>
            <w:rStyle w:val="Lienhypertexte"/>
            <w:rFonts w:ascii="Rockwell" w:hAnsi="Rockwell"/>
            <w:noProof/>
          </w:rPr>
          <w:t>2.1.2.</w:t>
        </w:r>
        <w:r w:rsidR="00FA78A8" w:rsidRPr="00FA78A8">
          <w:rPr>
            <w:rFonts w:ascii="Rockwell" w:hAnsi="Rockwell"/>
            <w:i w:val="0"/>
            <w:iCs w:val="0"/>
            <w:noProof/>
            <w:sz w:val="22"/>
            <w:szCs w:val="22"/>
          </w:rPr>
          <w:tab/>
        </w:r>
        <w:r w:rsidR="00FA78A8" w:rsidRPr="00FA78A8">
          <w:rPr>
            <w:rStyle w:val="Lienhypertexte"/>
            <w:rFonts w:ascii="Rockwell" w:hAnsi="Rockwell"/>
            <w:noProof/>
          </w:rPr>
          <w:t>Vision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_Toc455132739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35</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40" w:history="1">
        <w:r w:rsidR="00FA78A8" w:rsidRPr="00FA78A8">
          <w:rPr>
            <w:rStyle w:val="Lienhypertexte"/>
            <w:rFonts w:ascii="Rockwell" w:hAnsi="Rockwell"/>
            <w:noProof/>
          </w:rPr>
          <w:t>2.2.</w:t>
        </w:r>
        <w:r w:rsidR="00FA78A8" w:rsidRPr="00FA78A8">
          <w:rPr>
            <w:rFonts w:ascii="Rockwell" w:hAnsi="Rockwell"/>
            <w:smallCaps w:val="0"/>
            <w:noProof/>
            <w:sz w:val="22"/>
            <w:szCs w:val="22"/>
          </w:rPr>
          <w:tab/>
        </w:r>
        <w:r w:rsidR="00FA78A8" w:rsidRPr="00FA78A8">
          <w:rPr>
            <w:rStyle w:val="Lienhypertexte"/>
            <w:rFonts w:ascii="Rockwell" w:hAnsi="Rockwell"/>
            <w:noProof/>
          </w:rPr>
          <w:t>Principes-directeurs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1" w:history="1">
        <w:r w:rsidR="00FA78A8" w:rsidRPr="00FA78A8">
          <w:rPr>
            <w:rStyle w:val="Lienhypertexte"/>
            <w:rFonts w:ascii="Rockwell" w:hAnsi="Rockwell"/>
            <w:noProof/>
          </w:rPr>
          <w:t>2.2.1.</w:t>
        </w:r>
        <w:r w:rsidR="00FA78A8" w:rsidRPr="00FA78A8">
          <w:rPr>
            <w:rFonts w:ascii="Rockwell" w:hAnsi="Rockwell"/>
            <w:i w:val="0"/>
            <w:iCs w:val="0"/>
            <w:noProof/>
            <w:sz w:val="22"/>
            <w:szCs w:val="22"/>
          </w:rPr>
          <w:tab/>
        </w:r>
        <w:r w:rsidR="00FA78A8" w:rsidRPr="00FA78A8">
          <w:rPr>
            <w:rStyle w:val="Lienhypertexte"/>
            <w:rFonts w:ascii="Rockwell" w:hAnsi="Rockwell"/>
            <w:noProof/>
          </w:rPr>
          <w:t>Leadership national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2" w:history="1">
        <w:r w:rsidR="00FA78A8" w:rsidRPr="00FA78A8">
          <w:rPr>
            <w:rStyle w:val="Lienhypertexte"/>
            <w:rFonts w:ascii="Rockwell" w:hAnsi="Rockwell"/>
            <w:noProof/>
          </w:rPr>
          <w:t>2.2.2.</w:t>
        </w:r>
        <w:r w:rsidR="00FA78A8" w:rsidRPr="00FA78A8">
          <w:rPr>
            <w:rFonts w:ascii="Rockwell" w:hAnsi="Rockwell"/>
            <w:i w:val="0"/>
            <w:iCs w:val="0"/>
            <w:noProof/>
            <w:sz w:val="22"/>
            <w:szCs w:val="22"/>
          </w:rPr>
          <w:tab/>
        </w:r>
        <w:r w:rsidR="00FA78A8" w:rsidRPr="00FA78A8">
          <w:rPr>
            <w:rStyle w:val="Lienhypertexte"/>
            <w:rFonts w:ascii="Rockwell" w:hAnsi="Rockwell"/>
            <w:noProof/>
          </w:rPr>
          <w:t>Équité et genre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3" w:history="1">
        <w:r w:rsidR="00FA78A8" w:rsidRPr="00FA78A8">
          <w:rPr>
            <w:rStyle w:val="Lienhypertexte"/>
            <w:rFonts w:ascii="Rockwell" w:hAnsi="Rockwell"/>
            <w:noProof/>
          </w:rPr>
          <w:t>2.2.3.</w:t>
        </w:r>
        <w:r w:rsidR="00FA78A8" w:rsidRPr="00FA78A8">
          <w:rPr>
            <w:rFonts w:ascii="Rockwell" w:hAnsi="Rockwell"/>
            <w:i w:val="0"/>
            <w:iCs w:val="0"/>
            <w:noProof/>
            <w:sz w:val="22"/>
            <w:szCs w:val="22"/>
          </w:rPr>
          <w:tab/>
        </w:r>
        <w:r w:rsidR="00FA78A8" w:rsidRPr="00FA78A8">
          <w:rPr>
            <w:rStyle w:val="Lienhypertexte"/>
            <w:rFonts w:ascii="Rockwell" w:hAnsi="Rockwell"/>
            <w:noProof/>
          </w:rPr>
          <w:t>Subsidiarité et partenariat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4" w:history="1">
        <w:r w:rsidR="00FA78A8" w:rsidRPr="00FA78A8">
          <w:rPr>
            <w:rStyle w:val="Lienhypertexte"/>
            <w:rFonts w:ascii="Rockwell" w:hAnsi="Rockwell"/>
            <w:noProof/>
          </w:rPr>
          <w:t>2.2.4.</w:t>
        </w:r>
        <w:r w:rsidR="00FA78A8" w:rsidRPr="00FA78A8">
          <w:rPr>
            <w:rFonts w:ascii="Rockwell" w:hAnsi="Rockwell"/>
            <w:i w:val="0"/>
            <w:iCs w:val="0"/>
            <w:noProof/>
            <w:sz w:val="22"/>
            <w:szCs w:val="22"/>
          </w:rPr>
          <w:tab/>
        </w:r>
        <w:r w:rsidR="00FA78A8" w:rsidRPr="00FA78A8">
          <w:rPr>
            <w:rStyle w:val="Lienhypertexte"/>
            <w:rFonts w:ascii="Rockwell" w:hAnsi="Rockwell"/>
            <w:noProof/>
          </w:rPr>
          <w:t>Gestion Axée sur les Résultats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5" w:history="1">
        <w:r w:rsidR="00FA78A8" w:rsidRPr="00FA78A8">
          <w:rPr>
            <w:rStyle w:val="Lienhypertexte"/>
            <w:rFonts w:ascii="Rockwell" w:hAnsi="Rockwell"/>
            <w:noProof/>
          </w:rPr>
          <w:t>2.2.5.</w:t>
        </w:r>
        <w:r w:rsidR="00FA78A8" w:rsidRPr="00FA78A8">
          <w:rPr>
            <w:rFonts w:ascii="Rockwell" w:hAnsi="Rockwell"/>
            <w:i w:val="0"/>
            <w:iCs w:val="0"/>
            <w:noProof/>
            <w:sz w:val="22"/>
            <w:szCs w:val="22"/>
          </w:rPr>
          <w:tab/>
        </w:r>
        <w:r w:rsidR="00FA78A8" w:rsidRPr="00FA78A8">
          <w:rPr>
            <w:rStyle w:val="Lienhypertexte"/>
            <w:rFonts w:ascii="Rockwell" w:hAnsi="Rockwell"/>
            <w:noProof/>
          </w:rPr>
          <w:t>Proactivité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38</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46" w:history="1">
        <w:r w:rsidR="00FA78A8" w:rsidRPr="00FA78A8">
          <w:rPr>
            <w:rStyle w:val="Lienhypertexte"/>
            <w:rFonts w:ascii="Rockwell" w:hAnsi="Rockwell"/>
            <w:noProof/>
          </w:rPr>
          <w:t>2.3.</w:t>
        </w:r>
        <w:r w:rsidR="00FA78A8" w:rsidRPr="00FA78A8">
          <w:rPr>
            <w:rFonts w:ascii="Rockwell" w:hAnsi="Rockwell"/>
            <w:smallCaps w:val="0"/>
            <w:noProof/>
            <w:sz w:val="22"/>
            <w:szCs w:val="22"/>
          </w:rPr>
          <w:tab/>
        </w:r>
        <w:r w:rsidR="00FA78A8" w:rsidRPr="00FA78A8">
          <w:rPr>
            <w:rStyle w:val="Lienhypertexte"/>
            <w:rFonts w:ascii="Rockwell" w:hAnsi="Rockwell"/>
            <w:noProof/>
          </w:rPr>
          <w:t>Objectifs et impacts attendus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7" w:history="1">
        <w:r w:rsidR="00FA78A8" w:rsidRPr="00FA78A8">
          <w:rPr>
            <w:rStyle w:val="Lienhypertexte"/>
            <w:rFonts w:ascii="Rockwell" w:hAnsi="Rockwell"/>
            <w:noProof/>
          </w:rPr>
          <w:t>2.3.1.</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global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8" w:history="1">
        <w:r w:rsidR="00FA78A8" w:rsidRPr="00FA78A8">
          <w:rPr>
            <w:rStyle w:val="Lienhypertexte"/>
            <w:rFonts w:ascii="Rockwell" w:hAnsi="Rockwell"/>
            <w:noProof/>
          </w:rPr>
          <w:t>2.3.2.</w:t>
        </w:r>
        <w:r w:rsidR="00FA78A8" w:rsidRPr="00FA78A8">
          <w:rPr>
            <w:rFonts w:ascii="Rockwell" w:hAnsi="Rockwell"/>
            <w:i w:val="0"/>
            <w:iCs w:val="0"/>
            <w:noProof/>
            <w:sz w:val="22"/>
            <w:szCs w:val="22"/>
          </w:rPr>
          <w:tab/>
        </w:r>
        <w:r w:rsidR="00FA78A8" w:rsidRPr="00FA78A8">
          <w:rPr>
            <w:rStyle w:val="Lienhypertexte"/>
            <w:rFonts w:ascii="Rockwell" w:hAnsi="Rockwell"/>
            <w:noProof/>
          </w:rPr>
          <w:t>Schéma de transformation structurelle et de croissance de l'économie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49" w:history="1">
        <w:r w:rsidR="00FA78A8" w:rsidRPr="00FA78A8">
          <w:rPr>
            <w:rStyle w:val="Lienhypertexte"/>
            <w:rFonts w:ascii="Rockwell" w:hAnsi="Rockwell"/>
            <w:noProof/>
          </w:rPr>
          <w:t>2.3.2.1.</w:t>
        </w:r>
        <w:r w:rsidR="00FA78A8" w:rsidRPr="00FA78A8">
          <w:rPr>
            <w:rFonts w:ascii="Rockwell" w:hAnsi="Rockwell"/>
            <w:i w:val="0"/>
            <w:iCs w:val="0"/>
            <w:noProof/>
            <w:sz w:val="22"/>
            <w:szCs w:val="22"/>
          </w:rPr>
          <w:tab/>
        </w:r>
        <w:r w:rsidR="00FA78A8" w:rsidRPr="00FA78A8">
          <w:rPr>
            <w:rStyle w:val="Lienhypertexte"/>
            <w:rFonts w:ascii="Rockwell" w:hAnsi="Rockwell"/>
            <w:noProof/>
          </w:rPr>
          <w:t>Schéma de transformation structurelle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_Toc455132749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39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0" w:history="1">
        <w:r w:rsidR="00FA78A8" w:rsidRPr="00FA78A8">
          <w:rPr>
            <w:rStyle w:val="Lienhypertexte"/>
            <w:rFonts w:ascii="Rockwell" w:hAnsi="Rockwell"/>
            <w:noProof/>
          </w:rPr>
          <w:t>2.3.2.2.</w:t>
        </w:r>
        <w:r w:rsidR="00FA78A8" w:rsidRPr="00FA78A8">
          <w:rPr>
            <w:rFonts w:ascii="Rockwell" w:hAnsi="Rockwell"/>
            <w:i w:val="0"/>
            <w:iCs w:val="0"/>
            <w:noProof/>
            <w:sz w:val="22"/>
            <w:szCs w:val="22"/>
          </w:rPr>
          <w:tab/>
        </w:r>
        <w:r w:rsidR="00FA78A8" w:rsidRPr="00FA78A8">
          <w:rPr>
            <w:rStyle w:val="Lienhypertexte"/>
            <w:rFonts w:ascii="Rockwell" w:hAnsi="Rockwell"/>
            <w:noProof/>
          </w:rPr>
          <w:t>Schéma de croissance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41</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1" w:history="1">
        <w:r w:rsidR="00FA78A8" w:rsidRPr="00FA78A8">
          <w:rPr>
            <w:rStyle w:val="Lienhypertexte"/>
            <w:rFonts w:ascii="Rockwell" w:hAnsi="Rockwell"/>
            <w:noProof/>
          </w:rPr>
          <w:t>2.3.2.1.</w:t>
        </w:r>
        <w:r w:rsidR="00FA78A8" w:rsidRPr="00FA78A8">
          <w:rPr>
            <w:rFonts w:ascii="Rockwell" w:hAnsi="Rockwell"/>
            <w:i w:val="0"/>
            <w:iCs w:val="0"/>
            <w:noProof/>
            <w:sz w:val="22"/>
            <w:szCs w:val="22"/>
          </w:rPr>
          <w:tab/>
        </w:r>
        <w:r w:rsidR="00FA78A8" w:rsidRPr="00FA78A8">
          <w:rPr>
            <w:rStyle w:val="Lienhypertexte"/>
            <w:rFonts w:ascii="Rockwell" w:hAnsi="Rockwell"/>
            <w:noProof/>
          </w:rPr>
          <w:t>Évolution du secteur réel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42</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2" w:history="1">
        <w:r w:rsidR="00FA78A8" w:rsidRPr="00FA78A8">
          <w:rPr>
            <w:rStyle w:val="Lienhypertexte"/>
            <w:rFonts w:ascii="Rockwell" w:hAnsi="Rockwell"/>
            <w:noProof/>
          </w:rPr>
          <w:t>2.3.2.2.</w:t>
        </w:r>
        <w:r w:rsidR="00FA78A8" w:rsidRPr="00FA78A8">
          <w:rPr>
            <w:rFonts w:ascii="Rockwell" w:hAnsi="Rockwell"/>
            <w:i w:val="0"/>
            <w:iCs w:val="0"/>
            <w:noProof/>
            <w:sz w:val="22"/>
            <w:szCs w:val="22"/>
          </w:rPr>
          <w:tab/>
        </w:r>
        <w:r w:rsidR="00FA78A8" w:rsidRPr="00FA78A8">
          <w:rPr>
            <w:rStyle w:val="Lienhypertexte"/>
            <w:rFonts w:ascii="Rockwell" w:hAnsi="Rockwell"/>
            <w:noProof/>
          </w:rPr>
          <w:t>Évolution des prix</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43</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3" w:history="1">
        <w:r w:rsidR="00FA78A8" w:rsidRPr="00FA78A8">
          <w:rPr>
            <w:rStyle w:val="Lienhypertexte"/>
            <w:rFonts w:ascii="Rockwell" w:hAnsi="Rockwell"/>
            <w:noProof/>
          </w:rPr>
          <w:t>2.3.2.3.</w:t>
        </w:r>
        <w:r w:rsidR="00FA78A8" w:rsidRPr="00FA78A8">
          <w:rPr>
            <w:rFonts w:ascii="Rockwell" w:hAnsi="Rockwell"/>
            <w:i w:val="0"/>
            <w:iCs w:val="0"/>
            <w:noProof/>
            <w:sz w:val="22"/>
            <w:szCs w:val="22"/>
          </w:rPr>
          <w:tab/>
        </w:r>
        <w:r w:rsidR="00FA78A8" w:rsidRPr="00FA78A8">
          <w:rPr>
            <w:rStyle w:val="Lienhypertexte"/>
            <w:rFonts w:ascii="Rockwell" w:hAnsi="Rockwell"/>
            <w:noProof/>
          </w:rPr>
          <w:t>Évolution des finances publiques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43</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4" w:history="1">
        <w:r w:rsidR="00FA78A8" w:rsidRPr="00FA78A8">
          <w:rPr>
            <w:rStyle w:val="Lienhypertexte"/>
            <w:rFonts w:ascii="Rockwell" w:hAnsi="Rockwell"/>
            <w:noProof/>
          </w:rPr>
          <w:t>2.3.2.4.</w:t>
        </w:r>
        <w:r w:rsidR="00FA78A8" w:rsidRPr="00FA78A8">
          <w:rPr>
            <w:rFonts w:ascii="Rockwell" w:hAnsi="Rockwell"/>
            <w:i w:val="0"/>
            <w:iCs w:val="0"/>
            <w:noProof/>
            <w:sz w:val="22"/>
            <w:szCs w:val="22"/>
          </w:rPr>
          <w:tab/>
        </w:r>
        <w:r w:rsidR="00FA78A8" w:rsidRPr="00FA78A8">
          <w:rPr>
            <w:rStyle w:val="Lienhypertexte"/>
            <w:rFonts w:ascii="Rockwell" w:hAnsi="Rockwell"/>
            <w:noProof/>
          </w:rPr>
          <w:t>Évolution du compte extérieur</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44</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5" w:history="1">
        <w:r w:rsidR="00FA78A8" w:rsidRPr="00FA78A8">
          <w:rPr>
            <w:rStyle w:val="Lienhypertexte"/>
            <w:rFonts w:ascii="Rockwell" w:hAnsi="Rockwell"/>
            <w:noProof/>
          </w:rPr>
          <w:t>2.3.3.</w:t>
        </w:r>
        <w:r w:rsidR="00FA78A8" w:rsidRPr="00FA78A8">
          <w:rPr>
            <w:rFonts w:ascii="Rockwell" w:hAnsi="Rockwell"/>
            <w:i w:val="0"/>
            <w:iCs w:val="0"/>
            <w:noProof/>
            <w:sz w:val="22"/>
            <w:szCs w:val="22"/>
          </w:rPr>
          <w:tab/>
        </w:r>
        <w:r w:rsidR="00FA78A8" w:rsidRPr="00FA78A8">
          <w:rPr>
            <w:rStyle w:val="Lienhypertexte"/>
            <w:rFonts w:ascii="Rockwell" w:hAnsi="Rockwell"/>
            <w:noProof/>
          </w:rPr>
          <w:t>Impacts attendus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44</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56" w:history="1">
        <w:r w:rsidR="00FA78A8" w:rsidRPr="00FA78A8">
          <w:rPr>
            <w:rStyle w:val="Lienhypertexte"/>
            <w:rFonts w:ascii="Rockwell" w:hAnsi="Rockwell"/>
            <w:noProof/>
          </w:rPr>
          <w:t>2.4.</w:t>
        </w:r>
        <w:r w:rsidR="00FA78A8" w:rsidRPr="00FA78A8">
          <w:rPr>
            <w:rFonts w:ascii="Rockwell" w:hAnsi="Rockwell"/>
            <w:smallCaps w:val="0"/>
            <w:noProof/>
            <w:sz w:val="22"/>
            <w:szCs w:val="22"/>
          </w:rPr>
          <w:tab/>
        </w:r>
        <w:r w:rsidR="00FA78A8" w:rsidRPr="00FA78A8">
          <w:rPr>
            <w:rStyle w:val="Lienhypertexte"/>
            <w:rFonts w:ascii="Rockwell" w:hAnsi="Rockwell"/>
            <w:noProof/>
          </w:rPr>
          <w:t>Orientations stratégiques et effets attendus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7" w:history="1">
        <w:r w:rsidR="00FA78A8" w:rsidRPr="00FA78A8">
          <w:rPr>
            <w:rStyle w:val="Lienhypertexte"/>
            <w:rFonts w:ascii="Rockwell" w:hAnsi="Rockwell"/>
            <w:noProof/>
          </w:rPr>
          <w:t>2.4.1.</w:t>
        </w:r>
        <w:r w:rsidR="00FA78A8" w:rsidRPr="00FA78A8">
          <w:rPr>
            <w:rFonts w:ascii="Rockwell" w:hAnsi="Rockwell"/>
            <w:i w:val="0"/>
            <w:iCs w:val="0"/>
            <w:noProof/>
            <w:sz w:val="22"/>
            <w:szCs w:val="22"/>
          </w:rPr>
          <w:tab/>
        </w:r>
        <w:r w:rsidR="00FA78A8" w:rsidRPr="00FA78A8">
          <w:rPr>
            <w:rStyle w:val="Lienhypertexte"/>
            <w:rFonts w:ascii="Rockwell" w:hAnsi="Rockwell"/>
            <w:noProof/>
          </w:rPr>
          <w:t>Axes stratégiques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8" w:history="1">
        <w:r w:rsidR="00FA78A8" w:rsidRPr="00FA78A8">
          <w:rPr>
            <w:rStyle w:val="Lienhypertexte"/>
            <w:rFonts w:ascii="Rockwell" w:hAnsi="Rockwell"/>
            <w:noProof/>
          </w:rPr>
          <w:t>2.4.2.</w:t>
        </w:r>
        <w:r w:rsidR="00FA78A8" w:rsidRPr="00FA78A8">
          <w:rPr>
            <w:rFonts w:ascii="Rockwell" w:hAnsi="Rockwell"/>
            <w:i w:val="0"/>
            <w:iCs w:val="0"/>
            <w:noProof/>
            <w:sz w:val="22"/>
            <w:szCs w:val="22"/>
          </w:rPr>
          <w:tab/>
        </w:r>
        <w:r w:rsidR="00FA78A8" w:rsidRPr="00FA78A8">
          <w:rPr>
            <w:rStyle w:val="Lienhypertexte"/>
            <w:rFonts w:ascii="Rockwell" w:hAnsi="Rockwell"/>
            <w:noProof/>
          </w:rPr>
          <w:t>Les effets attendus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59" w:history="1">
        <w:r w:rsidR="00FA78A8" w:rsidRPr="00FA78A8">
          <w:rPr>
            <w:rStyle w:val="Lienhypertexte"/>
            <w:rFonts w:ascii="Rockwell" w:hAnsi="Rockwell"/>
            <w:noProof/>
          </w:rPr>
          <w:t>2.4.3.</w:t>
        </w:r>
        <w:r w:rsidR="00FA78A8" w:rsidRPr="00FA78A8">
          <w:rPr>
            <w:rFonts w:ascii="Rockwell" w:hAnsi="Rockwell"/>
            <w:i w:val="0"/>
            <w:iCs w:val="0"/>
            <w:noProof/>
            <w:sz w:val="22"/>
            <w:szCs w:val="22"/>
          </w:rPr>
          <w:tab/>
        </w:r>
        <w:r w:rsidR="00FA78A8" w:rsidRPr="00FA78A8">
          <w:rPr>
            <w:rStyle w:val="Lienhypertexte"/>
            <w:rFonts w:ascii="Rockwell" w:hAnsi="Rockwell"/>
            <w:noProof/>
          </w:rPr>
          <w:t>Objectifs et orientations stratégiques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_Toc455132759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60" w:history="1">
        <w:r w:rsidR="00FA78A8" w:rsidRPr="00FA78A8">
          <w:rPr>
            <w:rStyle w:val="Lienhypertexte"/>
            <w:rFonts w:ascii="Rockwell" w:hAnsi="Rockwell"/>
            <w:noProof/>
          </w:rPr>
          <w:t>2.4.3.1.</w:t>
        </w:r>
        <w:r w:rsidR="00FA78A8" w:rsidRPr="00FA78A8">
          <w:rPr>
            <w:rFonts w:ascii="Rockwell" w:hAnsi="Rockwell"/>
            <w:i w:val="0"/>
            <w:iCs w:val="0"/>
            <w:noProof/>
            <w:sz w:val="22"/>
            <w:szCs w:val="22"/>
          </w:rPr>
          <w:tab/>
        </w:r>
        <w:r w:rsidR="00FA78A8" w:rsidRPr="00FA78A8">
          <w:rPr>
            <w:rStyle w:val="Lienhypertexte"/>
            <w:rFonts w:ascii="Rockwell" w:hAnsi="Rockwell"/>
            <w:noProof/>
          </w:rPr>
          <w:t>Objectifs stratégiques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61" w:history="1">
        <w:r w:rsidR="00FA78A8" w:rsidRPr="00FA78A8">
          <w:rPr>
            <w:rStyle w:val="Lienhypertexte"/>
            <w:rFonts w:ascii="Rockwell" w:hAnsi="Rockwell"/>
            <w:noProof/>
          </w:rPr>
          <w:t>2.4.3.2.</w:t>
        </w:r>
        <w:r w:rsidR="00FA78A8" w:rsidRPr="00FA78A8">
          <w:rPr>
            <w:rFonts w:ascii="Rockwell" w:hAnsi="Rockwell"/>
            <w:i w:val="0"/>
            <w:iCs w:val="0"/>
            <w:noProof/>
            <w:sz w:val="22"/>
            <w:szCs w:val="22"/>
          </w:rPr>
          <w:tab/>
        </w:r>
        <w:r w:rsidR="00FA78A8" w:rsidRPr="00FA78A8">
          <w:rPr>
            <w:rStyle w:val="Lienhypertexte"/>
            <w:rFonts w:ascii="Rockwell" w:hAnsi="Rockwell"/>
            <w:noProof/>
          </w:rPr>
          <w:t>Cohérence des objectifs stratégiques avec les ODD</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48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62" w:history="1">
        <w:r w:rsidR="00FA78A8" w:rsidRPr="00FA78A8">
          <w:rPr>
            <w:rStyle w:val="Lienhypertexte"/>
            <w:rFonts w:ascii="Rockwell" w:hAnsi="Rockwell"/>
            <w:noProof/>
          </w:rPr>
          <w:t>2.4.3.3.</w:t>
        </w:r>
        <w:r w:rsidR="00FA78A8" w:rsidRPr="00FA78A8">
          <w:rPr>
            <w:rFonts w:ascii="Rockwell" w:hAnsi="Rockwell"/>
            <w:i w:val="0"/>
            <w:iCs w:val="0"/>
            <w:noProof/>
            <w:sz w:val="22"/>
            <w:szCs w:val="22"/>
          </w:rPr>
          <w:tab/>
        </w:r>
        <w:r w:rsidR="00FA78A8" w:rsidRPr="00FA78A8">
          <w:rPr>
            <w:rStyle w:val="Lienhypertexte"/>
            <w:rFonts w:ascii="Rockwell" w:hAnsi="Rockwell"/>
            <w:noProof/>
          </w:rPr>
          <w:t>Orientations stratégiques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51</w:t>
        </w:r>
        <w:r w:rsidR="00491B03" w:rsidRPr="00FA78A8">
          <w:rPr>
            <w:rFonts w:ascii="Rockwell" w:hAnsi="Rockwell"/>
            <w:noProof/>
            <w:webHidden/>
          </w:rPr>
          <w:fldChar w:fldCharType="end"/>
        </w:r>
      </w:hyperlink>
    </w:p>
    <w:p w:rsidR="00FA78A8" w:rsidRPr="00FA78A8" w:rsidRDefault="00DD31E1" w:rsidP="00FA78A8">
      <w:pPr>
        <w:pStyle w:val="TM3"/>
        <w:tabs>
          <w:tab w:val="left" w:pos="1540"/>
          <w:tab w:val="right" w:leader="dot" w:pos="9628"/>
        </w:tabs>
        <w:jc w:val="both"/>
        <w:rPr>
          <w:rFonts w:ascii="Rockwell" w:hAnsi="Rockwell"/>
          <w:i w:val="0"/>
          <w:iCs w:val="0"/>
          <w:noProof/>
          <w:sz w:val="22"/>
          <w:szCs w:val="22"/>
        </w:rPr>
      </w:pPr>
      <w:hyperlink w:anchor="_Toc455132763" w:history="1">
        <w:r w:rsidR="00FA78A8" w:rsidRPr="00FA78A8">
          <w:rPr>
            <w:rStyle w:val="Lienhypertexte"/>
            <w:rFonts w:ascii="Rockwell" w:hAnsi="Rockwell"/>
            <w:noProof/>
          </w:rPr>
          <w:t>2.4.3.3.1.</w:t>
        </w:r>
        <w:r w:rsidR="00FA78A8" w:rsidRPr="00FA78A8">
          <w:rPr>
            <w:rFonts w:ascii="Rockwell" w:hAnsi="Rockwell"/>
            <w:i w:val="0"/>
            <w:iCs w:val="0"/>
            <w:noProof/>
            <w:sz w:val="22"/>
            <w:szCs w:val="22"/>
          </w:rPr>
          <w:tab/>
        </w:r>
        <w:r w:rsidR="00FA78A8" w:rsidRPr="00FA78A8">
          <w:rPr>
            <w:rStyle w:val="Lienhypertexte"/>
            <w:rFonts w:ascii="Rockwell" w:hAnsi="Rockwell"/>
            <w:noProof/>
          </w:rPr>
          <w:t>Axe 1 : reformer les institutions et moderniser l'administration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51</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64" w:history="1">
        <w:r w:rsidR="00FA78A8" w:rsidRPr="00FA78A8">
          <w:rPr>
            <w:rStyle w:val="Lienhypertexte"/>
            <w:rFonts w:ascii="Rockwell" w:hAnsi="Rockwell"/>
            <w:noProof/>
          </w:rPr>
          <w:t>2.4.3.3.1.1.</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1.1 : promouvoir la bonne gouvernance politique et administrative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51</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65" w:history="1">
        <w:r w:rsidR="00FA78A8" w:rsidRPr="00FA78A8">
          <w:rPr>
            <w:rStyle w:val="Lienhypertexte"/>
            <w:rFonts w:ascii="Rockwell" w:hAnsi="Rockwell"/>
            <w:noProof/>
          </w:rPr>
          <w:t>2.4.3.3.1.2.</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1.2 : promouvoir la bonne gouvernance économique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52</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66" w:history="1">
        <w:r w:rsidR="00FA78A8" w:rsidRPr="00FA78A8">
          <w:rPr>
            <w:rStyle w:val="Lienhypertexte"/>
            <w:rFonts w:ascii="Rockwell" w:hAnsi="Rockwell"/>
            <w:noProof/>
          </w:rPr>
          <w:t>2.4.3.3.1.3.</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1.3 : Renforcer la décentralisation et appuyer le développement régional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54</w:t>
        </w:r>
        <w:r w:rsidR="00491B03" w:rsidRPr="00FA78A8">
          <w:rPr>
            <w:rFonts w:ascii="Rockwell" w:hAnsi="Rockwell"/>
            <w:noProof/>
            <w:webHidden/>
          </w:rPr>
          <w:fldChar w:fldCharType="end"/>
        </w:r>
      </w:hyperlink>
    </w:p>
    <w:p w:rsidR="00FA78A8" w:rsidRPr="00FA78A8" w:rsidRDefault="00DD31E1" w:rsidP="00FA78A8">
      <w:pPr>
        <w:pStyle w:val="TM3"/>
        <w:tabs>
          <w:tab w:val="left" w:pos="1540"/>
          <w:tab w:val="right" w:leader="dot" w:pos="9628"/>
        </w:tabs>
        <w:jc w:val="both"/>
        <w:rPr>
          <w:rFonts w:ascii="Rockwell" w:hAnsi="Rockwell"/>
          <w:i w:val="0"/>
          <w:iCs w:val="0"/>
          <w:noProof/>
          <w:sz w:val="22"/>
          <w:szCs w:val="22"/>
        </w:rPr>
      </w:pPr>
      <w:hyperlink w:anchor="_Toc455132767" w:history="1">
        <w:r w:rsidR="00FA78A8" w:rsidRPr="00FA78A8">
          <w:rPr>
            <w:rStyle w:val="Lienhypertexte"/>
            <w:rFonts w:ascii="Rockwell" w:hAnsi="Rockwell"/>
            <w:noProof/>
          </w:rPr>
          <w:t>2.4.3.3.2.</w:t>
        </w:r>
        <w:r w:rsidR="00FA78A8" w:rsidRPr="00FA78A8">
          <w:rPr>
            <w:rFonts w:ascii="Rockwell" w:hAnsi="Rockwell"/>
            <w:i w:val="0"/>
            <w:iCs w:val="0"/>
            <w:noProof/>
            <w:sz w:val="22"/>
            <w:szCs w:val="22"/>
          </w:rPr>
          <w:tab/>
        </w:r>
        <w:r w:rsidR="00FA78A8" w:rsidRPr="00FA78A8">
          <w:rPr>
            <w:rStyle w:val="Lienhypertexte"/>
            <w:rFonts w:ascii="Rockwell" w:hAnsi="Rockwell"/>
            <w:noProof/>
          </w:rPr>
          <w:t>Axe 2 : Développer le capital humain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56</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68" w:history="1">
        <w:r w:rsidR="00FA78A8" w:rsidRPr="00FA78A8">
          <w:rPr>
            <w:rStyle w:val="Lienhypertexte"/>
            <w:rFonts w:ascii="Rockwell" w:hAnsi="Rockwell"/>
            <w:noProof/>
          </w:rPr>
          <w:t>2.4.3.3.2.1.</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2.1 : promouvoir la santé des populations et accélérer la transition démographique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56</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69" w:history="1">
        <w:r w:rsidR="00FA78A8" w:rsidRPr="00FA78A8">
          <w:rPr>
            <w:rStyle w:val="Lienhypertexte"/>
            <w:rFonts w:ascii="Rockwell" w:hAnsi="Rockwell"/>
            <w:noProof/>
          </w:rPr>
          <w:t>2.4.3.3.2.2.</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2.2 : Accroitre l'offre et améliorer la qualité de l'éducation, de l’enseignement supérieur et de la formation en adéquation avec les besoins de transformation de l'économie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_Toc455132769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56</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0" w:history="1">
        <w:r w:rsidR="00FA78A8" w:rsidRPr="00FA78A8">
          <w:rPr>
            <w:rStyle w:val="Lienhypertexte"/>
            <w:rFonts w:ascii="Rockwell" w:hAnsi="Rockwell"/>
            <w:noProof/>
          </w:rPr>
          <w:t>2.4.3.3.2.3.</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2.3 : Promouvoir la recherche et l'innovation au service de la transformation structurelle de l'économie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57</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1" w:history="1">
        <w:r w:rsidR="00FA78A8" w:rsidRPr="00FA78A8">
          <w:rPr>
            <w:rStyle w:val="Lienhypertexte"/>
            <w:rFonts w:ascii="Rockwell" w:hAnsi="Rockwell"/>
            <w:noProof/>
          </w:rPr>
          <w:t>2.4.3.3.2.4.</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2.4 : Promouvoir l'emploi décent et la protection sociale pour tous y compris les femmes et les jeunes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58</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2" w:history="1">
        <w:r w:rsidR="00FA78A8" w:rsidRPr="00FA78A8">
          <w:rPr>
            <w:rStyle w:val="Lienhypertexte"/>
            <w:rFonts w:ascii="Rockwell" w:hAnsi="Rockwell"/>
            <w:noProof/>
          </w:rPr>
          <w:t>2.4.3.3.2.5.</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2.5 : Améliorer le cadre de vie, l'accès à l'eau, à l'assainissement et aux services énergétiques de qualité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58</w:t>
        </w:r>
        <w:r w:rsidR="00491B03" w:rsidRPr="00FA78A8">
          <w:rPr>
            <w:rFonts w:ascii="Rockwell" w:hAnsi="Rockwell"/>
            <w:noProof/>
            <w:webHidden/>
          </w:rPr>
          <w:fldChar w:fldCharType="end"/>
        </w:r>
      </w:hyperlink>
    </w:p>
    <w:p w:rsidR="00FA78A8" w:rsidRPr="00FA78A8" w:rsidRDefault="00DD31E1" w:rsidP="00FA78A8">
      <w:pPr>
        <w:pStyle w:val="TM3"/>
        <w:tabs>
          <w:tab w:val="left" w:pos="1540"/>
          <w:tab w:val="right" w:leader="dot" w:pos="9628"/>
        </w:tabs>
        <w:jc w:val="both"/>
        <w:rPr>
          <w:rFonts w:ascii="Rockwell" w:hAnsi="Rockwell"/>
          <w:i w:val="0"/>
          <w:iCs w:val="0"/>
          <w:noProof/>
          <w:sz w:val="22"/>
          <w:szCs w:val="22"/>
        </w:rPr>
      </w:pPr>
      <w:hyperlink w:anchor="_Toc455132773" w:history="1">
        <w:r w:rsidR="00FA78A8" w:rsidRPr="00FA78A8">
          <w:rPr>
            <w:rStyle w:val="Lienhypertexte"/>
            <w:rFonts w:ascii="Rockwell" w:hAnsi="Rockwell"/>
            <w:noProof/>
          </w:rPr>
          <w:t>2.4.3.3.3.</w:t>
        </w:r>
        <w:r w:rsidR="00FA78A8" w:rsidRPr="00FA78A8">
          <w:rPr>
            <w:rFonts w:ascii="Rockwell" w:hAnsi="Rockwell"/>
            <w:i w:val="0"/>
            <w:iCs w:val="0"/>
            <w:noProof/>
            <w:sz w:val="22"/>
            <w:szCs w:val="22"/>
          </w:rPr>
          <w:tab/>
        </w:r>
        <w:r w:rsidR="00FA78A8" w:rsidRPr="00FA78A8">
          <w:rPr>
            <w:rStyle w:val="Lienhypertexte"/>
            <w:rFonts w:ascii="Rockwell" w:hAnsi="Rockwell"/>
            <w:noProof/>
          </w:rPr>
          <w:t>Axe 3 : Dynamiser les secteurs porteurs pour l'économie et l'emploi</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59</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4" w:history="1">
        <w:r w:rsidR="00FA78A8" w:rsidRPr="00FA78A8">
          <w:rPr>
            <w:rStyle w:val="Lienhypertexte"/>
            <w:rFonts w:ascii="Rockwell" w:hAnsi="Rockwell"/>
            <w:noProof/>
          </w:rPr>
          <w:t>2.4.3.3.3.1.</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3.1 : Développer un secteur agro-sylvo-pastoral, faunique et halieutique productif et résilient, davantage orienté vers le marché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59</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5" w:history="1">
        <w:r w:rsidR="00FA78A8" w:rsidRPr="00FA78A8">
          <w:rPr>
            <w:rStyle w:val="Lienhypertexte"/>
            <w:rFonts w:ascii="Rockwell" w:hAnsi="Rockwell"/>
            <w:noProof/>
          </w:rPr>
          <w:t>2.4.3.3.3.2.</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3.2 : Développer un secteur industriel et artisanal compétitif, à forte valeur ajoutée et créateur d'emplois décents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60</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6" w:history="1">
        <w:r w:rsidR="00FA78A8" w:rsidRPr="00FA78A8">
          <w:rPr>
            <w:rStyle w:val="Lienhypertexte"/>
            <w:rFonts w:ascii="Rockwell" w:hAnsi="Rockwell"/>
            <w:noProof/>
          </w:rPr>
          <w:t>2.4.3.3.3.3.</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3.3 : Promouvoir l'expansion des industries de services à forte valeur ajoutée et créatrices d'emplois décents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61</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7" w:history="1">
        <w:r w:rsidR="00FA78A8" w:rsidRPr="00FA78A8">
          <w:rPr>
            <w:rStyle w:val="Lienhypertexte"/>
            <w:rFonts w:ascii="Rockwell" w:hAnsi="Rockwell"/>
            <w:noProof/>
          </w:rPr>
          <w:t>2.4.3.3.3.4.</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3.4 : Développer des infrastructures de qualité et résilientes, pour favoriser la transformation structurelle de l'économie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61</w:t>
        </w:r>
        <w:r w:rsidR="00491B03" w:rsidRPr="00FA78A8">
          <w:rPr>
            <w:rFonts w:ascii="Rockwell" w:hAnsi="Rockwell"/>
            <w:noProof/>
            <w:webHidden/>
          </w:rPr>
          <w:fldChar w:fldCharType="end"/>
        </w:r>
      </w:hyperlink>
    </w:p>
    <w:p w:rsidR="00FA78A8" w:rsidRPr="00FA78A8" w:rsidRDefault="00DD31E1" w:rsidP="00FA78A8">
      <w:pPr>
        <w:pStyle w:val="TM3"/>
        <w:tabs>
          <w:tab w:val="left" w:pos="1760"/>
          <w:tab w:val="right" w:leader="dot" w:pos="9628"/>
        </w:tabs>
        <w:jc w:val="both"/>
        <w:rPr>
          <w:rFonts w:ascii="Rockwell" w:hAnsi="Rockwell"/>
          <w:i w:val="0"/>
          <w:iCs w:val="0"/>
          <w:noProof/>
          <w:sz w:val="22"/>
          <w:szCs w:val="22"/>
        </w:rPr>
      </w:pPr>
      <w:hyperlink w:anchor="_Toc455132778" w:history="1">
        <w:r w:rsidR="00FA78A8" w:rsidRPr="00FA78A8">
          <w:rPr>
            <w:rStyle w:val="Lienhypertexte"/>
            <w:rFonts w:ascii="Rockwell" w:hAnsi="Rockwell"/>
            <w:noProof/>
          </w:rPr>
          <w:t>2.4.3.3.3.5.</w:t>
        </w:r>
        <w:r w:rsidR="00FA78A8" w:rsidRPr="00FA78A8">
          <w:rPr>
            <w:rFonts w:ascii="Rockwell" w:hAnsi="Rockwell"/>
            <w:i w:val="0"/>
            <w:iCs w:val="0"/>
            <w:noProof/>
            <w:sz w:val="22"/>
            <w:szCs w:val="22"/>
          </w:rPr>
          <w:tab/>
        </w:r>
        <w:r w:rsidR="00FA78A8" w:rsidRPr="00FA78A8">
          <w:rPr>
            <w:rStyle w:val="Lienhypertexte"/>
            <w:rFonts w:ascii="Rockwell" w:hAnsi="Rockwell"/>
            <w:noProof/>
          </w:rPr>
          <w:t>Objectif stratégique 3.5. Inverser la tendance de la dégradation de l'environnement et assurer durablement la gestion des ressources naturelles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62</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79" w:history="1">
        <w:r w:rsidR="00FA78A8" w:rsidRPr="00FA78A8">
          <w:rPr>
            <w:rStyle w:val="Lienhypertexte"/>
            <w:rFonts w:ascii="Rockwell" w:hAnsi="Rockwell"/>
            <w:noProof/>
          </w:rPr>
          <w:t>2.5.</w:t>
        </w:r>
        <w:r w:rsidR="00FA78A8" w:rsidRPr="00FA78A8">
          <w:rPr>
            <w:rFonts w:ascii="Rockwell" w:hAnsi="Rockwell"/>
            <w:smallCaps w:val="0"/>
            <w:noProof/>
            <w:sz w:val="22"/>
            <w:szCs w:val="22"/>
          </w:rPr>
          <w:tab/>
        </w:r>
        <w:r w:rsidR="00FA78A8" w:rsidRPr="00FA78A8">
          <w:rPr>
            <w:rStyle w:val="Lienhypertexte"/>
            <w:rFonts w:ascii="Rockwell" w:hAnsi="Rockwell"/>
            <w:noProof/>
          </w:rPr>
          <w:t>Matrice de réformes stratégiques et d'investissements structurants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_Toc455132779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64</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0" w:history="1">
        <w:r w:rsidR="00FA78A8" w:rsidRPr="00FA78A8">
          <w:rPr>
            <w:rStyle w:val="Lienhypertexte"/>
            <w:rFonts w:ascii="Rockwell" w:hAnsi="Rockwell"/>
            <w:noProof/>
          </w:rPr>
          <w:t>2.5.1.</w:t>
        </w:r>
        <w:r w:rsidR="00FA78A8" w:rsidRPr="00FA78A8">
          <w:rPr>
            <w:rFonts w:ascii="Rockwell" w:hAnsi="Rockwell"/>
            <w:i w:val="0"/>
            <w:iCs w:val="0"/>
            <w:noProof/>
            <w:sz w:val="22"/>
            <w:szCs w:val="22"/>
          </w:rPr>
          <w:tab/>
        </w:r>
        <w:r w:rsidR="00FA78A8" w:rsidRPr="00FA78A8">
          <w:rPr>
            <w:rStyle w:val="Lienhypertexte"/>
            <w:rFonts w:ascii="Rockwell" w:hAnsi="Rockwell"/>
            <w:noProof/>
          </w:rPr>
          <w:t>Critères de choix</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64</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1" w:history="1">
        <w:r w:rsidR="00FA78A8" w:rsidRPr="00FA78A8">
          <w:rPr>
            <w:rStyle w:val="Lienhypertexte"/>
            <w:rFonts w:ascii="Rockwell" w:hAnsi="Rockwell"/>
            <w:noProof/>
          </w:rPr>
          <w:t>2.5.2.</w:t>
        </w:r>
        <w:r w:rsidR="00FA78A8" w:rsidRPr="00FA78A8">
          <w:rPr>
            <w:rFonts w:ascii="Rockwell" w:hAnsi="Rockwell"/>
            <w:i w:val="0"/>
            <w:iCs w:val="0"/>
            <w:noProof/>
            <w:sz w:val="22"/>
            <w:szCs w:val="22"/>
          </w:rPr>
          <w:tab/>
        </w:r>
        <w:r w:rsidR="00FA78A8" w:rsidRPr="00FA78A8">
          <w:rPr>
            <w:rStyle w:val="Lienhypertexte"/>
            <w:rFonts w:ascii="Rockwell" w:hAnsi="Rockwell"/>
            <w:noProof/>
          </w:rPr>
          <w:t>Présentation de la matrice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65</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2" w:history="1">
        <w:r w:rsidR="00FA78A8" w:rsidRPr="00FA78A8">
          <w:rPr>
            <w:rStyle w:val="Lienhypertexte"/>
            <w:rFonts w:ascii="Rockwell" w:hAnsi="Rockwell"/>
            <w:noProof/>
          </w:rPr>
          <w:t>2.5.3.</w:t>
        </w:r>
        <w:r w:rsidR="00FA78A8" w:rsidRPr="00FA78A8">
          <w:rPr>
            <w:rFonts w:ascii="Rockwell" w:hAnsi="Rockwell"/>
            <w:i w:val="0"/>
            <w:iCs w:val="0"/>
            <w:noProof/>
            <w:sz w:val="22"/>
            <w:szCs w:val="22"/>
          </w:rPr>
          <w:tab/>
        </w:r>
        <w:r w:rsidR="00FA78A8" w:rsidRPr="00FA78A8">
          <w:rPr>
            <w:rStyle w:val="Lienhypertexte"/>
            <w:rFonts w:ascii="Rockwell" w:hAnsi="Rockwell"/>
            <w:noProof/>
          </w:rPr>
          <w:t>Conditions de réussite des investissements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66</w:t>
        </w:r>
        <w:r w:rsidR="00491B03" w:rsidRPr="00FA78A8">
          <w:rPr>
            <w:rFonts w:ascii="Rockwell" w:hAnsi="Rockwell"/>
            <w:noProof/>
            <w:webHidden/>
          </w:rPr>
          <w:fldChar w:fldCharType="end"/>
        </w:r>
      </w:hyperlink>
    </w:p>
    <w:p w:rsidR="00FA78A8" w:rsidRPr="00FA78A8" w:rsidRDefault="00DD31E1" w:rsidP="00FA78A8">
      <w:pPr>
        <w:pStyle w:val="TM1"/>
        <w:tabs>
          <w:tab w:val="left" w:pos="440"/>
          <w:tab w:val="right" w:leader="dot" w:pos="9628"/>
        </w:tabs>
        <w:jc w:val="both"/>
        <w:rPr>
          <w:rFonts w:ascii="Rockwell" w:hAnsi="Rockwell"/>
          <w:b w:val="0"/>
          <w:bCs w:val="0"/>
          <w:caps w:val="0"/>
          <w:noProof/>
          <w:sz w:val="22"/>
          <w:szCs w:val="22"/>
        </w:rPr>
      </w:pPr>
      <w:hyperlink w:anchor="_Toc455132783" w:history="1">
        <w:r w:rsidR="00FA78A8" w:rsidRPr="00FA78A8">
          <w:rPr>
            <w:rStyle w:val="Lienhypertexte"/>
            <w:rFonts w:ascii="Rockwell" w:hAnsi="Rockwell"/>
            <w:noProof/>
          </w:rPr>
          <w:t>III.</w:t>
        </w:r>
        <w:r w:rsidR="00FA78A8" w:rsidRPr="00FA78A8">
          <w:rPr>
            <w:rFonts w:ascii="Rockwell" w:hAnsi="Rockwell"/>
            <w:b w:val="0"/>
            <w:bCs w:val="0"/>
            <w:caps w:val="0"/>
            <w:noProof/>
            <w:sz w:val="22"/>
            <w:szCs w:val="22"/>
          </w:rPr>
          <w:tab/>
        </w:r>
        <w:r w:rsidR="00FA78A8" w:rsidRPr="00FA78A8">
          <w:rPr>
            <w:rStyle w:val="Lienhypertexte"/>
            <w:rFonts w:ascii="Rockwell" w:hAnsi="Rockwell"/>
            <w:noProof/>
          </w:rPr>
          <w:t>DISPOSITIONS DE MISE EN ŒUVRE, DE SUIVI ET D'ÉVALUATION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784" w:history="1">
        <w:r w:rsidR="00FA78A8" w:rsidRPr="00FA78A8">
          <w:rPr>
            <w:rStyle w:val="Lienhypertexte"/>
            <w:rFonts w:ascii="Rockwell" w:hAnsi="Rockwell"/>
            <w:noProof/>
          </w:rPr>
          <w:t>3.1.</w:t>
        </w:r>
        <w:r w:rsidR="00FA78A8" w:rsidRPr="00FA78A8">
          <w:rPr>
            <w:rFonts w:ascii="Rockwell" w:hAnsi="Rockwell"/>
            <w:smallCaps w:val="0"/>
            <w:noProof/>
            <w:sz w:val="22"/>
            <w:szCs w:val="22"/>
          </w:rPr>
          <w:tab/>
        </w:r>
        <w:r w:rsidR="00FA78A8" w:rsidRPr="00FA78A8">
          <w:rPr>
            <w:rStyle w:val="Lienhypertexte"/>
            <w:rFonts w:ascii="Rockwell" w:hAnsi="Rockwell"/>
            <w:noProof/>
          </w:rPr>
          <w:t>Dispositif de mise en œuvre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5" w:history="1">
        <w:r w:rsidR="00FA78A8" w:rsidRPr="00FA78A8">
          <w:rPr>
            <w:rStyle w:val="Lienhypertexte"/>
            <w:rFonts w:ascii="Rockwell" w:hAnsi="Rockwell"/>
            <w:noProof/>
          </w:rPr>
          <w:t>3.1.1.</w:t>
        </w:r>
        <w:r w:rsidR="00FA78A8" w:rsidRPr="00FA78A8">
          <w:rPr>
            <w:rFonts w:ascii="Rockwell" w:hAnsi="Rockwell"/>
            <w:i w:val="0"/>
            <w:iCs w:val="0"/>
            <w:noProof/>
            <w:sz w:val="22"/>
            <w:szCs w:val="22"/>
          </w:rPr>
          <w:tab/>
        </w:r>
        <w:r w:rsidR="00FA78A8" w:rsidRPr="00FA78A8">
          <w:rPr>
            <w:rStyle w:val="Lienhypertexte"/>
            <w:rFonts w:ascii="Rockwell" w:hAnsi="Rockwell"/>
            <w:noProof/>
          </w:rPr>
          <w:t>Instruments de mise en œuvre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6" w:history="1">
        <w:r w:rsidR="00FA78A8" w:rsidRPr="00FA78A8">
          <w:rPr>
            <w:rStyle w:val="Lienhypertexte"/>
            <w:rFonts w:ascii="Rockwell" w:hAnsi="Rockwell"/>
            <w:noProof/>
          </w:rPr>
          <w:t>3.1.1.1.</w:t>
        </w:r>
        <w:r w:rsidR="00FA78A8" w:rsidRPr="00FA78A8">
          <w:rPr>
            <w:rFonts w:ascii="Rockwell" w:hAnsi="Rockwell"/>
            <w:i w:val="0"/>
            <w:iCs w:val="0"/>
            <w:noProof/>
            <w:sz w:val="22"/>
            <w:szCs w:val="22"/>
          </w:rPr>
          <w:tab/>
        </w:r>
        <w:r w:rsidR="00FA78A8" w:rsidRPr="00FA78A8">
          <w:rPr>
            <w:rStyle w:val="Lienhypertexte"/>
            <w:rFonts w:ascii="Rockwell" w:hAnsi="Rockwell"/>
            <w:noProof/>
          </w:rPr>
          <w:t>Les politiques sectorielles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7" w:history="1">
        <w:r w:rsidR="00FA78A8" w:rsidRPr="00FA78A8">
          <w:rPr>
            <w:rStyle w:val="Lienhypertexte"/>
            <w:rFonts w:ascii="Rockwell" w:hAnsi="Rockwell"/>
            <w:noProof/>
          </w:rPr>
          <w:t>3.1.1.2.</w:t>
        </w:r>
        <w:r w:rsidR="00FA78A8" w:rsidRPr="00FA78A8">
          <w:rPr>
            <w:rFonts w:ascii="Rockwell" w:hAnsi="Rockwell"/>
            <w:i w:val="0"/>
            <w:iCs w:val="0"/>
            <w:noProof/>
            <w:sz w:val="22"/>
            <w:szCs w:val="22"/>
          </w:rPr>
          <w:tab/>
        </w:r>
        <w:r w:rsidR="00FA78A8" w:rsidRPr="00FA78A8">
          <w:rPr>
            <w:rStyle w:val="Lienhypertexte"/>
            <w:rFonts w:ascii="Rockwell" w:hAnsi="Rockwell"/>
            <w:noProof/>
          </w:rPr>
          <w:t>Les plans locaux de développement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8" w:history="1">
        <w:r w:rsidR="00FA78A8" w:rsidRPr="00FA78A8">
          <w:rPr>
            <w:rStyle w:val="Lienhypertexte"/>
            <w:rFonts w:ascii="Rockwell" w:hAnsi="Rockwell"/>
            <w:noProof/>
          </w:rPr>
          <w:t>3.1.2.</w:t>
        </w:r>
        <w:r w:rsidR="00FA78A8" w:rsidRPr="00FA78A8">
          <w:rPr>
            <w:rFonts w:ascii="Rockwell" w:hAnsi="Rockwell"/>
            <w:i w:val="0"/>
            <w:iCs w:val="0"/>
            <w:noProof/>
            <w:sz w:val="22"/>
            <w:szCs w:val="22"/>
          </w:rPr>
          <w:tab/>
        </w:r>
        <w:r w:rsidR="00FA78A8" w:rsidRPr="00FA78A8">
          <w:rPr>
            <w:rStyle w:val="Lienhypertexte"/>
            <w:rFonts w:ascii="Rockwell" w:hAnsi="Rockwell"/>
            <w:noProof/>
          </w:rPr>
          <w:t>Les acteurs de mise en œuvre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89" w:history="1">
        <w:r w:rsidR="00FA78A8" w:rsidRPr="00FA78A8">
          <w:rPr>
            <w:rStyle w:val="Lienhypertexte"/>
            <w:rFonts w:ascii="Rockwell" w:hAnsi="Rockwell"/>
            <w:noProof/>
          </w:rPr>
          <w:t>3.1.2.1.</w:t>
        </w:r>
        <w:r w:rsidR="00FA78A8" w:rsidRPr="00FA78A8">
          <w:rPr>
            <w:rFonts w:ascii="Rockwell" w:hAnsi="Rockwell"/>
            <w:i w:val="0"/>
            <w:iCs w:val="0"/>
            <w:noProof/>
            <w:sz w:val="22"/>
            <w:szCs w:val="22"/>
          </w:rPr>
          <w:tab/>
        </w:r>
        <w:r w:rsidR="00FA78A8" w:rsidRPr="00FA78A8">
          <w:rPr>
            <w:rStyle w:val="Lienhypertexte"/>
            <w:rFonts w:ascii="Rockwell" w:hAnsi="Rockwell"/>
            <w:noProof/>
          </w:rPr>
          <w:t>L'État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_Toc455132789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0" w:history="1">
        <w:r w:rsidR="00FA78A8" w:rsidRPr="00FA78A8">
          <w:rPr>
            <w:rStyle w:val="Lienhypertexte"/>
            <w:rFonts w:ascii="Rockwell" w:hAnsi="Rockwell"/>
            <w:noProof/>
          </w:rPr>
          <w:t>3.1.2.2.</w:t>
        </w:r>
        <w:r w:rsidR="00FA78A8" w:rsidRPr="00FA78A8">
          <w:rPr>
            <w:rFonts w:ascii="Rockwell" w:hAnsi="Rockwell"/>
            <w:i w:val="0"/>
            <w:iCs w:val="0"/>
            <w:noProof/>
            <w:sz w:val="22"/>
            <w:szCs w:val="22"/>
          </w:rPr>
          <w:tab/>
        </w:r>
        <w:r w:rsidR="00FA78A8" w:rsidRPr="00FA78A8">
          <w:rPr>
            <w:rStyle w:val="Lienhypertexte"/>
            <w:rFonts w:ascii="Rockwell" w:hAnsi="Rockwell"/>
            <w:noProof/>
          </w:rPr>
          <w:t>Les collectivités territoriales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1" w:history="1">
        <w:r w:rsidR="00FA78A8" w:rsidRPr="00FA78A8">
          <w:rPr>
            <w:rStyle w:val="Lienhypertexte"/>
            <w:rFonts w:ascii="Rockwell" w:hAnsi="Rockwell"/>
            <w:noProof/>
          </w:rPr>
          <w:t>3.1.2.3.</w:t>
        </w:r>
        <w:r w:rsidR="00FA78A8" w:rsidRPr="00FA78A8">
          <w:rPr>
            <w:rFonts w:ascii="Rockwell" w:hAnsi="Rockwell"/>
            <w:i w:val="0"/>
            <w:iCs w:val="0"/>
            <w:noProof/>
            <w:sz w:val="22"/>
            <w:szCs w:val="22"/>
          </w:rPr>
          <w:tab/>
        </w:r>
        <w:r w:rsidR="00FA78A8" w:rsidRPr="00FA78A8">
          <w:rPr>
            <w:rStyle w:val="Lienhypertexte"/>
            <w:rFonts w:ascii="Rockwell" w:hAnsi="Rockwell"/>
            <w:noProof/>
          </w:rPr>
          <w:t>Le secteur privé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2" w:history="1">
        <w:r w:rsidR="00FA78A8" w:rsidRPr="00FA78A8">
          <w:rPr>
            <w:rStyle w:val="Lienhypertexte"/>
            <w:rFonts w:ascii="Rockwell" w:hAnsi="Rockwell"/>
            <w:noProof/>
          </w:rPr>
          <w:t>3.1.2.4.</w:t>
        </w:r>
        <w:r w:rsidR="00FA78A8" w:rsidRPr="00FA78A8">
          <w:rPr>
            <w:rFonts w:ascii="Rockwell" w:hAnsi="Rockwell"/>
            <w:i w:val="0"/>
            <w:iCs w:val="0"/>
            <w:noProof/>
            <w:sz w:val="22"/>
            <w:szCs w:val="22"/>
          </w:rPr>
          <w:tab/>
        </w:r>
        <w:r w:rsidR="00FA78A8" w:rsidRPr="00FA78A8">
          <w:rPr>
            <w:rStyle w:val="Lienhypertexte"/>
            <w:rFonts w:ascii="Rockwell" w:hAnsi="Rockwell"/>
            <w:noProof/>
          </w:rPr>
          <w:t>Les organisations de la société civile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3" w:history="1">
        <w:r w:rsidR="00FA78A8" w:rsidRPr="00FA78A8">
          <w:rPr>
            <w:rStyle w:val="Lienhypertexte"/>
            <w:rFonts w:ascii="Rockwell" w:hAnsi="Rockwell"/>
            <w:noProof/>
          </w:rPr>
          <w:t>3.1.2.5.</w:t>
        </w:r>
        <w:r w:rsidR="00FA78A8" w:rsidRPr="00FA78A8">
          <w:rPr>
            <w:rFonts w:ascii="Rockwell" w:hAnsi="Rockwell"/>
            <w:i w:val="0"/>
            <w:iCs w:val="0"/>
            <w:noProof/>
            <w:sz w:val="22"/>
            <w:szCs w:val="22"/>
          </w:rPr>
          <w:tab/>
        </w:r>
        <w:r w:rsidR="00FA78A8" w:rsidRPr="00FA78A8">
          <w:rPr>
            <w:rStyle w:val="Lienhypertexte"/>
            <w:rFonts w:ascii="Rockwell" w:hAnsi="Rockwell"/>
            <w:noProof/>
          </w:rPr>
          <w:t>Les Partenaires techniques et financiers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4" w:history="1">
        <w:r w:rsidR="00FA78A8" w:rsidRPr="00FA78A8">
          <w:rPr>
            <w:rStyle w:val="Lienhypertexte"/>
            <w:rFonts w:ascii="Rockwell" w:hAnsi="Rockwell"/>
            <w:noProof/>
          </w:rPr>
          <w:t>3.1.2.6.</w:t>
        </w:r>
        <w:r w:rsidR="00FA78A8" w:rsidRPr="00FA78A8">
          <w:rPr>
            <w:rFonts w:ascii="Rockwell" w:hAnsi="Rockwell"/>
            <w:i w:val="0"/>
            <w:iCs w:val="0"/>
            <w:noProof/>
            <w:sz w:val="22"/>
            <w:szCs w:val="22"/>
          </w:rPr>
          <w:tab/>
        </w:r>
        <w:r w:rsidR="00FA78A8" w:rsidRPr="00FA78A8">
          <w:rPr>
            <w:rStyle w:val="Lienhypertexte"/>
            <w:rFonts w:ascii="Rockwell" w:hAnsi="Rockwell"/>
            <w:noProof/>
          </w:rPr>
          <w:t>Les Burkinabè de l'extérieur</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5" w:history="1">
        <w:r w:rsidR="00FA78A8" w:rsidRPr="00FA78A8">
          <w:rPr>
            <w:rStyle w:val="Lienhypertexte"/>
            <w:rFonts w:ascii="Rockwell" w:hAnsi="Rockwell"/>
            <w:bCs/>
            <w:noProof/>
          </w:rPr>
          <w:t>3.1.3.</w:t>
        </w:r>
        <w:r w:rsidR="00FA78A8" w:rsidRPr="00FA78A8">
          <w:rPr>
            <w:rFonts w:ascii="Rockwell" w:hAnsi="Rockwell"/>
            <w:i w:val="0"/>
            <w:iCs w:val="0"/>
            <w:noProof/>
            <w:sz w:val="22"/>
            <w:szCs w:val="22"/>
          </w:rPr>
          <w:tab/>
        </w:r>
        <w:r w:rsidR="00FA78A8" w:rsidRPr="00FA78A8">
          <w:rPr>
            <w:rStyle w:val="Lienhypertexte"/>
            <w:rFonts w:ascii="Rockwell" w:hAnsi="Rockwell"/>
            <w:noProof/>
          </w:rPr>
          <w:t>Le cadre organisationnel</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6" w:history="1">
        <w:r w:rsidR="00FA78A8" w:rsidRPr="00FA78A8">
          <w:rPr>
            <w:rStyle w:val="Lienhypertexte"/>
            <w:rFonts w:ascii="Rockwell" w:hAnsi="Rockwell"/>
            <w:noProof/>
          </w:rPr>
          <w:t>3.1.3.1.</w:t>
        </w:r>
        <w:r w:rsidR="00FA78A8" w:rsidRPr="00FA78A8">
          <w:rPr>
            <w:rFonts w:ascii="Rockwell" w:hAnsi="Rockwell"/>
            <w:i w:val="0"/>
            <w:iCs w:val="0"/>
            <w:noProof/>
            <w:sz w:val="22"/>
            <w:szCs w:val="22"/>
          </w:rPr>
          <w:tab/>
        </w:r>
        <w:r w:rsidR="00FA78A8" w:rsidRPr="00FA78A8">
          <w:rPr>
            <w:rStyle w:val="Lienhypertexte"/>
            <w:rFonts w:ascii="Rockwell" w:hAnsi="Rockwell"/>
            <w:noProof/>
          </w:rPr>
          <w:t>Les organes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69</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7" w:history="1">
        <w:r w:rsidR="00FA78A8" w:rsidRPr="00FA78A8">
          <w:rPr>
            <w:rStyle w:val="Lienhypertexte"/>
            <w:rFonts w:ascii="Rockwell" w:hAnsi="Rockwell"/>
            <w:noProof/>
          </w:rPr>
          <w:t>3.1.3.2.</w:t>
        </w:r>
        <w:r w:rsidR="00FA78A8" w:rsidRPr="00FA78A8">
          <w:rPr>
            <w:rFonts w:ascii="Rockwell" w:hAnsi="Rockwell"/>
            <w:i w:val="0"/>
            <w:iCs w:val="0"/>
            <w:noProof/>
            <w:sz w:val="22"/>
            <w:szCs w:val="22"/>
          </w:rPr>
          <w:tab/>
        </w:r>
        <w:r w:rsidR="00FA78A8" w:rsidRPr="00FA78A8">
          <w:rPr>
            <w:rStyle w:val="Lienhypertexte"/>
            <w:rFonts w:ascii="Rockwell" w:hAnsi="Rockwell"/>
            <w:noProof/>
          </w:rPr>
          <w:t xml:space="preserve">Le </w:t>
        </w:r>
        <w:r w:rsidR="00FA78A8" w:rsidRPr="00FA78A8">
          <w:rPr>
            <w:rStyle w:val="Lienhypertexte"/>
            <w:rFonts w:ascii="Rockwell" w:hAnsi="Rockwell" w:cs="Times New Roman"/>
            <w:noProof/>
          </w:rPr>
          <w:t>Comité national de pilotage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8" w:history="1">
        <w:r w:rsidR="00FA78A8" w:rsidRPr="00FA78A8">
          <w:rPr>
            <w:rStyle w:val="Lienhypertexte"/>
            <w:rFonts w:ascii="Rockwell" w:hAnsi="Rockwell"/>
            <w:noProof/>
          </w:rPr>
          <w:t>3.1.3.3.</w:t>
        </w:r>
        <w:r w:rsidR="00FA78A8" w:rsidRPr="00FA78A8">
          <w:rPr>
            <w:rFonts w:ascii="Rockwell" w:hAnsi="Rockwell"/>
            <w:i w:val="0"/>
            <w:iCs w:val="0"/>
            <w:noProof/>
            <w:sz w:val="22"/>
            <w:szCs w:val="22"/>
          </w:rPr>
          <w:tab/>
        </w:r>
        <w:r w:rsidR="00FA78A8" w:rsidRPr="00FA78A8">
          <w:rPr>
            <w:rStyle w:val="Lienhypertexte"/>
            <w:rFonts w:ascii="Rockwell" w:hAnsi="Rockwell"/>
            <w:noProof/>
          </w:rPr>
          <w:t xml:space="preserve">Le </w:t>
        </w:r>
        <w:r w:rsidR="00FA78A8" w:rsidRPr="00FA78A8">
          <w:rPr>
            <w:rStyle w:val="Lienhypertexte"/>
            <w:rFonts w:ascii="Rockwell" w:hAnsi="Rockwell" w:cs="Times New Roman"/>
            <w:noProof/>
          </w:rPr>
          <w:t>Secrétariat permanent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799" w:history="1">
        <w:r w:rsidR="00FA78A8" w:rsidRPr="00FA78A8">
          <w:rPr>
            <w:rStyle w:val="Lienhypertexte"/>
            <w:rFonts w:ascii="Rockwell" w:hAnsi="Rockwell"/>
            <w:noProof/>
          </w:rPr>
          <w:t>3.1.3.4.</w:t>
        </w:r>
        <w:r w:rsidR="00FA78A8" w:rsidRPr="00FA78A8">
          <w:rPr>
            <w:rFonts w:ascii="Rockwell" w:hAnsi="Rockwell"/>
            <w:i w:val="0"/>
            <w:iCs w:val="0"/>
            <w:noProof/>
            <w:sz w:val="22"/>
            <w:szCs w:val="22"/>
          </w:rPr>
          <w:tab/>
        </w:r>
        <w:r w:rsidR="00FA78A8" w:rsidRPr="00FA78A8">
          <w:rPr>
            <w:rStyle w:val="Lienhypertexte"/>
            <w:rFonts w:ascii="Rockwell" w:hAnsi="Rockwell"/>
            <w:noProof/>
          </w:rPr>
          <w:t>Les Cadres sectoriels de dialogue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_Toc455132799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0" w:history="1">
        <w:r w:rsidR="00FA78A8" w:rsidRPr="00FA78A8">
          <w:rPr>
            <w:rStyle w:val="Lienhypertexte"/>
            <w:rFonts w:ascii="Rockwell" w:hAnsi="Rockwell"/>
            <w:noProof/>
          </w:rPr>
          <w:t>3.1.3.5.</w:t>
        </w:r>
        <w:r w:rsidR="00FA78A8" w:rsidRPr="00FA78A8">
          <w:rPr>
            <w:rFonts w:ascii="Rockwell" w:hAnsi="Rockwell"/>
            <w:i w:val="0"/>
            <w:iCs w:val="0"/>
            <w:noProof/>
            <w:sz w:val="22"/>
            <w:szCs w:val="22"/>
          </w:rPr>
          <w:tab/>
        </w:r>
        <w:r w:rsidR="00FA78A8" w:rsidRPr="00FA78A8">
          <w:rPr>
            <w:rStyle w:val="Lienhypertexte"/>
            <w:rFonts w:ascii="Rockwell" w:hAnsi="Rockwell"/>
            <w:noProof/>
          </w:rPr>
          <w:t>Les Cadres régionaux de dialogue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70</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1" w:history="1">
        <w:r w:rsidR="00FA78A8" w:rsidRPr="00FA78A8">
          <w:rPr>
            <w:rStyle w:val="Lienhypertexte"/>
            <w:rFonts w:ascii="Rockwell" w:hAnsi="Rockwell"/>
            <w:noProof/>
          </w:rPr>
          <w:t>3.1.3.6.</w:t>
        </w:r>
        <w:r w:rsidR="00FA78A8" w:rsidRPr="00FA78A8">
          <w:rPr>
            <w:rFonts w:ascii="Rockwell" w:hAnsi="Rockwell"/>
            <w:i w:val="0"/>
            <w:iCs w:val="0"/>
            <w:noProof/>
            <w:sz w:val="22"/>
            <w:szCs w:val="22"/>
          </w:rPr>
          <w:tab/>
        </w:r>
        <w:r w:rsidR="00FA78A8" w:rsidRPr="00FA78A8">
          <w:rPr>
            <w:rStyle w:val="Lienhypertexte"/>
            <w:rFonts w:ascii="Rockwell" w:hAnsi="Rockwell"/>
            <w:noProof/>
          </w:rPr>
          <w:t>Les instances de décision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70</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802" w:history="1">
        <w:r w:rsidR="00FA78A8" w:rsidRPr="00FA78A8">
          <w:rPr>
            <w:rStyle w:val="Lienhypertexte"/>
            <w:rFonts w:ascii="Rockwell" w:hAnsi="Rockwell"/>
            <w:noProof/>
          </w:rPr>
          <w:t>3.2.</w:t>
        </w:r>
        <w:r w:rsidR="00FA78A8" w:rsidRPr="00FA78A8">
          <w:rPr>
            <w:rFonts w:ascii="Rockwell" w:hAnsi="Rockwell"/>
            <w:smallCaps w:val="0"/>
            <w:noProof/>
            <w:sz w:val="22"/>
            <w:szCs w:val="22"/>
          </w:rPr>
          <w:tab/>
        </w:r>
        <w:r w:rsidR="00FA78A8" w:rsidRPr="00FA78A8">
          <w:rPr>
            <w:rStyle w:val="Lienhypertexte"/>
            <w:rFonts w:ascii="Rockwell" w:hAnsi="Rockwell"/>
            <w:noProof/>
          </w:rPr>
          <w:t>Le suivi et l'évaluation du PNDES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71</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3" w:history="1">
        <w:r w:rsidR="00FA78A8" w:rsidRPr="00FA78A8">
          <w:rPr>
            <w:rStyle w:val="Lienhypertexte"/>
            <w:rFonts w:ascii="Rockwell" w:hAnsi="Rockwell"/>
            <w:noProof/>
          </w:rPr>
          <w:t>3.2.1.</w:t>
        </w:r>
        <w:r w:rsidR="00FA78A8" w:rsidRPr="00FA78A8">
          <w:rPr>
            <w:rFonts w:ascii="Rockwell" w:hAnsi="Rockwell"/>
            <w:i w:val="0"/>
            <w:iCs w:val="0"/>
            <w:noProof/>
            <w:sz w:val="22"/>
            <w:szCs w:val="22"/>
          </w:rPr>
          <w:tab/>
        </w:r>
        <w:r w:rsidR="00FA78A8" w:rsidRPr="00FA78A8">
          <w:rPr>
            <w:rStyle w:val="Lienhypertexte"/>
            <w:rFonts w:ascii="Rockwell" w:hAnsi="Rockwell"/>
            <w:noProof/>
          </w:rPr>
          <w:t>Le mécanisme de suivi et d’évaluation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71</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4" w:history="1">
        <w:r w:rsidR="00FA78A8" w:rsidRPr="00FA78A8">
          <w:rPr>
            <w:rStyle w:val="Lienhypertexte"/>
            <w:rFonts w:ascii="Rockwell" w:hAnsi="Rockwell"/>
            <w:noProof/>
          </w:rPr>
          <w:t>3.2.2.</w:t>
        </w:r>
        <w:r w:rsidR="00FA78A8" w:rsidRPr="00FA78A8">
          <w:rPr>
            <w:rFonts w:ascii="Rockwell" w:hAnsi="Rockwell"/>
            <w:i w:val="0"/>
            <w:iCs w:val="0"/>
            <w:noProof/>
            <w:sz w:val="22"/>
            <w:szCs w:val="22"/>
          </w:rPr>
          <w:tab/>
        </w:r>
        <w:r w:rsidR="00FA78A8" w:rsidRPr="00FA78A8">
          <w:rPr>
            <w:rStyle w:val="Lienhypertexte"/>
            <w:rFonts w:ascii="Rockwell" w:hAnsi="Rockwell"/>
            <w:noProof/>
          </w:rPr>
          <w:t>Les outils de mise en œuvre, de suivi et d’évaluation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73</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5" w:history="1">
        <w:r w:rsidR="00FA78A8" w:rsidRPr="00FA78A8">
          <w:rPr>
            <w:rStyle w:val="Lienhypertexte"/>
            <w:rFonts w:ascii="Rockwell" w:hAnsi="Rockwell"/>
            <w:noProof/>
          </w:rPr>
          <w:t>3.2.3.</w:t>
        </w:r>
        <w:r w:rsidR="00FA78A8" w:rsidRPr="00FA78A8">
          <w:rPr>
            <w:rFonts w:ascii="Rockwell" w:hAnsi="Rockwell"/>
            <w:i w:val="0"/>
            <w:iCs w:val="0"/>
            <w:noProof/>
            <w:sz w:val="22"/>
            <w:szCs w:val="22"/>
          </w:rPr>
          <w:tab/>
        </w:r>
        <w:r w:rsidR="00FA78A8" w:rsidRPr="00FA78A8">
          <w:rPr>
            <w:rStyle w:val="Lienhypertexte"/>
            <w:rFonts w:ascii="Rockwell" w:hAnsi="Rockwell"/>
            <w:noProof/>
          </w:rPr>
          <w:t>Les indicateurs de suivi et d’évaluation</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75</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806" w:history="1">
        <w:r w:rsidR="00FA78A8" w:rsidRPr="00FA78A8">
          <w:rPr>
            <w:rStyle w:val="Lienhypertexte"/>
            <w:rFonts w:ascii="Rockwell" w:hAnsi="Rockwell"/>
            <w:noProof/>
          </w:rPr>
          <w:t>3.3.</w:t>
        </w:r>
        <w:r w:rsidR="00FA78A8" w:rsidRPr="00FA78A8">
          <w:rPr>
            <w:rFonts w:ascii="Rockwell" w:hAnsi="Rockwell"/>
            <w:smallCaps w:val="0"/>
            <w:noProof/>
            <w:sz w:val="22"/>
            <w:szCs w:val="22"/>
          </w:rPr>
          <w:tab/>
        </w:r>
        <w:r w:rsidR="00FA78A8" w:rsidRPr="00FA78A8">
          <w:rPr>
            <w:rStyle w:val="Lienhypertexte"/>
            <w:rFonts w:ascii="Rockwell" w:hAnsi="Rockwell"/>
            <w:noProof/>
          </w:rPr>
          <w:t>Le schéma de financement</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_Toc455132806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75</w:t>
        </w:r>
        <w:r w:rsidR="00491B03" w:rsidRPr="00FA78A8">
          <w:rPr>
            <w:rFonts w:ascii="Rockwell" w:hAnsi="Rockwell"/>
            <w:noProof/>
            <w:webHidden/>
          </w:rPr>
          <w:fldChar w:fldCharType="end"/>
        </w:r>
      </w:hyperlink>
    </w:p>
    <w:p w:rsidR="00FA78A8" w:rsidRPr="00FA78A8" w:rsidRDefault="00DD31E1" w:rsidP="00FA78A8">
      <w:pPr>
        <w:pStyle w:val="TM2"/>
        <w:tabs>
          <w:tab w:val="left" w:pos="880"/>
          <w:tab w:val="right" w:leader="dot" w:pos="9628"/>
        </w:tabs>
        <w:jc w:val="both"/>
        <w:rPr>
          <w:rFonts w:ascii="Rockwell" w:hAnsi="Rockwell"/>
          <w:smallCaps w:val="0"/>
          <w:noProof/>
          <w:sz w:val="22"/>
          <w:szCs w:val="22"/>
        </w:rPr>
      </w:pPr>
      <w:hyperlink w:anchor="_Toc455132807" w:history="1">
        <w:r w:rsidR="00FA78A8" w:rsidRPr="00FA78A8">
          <w:rPr>
            <w:rStyle w:val="Lienhypertexte"/>
            <w:rFonts w:ascii="Rockwell" w:hAnsi="Rockwell"/>
            <w:noProof/>
          </w:rPr>
          <w:t>3.4.</w:t>
        </w:r>
        <w:r w:rsidR="00FA78A8" w:rsidRPr="00FA78A8">
          <w:rPr>
            <w:rFonts w:ascii="Rockwell" w:hAnsi="Rockwell"/>
            <w:smallCaps w:val="0"/>
            <w:noProof/>
            <w:sz w:val="22"/>
            <w:szCs w:val="22"/>
          </w:rPr>
          <w:tab/>
        </w:r>
        <w:r w:rsidR="00FA78A8" w:rsidRPr="00FA78A8">
          <w:rPr>
            <w:rStyle w:val="Lienhypertexte"/>
            <w:rFonts w:ascii="Rockwell" w:hAnsi="Rockwell"/>
            <w:noProof/>
          </w:rPr>
          <w:t>Analyse des risques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_Toc455132807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8" w:history="1">
        <w:r w:rsidR="00FA78A8" w:rsidRPr="00FA78A8">
          <w:rPr>
            <w:rStyle w:val="Lienhypertexte"/>
            <w:rFonts w:ascii="Rockwell" w:hAnsi="Rockwell"/>
            <w:noProof/>
          </w:rPr>
          <w:t>3.4.1.</w:t>
        </w:r>
        <w:r w:rsidR="00FA78A8" w:rsidRPr="00FA78A8">
          <w:rPr>
            <w:rFonts w:ascii="Rockwell" w:hAnsi="Rockwell"/>
            <w:i w:val="0"/>
            <w:iCs w:val="0"/>
            <w:noProof/>
            <w:sz w:val="22"/>
            <w:szCs w:val="22"/>
          </w:rPr>
          <w:tab/>
        </w:r>
        <w:r w:rsidR="00FA78A8" w:rsidRPr="00FA78A8">
          <w:rPr>
            <w:rStyle w:val="Lienhypertexte"/>
            <w:rFonts w:ascii="Rockwell" w:hAnsi="Rockwell"/>
            <w:noProof/>
          </w:rPr>
          <w:t>Risque de la dégradation de la sécurité</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_Toc455132808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76</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09" w:history="1">
        <w:r w:rsidR="00FA78A8" w:rsidRPr="00FA78A8">
          <w:rPr>
            <w:rStyle w:val="Lienhypertexte"/>
            <w:rFonts w:ascii="Rockwell" w:hAnsi="Rockwell"/>
            <w:noProof/>
          </w:rPr>
          <w:t>3.4.2.</w:t>
        </w:r>
        <w:r w:rsidR="00FA78A8" w:rsidRPr="00FA78A8">
          <w:rPr>
            <w:rFonts w:ascii="Rockwell" w:hAnsi="Rockwell"/>
            <w:i w:val="0"/>
            <w:iCs w:val="0"/>
            <w:noProof/>
            <w:sz w:val="22"/>
            <w:szCs w:val="22"/>
          </w:rPr>
          <w:tab/>
        </w:r>
        <w:r w:rsidR="00FA78A8" w:rsidRPr="00FA78A8">
          <w:rPr>
            <w:rStyle w:val="Lienhypertexte"/>
            <w:rFonts w:ascii="Rockwell" w:hAnsi="Rockwell"/>
            <w:noProof/>
          </w:rPr>
          <w:t>Risque de troubles sociopolitiques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_Toc455132809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10" w:history="1">
        <w:r w:rsidR="00FA78A8" w:rsidRPr="00FA78A8">
          <w:rPr>
            <w:rStyle w:val="Lienhypertexte"/>
            <w:rFonts w:ascii="Rockwell" w:hAnsi="Rockwell"/>
            <w:noProof/>
          </w:rPr>
          <w:t>3.4.3.</w:t>
        </w:r>
        <w:r w:rsidR="00FA78A8" w:rsidRPr="00FA78A8">
          <w:rPr>
            <w:rFonts w:ascii="Rockwell" w:hAnsi="Rockwell"/>
            <w:i w:val="0"/>
            <w:iCs w:val="0"/>
            <w:noProof/>
            <w:sz w:val="22"/>
            <w:szCs w:val="22"/>
          </w:rPr>
          <w:tab/>
        </w:r>
        <w:r w:rsidR="00FA78A8" w:rsidRPr="00FA78A8">
          <w:rPr>
            <w:rStyle w:val="Lienhypertexte"/>
            <w:rFonts w:ascii="Rockwell" w:hAnsi="Rockwell"/>
            <w:noProof/>
          </w:rPr>
          <w:t>Risque financier</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_Toc455132810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11" w:history="1">
        <w:r w:rsidR="00FA78A8" w:rsidRPr="00FA78A8">
          <w:rPr>
            <w:rStyle w:val="Lienhypertexte"/>
            <w:rFonts w:ascii="Rockwell" w:hAnsi="Rockwell"/>
            <w:noProof/>
          </w:rPr>
          <w:t>3.4.4.</w:t>
        </w:r>
        <w:r w:rsidR="00FA78A8" w:rsidRPr="00FA78A8">
          <w:rPr>
            <w:rFonts w:ascii="Rockwell" w:hAnsi="Rockwell"/>
            <w:i w:val="0"/>
            <w:iCs w:val="0"/>
            <w:noProof/>
            <w:sz w:val="22"/>
            <w:szCs w:val="22"/>
          </w:rPr>
          <w:tab/>
        </w:r>
        <w:r w:rsidR="00FA78A8" w:rsidRPr="00FA78A8">
          <w:rPr>
            <w:rStyle w:val="Lienhypertexte"/>
            <w:rFonts w:ascii="Rockwell" w:hAnsi="Rockwell"/>
            <w:noProof/>
          </w:rPr>
          <w:t>Risque lié aux aléas climatiques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_Toc455132811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77</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12" w:history="1">
        <w:r w:rsidR="00FA78A8" w:rsidRPr="00FA78A8">
          <w:rPr>
            <w:rStyle w:val="Lienhypertexte"/>
            <w:rFonts w:ascii="Rockwell" w:hAnsi="Rockwell"/>
            <w:noProof/>
          </w:rPr>
          <w:t>3.4.5.</w:t>
        </w:r>
        <w:r w:rsidR="00FA78A8" w:rsidRPr="00FA78A8">
          <w:rPr>
            <w:rFonts w:ascii="Rockwell" w:hAnsi="Rockwell"/>
            <w:i w:val="0"/>
            <w:iCs w:val="0"/>
            <w:noProof/>
            <w:sz w:val="22"/>
            <w:szCs w:val="22"/>
          </w:rPr>
          <w:tab/>
        </w:r>
        <w:r w:rsidR="00FA78A8" w:rsidRPr="00FA78A8">
          <w:rPr>
            <w:rStyle w:val="Lienhypertexte"/>
            <w:rFonts w:ascii="Rockwell" w:hAnsi="Rockwell"/>
            <w:noProof/>
          </w:rPr>
          <w:t>Risque lié à la conjoncture internationale et régionale</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_Toc455132812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78</w:t>
        </w:r>
        <w:r w:rsidR="00491B03" w:rsidRPr="00FA78A8">
          <w:rPr>
            <w:rFonts w:ascii="Rockwell" w:hAnsi="Rockwell"/>
            <w:noProof/>
            <w:webHidden/>
          </w:rPr>
          <w:fldChar w:fldCharType="end"/>
        </w:r>
      </w:hyperlink>
    </w:p>
    <w:p w:rsidR="00FA78A8" w:rsidRPr="00FA78A8" w:rsidRDefault="00DD31E1" w:rsidP="00FA78A8">
      <w:pPr>
        <w:pStyle w:val="TM3"/>
        <w:tabs>
          <w:tab w:val="left" w:pos="1320"/>
          <w:tab w:val="right" w:leader="dot" w:pos="9628"/>
        </w:tabs>
        <w:jc w:val="both"/>
        <w:rPr>
          <w:rFonts w:ascii="Rockwell" w:hAnsi="Rockwell"/>
          <w:i w:val="0"/>
          <w:iCs w:val="0"/>
          <w:noProof/>
          <w:sz w:val="22"/>
          <w:szCs w:val="22"/>
        </w:rPr>
      </w:pPr>
      <w:hyperlink w:anchor="_Toc455132813" w:history="1">
        <w:r w:rsidR="00FA78A8" w:rsidRPr="00FA78A8">
          <w:rPr>
            <w:rStyle w:val="Lienhypertexte"/>
            <w:rFonts w:ascii="Rockwell" w:hAnsi="Rockwell"/>
            <w:noProof/>
          </w:rPr>
          <w:t>3.4.6.</w:t>
        </w:r>
        <w:r w:rsidR="00FA78A8" w:rsidRPr="00FA78A8">
          <w:rPr>
            <w:rFonts w:ascii="Rockwell" w:hAnsi="Rockwell"/>
            <w:i w:val="0"/>
            <w:iCs w:val="0"/>
            <w:noProof/>
            <w:sz w:val="22"/>
            <w:szCs w:val="22"/>
          </w:rPr>
          <w:tab/>
        </w:r>
        <w:r w:rsidR="00FA78A8" w:rsidRPr="00FA78A8">
          <w:rPr>
            <w:rStyle w:val="Lienhypertexte"/>
            <w:rFonts w:ascii="Rockwell" w:hAnsi="Rockwell"/>
            <w:noProof/>
          </w:rPr>
          <w:t>Risque lié à une faible adhésion des acteurs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_Toc455132813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78</w:t>
        </w:r>
        <w:r w:rsidR="00491B03" w:rsidRPr="00FA78A8">
          <w:rPr>
            <w:rFonts w:ascii="Rockwell" w:hAnsi="Rockwell"/>
            <w:noProof/>
            <w:webHidden/>
          </w:rPr>
          <w:fldChar w:fldCharType="end"/>
        </w:r>
      </w:hyperlink>
    </w:p>
    <w:p w:rsidR="00FA78A8" w:rsidRPr="00FA78A8" w:rsidRDefault="00DD31E1" w:rsidP="00FA78A8">
      <w:pPr>
        <w:pStyle w:val="TM1"/>
        <w:tabs>
          <w:tab w:val="right" w:leader="dot" w:pos="9628"/>
        </w:tabs>
        <w:jc w:val="both"/>
        <w:rPr>
          <w:rFonts w:ascii="Rockwell" w:hAnsi="Rockwell"/>
          <w:b w:val="0"/>
          <w:bCs w:val="0"/>
          <w:caps w:val="0"/>
          <w:noProof/>
          <w:sz w:val="22"/>
          <w:szCs w:val="22"/>
        </w:rPr>
      </w:pPr>
      <w:hyperlink w:anchor="_Toc455132814" w:history="1">
        <w:r w:rsidR="00FA78A8" w:rsidRPr="00FA78A8">
          <w:rPr>
            <w:rStyle w:val="Lienhypertexte"/>
            <w:rFonts w:ascii="Rockwell" w:hAnsi="Rockwell"/>
            <w:noProof/>
          </w:rPr>
          <w:t>Annexes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_Toc455132814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80</w:t>
        </w:r>
        <w:r w:rsidR="00491B03" w:rsidRPr="00FA78A8">
          <w:rPr>
            <w:rFonts w:ascii="Rockwell" w:hAnsi="Rockwell"/>
            <w:noProof/>
            <w:webHidden/>
          </w:rPr>
          <w:fldChar w:fldCharType="end"/>
        </w:r>
      </w:hyperlink>
    </w:p>
    <w:p w:rsidR="00FA78A8" w:rsidRPr="00FA78A8" w:rsidRDefault="00DD31E1" w:rsidP="00FA78A8">
      <w:pPr>
        <w:pStyle w:val="TM1"/>
        <w:tabs>
          <w:tab w:val="right" w:leader="dot" w:pos="9628"/>
        </w:tabs>
        <w:jc w:val="both"/>
        <w:rPr>
          <w:rFonts w:ascii="Rockwell" w:hAnsi="Rockwell"/>
          <w:b w:val="0"/>
          <w:bCs w:val="0"/>
          <w:caps w:val="0"/>
          <w:noProof/>
          <w:sz w:val="22"/>
          <w:szCs w:val="22"/>
        </w:rPr>
      </w:pPr>
      <w:hyperlink w:anchor="_Toc455132815" w:history="1">
        <w:r w:rsidR="00FA78A8" w:rsidRPr="00FA78A8">
          <w:rPr>
            <w:rStyle w:val="Lienhypertexte"/>
            <w:rFonts w:ascii="Rockwell" w:hAnsi="Rockwell"/>
            <w:noProof/>
          </w:rPr>
          <w:t>Tables des matières</w:t>
        </w:r>
        <w:r w:rsidR="00FA78A8" w:rsidRPr="00FA78A8">
          <w:rPr>
            <w:rFonts w:ascii="Rockwell" w:hAnsi="Rockwell"/>
            <w:noProof/>
            <w:webHidden/>
          </w:rPr>
          <w:tab/>
        </w:r>
        <w:r w:rsidR="00491B03" w:rsidRPr="00FA78A8">
          <w:rPr>
            <w:rFonts w:ascii="Rockwell" w:hAnsi="Rockwell"/>
            <w:noProof/>
            <w:webHidden/>
          </w:rPr>
          <w:fldChar w:fldCharType="begin"/>
        </w:r>
        <w:r w:rsidR="00FA78A8" w:rsidRPr="00FA78A8">
          <w:rPr>
            <w:rFonts w:ascii="Rockwell" w:hAnsi="Rockwell"/>
            <w:noProof/>
            <w:webHidden/>
          </w:rPr>
          <w:instrText xml:space="preserve"> PAGEREF _Toc455132815 \h </w:instrText>
        </w:r>
        <w:r w:rsidR="00491B03" w:rsidRPr="00FA78A8">
          <w:rPr>
            <w:rFonts w:ascii="Rockwell" w:hAnsi="Rockwell"/>
            <w:noProof/>
            <w:webHidden/>
          </w:rPr>
        </w:r>
        <w:r w:rsidR="00491B03" w:rsidRPr="00FA78A8">
          <w:rPr>
            <w:rFonts w:ascii="Rockwell" w:hAnsi="Rockwell"/>
            <w:noProof/>
            <w:webHidden/>
          </w:rPr>
          <w:fldChar w:fldCharType="separate"/>
        </w:r>
        <w:r w:rsidR="00FA78A8" w:rsidRPr="00FA78A8">
          <w:rPr>
            <w:rFonts w:ascii="Rockwell" w:hAnsi="Rockwell"/>
            <w:noProof/>
            <w:webHidden/>
          </w:rPr>
          <w:t>131</w:t>
        </w:r>
        <w:r w:rsidR="00491B03" w:rsidRPr="00FA78A8">
          <w:rPr>
            <w:rFonts w:ascii="Rockwell" w:hAnsi="Rockwell"/>
            <w:noProof/>
            <w:webHidden/>
          </w:rPr>
          <w:fldChar w:fldCharType="end"/>
        </w:r>
      </w:hyperlink>
    </w:p>
    <w:p w:rsidR="00C137D5" w:rsidRPr="00FA78A8" w:rsidRDefault="00491B03" w:rsidP="00FA78A8">
      <w:pPr>
        <w:spacing w:after="0" w:line="240" w:lineRule="auto"/>
        <w:jc w:val="both"/>
        <w:rPr>
          <w:rFonts w:ascii="Rockwell" w:hAnsi="Rockwell" w:cs="Times New Roman"/>
          <w:bCs/>
          <w:sz w:val="24"/>
          <w:szCs w:val="24"/>
        </w:rPr>
      </w:pPr>
      <w:r w:rsidRPr="00FA78A8">
        <w:rPr>
          <w:rFonts w:ascii="Rockwell" w:hAnsi="Rockwell" w:cs="Times New Roman"/>
          <w:bCs/>
          <w:sz w:val="24"/>
          <w:szCs w:val="24"/>
        </w:rPr>
        <w:fldChar w:fldCharType="end"/>
      </w:r>
    </w:p>
    <w:p w:rsidR="00C137D5" w:rsidRPr="00422183" w:rsidRDefault="00C137D5" w:rsidP="00C137D5">
      <w:pPr>
        <w:spacing w:after="0" w:line="240" w:lineRule="auto"/>
        <w:jc w:val="both"/>
        <w:rPr>
          <w:rFonts w:ascii="Rockwell" w:hAnsi="Rockwell" w:cs="Times New Roman"/>
          <w:bCs/>
          <w:sz w:val="24"/>
          <w:szCs w:val="24"/>
        </w:rPr>
      </w:pPr>
    </w:p>
    <w:p w:rsidR="00C137D5" w:rsidRPr="00422183" w:rsidRDefault="00C137D5" w:rsidP="003A0820">
      <w:pPr>
        <w:spacing w:after="0" w:line="240" w:lineRule="auto"/>
        <w:jc w:val="both"/>
        <w:rPr>
          <w:rFonts w:ascii="Rockwell" w:hAnsi="Rockwell" w:cs="Times New Roman"/>
          <w:bCs/>
          <w:sz w:val="24"/>
          <w:szCs w:val="24"/>
        </w:rPr>
      </w:pPr>
    </w:p>
    <w:sectPr w:rsidR="00C137D5" w:rsidRPr="00422183" w:rsidSect="00C137D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8C" w:rsidRDefault="00A65B8C" w:rsidP="00DC6DC4">
      <w:pPr>
        <w:spacing w:after="0" w:line="240" w:lineRule="auto"/>
      </w:pPr>
      <w:r>
        <w:separator/>
      </w:r>
    </w:p>
  </w:endnote>
  <w:endnote w:type="continuationSeparator" w:id="0">
    <w:p w:rsidR="00A65B8C" w:rsidRDefault="00A65B8C" w:rsidP="00DC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BookAntiqua">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cs="Times New Roman"/>
        <w:sz w:val="24"/>
        <w:szCs w:val="24"/>
      </w:rPr>
      <w:id w:val="-400748067"/>
      <w:docPartObj>
        <w:docPartGallery w:val="Page Numbers (Bottom of Page)"/>
        <w:docPartUnique/>
      </w:docPartObj>
    </w:sdtPr>
    <w:sdtEndPr/>
    <w:sdtContent>
      <w:p w:rsidR="00794641" w:rsidRPr="00B93026" w:rsidRDefault="00491B03" w:rsidP="00B93026">
        <w:pPr>
          <w:pStyle w:val="Pieddepage"/>
          <w:jc w:val="center"/>
          <w:rPr>
            <w:rFonts w:ascii="Rockwell" w:hAnsi="Rockwell" w:cs="Times New Roman"/>
            <w:sz w:val="24"/>
            <w:szCs w:val="24"/>
          </w:rPr>
        </w:pPr>
        <w:r w:rsidRPr="008C73E0">
          <w:rPr>
            <w:rFonts w:ascii="Rockwell" w:hAnsi="Rockwell" w:cs="Times New Roman"/>
            <w:sz w:val="24"/>
            <w:szCs w:val="24"/>
          </w:rPr>
          <w:fldChar w:fldCharType="begin"/>
        </w:r>
        <w:r w:rsidR="00794641" w:rsidRPr="008C73E0">
          <w:rPr>
            <w:rFonts w:ascii="Rockwell" w:hAnsi="Rockwell" w:cs="Times New Roman"/>
            <w:sz w:val="24"/>
            <w:szCs w:val="24"/>
          </w:rPr>
          <w:instrText xml:space="preserve"> PAGE   \* MERGEFORMAT </w:instrText>
        </w:r>
        <w:r w:rsidRPr="008C73E0">
          <w:rPr>
            <w:rFonts w:ascii="Rockwell" w:hAnsi="Rockwell" w:cs="Times New Roman"/>
            <w:sz w:val="24"/>
            <w:szCs w:val="24"/>
          </w:rPr>
          <w:fldChar w:fldCharType="separate"/>
        </w:r>
        <w:r w:rsidR="00DD31E1">
          <w:rPr>
            <w:rFonts w:ascii="Rockwell" w:hAnsi="Rockwell" w:cs="Times New Roman"/>
            <w:noProof/>
            <w:sz w:val="24"/>
            <w:szCs w:val="24"/>
          </w:rPr>
          <w:t>2</w:t>
        </w:r>
        <w:r w:rsidRPr="008C73E0">
          <w:rPr>
            <w:rFonts w:ascii="Rockwell" w:hAnsi="Rockwell"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40071"/>
      <w:docPartObj>
        <w:docPartGallery w:val="Page Numbers (Bottom of Page)"/>
        <w:docPartUnique/>
      </w:docPartObj>
    </w:sdtPr>
    <w:sdtEndPr/>
    <w:sdtContent>
      <w:p w:rsidR="00794641" w:rsidRDefault="00491B03" w:rsidP="00AA6DAD">
        <w:pPr>
          <w:pStyle w:val="Pieddepage"/>
          <w:jc w:val="center"/>
        </w:pPr>
        <w:r>
          <w:fldChar w:fldCharType="begin"/>
        </w:r>
        <w:r w:rsidR="00794641">
          <w:instrText>PAGE   \* MERGEFORMAT</w:instrText>
        </w:r>
        <w:r>
          <w:fldChar w:fldCharType="separate"/>
        </w:r>
        <w:r w:rsidR="00FA78A8">
          <w:rPr>
            <w:noProof/>
          </w:rPr>
          <w:t>80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sz w:val="24"/>
        <w:szCs w:val="24"/>
      </w:rPr>
      <w:id w:val="309069824"/>
      <w:docPartObj>
        <w:docPartGallery w:val="Page Numbers (Bottom of Page)"/>
        <w:docPartUnique/>
      </w:docPartObj>
    </w:sdtPr>
    <w:sdtEndPr/>
    <w:sdtContent>
      <w:p w:rsidR="00794641" w:rsidRPr="000840A2" w:rsidRDefault="00491B03" w:rsidP="002847FD">
        <w:pPr>
          <w:pStyle w:val="Pieddepage"/>
          <w:jc w:val="center"/>
          <w:rPr>
            <w:rFonts w:ascii="Rockwell" w:hAnsi="Rockwell"/>
            <w:sz w:val="24"/>
            <w:szCs w:val="24"/>
          </w:rPr>
        </w:pPr>
        <w:r w:rsidRPr="000840A2">
          <w:rPr>
            <w:rFonts w:ascii="Rockwell" w:hAnsi="Rockwell"/>
            <w:sz w:val="24"/>
            <w:szCs w:val="24"/>
          </w:rPr>
          <w:fldChar w:fldCharType="begin"/>
        </w:r>
        <w:r w:rsidR="00794641" w:rsidRPr="000840A2">
          <w:rPr>
            <w:rFonts w:ascii="Rockwell" w:hAnsi="Rockwell"/>
            <w:sz w:val="24"/>
            <w:szCs w:val="24"/>
          </w:rPr>
          <w:instrText>PAGE   \* MERGEFORMAT</w:instrText>
        </w:r>
        <w:r w:rsidRPr="000840A2">
          <w:rPr>
            <w:rFonts w:ascii="Rockwell" w:hAnsi="Rockwell"/>
            <w:sz w:val="24"/>
            <w:szCs w:val="24"/>
          </w:rPr>
          <w:fldChar w:fldCharType="separate"/>
        </w:r>
        <w:r w:rsidR="00FA78A8">
          <w:rPr>
            <w:rFonts w:ascii="Rockwell" w:hAnsi="Rockwell"/>
            <w:noProof/>
            <w:sz w:val="24"/>
            <w:szCs w:val="24"/>
          </w:rPr>
          <w:t>132</w:t>
        </w:r>
        <w:r w:rsidRPr="000840A2">
          <w:rPr>
            <w:rFonts w:ascii="Rockwell" w:hAnsi="Rockwel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8C" w:rsidRDefault="00A65B8C" w:rsidP="00DC6DC4">
      <w:pPr>
        <w:spacing w:after="0" w:line="240" w:lineRule="auto"/>
      </w:pPr>
      <w:r>
        <w:separator/>
      </w:r>
    </w:p>
  </w:footnote>
  <w:footnote w:type="continuationSeparator" w:id="0">
    <w:p w:rsidR="00A65B8C" w:rsidRDefault="00A65B8C" w:rsidP="00DC6DC4">
      <w:pPr>
        <w:spacing w:after="0" w:line="240" w:lineRule="auto"/>
      </w:pPr>
      <w:r>
        <w:continuationSeparator/>
      </w:r>
    </w:p>
  </w:footnote>
  <w:footnote w:id="1">
    <w:p w:rsidR="00794641" w:rsidRDefault="00794641" w:rsidP="00034305">
      <w:pPr>
        <w:pStyle w:val="Notedebasdepage"/>
      </w:pPr>
      <w:r>
        <w:rPr>
          <w:rStyle w:val="Appelnotedebasdep"/>
        </w:rPr>
        <w:footnoteRef/>
      </w:r>
      <w:r w:rsidRPr="004008E4">
        <w:rPr>
          <w:rFonts w:ascii="Rockwell" w:hAnsi="Rockwell"/>
          <w:sz w:val="16"/>
          <w:szCs w:val="16"/>
        </w:rPr>
        <w:t xml:space="preserve"> Le taux d’électrification en 2015 fourni par la SONABEL et les coopératives d’électricité est de 18,83% (DGESS/Ministère de l’énergie, des mines et des carrières)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41" w:rsidRDefault="00794641">
    <w:pPr>
      <w:pStyle w:val="En-tte"/>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41" w:rsidRDefault="00794641">
    <w:pPr>
      <w:pStyle w:val="En-tt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6D9"/>
    <w:multiLevelType w:val="hybridMultilevel"/>
    <w:tmpl w:val="FB48A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04BD"/>
    <w:multiLevelType w:val="hybridMultilevel"/>
    <w:tmpl w:val="FDC874E2"/>
    <w:lvl w:ilvl="0" w:tplc="710091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15287"/>
    <w:multiLevelType w:val="hybridMultilevel"/>
    <w:tmpl w:val="1C16FAA2"/>
    <w:lvl w:ilvl="0" w:tplc="506CBA9A">
      <w:start w:val="3"/>
      <w:numFmt w:val="bullet"/>
      <w:lvlText w:val="-"/>
      <w:lvlJc w:val="left"/>
      <w:pPr>
        <w:ind w:left="720" w:hanging="360"/>
      </w:pPr>
      <w:rPr>
        <w:rFonts w:ascii="Rockwell" w:eastAsiaTheme="minorHAns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865BCF"/>
    <w:multiLevelType w:val="hybridMultilevel"/>
    <w:tmpl w:val="4FD40B64"/>
    <w:lvl w:ilvl="0" w:tplc="710091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F1504F"/>
    <w:multiLevelType w:val="hybridMultilevel"/>
    <w:tmpl w:val="3ED86154"/>
    <w:lvl w:ilvl="0" w:tplc="D77C3D12">
      <w:numFmt w:val="bullet"/>
      <w:lvlText w:val="-"/>
      <w:lvlJc w:val="left"/>
      <w:pPr>
        <w:ind w:left="720" w:hanging="360"/>
      </w:pPr>
      <w:rPr>
        <w:rFonts w:ascii="Rockwell" w:eastAsiaTheme="minorEastAsia"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F6836"/>
    <w:multiLevelType w:val="hybridMultilevel"/>
    <w:tmpl w:val="AFB68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3244D"/>
    <w:multiLevelType w:val="hybridMultilevel"/>
    <w:tmpl w:val="A9081B66"/>
    <w:lvl w:ilvl="0" w:tplc="9E1AC9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61249C"/>
    <w:multiLevelType w:val="hybridMultilevel"/>
    <w:tmpl w:val="A9081B66"/>
    <w:lvl w:ilvl="0" w:tplc="9E1AC9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6234F5"/>
    <w:multiLevelType w:val="hybridMultilevel"/>
    <w:tmpl w:val="3F841284"/>
    <w:lvl w:ilvl="0" w:tplc="4EB607E6">
      <w:start w:val="1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784A9A"/>
    <w:multiLevelType w:val="hybridMultilevel"/>
    <w:tmpl w:val="8B6C3F2C"/>
    <w:lvl w:ilvl="0" w:tplc="1200E61A">
      <w:start w:val="2"/>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B87EE8"/>
    <w:multiLevelType w:val="hybridMultilevel"/>
    <w:tmpl w:val="BF04701C"/>
    <w:lvl w:ilvl="0" w:tplc="DABAAD96">
      <w:start w:val="13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1F337F"/>
    <w:multiLevelType w:val="hybridMultilevel"/>
    <w:tmpl w:val="87286D84"/>
    <w:lvl w:ilvl="0" w:tplc="56D0E18E">
      <w:start w:val="1"/>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0F2F5B"/>
    <w:multiLevelType w:val="hybridMultilevel"/>
    <w:tmpl w:val="BC4430FA"/>
    <w:lvl w:ilvl="0" w:tplc="023AA2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154ECC"/>
    <w:multiLevelType w:val="hybridMultilevel"/>
    <w:tmpl w:val="A9081B66"/>
    <w:lvl w:ilvl="0" w:tplc="9E1AC9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0C3982"/>
    <w:multiLevelType w:val="multilevel"/>
    <w:tmpl w:val="F564B280"/>
    <w:lvl w:ilvl="0">
      <w:start w:val="1"/>
      <w:numFmt w:val="upperRoman"/>
      <w:pStyle w:val="PNDES1"/>
      <w:lvlText w:val="%1."/>
      <w:lvlJc w:val="right"/>
      <w:pPr>
        <w:ind w:left="720" w:hanging="360"/>
      </w:pPr>
    </w:lvl>
    <w:lvl w:ilvl="1">
      <w:start w:val="1"/>
      <w:numFmt w:val="decimal"/>
      <w:pStyle w:val="PNDES2"/>
      <w:isLgl/>
      <w:lvlText w:val="%1.%2."/>
      <w:lvlJc w:val="left"/>
      <w:pPr>
        <w:ind w:left="1080" w:hanging="720"/>
      </w:pPr>
      <w:rPr>
        <w:rFonts w:hint="default"/>
      </w:rPr>
    </w:lvl>
    <w:lvl w:ilvl="2">
      <w:start w:val="1"/>
      <w:numFmt w:val="decimal"/>
      <w:pStyle w:val="PNDES3"/>
      <w:isLgl/>
      <w:lvlText w:val="%1.%2.%3."/>
      <w:lvlJc w:val="left"/>
      <w:pPr>
        <w:ind w:left="1440" w:hanging="1080"/>
      </w:pPr>
      <w:rPr>
        <w:rFonts w:hint="default"/>
        <w:i w:val="0"/>
      </w:rPr>
    </w:lvl>
    <w:lvl w:ilvl="3">
      <w:start w:val="1"/>
      <w:numFmt w:val="decimal"/>
      <w:pStyle w:val="PNDE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7674147A"/>
    <w:multiLevelType w:val="hybridMultilevel"/>
    <w:tmpl w:val="75142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F55508"/>
    <w:multiLevelType w:val="hybridMultilevel"/>
    <w:tmpl w:val="71843EE6"/>
    <w:lvl w:ilvl="0" w:tplc="771029FE">
      <w:numFmt w:val="bullet"/>
      <w:lvlText w:val="-"/>
      <w:lvlJc w:val="left"/>
      <w:pPr>
        <w:ind w:left="720" w:hanging="360"/>
      </w:pPr>
      <w:rPr>
        <w:rFonts w:ascii="Rockwell" w:eastAsiaTheme="minorEastAsia"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3"/>
  </w:num>
  <w:num w:numId="5">
    <w:abstractNumId w:val="15"/>
  </w:num>
  <w:num w:numId="6">
    <w:abstractNumId w:val="9"/>
  </w:num>
  <w:num w:numId="7">
    <w:abstractNumId w:val="2"/>
  </w:num>
  <w:num w:numId="8">
    <w:abstractNumId w:val="11"/>
  </w:num>
  <w:num w:numId="9">
    <w:abstractNumId w:val="10"/>
  </w:num>
  <w:num w:numId="10">
    <w:abstractNumId w:val="16"/>
  </w:num>
  <w:num w:numId="11">
    <w:abstractNumId w:val="8"/>
  </w:num>
  <w:num w:numId="12">
    <w:abstractNumId w:val="6"/>
  </w:num>
  <w:num w:numId="13">
    <w:abstractNumId w:val="7"/>
  </w:num>
  <w:num w:numId="14">
    <w:abstractNumId w:val="3"/>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80"/>
    <w:rsid w:val="0000169F"/>
    <w:rsid w:val="00002229"/>
    <w:rsid w:val="00002816"/>
    <w:rsid w:val="00003427"/>
    <w:rsid w:val="00004ADA"/>
    <w:rsid w:val="00005EAA"/>
    <w:rsid w:val="00007D0D"/>
    <w:rsid w:val="00007EFC"/>
    <w:rsid w:val="0001010D"/>
    <w:rsid w:val="00010359"/>
    <w:rsid w:val="00010D1F"/>
    <w:rsid w:val="00010E78"/>
    <w:rsid w:val="00010EAF"/>
    <w:rsid w:val="00012AF0"/>
    <w:rsid w:val="00012C9A"/>
    <w:rsid w:val="00012F1F"/>
    <w:rsid w:val="0001456F"/>
    <w:rsid w:val="00014D8D"/>
    <w:rsid w:val="00015511"/>
    <w:rsid w:val="00015E5E"/>
    <w:rsid w:val="00016226"/>
    <w:rsid w:val="00016F7D"/>
    <w:rsid w:val="00017465"/>
    <w:rsid w:val="000179D6"/>
    <w:rsid w:val="00017C67"/>
    <w:rsid w:val="000203E9"/>
    <w:rsid w:val="00020B36"/>
    <w:rsid w:val="00020EE8"/>
    <w:rsid w:val="00024018"/>
    <w:rsid w:val="000256B3"/>
    <w:rsid w:val="0002574A"/>
    <w:rsid w:val="000266F5"/>
    <w:rsid w:val="00026B88"/>
    <w:rsid w:val="00027081"/>
    <w:rsid w:val="000275B6"/>
    <w:rsid w:val="000277E0"/>
    <w:rsid w:val="00027C16"/>
    <w:rsid w:val="0003016B"/>
    <w:rsid w:val="000313CB"/>
    <w:rsid w:val="00031F39"/>
    <w:rsid w:val="0003206B"/>
    <w:rsid w:val="0003233D"/>
    <w:rsid w:val="00032A99"/>
    <w:rsid w:val="00033775"/>
    <w:rsid w:val="0003395F"/>
    <w:rsid w:val="00034305"/>
    <w:rsid w:val="00034BAA"/>
    <w:rsid w:val="0003504C"/>
    <w:rsid w:val="000355E8"/>
    <w:rsid w:val="0003599A"/>
    <w:rsid w:val="00035C89"/>
    <w:rsid w:val="000366B7"/>
    <w:rsid w:val="00040977"/>
    <w:rsid w:val="00041C60"/>
    <w:rsid w:val="00041C72"/>
    <w:rsid w:val="00042154"/>
    <w:rsid w:val="0004391A"/>
    <w:rsid w:val="00044242"/>
    <w:rsid w:val="00045A37"/>
    <w:rsid w:val="00045FFF"/>
    <w:rsid w:val="00046865"/>
    <w:rsid w:val="000471C2"/>
    <w:rsid w:val="00047B98"/>
    <w:rsid w:val="00047C92"/>
    <w:rsid w:val="00050857"/>
    <w:rsid w:val="000519FC"/>
    <w:rsid w:val="00051A92"/>
    <w:rsid w:val="00051D99"/>
    <w:rsid w:val="00052D21"/>
    <w:rsid w:val="000537AF"/>
    <w:rsid w:val="00054D66"/>
    <w:rsid w:val="00054E32"/>
    <w:rsid w:val="00056014"/>
    <w:rsid w:val="0005668E"/>
    <w:rsid w:val="000566DC"/>
    <w:rsid w:val="00057699"/>
    <w:rsid w:val="000578E3"/>
    <w:rsid w:val="000603D5"/>
    <w:rsid w:val="00060B7C"/>
    <w:rsid w:val="00060D9C"/>
    <w:rsid w:val="00060F26"/>
    <w:rsid w:val="00061B7E"/>
    <w:rsid w:val="0006239A"/>
    <w:rsid w:val="000637C7"/>
    <w:rsid w:val="00063A0A"/>
    <w:rsid w:val="00063E4E"/>
    <w:rsid w:val="000667A8"/>
    <w:rsid w:val="00066834"/>
    <w:rsid w:val="00066D36"/>
    <w:rsid w:val="00067985"/>
    <w:rsid w:val="00067A96"/>
    <w:rsid w:val="00070C40"/>
    <w:rsid w:val="00070D91"/>
    <w:rsid w:val="000719DA"/>
    <w:rsid w:val="0007387D"/>
    <w:rsid w:val="00074494"/>
    <w:rsid w:val="00074A54"/>
    <w:rsid w:val="00075142"/>
    <w:rsid w:val="000752F2"/>
    <w:rsid w:val="000755AE"/>
    <w:rsid w:val="00075684"/>
    <w:rsid w:val="00075C8E"/>
    <w:rsid w:val="00075CD6"/>
    <w:rsid w:val="00076217"/>
    <w:rsid w:val="000762F0"/>
    <w:rsid w:val="00076900"/>
    <w:rsid w:val="00076B4E"/>
    <w:rsid w:val="000775A4"/>
    <w:rsid w:val="000775E3"/>
    <w:rsid w:val="00077619"/>
    <w:rsid w:val="00077E01"/>
    <w:rsid w:val="00077F8A"/>
    <w:rsid w:val="00080BC8"/>
    <w:rsid w:val="00080CB3"/>
    <w:rsid w:val="00080D93"/>
    <w:rsid w:val="000814BC"/>
    <w:rsid w:val="000828E4"/>
    <w:rsid w:val="00082E2A"/>
    <w:rsid w:val="000834C1"/>
    <w:rsid w:val="00083926"/>
    <w:rsid w:val="000840A2"/>
    <w:rsid w:val="0008452D"/>
    <w:rsid w:val="0008474B"/>
    <w:rsid w:val="00085278"/>
    <w:rsid w:val="000853EA"/>
    <w:rsid w:val="000856EB"/>
    <w:rsid w:val="00085D96"/>
    <w:rsid w:val="00085F05"/>
    <w:rsid w:val="00086D44"/>
    <w:rsid w:val="0008784A"/>
    <w:rsid w:val="000878B4"/>
    <w:rsid w:val="00087DED"/>
    <w:rsid w:val="000902C3"/>
    <w:rsid w:val="00090389"/>
    <w:rsid w:val="0009135D"/>
    <w:rsid w:val="00091825"/>
    <w:rsid w:val="00091DA0"/>
    <w:rsid w:val="000948A7"/>
    <w:rsid w:val="00094F5E"/>
    <w:rsid w:val="0009520D"/>
    <w:rsid w:val="00095A83"/>
    <w:rsid w:val="0009661F"/>
    <w:rsid w:val="00096653"/>
    <w:rsid w:val="0009702F"/>
    <w:rsid w:val="00097758"/>
    <w:rsid w:val="000A1151"/>
    <w:rsid w:val="000A11ED"/>
    <w:rsid w:val="000A29E4"/>
    <w:rsid w:val="000A2CD2"/>
    <w:rsid w:val="000A3F00"/>
    <w:rsid w:val="000A44FB"/>
    <w:rsid w:val="000A4E0E"/>
    <w:rsid w:val="000A5F89"/>
    <w:rsid w:val="000A62C5"/>
    <w:rsid w:val="000B01F3"/>
    <w:rsid w:val="000B07E0"/>
    <w:rsid w:val="000B10F7"/>
    <w:rsid w:val="000B24A9"/>
    <w:rsid w:val="000B2F75"/>
    <w:rsid w:val="000B35B1"/>
    <w:rsid w:val="000B4E88"/>
    <w:rsid w:val="000B5557"/>
    <w:rsid w:val="000B5D95"/>
    <w:rsid w:val="000B611D"/>
    <w:rsid w:val="000B66C1"/>
    <w:rsid w:val="000B6DB1"/>
    <w:rsid w:val="000B7CC2"/>
    <w:rsid w:val="000B7F9E"/>
    <w:rsid w:val="000C09E6"/>
    <w:rsid w:val="000C1297"/>
    <w:rsid w:val="000C2B64"/>
    <w:rsid w:val="000C32FF"/>
    <w:rsid w:val="000C34E3"/>
    <w:rsid w:val="000C3CD4"/>
    <w:rsid w:val="000C48F7"/>
    <w:rsid w:val="000C4B59"/>
    <w:rsid w:val="000C53FA"/>
    <w:rsid w:val="000C62B7"/>
    <w:rsid w:val="000C6862"/>
    <w:rsid w:val="000C688B"/>
    <w:rsid w:val="000C6913"/>
    <w:rsid w:val="000C6B02"/>
    <w:rsid w:val="000D0FD3"/>
    <w:rsid w:val="000D1DE2"/>
    <w:rsid w:val="000D293F"/>
    <w:rsid w:val="000D2FD9"/>
    <w:rsid w:val="000D3174"/>
    <w:rsid w:val="000D4364"/>
    <w:rsid w:val="000D49A7"/>
    <w:rsid w:val="000D54EA"/>
    <w:rsid w:val="000D5E70"/>
    <w:rsid w:val="000D68EB"/>
    <w:rsid w:val="000D6A58"/>
    <w:rsid w:val="000D6EA1"/>
    <w:rsid w:val="000D708C"/>
    <w:rsid w:val="000D7C53"/>
    <w:rsid w:val="000D7C55"/>
    <w:rsid w:val="000D7D32"/>
    <w:rsid w:val="000D7FF1"/>
    <w:rsid w:val="000E00A1"/>
    <w:rsid w:val="000E3529"/>
    <w:rsid w:val="000E3F7C"/>
    <w:rsid w:val="000E440F"/>
    <w:rsid w:val="000E535E"/>
    <w:rsid w:val="000E53F7"/>
    <w:rsid w:val="000E59B8"/>
    <w:rsid w:val="000E6D0C"/>
    <w:rsid w:val="000E6EA4"/>
    <w:rsid w:val="000E7528"/>
    <w:rsid w:val="000E7CA9"/>
    <w:rsid w:val="000F17FC"/>
    <w:rsid w:val="000F2FC5"/>
    <w:rsid w:val="000F301E"/>
    <w:rsid w:val="000F432D"/>
    <w:rsid w:val="000F4429"/>
    <w:rsid w:val="000F5249"/>
    <w:rsid w:val="000F6B07"/>
    <w:rsid w:val="000F6C3D"/>
    <w:rsid w:val="000F6EEB"/>
    <w:rsid w:val="000F709C"/>
    <w:rsid w:val="000F7693"/>
    <w:rsid w:val="000F78DE"/>
    <w:rsid w:val="000F7965"/>
    <w:rsid w:val="0010043A"/>
    <w:rsid w:val="00100757"/>
    <w:rsid w:val="0010076F"/>
    <w:rsid w:val="0010180C"/>
    <w:rsid w:val="00101B54"/>
    <w:rsid w:val="00101F01"/>
    <w:rsid w:val="001038E8"/>
    <w:rsid w:val="00103BD2"/>
    <w:rsid w:val="00103C14"/>
    <w:rsid w:val="00104637"/>
    <w:rsid w:val="001046C1"/>
    <w:rsid w:val="00104D6B"/>
    <w:rsid w:val="00104F2C"/>
    <w:rsid w:val="00105F77"/>
    <w:rsid w:val="00106CBC"/>
    <w:rsid w:val="00107A43"/>
    <w:rsid w:val="00107E2E"/>
    <w:rsid w:val="0011009D"/>
    <w:rsid w:val="0011052B"/>
    <w:rsid w:val="00110AAB"/>
    <w:rsid w:val="0011102B"/>
    <w:rsid w:val="001117A9"/>
    <w:rsid w:val="0011383F"/>
    <w:rsid w:val="00113EE6"/>
    <w:rsid w:val="001147AA"/>
    <w:rsid w:val="00114AD6"/>
    <w:rsid w:val="00114D64"/>
    <w:rsid w:val="001157DA"/>
    <w:rsid w:val="001162C4"/>
    <w:rsid w:val="00116821"/>
    <w:rsid w:val="0011691F"/>
    <w:rsid w:val="00116BDB"/>
    <w:rsid w:val="00120396"/>
    <w:rsid w:val="001207CC"/>
    <w:rsid w:val="00120E2F"/>
    <w:rsid w:val="00121C41"/>
    <w:rsid w:val="001227F2"/>
    <w:rsid w:val="0012298C"/>
    <w:rsid w:val="00122DE9"/>
    <w:rsid w:val="00122FA6"/>
    <w:rsid w:val="00123209"/>
    <w:rsid w:val="001245FA"/>
    <w:rsid w:val="00124C34"/>
    <w:rsid w:val="00124CB2"/>
    <w:rsid w:val="00124CD6"/>
    <w:rsid w:val="00124DD7"/>
    <w:rsid w:val="00125454"/>
    <w:rsid w:val="001256E2"/>
    <w:rsid w:val="001274F3"/>
    <w:rsid w:val="00127AD6"/>
    <w:rsid w:val="00127F68"/>
    <w:rsid w:val="00127FC4"/>
    <w:rsid w:val="0013054F"/>
    <w:rsid w:val="00130B6B"/>
    <w:rsid w:val="00130F5A"/>
    <w:rsid w:val="001314A0"/>
    <w:rsid w:val="001326AE"/>
    <w:rsid w:val="001340B9"/>
    <w:rsid w:val="001341BD"/>
    <w:rsid w:val="0013492C"/>
    <w:rsid w:val="00135F66"/>
    <w:rsid w:val="0013644E"/>
    <w:rsid w:val="00136B1D"/>
    <w:rsid w:val="00136DAF"/>
    <w:rsid w:val="001371C1"/>
    <w:rsid w:val="001377FF"/>
    <w:rsid w:val="00137AA3"/>
    <w:rsid w:val="0014049B"/>
    <w:rsid w:val="001405D7"/>
    <w:rsid w:val="00141CDF"/>
    <w:rsid w:val="0014219F"/>
    <w:rsid w:val="001423E2"/>
    <w:rsid w:val="001431CB"/>
    <w:rsid w:val="00143209"/>
    <w:rsid w:val="00143435"/>
    <w:rsid w:val="001442AD"/>
    <w:rsid w:val="00144DD8"/>
    <w:rsid w:val="00145AFF"/>
    <w:rsid w:val="001462F9"/>
    <w:rsid w:val="001474BE"/>
    <w:rsid w:val="00147C68"/>
    <w:rsid w:val="00150290"/>
    <w:rsid w:val="00150611"/>
    <w:rsid w:val="00151E0D"/>
    <w:rsid w:val="00152816"/>
    <w:rsid w:val="00152DFC"/>
    <w:rsid w:val="001544E6"/>
    <w:rsid w:val="0015472D"/>
    <w:rsid w:val="00154845"/>
    <w:rsid w:val="0015493A"/>
    <w:rsid w:val="00154971"/>
    <w:rsid w:val="0015517E"/>
    <w:rsid w:val="00155502"/>
    <w:rsid w:val="00155980"/>
    <w:rsid w:val="0015623B"/>
    <w:rsid w:val="0015674F"/>
    <w:rsid w:val="0015680E"/>
    <w:rsid w:val="00157E88"/>
    <w:rsid w:val="00160B93"/>
    <w:rsid w:val="00161DBC"/>
    <w:rsid w:val="00161F87"/>
    <w:rsid w:val="001621AE"/>
    <w:rsid w:val="001629C3"/>
    <w:rsid w:val="00162C7E"/>
    <w:rsid w:val="0016349D"/>
    <w:rsid w:val="00163804"/>
    <w:rsid w:val="00163F1F"/>
    <w:rsid w:val="00164777"/>
    <w:rsid w:val="001648C3"/>
    <w:rsid w:val="0016545B"/>
    <w:rsid w:val="00165898"/>
    <w:rsid w:val="001669B2"/>
    <w:rsid w:val="001701B3"/>
    <w:rsid w:val="00170876"/>
    <w:rsid w:val="00170C74"/>
    <w:rsid w:val="00171C29"/>
    <w:rsid w:val="0017219C"/>
    <w:rsid w:val="0017372E"/>
    <w:rsid w:val="00173776"/>
    <w:rsid w:val="00173EA0"/>
    <w:rsid w:val="00174080"/>
    <w:rsid w:val="001745BE"/>
    <w:rsid w:val="001750E0"/>
    <w:rsid w:val="00175A27"/>
    <w:rsid w:val="001763D7"/>
    <w:rsid w:val="00180168"/>
    <w:rsid w:val="001814F6"/>
    <w:rsid w:val="00181917"/>
    <w:rsid w:val="00183083"/>
    <w:rsid w:val="00183426"/>
    <w:rsid w:val="00184E34"/>
    <w:rsid w:val="00185804"/>
    <w:rsid w:val="00185B05"/>
    <w:rsid w:val="001861A3"/>
    <w:rsid w:val="001866BA"/>
    <w:rsid w:val="001908B7"/>
    <w:rsid w:val="00190DEA"/>
    <w:rsid w:val="0019137E"/>
    <w:rsid w:val="001916BA"/>
    <w:rsid w:val="00193DE0"/>
    <w:rsid w:val="00193E39"/>
    <w:rsid w:val="001950BF"/>
    <w:rsid w:val="00195F23"/>
    <w:rsid w:val="001960A8"/>
    <w:rsid w:val="001A0CDB"/>
    <w:rsid w:val="001A162B"/>
    <w:rsid w:val="001A16C5"/>
    <w:rsid w:val="001A233E"/>
    <w:rsid w:val="001A2493"/>
    <w:rsid w:val="001A25C8"/>
    <w:rsid w:val="001A2C10"/>
    <w:rsid w:val="001A3A7C"/>
    <w:rsid w:val="001A457D"/>
    <w:rsid w:val="001A4CAE"/>
    <w:rsid w:val="001A5E7B"/>
    <w:rsid w:val="001A7B1E"/>
    <w:rsid w:val="001B1273"/>
    <w:rsid w:val="001B136D"/>
    <w:rsid w:val="001B40B0"/>
    <w:rsid w:val="001B4176"/>
    <w:rsid w:val="001B4787"/>
    <w:rsid w:val="001B51F4"/>
    <w:rsid w:val="001B5894"/>
    <w:rsid w:val="001B5D36"/>
    <w:rsid w:val="001B5E3E"/>
    <w:rsid w:val="001B6353"/>
    <w:rsid w:val="001B7AC5"/>
    <w:rsid w:val="001C04D8"/>
    <w:rsid w:val="001C18AE"/>
    <w:rsid w:val="001C23D9"/>
    <w:rsid w:val="001C2B4C"/>
    <w:rsid w:val="001C31AB"/>
    <w:rsid w:val="001C40A6"/>
    <w:rsid w:val="001C40EC"/>
    <w:rsid w:val="001C4194"/>
    <w:rsid w:val="001C41BD"/>
    <w:rsid w:val="001C47D6"/>
    <w:rsid w:val="001C494E"/>
    <w:rsid w:val="001C5206"/>
    <w:rsid w:val="001C5B35"/>
    <w:rsid w:val="001C5CDE"/>
    <w:rsid w:val="001C5FD3"/>
    <w:rsid w:val="001C61C0"/>
    <w:rsid w:val="001C6904"/>
    <w:rsid w:val="001C695E"/>
    <w:rsid w:val="001C7198"/>
    <w:rsid w:val="001C7390"/>
    <w:rsid w:val="001D0A8D"/>
    <w:rsid w:val="001D2B31"/>
    <w:rsid w:val="001D37BF"/>
    <w:rsid w:val="001D3B5D"/>
    <w:rsid w:val="001D3CE1"/>
    <w:rsid w:val="001D3D91"/>
    <w:rsid w:val="001D5378"/>
    <w:rsid w:val="001D5A8F"/>
    <w:rsid w:val="001D5DD3"/>
    <w:rsid w:val="001D62F1"/>
    <w:rsid w:val="001D6492"/>
    <w:rsid w:val="001D6E31"/>
    <w:rsid w:val="001D6E4A"/>
    <w:rsid w:val="001E0857"/>
    <w:rsid w:val="001E0E13"/>
    <w:rsid w:val="001E1217"/>
    <w:rsid w:val="001E155C"/>
    <w:rsid w:val="001E25DF"/>
    <w:rsid w:val="001E2BBD"/>
    <w:rsid w:val="001E2C5D"/>
    <w:rsid w:val="001E2E7A"/>
    <w:rsid w:val="001E36C3"/>
    <w:rsid w:val="001E4B01"/>
    <w:rsid w:val="001E5FCA"/>
    <w:rsid w:val="001E6158"/>
    <w:rsid w:val="001E6778"/>
    <w:rsid w:val="001E7F05"/>
    <w:rsid w:val="001F0617"/>
    <w:rsid w:val="001F0670"/>
    <w:rsid w:val="001F10FA"/>
    <w:rsid w:val="001F2019"/>
    <w:rsid w:val="001F28D1"/>
    <w:rsid w:val="001F2939"/>
    <w:rsid w:val="001F2CC4"/>
    <w:rsid w:val="001F3AE5"/>
    <w:rsid w:val="001F3D70"/>
    <w:rsid w:val="001F535A"/>
    <w:rsid w:val="001F5E25"/>
    <w:rsid w:val="001F6CA7"/>
    <w:rsid w:val="001F7814"/>
    <w:rsid w:val="001F7E33"/>
    <w:rsid w:val="00200801"/>
    <w:rsid w:val="002014EF"/>
    <w:rsid w:val="0020252D"/>
    <w:rsid w:val="00202928"/>
    <w:rsid w:val="00202F80"/>
    <w:rsid w:val="0020381A"/>
    <w:rsid w:val="00203F96"/>
    <w:rsid w:val="00204E7E"/>
    <w:rsid w:val="00204F47"/>
    <w:rsid w:val="0020574F"/>
    <w:rsid w:val="0020593E"/>
    <w:rsid w:val="0020653B"/>
    <w:rsid w:val="00206DD9"/>
    <w:rsid w:val="002078A8"/>
    <w:rsid w:val="0021006F"/>
    <w:rsid w:val="00210F12"/>
    <w:rsid w:val="002111AA"/>
    <w:rsid w:val="00212CE2"/>
    <w:rsid w:val="00213842"/>
    <w:rsid w:val="002139E9"/>
    <w:rsid w:val="002145FB"/>
    <w:rsid w:val="00214633"/>
    <w:rsid w:val="002149A3"/>
    <w:rsid w:val="00217099"/>
    <w:rsid w:val="00217E5E"/>
    <w:rsid w:val="00217F31"/>
    <w:rsid w:val="00220212"/>
    <w:rsid w:val="00220F8E"/>
    <w:rsid w:val="002219DD"/>
    <w:rsid w:val="00222186"/>
    <w:rsid w:val="00222263"/>
    <w:rsid w:val="00222A30"/>
    <w:rsid w:val="00222BA2"/>
    <w:rsid w:val="00223B01"/>
    <w:rsid w:val="00226DDD"/>
    <w:rsid w:val="00226F6F"/>
    <w:rsid w:val="002275A9"/>
    <w:rsid w:val="00227944"/>
    <w:rsid w:val="0023116E"/>
    <w:rsid w:val="002311EF"/>
    <w:rsid w:val="00231606"/>
    <w:rsid w:val="002317CD"/>
    <w:rsid w:val="00231E24"/>
    <w:rsid w:val="0023214E"/>
    <w:rsid w:val="00232195"/>
    <w:rsid w:val="00232F12"/>
    <w:rsid w:val="0023315A"/>
    <w:rsid w:val="00233A08"/>
    <w:rsid w:val="00233B99"/>
    <w:rsid w:val="00233DA4"/>
    <w:rsid w:val="00235B2F"/>
    <w:rsid w:val="00235F98"/>
    <w:rsid w:val="002365B6"/>
    <w:rsid w:val="0023677E"/>
    <w:rsid w:val="00236FB0"/>
    <w:rsid w:val="002376A1"/>
    <w:rsid w:val="00240321"/>
    <w:rsid w:val="00240E11"/>
    <w:rsid w:val="00240EF4"/>
    <w:rsid w:val="00241AEB"/>
    <w:rsid w:val="00242895"/>
    <w:rsid w:val="00243B1F"/>
    <w:rsid w:val="002448DD"/>
    <w:rsid w:val="00244DB1"/>
    <w:rsid w:val="002455E0"/>
    <w:rsid w:val="00245604"/>
    <w:rsid w:val="00246303"/>
    <w:rsid w:val="00246CFD"/>
    <w:rsid w:val="00250331"/>
    <w:rsid w:val="002509BE"/>
    <w:rsid w:val="00250C78"/>
    <w:rsid w:val="002513F3"/>
    <w:rsid w:val="0025142C"/>
    <w:rsid w:val="002518A0"/>
    <w:rsid w:val="00252528"/>
    <w:rsid w:val="00252B1F"/>
    <w:rsid w:val="00253AF7"/>
    <w:rsid w:val="002546E8"/>
    <w:rsid w:val="00254C78"/>
    <w:rsid w:val="00254C8A"/>
    <w:rsid w:val="002552A4"/>
    <w:rsid w:val="002562B3"/>
    <w:rsid w:val="00256B8F"/>
    <w:rsid w:val="00256F0A"/>
    <w:rsid w:val="00257907"/>
    <w:rsid w:val="00260DB3"/>
    <w:rsid w:val="002611C0"/>
    <w:rsid w:val="002645A0"/>
    <w:rsid w:val="00264A95"/>
    <w:rsid w:val="002655DC"/>
    <w:rsid w:val="00265607"/>
    <w:rsid w:val="00265DFE"/>
    <w:rsid w:val="002668DD"/>
    <w:rsid w:val="00266A92"/>
    <w:rsid w:val="00270ACB"/>
    <w:rsid w:val="00271BB5"/>
    <w:rsid w:val="00272042"/>
    <w:rsid w:val="00272729"/>
    <w:rsid w:val="00273354"/>
    <w:rsid w:val="0027377E"/>
    <w:rsid w:val="00273AF4"/>
    <w:rsid w:val="00274292"/>
    <w:rsid w:val="00274463"/>
    <w:rsid w:val="0027549C"/>
    <w:rsid w:val="00275B06"/>
    <w:rsid w:val="00275BD8"/>
    <w:rsid w:val="00276EB2"/>
    <w:rsid w:val="00277020"/>
    <w:rsid w:val="002778A7"/>
    <w:rsid w:val="002802BC"/>
    <w:rsid w:val="002804C8"/>
    <w:rsid w:val="00280745"/>
    <w:rsid w:val="00280790"/>
    <w:rsid w:val="002808CF"/>
    <w:rsid w:val="00280E6A"/>
    <w:rsid w:val="002813DB"/>
    <w:rsid w:val="00281832"/>
    <w:rsid w:val="00281D03"/>
    <w:rsid w:val="00281E94"/>
    <w:rsid w:val="00281F1B"/>
    <w:rsid w:val="00281F95"/>
    <w:rsid w:val="002839DB"/>
    <w:rsid w:val="00283A54"/>
    <w:rsid w:val="00283AA2"/>
    <w:rsid w:val="00283F6D"/>
    <w:rsid w:val="002847FD"/>
    <w:rsid w:val="00284CAB"/>
    <w:rsid w:val="00285243"/>
    <w:rsid w:val="002879BC"/>
    <w:rsid w:val="00287F7C"/>
    <w:rsid w:val="00290C86"/>
    <w:rsid w:val="00291AD2"/>
    <w:rsid w:val="00293A6E"/>
    <w:rsid w:val="002943D5"/>
    <w:rsid w:val="00294E1D"/>
    <w:rsid w:val="00295ED5"/>
    <w:rsid w:val="00296362"/>
    <w:rsid w:val="0029656E"/>
    <w:rsid w:val="00296ED3"/>
    <w:rsid w:val="0029717F"/>
    <w:rsid w:val="002975C8"/>
    <w:rsid w:val="002A0110"/>
    <w:rsid w:val="002A0310"/>
    <w:rsid w:val="002A183A"/>
    <w:rsid w:val="002A18DC"/>
    <w:rsid w:val="002A1BF6"/>
    <w:rsid w:val="002A1D24"/>
    <w:rsid w:val="002A1F56"/>
    <w:rsid w:val="002A2614"/>
    <w:rsid w:val="002A3378"/>
    <w:rsid w:val="002A3409"/>
    <w:rsid w:val="002A3491"/>
    <w:rsid w:val="002A3985"/>
    <w:rsid w:val="002A407D"/>
    <w:rsid w:val="002A41BF"/>
    <w:rsid w:val="002A4384"/>
    <w:rsid w:val="002A5C0B"/>
    <w:rsid w:val="002A68AA"/>
    <w:rsid w:val="002A6C87"/>
    <w:rsid w:val="002A731B"/>
    <w:rsid w:val="002A75DE"/>
    <w:rsid w:val="002A7EFD"/>
    <w:rsid w:val="002A7F44"/>
    <w:rsid w:val="002B0525"/>
    <w:rsid w:val="002B162F"/>
    <w:rsid w:val="002B20E3"/>
    <w:rsid w:val="002B3248"/>
    <w:rsid w:val="002B35F2"/>
    <w:rsid w:val="002B43AF"/>
    <w:rsid w:val="002B50AC"/>
    <w:rsid w:val="002B57CE"/>
    <w:rsid w:val="002B5C00"/>
    <w:rsid w:val="002B66B9"/>
    <w:rsid w:val="002B6968"/>
    <w:rsid w:val="002B6F25"/>
    <w:rsid w:val="002B7090"/>
    <w:rsid w:val="002C14CD"/>
    <w:rsid w:val="002C601B"/>
    <w:rsid w:val="002C6128"/>
    <w:rsid w:val="002C6DC9"/>
    <w:rsid w:val="002C6FCB"/>
    <w:rsid w:val="002C7185"/>
    <w:rsid w:val="002C726A"/>
    <w:rsid w:val="002D1224"/>
    <w:rsid w:val="002D1AEB"/>
    <w:rsid w:val="002D1DFB"/>
    <w:rsid w:val="002D3233"/>
    <w:rsid w:val="002D3805"/>
    <w:rsid w:val="002D43AD"/>
    <w:rsid w:val="002D44CC"/>
    <w:rsid w:val="002D4FFE"/>
    <w:rsid w:val="002D5BAD"/>
    <w:rsid w:val="002D6B8A"/>
    <w:rsid w:val="002D6D40"/>
    <w:rsid w:val="002D6F6D"/>
    <w:rsid w:val="002D6FAE"/>
    <w:rsid w:val="002D76E4"/>
    <w:rsid w:val="002D7C25"/>
    <w:rsid w:val="002E0DA0"/>
    <w:rsid w:val="002E0F60"/>
    <w:rsid w:val="002E24B5"/>
    <w:rsid w:val="002E2853"/>
    <w:rsid w:val="002E34F7"/>
    <w:rsid w:val="002E39CF"/>
    <w:rsid w:val="002E4AA3"/>
    <w:rsid w:val="002E4DD5"/>
    <w:rsid w:val="002E52F2"/>
    <w:rsid w:val="002E5673"/>
    <w:rsid w:val="002E5CD1"/>
    <w:rsid w:val="002E6166"/>
    <w:rsid w:val="002E6EA2"/>
    <w:rsid w:val="002E6FB4"/>
    <w:rsid w:val="002E72B7"/>
    <w:rsid w:val="002E782D"/>
    <w:rsid w:val="002F01B6"/>
    <w:rsid w:val="002F0315"/>
    <w:rsid w:val="002F0690"/>
    <w:rsid w:val="002F142E"/>
    <w:rsid w:val="002F16B5"/>
    <w:rsid w:val="002F18E4"/>
    <w:rsid w:val="002F26E1"/>
    <w:rsid w:val="002F40FD"/>
    <w:rsid w:val="002F52B3"/>
    <w:rsid w:val="002F7822"/>
    <w:rsid w:val="00301DCC"/>
    <w:rsid w:val="003024A5"/>
    <w:rsid w:val="00302588"/>
    <w:rsid w:val="00302BB2"/>
    <w:rsid w:val="003031AD"/>
    <w:rsid w:val="00303D84"/>
    <w:rsid w:val="00304720"/>
    <w:rsid w:val="003048A1"/>
    <w:rsid w:val="00305491"/>
    <w:rsid w:val="003072E8"/>
    <w:rsid w:val="00307431"/>
    <w:rsid w:val="00307991"/>
    <w:rsid w:val="003105E1"/>
    <w:rsid w:val="003116E5"/>
    <w:rsid w:val="00311D37"/>
    <w:rsid w:val="00312971"/>
    <w:rsid w:val="00312C30"/>
    <w:rsid w:val="00312F6E"/>
    <w:rsid w:val="003132F4"/>
    <w:rsid w:val="00315FA1"/>
    <w:rsid w:val="00317D2A"/>
    <w:rsid w:val="003204BD"/>
    <w:rsid w:val="00320596"/>
    <w:rsid w:val="003208FE"/>
    <w:rsid w:val="0032118C"/>
    <w:rsid w:val="00321CFD"/>
    <w:rsid w:val="003225C0"/>
    <w:rsid w:val="00322B3D"/>
    <w:rsid w:val="00323774"/>
    <w:rsid w:val="003247E0"/>
    <w:rsid w:val="00324FD7"/>
    <w:rsid w:val="003260B7"/>
    <w:rsid w:val="003260DD"/>
    <w:rsid w:val="0032708E"/>
    <w:rsid w:val="003277B3"/>
    <w:rsid w:val="003306ED"/>
    <w:rsid w:val="003321B2"/>
    <w:rsid w:val="00332E07"/>
    <w:rsid w:val="00332EB9"/>
    <w:rsid w:val="00333498"/>
    <w:rsid w:val="003335AA"/>
    <w:rsid w:val="00333FBD"/>
    <w:rsid w:val="00335DA7"/>
    <w:rsid w:val="00335E92"/>
    <w:rsid w:val="00336061"/>
    <w:rsid w:val="003378A7"/>
    <w:rsid w:val="00337BE5"/>
    <w:rsid w:val="00343E3F"/>
    <w:rsid w:val="00344562"/>
    <w:rsid w:val="00344EA1"/>
    <w:rsid w:val="003458A8"/>
    <w:rsid w:val="0034594E"/>
    <w:rsid w:val="00345D84"/>
    <w:rsid w:val="0034604F"/>
    <w:rsid w:val="003467F2"/>
    <w:rsid w:val="00346887"/>
    <w:rsid w:val="00350A86"/>
    <w:rsid w:val="00350BE2"/>
    <w:rsid w:val="00351674"/>
    <w:rsid w:val="00353480"/>
    <w:rsid w:val="00353B99"/>
    <w:rsid w:val="00354734"/>
    <w:rsid w:val="003549D5"/>
    <w:rsid w:val="00354B0A"/>
    <w:rsid w:val="00354C28"/>
    <w:rsid w:val="00355108"/>
    <w:rsid w:val="00355A42"/>
    <w:rsid w:val="00355FFD"/>
    <w:rsid w:val="0035674C"/>
    <w:rsid w:val="00357091"/>
    <w:rsid w:val="00357394"/>
    <w:rsid w:val="003577DD"/>
    <w:rsid w:val="003578D9"/>
    <w:rsid w:val="00357CA0"/>
    <w:rsid w:val="00357CD1"/>
    <w:rsid w:val="0036115A"/>
    <w:rsid w:val="00361C9F"/>
    <w:rsid w:val="00362E44"/>
    <w:rsid w:val="00362FD3"/>
    <w:rsid w:val="00364FFD"/>
    <w:rsid w:val="003662E9"/>
    <w:rsid w:val="00366374"/>
    <w:rsid w:val="003669CD"/>
    <w:rsid w:val="003677C1"/>
    <w:rsid w:val="003708F8"/>
    <w:rsid w:val="003717D8"/>
    <w:rsid w:val="00372284"/>
    <w:rsid w:val="0037234C"/>
    <w:rsid w:val="003726BA"/>
    <w:rsid w:val="0037326F"/>
    <w:rsid w:val="003746F3"/>
    <w:rsid w:val="00375BDF"/>
    <w:rsid w:val="003760F4"/>
    <w:rsid w:val="003761FA"/>
    <w:rsid w:val="003763F0"/>
    <w:rsid w:val="003769C5"/>
    <w:rsid w:val="003801E1"/>
    <w:rsid w:val="003808D7"/>
    <w:rsid w:val="0038113C"/>
    <w:rsid w:val="00382B46"/>
    <w:rsid w:val="0038366B"/>
    <w:rsid w:val="00383BA5"/>
    <w:rsid w:val="00383E13"/>
    <w:rsid w:val="00384506"/>
    <w:rsid w:val="00384759"/>
    <w:rsid w:val="00384DDB"/>
    <w:rsid w:val="00384E32"/>
    <w:rsid w:val="00385033"/>
    <w:rsid w:val="00386106"/>
    <w:rsid w:val="00386311"/>
    <w:rsid w:val="003864B8"/>
    <w:rsid w:val="00386738"/>
    <w:rsid w:val="003907D4"/>
    <w:rsid w:val="00390851"/>
    <w:rsid w:val="00390BE7"/>
    <w:rsid w:val="0039292E"/>
    <w:rsid w:val="00392B6B"/>
    <w:rsid w:val="00393BC4"/>
    <w:rsid w:val="00394257"/>
    <w:rsid w:val="00394CED"/>
    <w:rsid w:val="00395EFE"/>
    <w:rsid w:val="00396776"/>
    <w:rsid w:val="003A0820"/>
    <w:rsid w:val="003A0A47"/>
    <w:rsid w:val="003A1695"/>
    <w:rsid w:val="003A16FE"/>
    <w:rsid w:val="003A328F"/>
    <w:rsid w:val="003A39F6"/>
    <w:rsid w:val="003A3DF6"/>
    <w:rsid w:val="003A3E5C"/>
    <w:rsid w:val="003A3E9E"/>
    <w:rsid w:val="003A5F91"/>
    <w:rsid w:val="003A7F11"/>
    <w:rsid w:val="003A7FAB"/>
    <w:rsid w:val="003B129F"/>
    <w:rsid w:val="003B169F"/>
    <w:rsid w:val="003B16FD"/>
    <w:rsid w:val="003B1E83"/>
    <w:rsid w:val="003B2163"/>
    <w:rsid w:val="003B3364"/>
    <w:rsid w:val="003B34CF"/>
    <w:rsid w:val="003B394A"/>
    <w:rsid w:val="003B3E03"/>
    <w:rsid w:val="003B5570"/>
    <w:rsid w:val="003B5C8B"/>
    <w:rsid w:val="003B6634"/>
    <w:rsid w:val="003B74B5"/>
    <w:rsid w:val="003B7743"/>
    <w:rsid w:val="003B7B99"/>
    <w:rsid w:val="003C1B8A"/>
    <w:rsid w:val="003C2B3B"/>
    <w:rsid w:val="003C340E"/>
    <w:rsid w:val="003C36CA"/>
    <w:rsid w:val="003C3BF1"/>
    <w:rsid w:val="003C4C53"/>
    <w:rsid w:val="003C51FC"/>
    <w:rsid w:val="003C530E"/>
    <w:rsid w:val="003C7AB7"/>
    <w:rsid w:val="003D0490"/>
    <w:rsid w:val="003D0808"/>
    <w:rsid w:val="003D080D"/>
    <w:rsid w:val="003D0BC3"/>
    <w:rsid w:val="003D0F2F"/>
    <w:rsid w:val="003D1AA6"/>
    <w:rsid w:val="003D2B97"/>
    <w:rsid w:val="003D3F0E"/>
    <w:rsid w:val="003D41C8"/>
    <w:rsid w:val="003D4DED"/>
    <w:rsid w:val="003D7391"/>
    <w:rsid w:val="003D79EF"/>
    <w:rsid w:val="003D7A6A"/>
    <w:rsid w:val="003E0BFB"/>
    <w:rsid w:val="003E0D40"/>
    <w:rsid w:val="003E1332"/>
    <w:rsid w:val="003E284D"/>
    <w:rsid w:val="003E3DCB"/>
    <w:rsid w:val="003E50B0"/>
    <w:rsid w:val="003E7E09"/>
    <w:rsid w:val="003E7EB5"/>
    <w:rsid w:val="003F02F3"/>
    <w:rsid w:val="003F0607"/>
    <w:rsid w:val="003F099A"/>
    <w:rsid w:val="003F11DA"/>
    <w:rsid w:val="003F2B93"/>
    <w:rsid w:val="003F2E59"/>
    <w:rsid w:val="003F358C"/>
    <w:rsid w:val="003F35B0"/>
    <w:rsid w:val="003F4094"/>
    <w:rsid w:val="003F4F1C"/>
    <w:rsid w:val="003F540F"/>
    <w:rsid w:val="003F5539"/>
    <w:rsid w:val="003F649E"/>
    <w:rsid w:val="003F664D"/>
    <w:rsid w:val="003F6942"/>
    <w:rsid w:val="003F77A2"/>
    <w:rsid w:val="003F79EF"/>
    <w:rsid w:val="00401402"/>
    <w:rsid w:val="004036B1"/>
    <w:rsid w:val="0040486F"/>
    <w:rsid w:val="00405882"/>
    <w:rsid w:val="004065C5"/>
    <w:rsid w:val="004067C1"/>
    <w:rsid w:val="0040703D"/>
    <w:rsid w:val="004102F5"/>
    <w:rsid w:val="00410DDF"/>
    <w:rsid w:val="004121B7"/>
    <w:rsid w:val="00413463"/>
    <w:rsid w:val="00413901"/>
    <w:rsid w:val="004148AB"/>
    <w:rsid w:val="00414A01"/>
    <w:rsid w:val="00415C03"/>
    <w:rsid w:val="00416261"/>
    <w:rsid w:val="004165A4"/>
    <w:rsid w:val="00416A5B"/>
    <w:rsid w:val="00417B33"/>
    <w:rsid w:val="004200EE"/>
    <w:rsid w:val="00420651"/>
    <w:rsid w:val="00420B98"/>
    <w:rsid w:val="00422183"/>
    <w:rsid w:val="00422563"/>
    <w:rsid w:val="004233BB"/>
    <w:rsid w:val="00423450"/>
    <w:rsid w:val="00423AAE"/>
    <w:rsid w:val="00423E1D"/>
    <w:rsid w:val="00424730"/>
    <w:rsid w:val="004247BE"/>
    <w:rsid w:val="004249F6"/>
    <w:rsid w:val="00424E72"/>
    <w:rsid w:val="004260BD"/>
    <w:rsid w:val="0042672E"/>
    <w:rsid w:val="004267CE"/>
    <w:rsid w:val="0042689D"/>
    <w:rsid w:val="00426AE6"/>
    <w:rsid w:val="00426B57"/>
    <w:rsid w:val="00426D0A"/>
    <w:rsid w:val="00427484"/>
    <w:rsid w:val="00427F92"/>
    <w:rsid w:val="00430046"/>
    <w:rsid w:val="00430166"/>
    <w:rsid w:val="004305AB"/>
    <w:rsid w:val="004317EB"/>
    <w:rsid w:val="00432298"/>
    <w:rsid w:val="00433F27"/>
    <w:rsid w:val="00435202"/>
    <w:rsid w:val="00435AAD"/>
    <w:rsid w:val="00435E03"/>
    <w:rsid w:val="00436D72"/>
    <w:rsid w:val="00436DA4"/>
    <w:rsid w:val="00436EC3"/>
    <w:rsid w:val="004403A3"/>
    <w:rsid w:val="004406CA"/>
    <w:rsid w:val="00440A80"/>
    <w:rsid w:val="004418AD"/>
    <w:rsid w:val="00442041"/>
    <w:rsid w:val="00444B64"/>
    <w:rsid w:val="00445D8C"/>
    <w:rsid w:val="00446235"/>
    <w:rsid w:val="0044667C"/>
    <w:rsid w:val="0044676D"/>
    <w:rsid w:val="0045013F"/>
    <w:rsid w:val="00450804"/>
    <w:rsid w:val="0045121E"/>
    <w:rsid w:val="0045132A"/>
    <w:rsid w:val="00451613"/>
    <w:rsid w:val="004530F7"/>
    <w:rsid w:val="00453665"/>
    <w:rsid w:val="0045498B"/>
    <w:rsid w:val="00455AD6"/>
    <w:rsid w:val="004564B4"/>
    <w:rsid w:val="00456936"/>
    <w:rsid w:val="00456AC2"/>
    <w:rsid w:val="00457A5E"/>
    <w:rsid w:val="00460197"/>
    <w:rsid w:val="00461273"/>
    <w:rsid w:val="004617E6"/>
    <w:rsid w:val="00462819"/>
    <w:rsid w:val="004631B1"/>
    <w:rsid w:val="00464495"/>
    <w:rsid w:val="004644DF"/>
    <w:rsid w:val="004649E2"/>
    <w:rsid w:val="00464E11"/>
    <w:rsid w:val="004650FA"/>
    <w:rsid w:val="00465637"/>
    <w:rsid w:val="0046676C"/>
    <w:rsid w:val="00467D32"/>
    <w:rsid w:val="004716EC"/>
    <w:rsid w:val="00471ABB"/>
    <w:rsid w:val="00472F9C"/>
    <w:rsid w:val="00474048"/>
    <w:rsid w:val="00475362"/>
    <w:rsid w:val="00475A86"/>
    <w:rsid w:val="0048070B"/>
    <w:rsid w:val="004808AF"/>
    <w:rsid w:val="0048339A"/>
    <w:rsid w:val="0048341C"/>
    <w:rsid w:val="0048448C"/>
    <w:rsid w:val="004847DE"/>
    <w:rsid w:val="00484D62"/>
    <w:rsid w:val="00484DD9"/>
    <w:rsid w:val="00484FB5"/>
    <w:rsid w:val="00485711"/>
    <w:rsid w:val="004860DD"/>
    <w:rsid w:val="004861F5"/>
    <w:rsid w:val="00487609"/>
    <w:rsid w:val="004902D2"/>
    <w:rsid w:val="0049076F"/>
    <w:rsid w:val="00491B03"/>
    <w:rsid w:val="004930BA"/>
    <w:rsid w:val="004935AF"/>
    <w:rsid w:val="00493EA8"/>
    <w:rsid w:val="00494EE2"/>
    <w:rsid w:val="004951D6"/>
    <w:rsid w:val="0049599E"/>
    <w:rsid w:val="004967A0"/>
    <w:rsid w:val="00497096"/>
    <w:rsid w:val="004971A4"/>
    <w:rsid w:val="00497BB1"/>
    <w:rsid w:val="004A06B9"/>
    <w:rsid w:val="004A1046"/>
    <w:rsid w:val="004A112C"/>
    <w:rsid w:val="004A16FE"/>
    <w:rsid w:val="004A2487"/>
    <w:rsid w:val="004A2734"/>
    <w:rsid w:val="004A2EE0"/>
    <w:rsid w:val="004A35D3"/>
    <w:rsid w:val="004A4D7B"/>
    <w:rsid w:val="004A5335"/>
    <w:rsid w:val="004A6A3C"/>
    <w:rsid w:val="004A74A3"/>
    <w:rsid w:val="004A7866"/>
    <w:rsid w:val="004A7DDD"/>
    <w:rsid w:val="004A7F2A"/>
    <w:rsid w:val="004B0458"/>
    <w:rsid w:val="004B076F"/>
    <w:rsid w:val="004B0AED"/>
    <w:rsid w:val="004B0B2B"/>
    <w:rsid w:val="004B0B6D"/>
    <w:rsid w:val="004B1019"/>
    <w:rsid w:val="004B11CB"/>
    <w:rsid w:val="004B16CB"/>
    <w:rsid w:val="004B185A"/>
    <w:rsid w:val="004B192A"/>
    <w:rsid w:val="004B2958"/>
    <w:rsid w:val="004B2A96"/>
    <w:rsid w:val="004B35C7"/>
    <w:rsid w:val="004B4A7B"/>
    <w:rsid w:val="004B52E7"/>
    <w:rsid w:val="004B5803"/>
    <w:rsid w:val="004B5DEC"/>
    <w:rsid w:val="004B5E16"/>
    <w:rsid w:val="004C04C8"/>
    <w:rsid w:val="004C11D4"/>
    <w:rsid w:val="004C139E"/>
    <w:rsid w:val="004C18B3"/>
    <w:rsid w:val="004C219F"/>
    <w:rsid w:val="004C21AF"/>
    <w:rsid w:val="004C27DA"/>
    <w:rsid w:val="004C3DC7"/>
    <w:rsid w:val="004C4081"/>
    <w:rsid w:val="004C427B"/>
    <w:rsid w:val="004C469A"/>
    <w:rsid w:val="004C49CF"/>
    <w:rsid w:val="004C4E48"/>
    <w:rsid w:val="004C5B3F"/>
    <w:rsid w:val="004C6369"/>
    <w:rsid w:val="004C67EE"/>
    <w:rsid w:val="004C6B84"/>
    <w:rsid w:val="004C7B86"/>
    <w:rsid w:val="004D0178"/>
    <w:rsid w:val="004D04C7"/>
    <w:rsid w:val="004D0D9C"/>
    <w:rsid w:val="004D0F6B"/>
    <w:rsid w:val="004D10C6"/>
    <w:rsid w:val="004D1112"/>
    <w:rsid w:val="004D117D"/>
    <w:rsid w:val="004D26FC"/>
    <w:rsid w:val="004D27BA"/>
    <w:rsid w:val="004D2891"/>
    <w:rsid w:val="004D2DA7"/>
    <w:rsid w:val="004D3494"/>
    <w:rsid w:val="004D3793"/>
    <w:rsid w:val="004D3CB2"/>
    <w:rsid w:val="004D50F7"/>
    <w:rsid w:val="004D52D3"/>
    <w:rsid w:val="004D541B"/>
    <w:rsid w:val="004D5AC9"/>
    <w:rsid w:val="004D6AD9"/>
    <w:rsid w:val="004D72F4"/>
    <w:rsid w:val="004D73A8"/>
    <w:rsid w:val="004D7831"/>
    <w:rsid w:val="004E01A3"/>
    <w:rsid w:val="004E066B"/>
    <w:rsid w:val="004E07EC"/>
    <w:rsid w:val="004E23CB"/>
    <w:rsid w:val="004E24F7"/>
    <w:rsid w:val="004E4A43"/>
    <w:rsid w:val="004E51F3"/>
    <w:rsid w:val="004E59BF"/>
    <w:rsid w:val="004E5B30"/>
    <w:rsid w:val="004E5F3D"/>
    <w:rsid w:val="004F0301"/>
    <w:rsid w:val="004F0344"/>
    <w:rsid w:val="004F06B3"/>
    <w:rsid w:val="004F0F1F"/>
    <w:rsid w:val="004F1002"/>
    <w:rsid w:val="004F24F4"/>
    <w:rsid w:val="004F2CC5"/>
    <w:rsid w:val="004F4565"/>
    <w:rsid w:val="004F5857"/>
    <w:rsid w:val="004F609A"/>
    <w:rsid w:val="004F6BFE"/>
    <w:rsid w:val="004F7E5A"/>
    <w:rsid w:val="00501456"/>
    <w:rsid w:val="00502817"/>
    <w:rsid w:val="005030CD"/>
    <w:rsid w:val="00503471"/>
    <w:rsid w:val="00504C7A"/>
    <w:rsid w:val="00505FE7"/>
    <w:rsid w:val="00506E20"/>
    <w:rsid w:val="005078B7"/>
    <w:rsid w:val="00510365"/>
    <w:rsid w:val="00510A3E"/>
    <w:rsid w:val="00510DF5"/>
    <w:rsid w:val="00511AE0"/>
    <w:rsid w:val="00511C0F"/>
    <w:rsid w:val="005131B4"/>
    <w:rsid w:val="00513489"/>
    <w:rsid w:val="0051502C"/>
    <w:rsid w:val="00515A01"/>
    <w:rsid w:val="00516119"/>
    <w:rsid w:val="00516B98"/>
    <w:rsid w:val="00516FB0"/>
    <w:rsid w:val="00520530"/>
    <w:rsid w:val="00520A26"/>
    <w:rsid w:val="005217BF"/>
    <w:rsid w:val="00521C44"/>
    <w:rsid w:val="00522009"/>
    <w:rsid w:val="0052226D"/>
    <w:rsid w:val="0052284E"/>
    <w:rsid w:val="00522B20"/>
    <w:rsid w:val="00522E64"/>
    <w:rsid w:val="005237E1"/>
    <w:rsid w:val="00523B65"/>
    <w:rsid w:val="005242D4"/>
    <w:rsid w:val="00524DAF"/>
    <w:rsid w:val="00524DF2"/>
    <w:rsid w:val="00524E24"/>
    <w:rsid w:val="00526027"/>
    <w:rsid w:val="00526A06"/>
    <w:rsid w:val="00530046"/>
    <w:rsid w:val="00530413"/>
    <w:rsid w:val="00530881"/>
    <w:rsid w:val="00531F77"/>
    <w:rsid w:val="00532316"/>
    <w:rsid w:val="00532C36"/>
    <w:rsid w:val="005331F6"/>
    <w:rsid w:val="00533494"/>
    <w:rsid w:val="005336EA"/>
    <w:rsid w:val="00534075"/>
    <w:rsid w:val="0053498A"/>
    <w:rsid w:val="00534DD5"/>
    <w:rsid w:val="0053519D"/>
    <w:rsid w:val="005376B9"/>
    <w:rsid w:val="005404A5"/>
    <w:rsid w:val="00540DD2"/>
    <w:rsid w:val="00541646"/>
    <w:rsid w:val="005416B9"/>
    <w:rsid w:val="005417FC"/>
    <w:rsid w:val="005421EA"/>
    <w:rsid w:val="0054255F"/>
    <w:rsid w:val="00542A79"/>
    <w:rsid w:val="005436EF"/>
    <w:rsid w:val="005454DD"/>
    <w:rsid w:val="005458F3"/>
    <w:rsid w:val="0054760C"/>
    <w:rsid w:val="0055026D"/>
    <w:rsid w:val="00550623"/>
    <w:rsid w:val="005522DF"/>
    <w:rsid w:val="0055234E"/>
    <w:rsid w:val="00552413"/>
    <w:rsid w:val="00552747"/>
    <w:rsid w:val="005528F0"/>
    <w:rsid w:val="00552973"/>
    <w:rsid w:val="005547A8"/>
    <w:rsid w:val="005556AA"/>
    <w:rsid w:val="00555912"/>
    <w:rsid w:val="005563BD"/>
    <w:rsid w:val="0055677B"/>
    <w:rsid w:val="00557184"/>
    <w:rsid w:val="00560230"/>
    <w:rsid w:val="00560578"/>
    <w:rsid w:val="00561425"/>
    <w:rsid w:val="00561A36"/>
    <w:rsid w:val="00562489"/>
    <w:rsid w:val="00562F97"/>
    <w:rsid w:val="00564141"/>
    <w:rsid w:val="005651BD"/>
    <w:rsid w:val="005651EB"/>
    <w:rsid w:val="00565401"/>
    <w:rsid w:val="0056670E"/>
    <w:rsid w:val="00566C03"/>
    <w:rsid w:val="0056789A"/>
    <w:rsid w:val="00567E3D"/>
    <w:rsid w:val="00567E98"/>
    <w:rsid w:val="0057023F"/>
    <w:rsid w:val="00570BC6"/>
    <w:rsid w:val="00572BE7"/>
    <w:rsid w:val="00572D58"/>
    <w:rsid w:val="00574128"/>
    <w:rsid w:val="00574887"/>
    <w:rsid w:val="00574DF3"/>
    <w:rsid w:val="00574E4D"/>
    <w:rsid w:val="00575F2A"/>
    <w:rsid w:val="0057630F"/>
    <w:rsid w:val="00577652"/>
    <w:rsid w:val="00577B4A"/>
    <w:rsid w:val="00577F02"/>
    <w:rsid w:val="00577FCA"/>
    <w:rsid w:val="005800E7"/>
    <w:rsid w:val="005806C0"/>
    <w:rsid w:val="00580BAD"/>
    <w:rsid w:val="00582D06"/>
    <w:rsid w:val="00583213"/>
    <w:rsid w:val="0058407F"/>
    <w:rsid w:val="00585315"/>
    <w:rsid w:val="00585502"/>
    <w:rsid w:val="005860F2"/>
    <w:rsid w:val="00586225"/>
    <w:rsid w:val="00586DB6"/>
    <w:rsid w:val="0058715B"/>
    <w:rsid w:val="0058752D"/>
    <w:rsid w:val="005879A7"/>
    <w:rsid w:val="00587BE6"/>
    <w:rsid w:val="00587DCA"/>
    <w:rsid w:val="00590460"/>
    <w:rsid w:val="0059160A"/>
    <w:rsid w:val="00591E81"/>
    <w:rsid w:val="0059251C"/>
    <w:rsid w:val="005935B6"/>
    <w:rsid w:val="00594121"/>
    <w:rsid w:val="00594536"/>
    <w:rsid w:val="0059497B"/>
    <w:rsid w:val="00594DBF"/>
    <w:rsid w:val="00594F63"/>
    <w:rsid w:val="00595457"/>
    <w:rsid w:val="005955C1"/>
    <w:rsid w:val="005955CE"/>
    <w:rsid w:val="0059574B"/>
    <w:rsid w:val="00595922"/>
    <w:rsid w:val="00596014"/>
    <w:rsid w:val="00597ED6"/>
    <w:rsid w:val="00597F7D"/>
    <w:rsid w:val="005A0E7B"/>
    <w:rsid w:val="005A1051"/>
    <w:rsid w:val="005A28C6"/>
    <w:rsid w:val="005A3660"/>
    <w:rsid w:val="005A3985"/>
    <w:rsid w:val="005A3DA2"/>
    <w:rsid w:val="005A50F2"/>
    <w:rsid w:val="005A5F25"/>
    <w:rsid w:val="005A63C6"/>
    <w:rsid w:val="005A6EA1"/>
    <w:rsid w:val="005A7283"/>
    <w:rsid w:val="005A7CC7"/>
    <w:rsid w:val="005B0833"/>
    <w:rsid w:val="005B0F4B"/>
    <w:rsid w:val="005B1289"/>
    <w:rsid w:val="005B158A"/>
    <w:rsid w:val="005B1787"/>
    <w:rsid w:val="005B1C47"/>
    <w:rsid w:val="005B2322"/>
    <w:rsid w:val="005B3164"/>
    <w:rsid w:val="005B3CFE"/>
    <w:rsid w:val="005B3EF5"/>
    <w:rsid w:val="005B599D"/>
    <w:rsid w:val="005C07AE"/>
    <w:rsid w:val="005C0C93"/>
    <w:rsid w:val="005C106C"/>
    <w:rsid w:val="005C17C5"/>
    <w:rsid w:val="005C4660"/>
    <w:rsid w:val="005C5AB5"/>
    <w:rsid w:val="005C5E57"/>
    <w:rsid w:val="005C6BE0"/>
    <w:rsid w:val="005C6D82"/>
    <w:rsid w:val="005C72B9"/>
    <w:rsid w:val="005C7FC9"/>
    <w:rsid w:val="005D033C"/>
    <w:rsid w:val="005D222E"/>
    <w:rsid w:val="005D240A"/>
    <w:rsid w:val="005D2550"/>
    <w:rsid w:val="005D28E0"/>
    <w:rsid w:val="005D2E45"/>
    <w:rsid w:val="005D2EBC"/>
    <w:rsid w:val="005D3E18"/>
    <w:rsid w:val="005D3F73"/>
    <w:rsid w:val="005D4B4D"/>
    <w:rsid w:val="005D588A"/>
    <w:rsid w:val="005D60B9"/>
    <w:rsid w:val="005D67D8"/>
    <w:rsid w:val="005D726C"/>
    <w:rsid w:val="005D7B49"/>
    <w:rsid w:val="005E1292"/>
    <w:rsid w:val="005E1492"/>
    <w:rsid w:val="005E1AF1"/>
    <w:rsid w:val="005E23B5"/>
    <w:rsid w:val="005E2B22"/>
    <w:rsid w:val="005E2CB3"/>
    <w:rsid w:val="005E52D8"/>
    <w:rsid w:val="005E534E"/>
    <w:rsid w:val="005E5662"/>
    <w:rsid w:val="005E646A"/>
    <w:rsid w:val="005F0E2A"/>
    <w:rsid w:val="005F0FE4"/>
    <w:rsid w:val="005F11C5"/>
    <w:rsid w:val="005F148C"/>
    <w:rsid w:val="005F26C0"/>
    <w:rsid w:val="005F29F5"/>
    <w:rsid w:val="005F2A05"/>
    <w:rsid w:val="005F2CEF"/>
    <w:rsid w:val="005F35AD"/>
    <w:rsid w:val="005F55B5"/>
    <w:rsid w:val="005F681B"/>
    <w:rsid w:val="005F6832"/>
    <w:rsid w:val="00600178"/>
    <w:rsid w:val="006001CE"/>
    <w:rsid w:val="00601BFC"/>
    <w:rsid w:val="00602134"/>
    <w:rsid w:val="006021C1"/>
    <w:rsid w:val="006028CC"/>
    <w:rsid w:val="00603098"/>
    <w:rsid w:val="00603226"/>
    <w:rsid w:val="00603F0A"/>
    <w:rsid w:val="006049FE"/>
    <w:rsid w:val="00604D95"/>
    <w:rsid w:val="006050AA"/>
    <w:rsid w:val="0060561C"/>
    <w:rsid w:val="00606736"/>
    <w:rsid w:val="0060673F"/>
    <w:rsid w:val="00607B70"/>
    <w:rsid w:val="006110A3"/>
    <w:rsid w:val="00611921"/>
    <w:rsid w:val="00611DB7"/>
    <w:rsid w:val="00611E10"/>
    <w:rsid w:val="0061254C"/>
    <w:rsid w:val="00613195"/>
    <w:rsid w:val="0061350E"/>
    <w:rsid w:val="006136A2"/>
    <w:rsid w:val="00615148"/>
    <w:rsid w:val="006178E6"/>
    <w:rsid w:val="00617BE3"/>
    <w:rsid w:val="00617FDC"/>
    <w:rsid w:val="0062028B"/>
    <w:rsid w:val="006205BA"/>
    <w:rsid w:val="00620D97"/>
    <w:rsid w:val="00620EAB"/>
    <w:rsid w:val="00620EC5"/>
    <w:rsid w:val="006223ED"/>
    <w:rsid w:val="00622AE1"/>
    <w:rsid w:val="00622FB0"/>
    <w:rsid w:val="0062419C"/>
    <w:rsid w:val="006249CB"/>
    <w:rsid w:val="00625A49"/>
    <w:rsid w:val="00626D0C"/>
    <w:rsid w:val="0062758D"/>
    <w:rsid w:val="00627B10"/>
    <w:rsid w:val="0063004E"/>
    <w:rsid w:val="006303C7"/>
    <w:rsid w:val="006312B6"/>
    <w:rsid w:val="00632509"/>
    <w:rsid w:val="006327F3"/>
    <w:rsid w:val="00633D25"/>
    <w:rsid w:val="00634773"/>
    <w:rsid w:val="00635251"/>
    <w:rsid w:val="00635CCB"/>
    <w:rsid w:val="00636671"/>
    <w:rsid w:val="006367A8"/>
    <w:rsid w:val="00637184"/>
    <w:rsid w:val="00637290"/>
    <w:rsid w:val="0063759A"/>
    <w:rsid w:val="006376F3"/>
    <w:rsid w:val="0064015D"/>
    <w:rsid w:val="006418AC"/>
    <w:rsid w:val="00641B36"/>
    <w:rsid w:val="00642313"/>
    <w:rsid w:val="0064278E"/>
    <w:rsid w:val="0064300A"/>
    <w:rsid w:val="006435B1"/>
    <w:rsid w:val="00643723"/>
    <w:rsid w:val="00643F03"/>
    <w:rsid w:val="006440E2"/>
    <w:rsid w:val="00645211"/>
    <w:rsid w:val="006452A0"/>
    <w:rsid w:val="006456DB"/>
    <w:rsid w:val="00645C88"/>
    <w:rsid w:val="0064622D"/>
    <w:rsid w:val="006500A5"/>
    <w:rsid w:val="00650DBA"/>
    <w:rsid w:val="00651179"/>
    <w:rsid w:val="00651D56"/>
    <w:rsid w:val="006538AA"/>
    <w:rsid w:val="006547A1"/>
    <w:rsid w:val="00655172"/>
    <w:rsid w:val="00655A64"/>
    <w:rsid w:val="00656091"/>
    <w:rsid w:val="006606F4"/>
    <w:rsid w:val="00660A8D"/>
    <w:rsid w:val="006613B9"/>
    <w:rsid w:val="0066176B"/>
    <w:rsid w:val="00661DD1"/>
    <w:rsid w:val="00661E1F"/>
    <w:rsid w:val="006625FF"/>
    <w:rsid w:val="00662708"/>
    <w:rsid w:val="00662AD8"/>
    <w:rsid w:val="00663B28"/>
    <w:rsid w:val="006644AE"/>
    <w:rsid w:val="00664629"/>
    <w:rsid w:val="0066464C"/>
    <w:rsid w:val="006652D7"/>
    <w:rsid w:val="00666196"/>
    <w:rsid w:val="00666B1C"/>
    <w:rsid w:val="0067079C"/>
    <w:rsid w:val="00671204"/>
    <w:rsid w:val="00671C68"/>
    <w:rsid w:val="00671C98"/>
    <w:rsid w:val="00672AB0"/>
    <w:rsid w:val="006736FD"/>
    <w:rsid w:val="006744DF"/>
    <w:rsid w:val="00674717"/>
    <w:rsid w:val="00674D84"/>
    <w:rsid w:val="00674F2A"/>
    <w:rsid w:val="00675D05"/>
    <w:rsid w:val="0067676F"/>
    <w:rsid w:val="00676E20"/>
    <w:rsid w:val="0067705D"/>
    <w:rsid w:val="006774C5"/>
    <w:rsid w:val="00677638"/>
    <w:rsid w:val="00677F53"/>
    <w:rsid w:val="006808EE"/>
    <w:rsid w:val="00681384"/>
    <w:rsid w:val="006819EA"/>
    <w:rsid w:val="00682501"/>
    <w:rsid w:val="006828F0"/>
    <w:rsid w:val="00682DF2"/>
    <w:rsid w:val="00683269"/>
    <w:rsid w:val="00684081"/>
    <w:rsid w:val="00684F8A"/>
    <w:rsid w:val="0068522F"/>
    <w:rsid w:val="00686239"/>
    <w:rsid w:val="00686AF2"/>
    <w:rsid w:val="0068776B"/>
    <w:rsid w:val="00687E53"/>
    <w:rsid w:val="0069275F"/>
    <w:rsid w:val="006930D1"/>
    <w:rsid w:val="0069442A"/>
    <w:rsid w:val="006952D4"/>
    <w:rsid w:val="00695D70"/>
    <w:rsid w:val="006966A4"/>
    <w:rsid w:val="00696739"/>
    <w:rsid w:val="0069760A"/>
    <w:rsid w:val="006A017C"/>
    <w:rsid w:val="006A2407"/>
    <w:rsid w:val="006A3406"/>
    <w:rsid w:val="006A5499"/>
    <w:rsid w:val="006A58C0"/>
    <w:rsid w:val="006A6FC5"/>
    <w:rsid w:val="006A7460"/>
    <w:rsid w:val="006A7927"/>
    <w:rsid w:val="006B1EF1"/>
    <w:rsid w:val="006B42E2"/>
    <w:rsid w:val="006B4F3A"/>
    <w:rsid w:val="006B654A"/>
    <w:rsid w:val="006C0329"/>
    <w:rsid w:val="006C0A40"/>
    <w:rsid w:val="006C0BE4"/>
    <w:rsid w:val="006C0CF8"/>
    <w:rsid w:val="006C1843"/>
    <w:rsid w:val="006C2407"/>
    <w:rsid w:val="006C26F0"/>
    <w:rsid w:val="006C29D1"/>
    <w:rsid w:val="006C2F07"/>
    <w:rsid w:val="006C3672"/>
    <w:rsid w:val="006C3E12"/>
    <w:rsid w:val="006C3E5E"/>
    <w:rsid w:val="006C3ED3"/>
    <w:rsid w:val="006C54B5"/>
    <w:rsid w:val="006C5AF4"/>
    <w:rsid w:val="006C6B88"/>
    <w:rsid w:val="006C72DE"/>
    <w:rsid w:val="006C75E9"/>
    <w:rsid w:val="006C78C1"/>
    <w:rsid w:val="006C7FCD"/>
    <w:rsid w:val="006D07CD"/>
    <w:rsid w:val="006D15F2"/>
    <w:rsid w:val="006D1790"/>
    <w:rsid w:val="006D1933"/>
    <w:rsid w:val="006D1B0C"/>
    <w:rsid w:val="006D1C43"/>
    <w:rsid w:val="006D31E7"/>
    <w:rsid w:val="006D3493"/>
    <w:rsid w:val="006D367B"/>
    <w:rsid w:val="006D542C"/>
    <w:rsid w:val="006D5AEA"/>
    <w:rsid w:val="006D605F"/>
    <w:rsid w:val="006D6530"/>
    <w:rsid w:val="006D679C"/>
    <w:rsid w:val="006D6E6D"/>
    <w:rsid w:val="006D79BE"/>
    <w:rsid w:val="006E0135"/>
    <w:rsid w:val="006E0B08"/>
    <w:rsid w:val="006E1D0F"/>
    <w:rsid w:val="006E21E8"/>
    <w:rsid w:val="006E282B"/>
    <w:rsid w:val="006E2D3E"/>
    <w:rsid w:val="006E3060"/>
    <w:rsid w:val="006E49CA"/>
    <w:rsid w:val="006E54C8"/>
    <w:rsid w:val="006E5766"/>
    <w:rsid w:val="006E65C4"/>
    <w:rsid w:val="006E6A4E"/>
    <w:rsid w:val="006F170E"/>
    <w:rsid w:val="006F181E"/>
    <w:rsid w:val="006F2037"/>
    <w:rsid w:val="006F24DF"/>
    <w:rsid w:val="006F273A"/>
    <w:rsid w:val="006F2843"/>
    <w:rsid w:val="006F45DF"/>
    <w:rsid w:val="006F539C"/>
    <w:rsid w:val="006F541C"/>
    <w:rsid w:val="006F549D"/>
    <w:rsid w:val="006F5F3D"/>
    <w:rsid w:val="006F680E"/>
    <w:rsid w:val="006F6CDC"/>
    <w:rsid w:val="00700070"/>
    <w:rsid w:val="00700F7D"/>
    <w:rsid w:val="0070199B"/>
    <w:rsid w:val="00701E08"/>
    <w:rsid w:val="0070264B"/>
    <w:rsid w:val="0070339A"/>
    <w:rsid w:val="007033F2"/>
    <w:rsid w:val="0070367C"/>
    <w:rsid w:val="00703B94"/>
    <w:rsid w:val="0070446D"/>
    <w:rsid w:val="00704893"/>
    <w:rsid w:val="0070536E"/>
    <w:rsid w:val="00705AD4"/>
    <w:rsid w:val="00706A0B"/>
    <w:rsid w:val="00707C02"/>
    <w:rsid w:val="00710A62"/>
    <w:rsid w:val="00710EE7"/>
    <w:rsid w:val="007110EE"/>
    <w:rsid w:val="00711D7A"/>
    <w:rsid w:val="00711DB5"/>
    <w:rsid w:val="00712C7C"/>
    <w:rsid w:val="00712F86"/>
    <w:rsid w:val="0071330A"/>
    <w:rsid w:val="007134CE"/>
    <w:rsid w:val="00713B62"/>
    <w:rsid w:val="00714898"/>
    <w:rsid w:val="00714BB3"/>
    <w:rsid w:val="00715C14"/>
    <w:rsid w:val="00717225"/>
    <w:rsid w:val="0071744A"/>
    <w:rsid w:val="0071751F"/>
    <w:rsid w:val="00717C2B"/>
    <w:rsid w:val="00721A24"/>
    <w:rsid w:val="0072204A"/>
    <w:rsid w:val="0072207F"/>
    <w:rsid w:val="007226D9"/>
    <w:rsid w:val="007231ED"/>
    <w:rsid w:val="00723719"/>
    <w:rsid w:val="00723B1F"/>
    <w:rsid w:val="00723B51"/>
    <w:rsid w:val="007252CC"/>
    <w:rsid w:val="007274AC"/>
    <w:rsid w:val="00731927"/>
    <w:rsid w:val="007332ED"/>
    <w:rsid w:val="00733785"/>
    <w:rsid w:val="00733A2B"/>
    <w:rsid w:val="00734143"/>
    <w:rsid w:val="0073480A"/>
    <w:rsid w:val="007348A9"/>
    <w:rsid w:val="00734B20"/>
    <w:rsid w:val="00735389"/>
    <w:rsid w:val="00735917"/>
    <w:rsid w:val="00736087"/>
    <w:rsid w:val="007365B5"/>
    <w:rsid w:val="00736913"/>
    <w:rsid w:val="00736DBC"/>
    <w:rsid w:val="007371A8"/>
    <w:rsid w:val="00737596"/>
    <w:rsid w:val="00737650"/>
    <w:rsid w:val="00737E51"/>
    <w:rsid w:val="00737EB8"/>
    <w:rsid w:val="007406A0"/>
    <w:rsid w:val="00740CEC"/>
    <w:rsid w:val="00741DA7"/>
    <w:rsid w:val="0074207D"/>
    <w:rsid w:val="007425B6"/>
    <w:rsid w:val="00742C43"/>
    <w:rsid w:val="00742FDD"/>
    <w:rsid w:val="007430A2"/>
    <w:rsid w:val="007438F7"/>
    <w:rsid w:val="0074397C"/>
    <w:rsid w:val="00743986"/>
    <w:rsid w:val="00743CF7"/>
    <w:rsid w:val="00744AFE"/>
    <w:rsid w:val="00745972"/>
    <w:rsid w:val="00745DB1"/>
    <w:rsid w:val="00745EEF"/>
    <w:rsid w:val="00746291"/>
    <w:rsid w:val="00746DB4"/>
    <w:rsid w:val="00747C5E"/>
    <w:rsid w:val="0075032A"/>
    <w:rsid w:val="007503D8"/>
    <w:rsid w:val="00750CE2"/>
    <w:rsid w:val="007514FB"/>
    <w:rsid w:val="00751BFD"/>
    <w:rsid w:val="007523E1"/>
    <w:rsid w:val="00754CB5"/>
    <w:rsid w:val="0075641F"/>
    <w:rsid w:val="00756E48"/>
    <w:rsid w:val="00757AE0"/>
    <w:rsid w:val="0076074F"/>
    <w:rsid w:val="00761AA5"/>
    <w:rsid w:val="00762D53"/>
    <w:rsid w:val="00763167"/>
    <w:rsid w:val="00763548"/>
    <w:rsid w:val="00764CF2"/>
    <w:rsid w:val="00765D05"/>
    <w:rsid w:val="00766E7B"/>
    <w:rsid w:val="00770866"/>
    <w:rsid w:val="007711B5"/>
    <w:rsid w:val="0077127E"/>
    <w:rsid w:val="00772B17"/>
    <w:rsid w:val="00772CAD"/>
    <w:rsid w:val="00772DE5"/>
    <w:rsid w:val="007731C5"/>
    <w:rsid w:val="007735BE"/>
    <w:rsid w:val="00773718"/>
    <w:rsid w:val="00775278"/>
    <w:rsid w:val="00776376"/>
    <w:rsid w:val="007779BE"/>
    <w:rsid w:val="00777B95"/>
    <w:rsid w:val="007803BA"/>
    <w:rsid w:val="007807A1"/>
    <w:rsid w:val="00781499"/>
    <w:rsid w:val="00781919"/>
    <w:rsid w:val="00782FA3"/>
    <w:rsid w:val="007837AA"/>
    <w:rsid w:val="00783917"/>
    <w:rsid w:val="00783D99"/>
    <w:rsid w:val="00784272"/>
    <w:rsid w:val="00784698"/>
    <w:rsid w:val="0078559E"/>
    <w:rsid w:val="0078664E"/>
    <w:rsid w:val="0078696F"/>
    <w:rsid w:val="00786BE7"/>
    <w:rsid w:val="00790E7B"/>
    <w:rsid w:val="00790FA5"/>
    <w:rsid w:val="0079174A"/>
    <w:rsid w:val="00791808"/>
    <w:rsid w:val="007920DD"/>
    <w:rsid w:val="007926B9"/>
    <w:rsid w:val="00792D26"/>
    <w:rsid w:val="00792D3E"/>
    <w:rsid w:val="007940F4"/>
    <w:rsid w:val="00794641"/>
    <w:rsid w:val="007947CA"/>
    <w:rsid w:val="007952D6"/>
    <w:rsid w:val="0079534F"/>
    <w:rsid w:val="00795A2F"/>
    <w:rsid w:val="00795BCC"/>
    <w:rsid w:val="0079718B"/>
    <w:rsid w:val="007A0B7C"/>
    <w:rsid w:val="007A1440"/>
    <w:rsid w:val="007A154C"/>
    <w:rsid w:val="007A1A40"/>
    <w:rsid w:val="007A2A18"/>
    <w:rsid w:val="007A2CF3"/>
    <w:rsid w:val="007A3CDF"/>
    <w:rsid w:val="007A3F78"/>
    <w:rsid w:val="007A432D"/>
    <w:rsid w:val="007A47B3"/>
    <w:rsid w:val="007A4E68"/>
    <w:rsid w:val="007A4EFA"/>
    <w:rsid w:val="007A6303"/>
    <w:rsid w:val="007A6B95"/>
    <w:rsid w:val="007A740A"/>
    <w:rsid w:val="007A7FF5"/>
    <w:rsid w:val="007B0AE1"/>
    <w:rsid w:val="007B1952"/>
    <w:rsid w:val="007B1B59"/>
    <w:rsid w:val="007B2094"/>
    <w:rsid w:val="007B2A04"/>
    <w:rsid w:val="007B3062"/>
    <w:rsid w:val="007B3BF2"/>
    <w:rsid w:val="007B55AC"/>
    <w:rsid w:val="007B591B"/>
    <w:rsid w:val="007B5CBF"/>
    <w:rsid w:val="007B6E77"/>
    <w:rsid w:val="007B70AD"/>
    <w:rsid w:val="007B75D8"/>
    <w:rsid w:val="007B7BD6"/>
    <w:rsid w:val="007B7C6D"/>
    <w:rsid w:val="007B7E3D"/>
    <w:rsid w:val="007C0FA7"/>
    <w:rsid w:val="007C20C0"/>
    <w:rsid w:val="007C2943"/>
    <w:rsid w:val="007C330C"/>
    <w:rsid w:val="007C4C93"/>
    <w:rsid w:val="007C651E"/>
    <w:rsid w:val="007C78D3"/>
    <w:rsid w:val="007D019F"/>
    <w:rsid w:val="007D0663"/>
    <w:rsid w:val="007D0709"/>
    <w:rsid w:val="007D08D2"/>
    <w:rsid w:val="007D0A56"/>
    <w:rsid w:val="007D1B4B"/>
    <w:rsid w:val="007D28C9"/>
    <w:rsid w:val="007D2D17"/>
    <w:rsid w:val="007D2FA8"/>
    <w:rsid w:val="007D65F9"/>
    <w:rsid w:val="007D699D"/>
    <w:rsid w:val="007D6BE7"/>
    <w:rsid w:val="007E04DD"/>
    <w:rsid w:val="007E1194"/>
    <w:rsid w:val="007E1232"/>
    <w:rsid w:val="007E26DC"/>
    <w:rsid w:val="007E2B3F"/>
    <w:rsid w:val="007E2B5D"/>
    <w:rsid w:val="007E3776"/>
    <w:rsid w:val="007E41F2"/>
    <w:rsid w:val="007E446F"/>
    <w:rsid w:val="007E4C9E"/>
    <w:rsid w:val="007E50FE"/>
    <w:rsid w:val="007E51D2"/>
    <w:rsid w:val="007E59B8"/>
    <w:rsid w:val="007E6029"/>
    <w:rsid w:val="007E6348"/>
    <w:rsid w:val="007E6509"/>
    <w:rsid w:val="007E6F96"/>
    <w:rsid w:val="007E75D2"/>
    <w:rsid w:val="007E7860"/>
    <w:rsid w:val="007E7E80"/>
    <w:rsid w:val="007F13A5"/>
    <w:rsid w:val="007F1849"/>
    <w:rsid w:val="007F1D66"/>
    <w:rsid w:val="007F2550"/>
    <w:rsid w:val="007F3347"/>
    <w:rsid w:val="007F37AC"/>
    <w:rsid w:val="007F38AD"/>
    <w:rsid w:val="007F44E6"/>
    <w:rsid w:val="007F4665"/>
    <w:rsid w:val="007F48EB"/>
    <w:rsid w:val="007F4948"/>
    <w:rsid w:val="007F653F"/>
    <w:rsid w:val="007F6ACA"/>
    <w:rsid w:val="007F6FB0"/>
    <w:rsid w:val="007F7BD8"/>
    <w:rsid w:val="0080208E"/>
    <w:rsid w:val="008025D0"/>
    <w:rsid w:val="00802EEC"/>
    <w:rsid w:val="00803A1C"/>
    <w:rsid w:val="00803CE8"/>
    <w:rsid w:val="00803F53"/>
    <w:rsid w:val="0080488A"/>
    <w:rsid w:val="0080541D"/>
    <w:rsid w:val="00805471"/>
    <w:rsid w:val="00806440"/>
    <w:rsid w:val="00807544"/>
    <w:rsid w:val="008075ED"/>
    <w:rsid w:val="00807BE8"/>
    <w:rsid w:val="008106A0"/>
    <w:rsid w:val="00810911"/>
    <w:rsid w:val="00810B03"/>
    <w:rsid w:val="00811889"/>
    <w:rsid w:val="00811C8C"/>
    <w:rsid w:val="00812286"/>
    <w:rsid w:val="008122A8"/>
    <w:rsid w:val="008130E5"/>
    <w:rsid w:val="00813B4D"/>
    <w:rsid w:val="00813B5E"/>
    <w:rsid w:val="00813F15"/>
    <w:rsid w:val="0081415B"/>
    <w:rsid w:val="00815394"/>
    <w:rsid w:val="008154E5"/>
    <w:rsid w:val="0081570F"/>
    <w:rsid w:val="00815C18"/>
    <w:rsid w:val="00815EF1"/>
    <w:rsid w:val="00816280"/>
    <w:rsid w:val="0081630C"/>
    <w:rsid w:val="00816519"/>
    <w:rsid w:val="00816777"/>
    <w:rsid w:val="0081702D"/>
    <w:rsid w:val="00822311"/>
    <w:rsid w:val="00822E54"/>
    <w:rsid w:val="00823CC3"/>
    <w:rsid w:val="00824582"/>
    <w:rsid w:val="00824866"/>
    <w:rsid w:val="00825457"/>
    <w:rsid w:val="00826ED1"/>
    <w:rsid w:val="00826F08"/>
    <w:rsid w:val="00827555"/>
    <w:rsid w:val="008275F5"/>
    <w:rsid w:val="00827741"/>
    <w:rsid w:val="00830165"/>
    <w:rsid w:val="00830E70"/>
    <w:rsid w:val="008324E7"/>
    <w:rsid w:val="0083278D"/>
    <w:rsid w:val="00832ED1"/>
    <w:rsid w:val="0083300E"/>
    <w:rsid w:val="0083340D"/>
    <w:rsid w:val="008336F0"/>
    <w:rsid w:val="00833A0A"/>
    <w:rsid w:val="00834232"/>
    <w:rsid w:val="00836AAD"/>
    <w:rsid w:val="00836B63"/>
    <w:rsid w:val="008376C7"/>
    <w:rsid w:val="008379E8"/>
    <w:rsid w:val="0084004B"/>
    <w:rsid w:val="008403E3"/>
    <w:rsid w:val="0084153F"/>
    <w:rsid w:val="00841D8B"/>
    <w:rsid w:val="00842714"/>
    <w:rsid w:val="00842C3D"/>
    <w:rsid w:val="00842F0F"/>
    <w:rsid w:val="00843747"/>
    <w:rsid w:val="00843E97"/>
    <w:rsid w:val="0084469A"/>
    <w:rsid w:val="008449C6"/>
    <w:rsid w:val="00844ACB"/>
    <w:rsid w:val="008457A3"/>
    <w:rsid w:val="00845DA0"/>
    <w:rsid w:val="008468FF"/>
    <w:rsid w:val="00847D7F"/>
    <w:rsid w:val="008509A2"/>
    <w:rsid w:val="00850F69"/>
    <w:rsid w:val="0085158D"/>
    <w:rsid w:val="00851BE4"/>
    <w:rsid w:val="00852674"/>
    <w:rsid w:val="00852771"/>
    <w:rsid w:val="00852BE9"/>
    <w:rsid w:val="008536E3"/>
    <w:rsid w:val="008540BC"/>
    <w:rsid w:val="0085586A"/>
    <w:rsid w:val="0085603B"/>
    <w:rsid w:val="008579D1"/>
    <w:rsid w:val="00857A0B"/>
    <w:rsid w:val="00857C91"/>
    <w:rsid w:val="00857F78"/>
    <w:rsid w:val="00860D37"/>
    <w:rsid w:val="00862429"/>
    <w:rsid w:val="00862A7A"/>
    <w:rsid w:val="008630EC"/>
    <w:rsid w:val="00863E05"/>
    <w:rsid w:val="00863E20"/>
    <w:rsid w:val="008641C2"/>
    <w:rsid w:val="008661B6"/>
    <w:rsid w:val="00866804"/>
    <w:rsid w:val="008672DD"/>
    <w:rsid w:val="00867447"/>
    <w:rsid w:val="00867907"/>
    <w:rsid w:val="00867935"/>
    <w:rsid w:val="0087009E"/>
    <w:rsid w:val="00872644"/>
    <w:rsid w:val="00873360"/>
    <w:rsid w:val="00873FA9"/>
    <w:rsid w:val="00873FD0"/>
    <w:rsid w:val="008747CB"/>
    <w:rsid w:val="00874B1C"/>
    <w:rsid w:val="008765AA"/>
    <w:rsid w:val="00876B49"/>
    <w:rsid w:val="00876D57"/>
    <w:rsid w:val="00877E39"/>
    <w:rsid w:val="008806D5"/>
    <w:rsid w:val="00881BC7"/>
    <w:rsid w:val="0088250C"/>
    <w:rsid w:val="008826A0"/>
    <w:rsid w:val="00883BE4"/>
    <w:rsid w:val="0088425F"/>
    <w:rsid w:val="00885723"/>
    <w:rsid w:val="008858DF"/>
    <w:rsid w:val="00885EF4"/>
    <w:rsid w:val="008860A0"/>
    <w:rsid w:val="008878FB"/>
    <w:rsid w:val="00887948"/>
    <w:rsid w:val="00887C74"/>
    <w:rsid w:val="008901F9"/>
    <w:rsid w:val="0089026E"/>
    <w:rsid w:val="00891566"/>
    <w:rsid w:val="0089246E"/>
    <w:rsid w:val="00892D46"/>
    <w:rsid w:val="008944F4"/>
    <w:rsid w:val="008948D0"/>
    <w:rsid w:val="00894D58"/>
    <w:rsid w:val="00895000"/>
    <w:rsid w:val="008951FE"/>
    <w:rsid w:val="008A1351"/>
    <w:rsid w:val="008A3036"/>
    <w:rsid w:val="008A3561"/>
    <w:rsid w:val="008A42EA"/>
    <w:rsid w:val="008A4711"/>
    <w:rsid w:val="008A4D31"/>
    <w:rsid w:val="008A6B1C"/>
    <w:rsid w:val="008A6B38"/>
    <w:rsid w:val="008A6B54"/>
    <w:rsid w:val="008A7D8C"/>
    <w:rsid w:val="008B0CF5"/>
    <w:rsid w:val="008B1049"/>
    <w:rsid w:val="008B1713"/>
    <w:rsid w:val="008B1E80"/>
    <w:rsid w:val="008B2141"/>
    <w:rsid w:val="008B29F4"/>
    <w:rsid w:val="008B3C6E"/>
    <w:rsid w:val="008B402A"/>
    <w:rsid w:val="008B4AEA"/>
    <w:rsid w:val="008B584A"/>
    <w:rsid w:val="008B6756"/>
    <w:rsid w:val="008B700B"/>
    <w:rsid w:val="008B78C2"/>
    <w:rsid w:val="008B79A0"/>
    <w:rsid w:val="008B7F36"/>
    <w:rsid w:val="008C18DE"/>
    <w:rsid w:val="008C3286"/>
    <w:rsid w:val="008C3291"/>
    <w:rsid w:val="008C345A"/>
    <w:rsid w:val="008C4D10"/>
    <w:rsid w:val="008C4E14"/>
    <w:rsid w:val="008C533C"/>
    <w:rsid w:val="008C73E0"/>
    <w:rsid w:val="008C7455"/>
    <w:rsid w:val="008C78FC"/>
    <w:rsid w:val="008D003D"/>
    <w:rsid w:val="008D0108"/>
    <w:rsid w:val="008D051C"/>
    <w:rsid w:val="008D0641"/>
    <w:rsid w:val="008D079B"/>
    <w:rsid w:val="008D0C3B"/>
    <w:rsid w:val="008D1A0D"/>
    <w:rsid w:val="008D1A71"/>
    <w:rsid w:val="008D200F"/>
    <w:rsid w:val="008D44C7"/>
    <w:rsid w:val="008D4C1A"/>
    <w:rsid w:val="008D546C"/>
    <w:rsid w:val="008D77BB"/>
    <w:rsid w:val="008D7943"/>
    <w:rsid w:val="008E092A"/>
    <w:rsid w:val="008E096F"/>
    <w:rsid w:val="008E12EC"/>
    <w:rsid w:val="008E2602"/>
    <w:rsid w:val="008E27BE"/>
    <w:rsid w:val="008E29E3"/>
    <w:rsid w:val="008E3327"/>
    <w:rsid w:val="008E3CCC"/>
    <w:rsid w:val="008E435B"/>
    <w:rsid w:val="008E44D8"/>
    <w:rsid w:val="008E4B70"/>
    <w:rsid w:val="008E5623"/>
    <w:rsid w:val="008E58F4"/>
    <w:rsid w:val="008E5F5D"/>
    <w:rsid w:val="008E7B06"/>
    <w:rsid w:val="008E7BBE"/>
    <w:rsid w:val="008F04A9"/>
    <w:rsid w:val="008F0786"/>
    <w:rsid w:val="008F0C66"/>
    <w:rsid w:val="008F16A4"/>
    <w:rsid w:val="008F30A8"/>
    <w:rsid w:val="008F3A0A"/>
    <w:rsid w:val="008F52EE"/>
    <w:rsid w:val="008F6F98"/>
    <w:rsid w:val="008F70E8"/>
    <w:rsid w:val="008F72BA"/>
    <w:rsid w:val="0090049C"/>
    <w:rsid w:val="009016C8"/>
    <w:rsid w:val="00901EB6"/>
    <w:rsid w:val="0090272B"/>
    <w:rsid w:val="009036B9"/>
    <w:rsid w:val="009036F0"/>
    <w:rsid w:val="00904C6F"/>
    <w:rsid w:val="00905834"/>
    <w:rsid w:val="00906D01"/>
    <w:rsid w:val="009073A9"/>
    <w:rsid w:val="00910428"/>
    <w:rsid w:val="00910C30"/>
    <w:rsid w:val="009119A0"/>
    <w:rsid w:val="00912504"/>
    <w:rsid w:val="00914564"/>
    <w:rsid w:val="00914ADE"/>
    <w:rsid w:val="00914FB7"/>
    <w:rsid w:val="00915974"/>
    <w:rsid w:val="00916ABB"/>
    <w:rsid w:val="009170AF"/>
    <w:rsid w:val="00917154"/>
    <w:rsid w:val="00917260"/>
    <w:rsid w:val="009172FE"/>
    <w:rsid w:val="00920543"/>
    <w:rsid w:val="00922488"/>
    <w:rsid w:val="00922ADB"/>
    <w:rsid w:val="00923159"/>
    <w:rsid w:val="00923C8B"/>
    <w:rsid w:val="0092402E"/>
    <w:rsid w:val="009251F9"/>
    <w:rsid w:val="009262EB"/>
    <w:rsid w:val="009269B0"/>
    <w:rsid w:val="00927491"/>
    <w:rsid w:val="009276A9"/>
    <w:rsid w:val="009276E9"/>
    <w:rsid w:val="00927703"/>
    <w:rsid w:val="00927A7C"/>
    <w:rsid w:val="00927BC2"/>
    <w:rsid w:val="00930EAC"/>
    <w:rsid w:val="00933AEF"/>
    <w:rsid w:val="00933B73"/>
    <w:rsid w:val="0093449C"/>
    <w:rsid w:val="00935049"/>
    <w:rsid w:val="00935161"/>
    <w:rsid w:val="009354A6"/>
    <w:rsid w:val="0093612C"/>
    <w:rsid w:val="00936389"/>
    <w:rsid w:val="00936F03"/>
    <w:rsid w:val="00937F70"/>
    <w:rsid w:val="00940EAD"/>
    <w:rsid w:val="00941082"/>
    <w:rsid w:val="00943BB8"/>
    <w:rsid w:val="00945691"/>
    <w:rsid w:val="00945CEC"/>
    <w:rsid w:val="00946258"/>
    <w:rsid w:val="009465F6"/>
    <w:rsid w:val="0094740A"/>
    <w:rsid w:val="00947C71"/>
    <w:rsid w:val="00947E87"/>
    <w:rsid w:val="00947E8F"/>
    <w:rsid w:val="00951317"/>
    <w:rsid w:val="00951C00"/>
    <w:rsid w:val="00952A67"/>
    <w:rsid w:val="00952D07"/>
    <w:rsid w:val="009541FB"/>
    <w:rsid w:val="009548CC"/>
    <w:rsid w:val="009548D9"/>
    <w:rsid w:val="00955E8F"/>
    <w:rsid w:val="00956988"/>
    <w:rsid w:val="00956DFB"/>
    <w:rsid w:val="00961A18"/>
    <w:rsid w:val="0096249B"/>
    <w:rsid w:val="00962E1E"/>
    <w:rsid w:val="00964312"/>
    <w:rsid w:val="00964906"/>
    <w:rsid w:val="00964C62"/>
    <w:rsid w:val="00965BDF"/>
    <w:rsid w:val="00965EC5"/>
    <w:rsid w:val="009665D5"/>
    <w:rsid w:val="00967018"/>
    <w:rsid w:val="009671F2"/>
    <w:rsid w:val="00970C9B"/>
    <w:rsid w:val="009713B2"/>
    <w:rsid w:val="009736D3"/>
    <w:rsid w:val="0097418E"/>
    <w:rsid w:val="00974198"/>
    <w:rsid w:val="00974B28"/>
    <w:rsid w:val="009750EF"/>
    <w:rsid w:val="00975A41"/>
    <w:rsid w:val="009764BF"/>
    <w:rsid w:val="00977705"/>
    <w:rsid w:val="00977DA0"/>
    <w:rsid w:val="009800AD"/>
    <w:rsid w:val="00980A07"/>
    <w:rsid w:val="00980BBB"/>
    <w:rsid w:val="009811D1"/>
    <w:rsid w:val="00981662"/>
    <w:rsid w:val="00982348"/>
    <w:rsid w:val="00982398"/>
    <w:rsid w:val="00983E77"/>
    <w:rsid w:val="009853FA"/>
    <w:rsid w:val="00986123"/>
    <w:rsid w:val="00986E9A"/>
    <w:rsid w:val="00987596"/>
    <w:rsid w:val="009876AE"/>
    <w:rsid w:val="009877EE"/>
    <w:rsid w:val="009906CE"/>
    <w:rsid w:val="00991FE5"/>
    <w:rsid w:val="009927F2"/>
    <w:rsid w:val="00992C1D"/>
    <w:rsid w:val="009936B7"/>
    <w:rsid w:val="00993A72"/>
    <w:rsid w:val="00993C6F"/>
    <w:rsid w:val="009941BF"/>
    <w:rsid w:val="00994618"/>
    <w:rsid w:val="0099579E"/>
    <w:rsid w:val="00996090"/>
    <w:rsid w:val="009964F6"/>
    <w:rsid w:val="00996F68"/>
    <w:rsid w:val="009970EC"/>
    <w:rsid w:val="009973A9"/>
    <w:rsid w:val="0099744F"/>
    <w:rsid w:val="00997EB8"/>
    <w:rsid w:val="009A111B"/>
    <w:rsid w:val="009A1175"/>
    <w:rsid w:val="009A146A"/>
    <w:rsid w:val="009A1A58"/>
    <w:rsid w:val="009A1F1C"/>
    <w:rsid w:val="009A209A"/>
    <w:rsid w:val="009A2EE8"/>
    <w:rsid w:val="009A338E"/>
    <w:rsid w:val="009A4742"/>
    <w:rsid w:val="009A4D49"/>
    <w:rsid w:val="009A7006"/>
    <w:rsid w:val="009B06E2"/>
    <w:rsid w:val="009B089E"/>
    <w:rsid w:val="009B09BF"/>
    <w:rsid w:val="009B0CE5"/>
    <w:rsid w:val="009B0E85"/>
    <w:rsid w:val="009B1B0A"/>
    <w:rsid w:val="009B1B3B"/>
    <w:rsid w:val="009B1C95"/>
    <w:rsid w:val="009B1E82"/>
    <w:rsid w:val="009B328B"/>
    <w:rsid w:val="009B3398"/>
    <w:rsid w:val="009B42E8"/>
    <w:rsid w:val="009B5997"/>
    <w:rsid w:val="009B5D1B"/>
    <w:rsid w:val="009B63E7"/>
    <w:rsid w:val="009B775D"/>
    <w:rsid w:val="009B7EFA"/>
    <w:rsid w:val="009C1CD9"/>
    <w:rsid w:val="009C1D8C"/>
    <w:rsid w:val="009C24B1"/>
    <w:rsid w:val="009C4291"/>
    <w:rsid w:val="009C5DCA"/>
    <w:rsid w:val="009C6B0B"/>
    <w:rsid w:val="009C72A0"/>
    <w:rsid w:val="009C72CE"/>
    <w:rsid w:val="009C74AB"/>
    <w:rsid w:val="009C7EAB"/>
    <w:rsid w:val="009D0167"/>
    <w:rsid w:val="009D028C"/>
    <w:rsid w:val="009D0EA4"/>
    <w:rsid w:val="009D1202"/>
    <w:rsid w:val="009D1397"/>
    <w:rsid w:val="009D13FF"/>
    <w:rsid w:val="009D1B42"/>
    <w:rsid w:val="009D2B27"/>
    <w:rsid w:val="009D2C6C"/>
    <w:rsid w:val="009D2F42"/>
    <w:rsid w:val="009D3BA6"/>
    <w:rsid w:val="009D4ACA"/>
    <w:rsid w:val="009D542D"/>
    <w:rsid w:val="009D55C5"/>
    <w:rsid w:val="009D5FBF"/>
    <w:rsid w:val="009D624A"/>
    <w:rsid w:val="009D6F61"/>
    <w:rsid w:val="009E077E"/>
    <w:rsid w:val="009E16B2"/>
    <w:rsid w:val="009E267F"/>
    <w:rsid w:val="009E31FB"/>
    <w:rsid w:val="009E32AD"/>
    <w:rsid w:val="009E3327"/>
    <w:rsid w:val="009E35EC"/>
    <w:rsid w:val="009E4475"/>
    <w:rsid w:val="009E51C7"/>
    <w:rsid w:val="009E59F8"/>
    <w:rsid w:val="009E6069"/>
    <w:rsid w:val="009E6533"/>
    <w:rsid w:val="009F0697"/>
    <w:rsid w:val="009F135C"/>
    <w:rsid w:val="009F1D32"/>
    <w:rsid w:val="009F1E95"/>
    <w:rsid w:val="009F2919"/>
    <w:rsid w:val="009F2EF0"/>
    <w:rsid w:val="009F405A"/>
    <w:rsid w:val="009F4259"/>
    <w:rsid w:val="009F45D4"/>
    <w:rsid w:val="009F572B"/>
    <w:rsid w:val="009F5C68"/>
    <w:rsid w:val="009F5DF6"/>
    <w:rsid w:val="009F692A"/>
    <w:rsid w:val="009F6AFE"/>
    <w:rsid w:val="009F6CC8"/>
    <w:rsid w:val="009F72A2"/>
    <w:rsid w:val="00A01EB3"/>
    <w:rsid w:val="00A03A68"/>
    <w:rsid w:val="00A04733"/>
    <w:rsid w:val="00A04DEF"/>
    <w:rsid w:val="00A04FEA"/>
    <w:rsid w:val="00A055EA"/>
    <w:rsid w:val="00A07730"/>
    <w:rsid w:val="00A07FDD"/>
    <w:rsid w:val="00A10302"/>
    <w:rsid w:val="00A119AC"/>
    <w:rsid w:val="00A11E14"/>
    <w:rsid w:val="00A12BAA"/>
    <w:rsid w:val="00A13C7A"/>
    <w:rsid w:val="00A15554"/>
    <w:rsid w:val="00A15ED7"/>
    <w:rsid w:val="00A15F5F"/>
    <w:rsid w:val="00A17CEE"/>
    <w:rsid w:val="00A20044"/>
    <w:rsid w:val="00A20513"/>
    <w:rsid w:val="00A2359B"/>
    <w:rsid w:val="00A249A9"/>
    <w:rsid w:val="00A249C3"/>
    <w:rsid w:val="00A24A30"/>
    <w:rsid w:val="00A24F04"/>
    <w:rsid w:val="00A24F06"/>
    <w:rsid w:val="00A25E35"/>
    <w:rsid w:val="00A2617C"/>
    <w:rsid w:val="00A26779"/>
    <w:rsid w:val="00A2691D"/>
    <w:rsid w:val="00A27E22"/>
    <w:rsid w:val="00A30096"/>
    <w:rsid w:val="00A31694"/>
    <w:rsid w:val="00A3169E"/>
    <w:rsid w:val="00A318C4"/>
    <w:rsid w:val="00A32393"/>
    <w:rsid w:val="00A32839"/>
    <w:rsid w:val="00A331A1"/>
    <w:rsid w:val="00A332F9"/>
    <w:rsid w:val="00A3360C"/>
    <w:rsid w:val="00A3415E"/>
    <w:rsid w:val="00A35540"/>
    <w:rsid w:val="00A3557F"/>
    <w:rsid w:val="00A35EF1"/>
    <w:rsid w:val="00A36C9F"/>
    <w:rsid w:val="00A36DF1"/>
    <w:rsid w:val="00A373AF"/>
    <w:rsid w:val="00A4297D"/>
    <w:rsid w:val="00A42D46"/>
    <w:rsid w:val="00A44D6A"/>
    <w:rsid w:val="00A47610"/>
    <w:rsid w:val="00A477B2"/>
    <w:rsid w:val="00A47BB3"/>
    <w:rsid w:val="00A50656"/>
    <w:rsid w:val="00A50894"/>
    <w:rsid w:val="00A51498"/>
    <w:rsid w:val="00A52724"/>
    <w:rsid w:val="00A533AB"/>
    <w:rsid w:val="00A539EB"/>
    <w:rsid w:val="00A547BC"/>
    <w:rsid w:val="00A548F5"/>
    <w:rsid w:val="00A54A6A"/>
    <w:rsid w:val="00A56B6E"/>
    <w:rsid w:val="00A57BEE"/>
    <w:rsid w:val="00A61680"/>
    <w:rsid w:val="00A619BF"/>
    <w:rsid w:val="00A61FA9"/>
    <w:rsid w:val="00A64662"/>
    <w:rsid w:val="00A65B8C"/>
    <w:rsid w:val="00A65DC8"/>
    <w:rsid w:val="00A65F11"/>
    <w:rsid w:val="00A6686B"/>
    <w:rsid w:val="00A66E9E"/>
    <w:rsid w:val="00A66F8A"/>
    <w:rsid w:val="00A67F44"/>
    <w:rsid w:val="00A701D5"/>
    <w:rsid w:val="00A70B45"/>
    <w:rsid w:val="00A7118E"/>
    <w:rsid w:val="00A7124C"/>
    <w:rsid w:val="00A7176F"/>
    <w:rsid w:val="00A722EA"/>
    <w:rsid w:val="00A724B6"/>
    <w:rsid w:val="00A72698"/>
    <w:rsid w:val="00A72E0D"/>
    <w:rsid w:val="00A7324D"/>
    <w:rsid w:val="00A7434A"/>
    <w:rsid w:val="00A801E1"/>
    <w:rsid w:val="00A803E1"/>
    <w:rsid w:val="00A80F0D"/>
    <w:rsid w:val="00A8153E"/>
    <w:rsid w:val="00A8180C"/>
    <w:rsid w:val="00A81FA5"/>
    <w:rsid w:val="00A82805"/>
    <w:rsid w:val="00A83E31"/>
    <w:rsid w:val="00A844F6"/>
    <w:rsid w:val="00A84E24"/>
    <w:rsid w:val="00A850BD"/>
    <w:rsid w:val="00A8676C"/>
    <w:rsid w:val="00A8686E"/>
    <w:rsid w:val="00A86AD9"/>
    <w:rsid w:val="00A86EFE"/>
    <w:rsid w:val="00A876D8"/>
    <w:rsid w:val="00A876EC"/>
    <w:rsid w:val="00A90261"/>
    <w:rsid w:val="00A90A09"/>
    <w:rsid w:val="00A920A4"/>
    <w:rsid w:val="00A923B2"/>
    <w:rsid w:val="00A93F64"/>
    <w:rsid w:val="00A9417A"/>
    <w:rsid w:val="00A94314"/>
    <w:rsid w:val="00A943ED"/>
    <w:rsid w:val="00A94474"/>
    <w:rsid w:val="00A96A79"/>
    <w:rsid w:val="00AA00F1"/>
    <w:rsid w:val="00AA057D"/>
    <w:rsid w:val="00AA21A3"/>
    <w:rsid w:val="00AA3231"/>
    <w:rsid w:val="00AA3937"/>
    <w:rsid w:val="00AA3A8D"/>
    <w:rsid w:val="00AA3C48"/>
    <w:rsid w:val="00AA43D4"/>
    <w:rsid w:val="00AA440E"/>
    <w:rsid w:val="00AA455C"/>
    <w:rsid w:val="00AA587C"/>
    <w:rsid w:val="00AA5BCC"/>
    <w:rsid w:val="00AA608E"/>
    <w:rsid w:val="00AA62D5"/>
    <w:rsid w:val="00AA6DAD"/>
    <w:rsid w:val="00AA77B4"/>
    <w:rsid w:val="00AA77F5"/>
    <w:rsid w:val="00AA79A3"/>
    <w:rsid w:val="00AB110C"/>
    <w:rsid w:val="00AB1E9B"/>
    <w:rsid w:val="00AB2DC1"/>
    <w:rsid w:val="00AB3137"/>
    <w:rsid w:val="00AB335A"/>
    <w:rsid w:val="00AB3929"/>
    <w:rsid w:val="00AB44C1"/>
    <w:rsid w:val="00AB4658"/>
    <w:rsid w:val="00AB482E"/>
    <w:rsid w:val="00AB482F"/>
    <w:rsid w:val="00AB6088"/>
    <w:rsid w:val="00AB6129"/>
    <w:rsid w:val="00AB65F4"/>
    <w:rsid w:val="00AB76BA"/>
    <w:rsid w:val="00AB7E64"/>
    <w:rsid w:val="00AC0DCF"/>
    <w:rsid w:val="00AC0DED"/>
    <w:rsid w:val="00AC1BB3"/>
    <w:rsid w:val="00AC2BB2"/>
    <w:rsid w:val="00AC2D64"/>
    <w:rsid w:val="00AC5371"/>
    <w:rsid w:val="00AC6F5A"/>
    <w:rsid w:val="00AC765C"/>
    <w:rsid w:val="00AC77E0"/>
    <w:rsid w:val="00AC799B"/>
    <w:rsid w:val="00AD24D3"/>
    <w:rsid w:val="00AD39D3"/>
    <w:rsid w:val="00AD4051"/>
    <w:rsid w:val="00AD59C3"/>
    <w:rsid w:val="00AD7FC3"/>
    <w:rsid w:val="00AE045D"/>
    <w:rsid w:val="00AE09A7"/>
    <w:rsid w:val="00AE1280"/>
    <w:rsid w:val="00AE2DEA"/>
    <w:rsid w:val="00AE305A"/>
    <w:rsid w:val="00AE3313"/>
    <w:rsid w:val="00AE387F"/>
    <w:rsid w:val="00AE4371"/>
    <w:rsid w:val="00AE4ACD"/>
    <w:rsid w:val="00AE57F5"/>
    <w:rsid w:val="00AE66F1"/>
    <w:rsid w:val="00AE7604"/>
    <w:rsid w:val="00AE7ECF"/>
    <w:rsid w:val="00AF036F"/>
    <w:rsid w:val="00AF204E"/>
    <w:rsid w:val="00AF32D6"/>
    <w:rsid w:val="00AF4D20"/>
    <w:rsid w:val="00AF5438"/>
    <w:rsid w:val="00AF5A6C"/>
    <w:rsid w:val="00AF7393"/>
    <w:rsid w:val="00AF746F"/>
    <w:rsid w:val="00B00636"/>
    <w:rsid w:val="00B0075B"/>
    <w:rsid w:val="00B01F46"/>
    <w:rsid w:val="00B01FFD"/>
    <w:rsid w:val="00B021C8"/>
    <w:rsid w:val="00B02B37"/>
    <w:rsid w:val="00B041B9"/>
    <w:rsid w:val="00B059FD"/>
    <w:rsid w:val="00B05EC6"/>
    <w:rsid w:val="00B06DAC"/>
    <w:rsid w:val="00B076FD"/>
    <w:rsid w:val="00B07975"/>
    <w:rsid w:val="00B103E1"/>
    <w:rsid w:val="00B10918"/>
    <w:rsid w:val="00B10AF8"/>
    <w:rsid w:val="00B11A61"/>
    <w:rsid w:val="00B11D75"/>
    <w:rsid w:val="00B126F5"/>
    <w:rsid w:val="00B12DFC"/>
    <w:rsid w:val="00B13791"/>
    <w:rsid w:val="00B169DE"/>
    <w:rsid w:val="00B1770D"/>
    <w:rsid w:val="00B17D74"/>
    <w:rsid w:val="00B17F1E"/>
    <w:rsid w:val="00B20016"/>
    <w:rsid w:val="00B20BC1"/>
    <w:rsid w:val="00B217FC"/>
    <w:rsid w:val="00B21840"/>
    <w:rsid w:val="00B23DE1"/>
    <w:rsid w:val="00B24C34"/>
    <w:rsid w:val="00B252BA"/>
    <w:rsid w:val="00B2574E"/>
    <w:rsid w:val="00B267E4"/>
    <w:rsid w:val="00B27622"/>
    <w:rsid w:val="00B304AE"/>
    <w:rsid w:val="00B3094D"/>
    <w:rsid w:val="00B30BDE"/>
    <w:rsid w:val="00B3154B"/>
    <w:rsid w:val="00B32A98"/>
    <w:rsid w:val="00B33E82"/>
    <w:rsid w:val="00B33ECF"/>
    <w:rsid w:val="00B34F5B"/>
    <w:rsid w:val="00B354F3"/>
    <w:rsid w:val="00B36163"/>
    <w:rsid w:val="00B363AE"/>
    <w:rsid w:val="00B36540"/>
    <w:rsid w:val="00B36EF6"/>
    <w:rsid w:val="00B40105"/>
    <w:rsid w:val="00B403CE"/>
    <w:rsid w:val="00B40500"/>
    <w:rsid w:val="00B42BC7"/>
    <w:rsid w:val="00B43067"/>
    <w:rsid w:val="00B43175"/>
    <w:rsid w:val="00B435E7"/>
    <w:rsid w:val="00B4479A"/>
    <w:rsid w:val="00B449AE"/>
    <w:rsid w:val="00B453FA"/>
    <w:rsid w:val="00B4557F"/>
    <w:rsid w:val="00B46D7A"/>
    <w:rsid w:val="00B47022"/>
    <w:rsid w:val="00B4754B"/>
    <w:rsid w:val="00B50F34"/>
    <w:rsid w:val="00B51915"/>
    <w:rsid w:val="00B53236"/>
    <w:rsid w:val="00B5367C"/>
    <w:rsid w:val="00B54103"/>
    <w:rsid w:val="00B56A0D"/>
    <w:rsid w:val="00B633C8"/>
    <w:rsid w:val="00B6400B"/>
    <w:rsid w:val="00B64022"/>
    <w:rsid w:val="00B651CF"/>
    <w:rsid w:val="00B657F2"/>
    <w:rsid w:val="00B65EAE"/>
    <w:rsid w:val="00B65FA4"/>
    <w:rsid w:val="00B66202"/>
    <w:rsid w:val="00B6674B"/>
    <w:rsid w:val="00B66845"/>
    <w:rsid w:val="00B66B15"/>
    <w:rsid w:val="00B672B5"/>
    <w:rsid w:val="00B674C4"/>
    <w:rsid w:val="00B67F98"/>
    <w:rsid w:val="00B7085C"/>
    <w:rsid w:val="00B70D93"/>
    <w:rsid w:val="00B73EA6"/>
    <w:rsid w:val="00B74626"/>
    <w:rsid w:val="00B748B3"/>
    <w:rsid w:val="00B74BCB"/>
    <w:rsid w:val="00B75DE8"/>
    <w:rsid w:val="00B76460"/>
    <w:rsid w:val="00B76488"/>
    <w:rsid w:val="00B766D9"/>
    <w:rsid w:val="00B76A60"/>
    <w:rsid w:val="00B804DF"/>
    <w:rsid w:val="00B80957"/>
    <w:rsid w:val="00B818B6"/>
    <w:rsid w:val="00B82AE9"/>
    <w:rsid w:val="00B82FBF"/>
    <w:rsid w:val="00B8487C"/>
    <w:rsid w:val="00B84D25"/>
    <w:rsid w:val="00B84E09"/>
    <w:rsid w:val="00B8506D"/>
    <w:rsid w:val="00B856A9"/>
    <w:rsid w:val="00B8618D"/>
    <w:rsid w:val="00B873D2"/>
    <w:rsid w:val="00B874F6"/>
    <w:rsid w:val="00B9019F"/>
    <w:rsid w:val="00B90382"/>
    <w:rsid w:val="00B91318"/>
    <w:rsid w:val="00B91468"/>
    <w:rsid w:val="00B91690"/>
    <w:rsid w:val="00B923FD"/>
    <w:rsid w:val="00B92F74"/>
    <w:rsid w:val="00B93026"/>
    <w:rsid w:val="00B94E70"/>
    <w:rsid w:val="00B96903"/>
    <w:rsid w:val="00B96F74"/>
    <w:rsid w:val="00B97F2C"/>
    <w:rsid w:val="00BA0B66"/>
    <w:rsid w:val="00BA11D8"/>
    <w:rsid w:val="00BA22AC"/>
    <w:rsid w:val="00BA3BD1"/>
    <w:rsid w:val="00BA4125"/>
    <w:rsid w:val="00BA6D24"/>
    <w:rsid w:val="00BA7211"/>
    <w:rsid w:val="00BA7814"/>
    <w:rsid w:val="00BA7B77"/>
    <w:rsid w:val="00BB0ADC"/>
    <w:rsid w:val="00BB1581"/>
    <w:rsid w:val="00BB18E7"/>
    <w:rsid w:val="00BB1A5B"/>
    <w:rsid w:val="00BB1D10"/>
    <w:rsid w:val="00BB23CB"/>
    <w:rsid w:val="00BB2754"/>
    <w:rsid w:val="00BB30EC"/>
    <w:rsid w:val="00BB4B6E"/>
    <w:rsid w:val="00BB586C"/>
    <w:rsid w:val="00BB5E55"/>
    <w:rsid w:val="00BB701C"/>
    <w:rsid w:val="00BB76E5"/>
    <w:rsid w:val="00BC153F"/>
    <w:rsid w:val="00BC1A94"/>
    <w:rsid w:val="00BC1ADE"/>
    <w:rsid w:val="00BC1AF3"/>
    <w:rsid w:val="00BC2F1B"/>
    <w:rsid w:val="00BC3E95"/>
    <w:rsid w:val="00BC4315"/>
    <w:rsid w:val="00BC4D80"/>
    <w:rsid w:val="00BC4E23"/>
    <w:rsid w:val="00BC4F90"/>
    <w:rsid w:val="00BC5340"/>
    <w:rsid w:val="00BC5884"/>
    <w:rsid w:val="00BC5E76"/>
    <w:rsid w:val="00BC603A"/>
    <w:rsid w:val="00BC67E4"/>
    <w:rsid w:val="00BC6BF2"/>
    <w:rsid w:val="00BD0686"/>
    <w:rsid w:val="00BD082C"/>
    <w:rsid w:val="00BD0AB4"/>
    <w:rsid w:val="00BD2269"/>
    <w:rsid w:val="00BD3B7B"/>
    <w:rsid w:val="00BD3EE6"/>
    <w:rsid w:val="00BD3FBB"/>
    <w:rsid w:val="00BD4182"/>
    <w:rsid w:val="00BD4998"/>
    <w:rsid w:val="00BD500D"/>
    <w:rsid w:val="00BD52D5"/>
    <w:rsid w:val="00BD56A0"/>
    <w:rsid w:val="00BD572F"/>
    <w:rsid w:val="00BD5F57"/>
    <w:rsid w:val="00BD6B50"/>
    <w:rsid w:val="00BD6F04"/>
    <w:rsid w:val="00BE0C84"/>
    <w:rsid w:val="00BE0D17"/>
    <w:rsid w:val="00BE2FFD"/>
    <w:rsid w:val="00BE35FD"/>
    <w:rsid w:val="00BE4166"/>
    <w:rsid w:val="00BE58EC"/>
    <w:rsid w:val="00BE59B4"/>
    <w:rsid w:val="00BE64F1"/>
    <w:rsid w:val="00BE70AB"/>
    <w:rsid w:val="00BE7F2B"/>
    <w:rsid w:val="00BF031A"/>
    <w:rsid w:val="00BF0AEA"/>
    <w:rsid w:val="00BF0BB7"/>
    <w:rsid w:val="00BF170F"/>
    <w:rsid w:val="00BF1777"/>
    <w:rsid w:val="00BF19B1"/>
    <w:rsid w:val="00BF1DF2"/>
    <w:rsid w:val="00BF1ED0"/>
    <w:rsid w:val="00BF2CF9"/>
    <w:rsid w:val="00BF338C"/>
    <w:rsid w:val="00BF4230"/>
    <w:rsid w:val="00BF4E9A"/>
    <w:rsid w:val="00BF58E2"/>
    <w:rsid w:val="00BF616D"/>
    <w:rsid w:val="00BF6362"/>
    <w:rsid w:val="00BF6EA4"/>
    <w:rsid w:val="00BF7FB0"/>
    <w:rsid w:val="00C01E36"/>
    <w:rsid w:val="00C01F91"/>
    <w:rsid w:val="00C02272"/>
    <w:rsid w:val="00C03BC3"/>
    <w:rsid w:val="00C04AB0"/>
    <w:rsid w:val="00C05142"/>
    <w:rsid w:val="00C05D93"/>
    <w:rsid w:val="00C06165"/>
    <w:rsid w:val="00C06CFA"/>
    <w:rsid w:val="00C07501"/>
    <w:rsid w:val="00C07551"/>
    <w:rsid w:val="00C07D4E"/>
    <w:rsid w:val="00C11550"/>
    <w:rsid w:val="00C117DF"/>
    <w:rsid w:val="00C11E85"/>
    <w:rsid w:val="00C12137"/>
    <w:rsid w:val="00C124B5"/>
    <w:rsid w:val="00C12867"/>
    <w:rsid w:val="00C137D5"/>
    <w:rsid w:val="00C138FD"/>
    <w:rsid w:val="00C14FDB"/>
    <w:rsid w:val="00C150B9"/>
    <w:rsid w:val="00C15967"/>
    <w:rsid w:val="00C15E35"/>
    <w:rsid w:val="00C22A70"/>
    <w:rsid w:val="00C231A6"/>
    <w:rsid w:val="00C23384"/>
    <w:rsid w:val="00C24A4B"/>
    <w:rsid w:val="00C24F63"/>
    <w:rsid w:val="00C25173"/>
    <w:rsid w:val="00C25A4A"/>
    <w:rsid w:val="00C269B5"/>
    <w:rsid w:val="00C26BA5"/>
    <w:rsid w:val="00C27882"/>
    <w:rsid w:val="00C279F9"/>
    <w:rsid w:val="00C30014"/>
    <w:rsid w:val="00C31422"/>
    <w:rsid w:val="00C318B6"/>
    <w:rsid w:val="00C32C11"/>
    <w:rsid w:val="00C337A5"/>
    <w:rsid w:val="00C34477"/>
    <w:rsid w:val="00C34A28"/>
    <w:rsid w:val="00C3583A"/>
    <w:rsid w:val="00C36A49"/>
    <w:rsid w:val="00C40D4F"/>
    <w:rsid w:val="00C41353"/>
    <w:rsid w:val="00C41FA9"/>
    <w:rsid w:val="00C438A3"/>
    <w:rsid w:val="00C44DAB"/>
    <w:rsid w:val="00C452A3"/>
    <w:rsid w:val="00C47055"/>
    <w:rsid w:val="00C47577"/>
    <w:rsid w:val="00C520E3"/>
    <w:rsid w:val="00C530CB"/>
    <w:rsid w:val="00C537D6"/>
    <w:rsid w:val="00C53E32"/>
    <w:rsid w:val="00C54FE5"/>
    <w:rsid w:val="00C551DB"/>
    <w:rsid w:val="00C5574C"/>
    <w:rsid w:val="00C5664E"/>
    <w:rsid w:val="00C56F31"/>
    <w:rsid w:val="00C573E5"/>
    <w:rsid w:val="00C577B0"/>
    <w:rsid w:val="00C57B1E"/>
    <w:rsid w:val="00C617FB"/>
    <w:rsid w:val="00C61DA1"/>
    <w:rsid w:val="00C62216"/>
    <w:rsid w:val="00C626C0"/>
    <w:rsid w:val="00C6298A"/>
    <w:rsid w:val="00C62B34"/>
    <w:rsid w:val="00C638DD"/>
    <w:rsid w:val="00C63B6B"/>
    <w:rsid w:val="00C65009"/>
    <w:rsid w:val="00C6561E"/>
    <w:rsid w:val="00C65C36"/>
    <w:rsid w:val="00C66187"/>
    <w:rsid w:val="00C7054D"/>
    <w:rsid w:val="00C7071F"/>
    <w:rsid w:val="00C70CF9"/>
    <w:rsid w:val="00C70EE6"/>
    <w:rsid w:val="00C715F0"/>
    <w:rsid w:val="00C7174A"/>
    <w:rsid w:val="00C718C1"/>
    <w:rsid w:val="00C728B1"/>
    <w:rsid w:val="00C72C5A"/>
    <w:rsid w:val="00C73023"/>
    <w:rsid w:val="00C73D2A"/>
    <w:rsid w:val="00C742FC"/>
    <w:rsid w:val="00C758CD"/>
    <w:rsid w:val="00C767D7"/>
    <w:rsid w:val="00C76884"/>
    <w:rsid w:val="00C77369"/>
    <w:rsid w:val="00C777E9"/>
    <w:rsid w:val="00C77D99"/>
    <w:rsid w:val="00C8103A"/>
    <w:rsid w:val="00C81133"/>
    <w:rsid w:val="00C81683"/>
    <w:rsid w:val="00C81823"/>
    <w:rsid w:val="00C840E1"/>
    <w:rsid w:val="00C84D21"/>
    <w:rsid w:val="00C85E99"/>
    <w:rsid w:val="00C87032"/>
    <w:rsid w:val="00C87EF8"/>
    <w:rsid w:val="00C87F3F"/>
    <w:rsid w:val="00C90275"/>
    <w:rsid w:val="00C9065C"/>
    <w:rsid w:val="00C92269"/>
    <w:rsid w:val="00C928C7"/>
    <w:rsid w:val="00C930D1"/>
    <w:rsid w:val="00C9595A"/>
    <w:rsid w:val="00C96013"/>
    <w:rsid w:val="00C967BD"/>
    <w:rsid w:val="00C96A5B"/>
    <w:rsid w:val="00C97CC8"/>
    <w:rsid w:val="00CA08BE"/>
    <w:rsid w:val="00CA0E91"/>
    <w:rsid w:val="00CA0F2B"/>
    <w:rsid w:val="00CA1593"/>
    <w:rsid w:val="00CA2724"/>
    <w:rsid w:val="00CA2926"/>
    <w:rsid w:val="00CA29F1"/>
    <w:rsid w:val="00CA2CE9"/>
    <w:rsid w:val="00CA31D8"/>
    <w:rsid w:val="00CA35A7"/>
    <w:rsid w:val="00CA3D81"/>
    <w:rsid w:val="00CA4EE7"/>
    <w:rsid w:val="00CB0098"/>
    <w:rsid w:val="00CB1066"/>
    <w:rsid w:val="00CB1D4C"/>
    <w:rsid w:val="00CB2218"/>
    <w:rsid w:val="00CB397A"/>
    <w:rsid w:val="00CB3B97"/>
    <w:rsid w:val="00CB4808"/>
    <w:rsid w:val="00CB4D94"/>
    <w:rsid w:val="00CB4F3B"/>
    <w:rsid w:val="00CB5266"/>
    <w:rsid w:val="00CB789C"/>
    <w:rsid w:val="00CC0D5E"/>
    <w:rsid w:val="00CC0F25"/>
    <w:rsid w:val="00CC1D3A"/>
    <w:rsid w:val="00CC1F96"/>
    <w:rsid w:val="00CC26CF"/>
    <w:rsid w:val="00CC2A92"/>
    <w:rsid w:val="00CC3096"/>
    <w:rsid w:val="00CC4407"/>
    <w:rsid w:val="00CC54B6"/>
    <w:rsid w:val="00CC6003"/>
    <w:rsid w:val="00CC73F6"/>
    <w:rsid w:val="00CC7E74"/>
    <w:rsid w:val="00CD026E"/>
    <w:rsid w:val="00CD02C6"/>
    <w:rsid w:val="00CD0C28"/>
    <w:rsid w:val="00CD1D13"/>
    <w:rsid w:val="00CD2D70"/>
    <w:rsid w:val="00CD313A"/>
    <w:rsid w:val="00CD3B87"/>
    <w:rsid w:val="00CD4273"/>
    <w:rsid w:val="00CD4C7D"/>
    <w:rsid w:val="00CD578E"/>
    <w:rsid w:val="00CD598A"/>
    <w:rsid w:val="00CD6002"/>
    <w:rsid w:val="00CD66CB"/>
    <w:rsid w:val="00CD67F5"/>
    <w:rsid w:val="00CD743C"/>
    <w:rsid w:val="00CD7881"/>
    <w:rsid w:val="00CD7FCE"/>
    <w:rsid w:val="00CE0176"/>
    <w:rsid w:val="00CE13DE"/>
    <w:rsid w:val="00CE148A"/>
    <w:rsid w:val="00CE352E"/>
    <w:rsid w:val="00CE4105"/>
    <w:rsid w:val="00CE5DB0"/>
    <w:rsid w:val="00CE6747"/>
    <w:rsid w:val="00CE6A02"/>
    <w:rsid w:val="00CE78EB"/>
    <w:rsid w:val="00CE7AAD"/>
    <w:rsid w:val="00CF0994"/>
    <w:rsid w:val="00CF12FE"/>
    <w:rsid w:val="00CF17EA"/>
    <w:rsid w:val="00CF44A9"/>
    <w:rsid w:val="00CF4C0F"/>
    <w:rsid w:val="00CF4E50"/>
    <w:rsid w:val="00CF5865"/>
    <w:rsid w:val="00CF5A86"/>
    <w:rsid w:val="00CF5E8D"/>
    <w:rsid w:val="00D00AA3"/>
    <w:rsid w:val="00D0186C"/>
    <w:rsid w:val="00D01965"/>
    <w:rsid w:val="00D019FC"/>
    <w:rsid w:val="00D03124"/>
    <w:rsid w:val="00D03D80"/>
    <w:rsid w:val="00D04345"/>
    <w:rsid w:val="00D04432"/>
    <w:rsid w:val="00D04BFE"/>
    <w:rsid w:val="00D0570C"/>
    <w:rsid w:val="00D06BEE"/>
    <w:rsid w:val="00D07752"/>
    <w:rsid w:val="00D1017E"/>
    <w:rsid w:val="00D10BD6"/>
    <w:rsid w:val="00D10E18"/>
    <w:rsid w:val="00D12797"/>
    <w:rsid w:val="00D1303A"/>
    <w:rsid w:val="00D131CE"/>
    <w:rsid w:val="00D1352C"/>
    <w:rsid w:val="00D1437D"/>
    <w:rsid w:val="00D15653"/>
    <w:rsid w:val="00D15AF6"/>
    <w:rsid w:val="00D161D9"/>
    <w:rsid w:val="00D16304"/>
    <w:rsid w:val="00D16751"/>
    <w:rsid w:val="00D16DA6"/>
    <w:rsid w:val="00D173F4"/>
    <w:rsid w:val="00D1762B"/>
    <w:rsid w:val="00D17E75"/>
    <w:rsid w:val="00D22BF1"/>
    <w:rsid w:val="00D231B9"/>
    <w:rsid w:val="00D23812"/>
    <w:rsid w:val="00D238AD"/>
    <w:rsid w:val="00D23AA1"/>
    <w:rsid w:val="00D23EF0"/>
    <w:rsid w:val="00D2467A"/>
    <w:rsid w:val="00D247AB"/>
    <w:rsid w:val="00D25FE8"/>
    <w:rsid w:val="00D26388"/>
    <w:rsid w:val="00D2673E"/>
    <w:rsid w:val="00D269B3"/>
    <w:rsid w:val="00D2719F"/>
    <w:rsid w:val="00D27B60"/>
    <w:rsid w:val="00D27DAA"/>
    <w:rsid w:val="00D302DA"/>
    <w:rsid w:val="00D30508"/>
    <w:rsid w:val="00D3096B"/>
    <w:rsid w:val="00D323B4"/>
    <w:rsid w:val="00D335DA"/>
    <w:rsid w:val="00D33F85"/>
    <w:rsid w:val="00D3471E"/>
    <w:rsid w:val="00D34E80"/>
    <w:rsid w:val="00D34F07"/>
    <w:rsid w:val="00D3569B"/>
    <w:rsid w:val="00D3574F"/>
    <w:rsid w:val="00D35817"/>
    <w:rsid w:val="00D35B5A"/>
    <w:rsid w:val="00D3751B"/>
    <w:rsid w:val="00D37A9F"/>
    <w:rsid w:val="00D403C5"/>
    <w:rsid w:val="00D40475"/>
    <w:rsid w:val="00D4050B"/>
    <w:rsid w:val="00D4066B"/>
    <w:rsid w:val="00D407C3"/>
    <w:rsid w:val="00D40BE0"/>
    <w:rsid w:val="00D41D6B"/>
    <w:rsid w:val="00D42A61"/>
    <w:rsid w:val="00D44492"/>
    <w:rsid w:val="00D44CF1"/>
    <w:rsid w:val="00D465B7"/>
    <w:rsid w:val="00D4711E"/>
    <w:rsid w:val="00D4783C"/>
    <w:rsid w:val="00D47F2E"/>
    <w:rsid w:val="00D47F87"/>
    <w:rsid w:val="00D506DF"/>
    <w:rsid w:val="00D50CB8"/>
    <w:rsid w:val="00D50D9E"/>
    <w:rsid w:val="00D51AC4"/>
    <w:rsid w:val="00D51D3C"/>
    <w:rsid w:val="00D52628"/>
    <w:rsid w:val="00D5366E"/>
    <w:rsid w:val="00D540B8"/>
    <w:rsid w:val="00D5435D"/>
    <w:rsid w:val="00D558FB"/>
    <w:rsid w:val="00D55C01"/>
    <w:rsid w:val="00D5629A"/>
    <w:rsid w:val="00D56BF5"/>
    <w:rsid w:val="00D56FF8"/>
    <w:rsid w:val="00D570D0"/>
    <w:rsid w:val="00D576CE"/>
    <w:rsid w:val="00D57713"/>
    <w:rsid w:val="00D57827"/>
    <w:rsid w:val="00D605A6"/>
    <w:rsid w:val="00D612B8"/>
    <w:rsid w:val="00D62683"/>
    <w:rsid w:val="00D62A69"/>
    <w:rsid w:val="00D631A2"/>
    <w:rsid w:val="00D63B08"/>
    <w:rsid w:val="00D6443D"/>
    <w:rsid w:val="00D64DC8"/>
    <w:rsid w:val="00D6535F"/>
    <w:rsid w:val="00D66461"/>
    <w:rsid w:val="00D67667"/>
    <w:rsid w:val="00D677D8"/>
    <w:rsid w:val="00D67961"/>
    <w:rsid w:val="00D7053B"/>
    <w:rsid w:val="00D711B0"/>
    <w:rsid w:val="00D71216"/>
    <w:rsid w:val="00D71645"/>
    <w:rsid w:val="00D727A5"/>
    <w:rsid w:val="00D73445"/>
    <w:rsid w:val="00D73B80"/>
    <w:rsid w:val="00D73BBD"/>
    <w:rsid w:val="00D73EBC"/>
    <w:rsid w:val="00D7438D"/>
    <w:rsid w:val="00D743F5"/>
    <w:rsid w:val="00D74919"/>
    <w:rsid w:val="00D751F5"/>
    <w:rsid w:val="00D7538F"/>
    <w:rsid w:val="00D76DC9"/>
    <w:rsid w:val="00D777C9"/>
    <w:rsid w:val="00D77E5F"/>
    <w:rsid w:val="00D80212"/>
    <w:rsid w:val="00D8074E"/>
    <w:rsid w:val="00D80938"/>
    <w:rsid w:val="00D815F5"/>
    <w:rsid w:val="00D81F95"/>
    <w:rsid w:val="00D8223E"/>
    <w:rsid w:val="00D86AE0"/>
    <w:rsid w:val="00D86BE0"/>
    <w:rsid w:val="00D86F87"/>
    <w:rsid w:val="00D87C46"/>
    <w:rsid w:val="00D87C58"/>
    <w:rsid w:val="00D90886"/>
    <w:rsid w:val="00D91192"/>
    <w:rsid w:val="00D91393"/>
    <w:rsid w:val="00D91A75"/>
    <w:rsid w:val="00D92044"/>
    <w:rsid w:val="00D929F3"/>
    <w:rsid w:val="00D93250"/>
    <w:rsid w:val="00D93B4F"/>
    <w:rsid w:val="00D93DA2"/>
    <w:rsid w:val="00D94C68"/>
    <w:rsid w:val="00D9658D"/>
    <w:rsid w:val="00D975D1"/>
    <w:rsid w:val="00D97D00"/>
    <w:rsid w:val="00DA0C75"/>
    <w:rsid w:val="00DA124F"/>
    <w:rsid w:val="00DA1FCD"/>
    <w:rsid w:val="00DA2DC7"/>
    <w:rsid w:val="00DA5356"/>
    <w:rsid w:val="00DA5AD6"/>
    <w:rsid w:val="00DA64D4"/>
    <w:rsid w:val="00DA65A3"/>
    <w:rsid w:val="00DA6B65"/>
    <w:rsid w:val="00DA73E4"/>
    <w:rsid w:val="00DB060C"/>
    <w:rsid w:val="00DB0DCE"/>
    <w:rsid w:val="00DB0EB0"/>
    <w:rsid w:val="00DB1F4F"/>
    <w:rsid w:val="00DB2535"/>
    <w:rsid w:val="00DB2A6E"/>
    <w:rsid w:val="00DB2EA4"/>
    <w:rsid w:val="00DB324E"/>
    <w:rsid w:val="00DB35EE"/>
    <w:rsid w:val="00DB3F00"/>
    <w:rsid w:val="00DB4080"/>
    <w:rsid w:val="00DB4AEC"/>
    <w:rsid w:val="00DB52D4"/>
    <w:rsid w:val="00DB5A38"/>
    <w:rsid w:val="00DB5DCC"/>
    <w:rsid w:val="00DB5EB2"/>
    <w:rsid w:val="00DB75B4"/>
    <w:rsid w:val="00DB7697"/>
    <w:rsid w:val="00DB7FD8"/>
    <w:rsid w:val="00DC0428"/>
    <w:rsid w:val="00DC06CC"/>
    <w:rsid w:val="00DC2943"/>
    <w:rsid w:val="00DC2982"/>
    <w:rsid w:val="00DC307F"/>
    <w:rsid w:val="00DC3128"/>
    <w:rsid w:val="00DC3244"/>
    <w:rsid w:val="00DC38E2"/>
    <w:rsid w:val="00DC3F8A"/>
    <w:rsid w:val="00DC40CD"/>
    <w:rsid w:val="00DC468E"/>
    <w:rsid w:val="00DC5313"/>
    <w:rsid w:val="00DC62C1"/>
    <w:rsid w:val="00DC632C"/>
    <w:rsid w:val="00DC697C"/>
    <w:rsid w:val="00DC6DC4"/>
    <w:rsid w:val="00DC6F45"/>
    <w:rsid w:val="00DC6FD7"/>
    <w:rsid w:val="00DC73D8"/>
    <w:rsid w:val="00DD0D2D"/>
    <w:rsid w:val="00DD31E1"/>
    <w:rsid w:val="00DD357E"/>
    <w:rsid w:val="00DD36A9"/>
    <w:rsid w:val="00DD6873"/>
    <w:rsid w:val="00DD7961"/>
    <w:rsid w:val="00DE2031"/>
    <w:rsid w:val="00DE2E06"/>
    <w:rsid w:val="00DE3BB5"/>
    <w:rsid w:val="00DE3ECF"/>
    <w:rsid w:val="00DE4CEA"/>
    <w:rsid w:val="00DE575F"/>
    <w:rsid w:val="00DE5D91"/>
    <w:rsid w:val="00DE6053"/>
    <w:rsid w:val="00DE7095"/>
    <w:rsid w:val="00DE7109"/>
    <w:rsid w:val="00DF04B2"/>
    <w:rsid w:val="00DF0E4F"/>
    <w:rsid w:val="00DF1477"/>
    <w:rsid w:val="00DF1B34"/>
    <w:rsid w:val="00DF1C7D"/>
    <w:rsid w:val="00DF1D31"/>
    <w:rsid w:val="00DF27AC"/>
    <w:rsid w:val="00DF3307"/>
    <w:rsid w:val="00DF5173"/>
    <w:rsid w:val="00DF6B01"/>
    <w:rsid w:val="00DF7A1B"/>
    <w:rsid w:val="00DF7E5D"/>
    <w:rsid w:val="00E010BB"/>
    <w:rsid w:val="00E0273D"/>
    <w:rsid w:val="00E02BC4"/>
    <w:rsid w:val="00E03C81"/>
    <w:rsid w:val="00E03FB4"/>
    <w:rsid w:val="00E049A2"/>
    <w:rsid w:val="00E04B47"/>
    <w:rsid w:val="00E05663"/>
    <w:rsid w:val="00E05BF4"/>
    <w:rsid w:val="00E061FB"/>
    <w:rsid w:val="00E06C12"/>
    <w:rsid w:val="00E10315"/>
    <w:rsid w:val="00E10F67"/>
    <w:rsid w:val="00E11317"/>
    <w:rsid w:val="00E116BE"/>
    <w:rsid w:val="00E11867"/>
    <w:rsid w:val="00E118FD"/>
    <w:rsid w:val="00E134C8"/>
    <w:rsid w:val="00E13AFB"/>
    <w:rsid w:val="00E148DB"/>
    <w:rsid w:val="00E1533D"/>
    <w:rsid w:val="00E154B6"/>
    <w:rsid w:val="00E17C8D"/>
    <w:rsid w:val="00E20100"/>
    <w:rsid w:val="00E20E05"/>
    <w:rsid w:val="00E224C5"/>
    <w:rsid w:val="00E2430A"/>
    <w:rsid w:val="00E2431D"/>
    <w:rsid w:val="00E24CED"/>
    <w:rsid w:val="00E25022"/>
    <w:rsid w:val="00E26977"/>
    <w:rsid w:val="00E27C59"/>
    <w:rsid w:val="00E316C1"/>
    <w:rsid w:val="00E3200B"/>
    <w:rsid w:val="00E322D9"/>
    <w:rsid w:val="00E324A8"/>
    <w:rsid w:val="00E32A20"/>
    <w:rsid w:val="00E3342E"/>
    <w:rsid w:val="00E335AD"/>
    <w:rsid w:val="00E34189"/>
    <w:rsid w:val="00E3461B"/>
    <w:rsid w:val="00E34B06"/>
    <w:rsid w:val="00E35633"/>
    <w:rsid w:val="00E35769"/>
    <w:rsid w:val="00E35FD7"/>
    <w:rsid w:val="00E36D04"/>
    <w:rsid w:val="00E375FE"/>
    <w:rsid w:val="00E376DC"/>
    <w:rsid w:val="00E37966"/>
    <w:rsid w:val="00E4045C"/>
    <w:rsid w:val="00E4108F"/>
    <w:rsid w:val="00E4130E"/>
    <w:rsid w:val="00E41458"/>
    <w:rsid w:val="00E418E6"/>
    <w:rsid w:val="00E42221"/>
    <w:rsid w:val="00E42357"/>
    <w:rsid w:val="00E42A73"/>
    <w:rsid w:val="00E43578"/>
    <w:rsid w:val="00E43783"/>
    <w:rsid w:val="00E43BF5"/>
    <w:rsid w:val="00E44144"/>
    <w:rsid w:val="00E44217"/>
    <w:rsid w:val="00E44ABC"/>
    <w:rsid w:val="00E44B54"/>
    <w:rsid w:val="00E44CD0"/>
    <w:rsid w:val="00E46F70"/>
    <w:rsid w:val="00E52421"/>
    <w:rsid w:val="00E52711"/>
    <w:rsid w:val="00E532F4"/>
    <w:rsid w:val="00E53777"/>
    <w:rsid w:val="00E53990"/>
    <w:rsid w:val="00E53E45"/>
    <w:rsid w:val="00E541F6"/>
    <w:rsid w:val="00E54D75"/>
    <w:rsid w:val="00E55077"/>
    <w:rsid w:val="00E55441"/>
    <w:rsid w:val="00E5559C"/>
    <w:rsid w:val="00E56635"/>
    <w:rsid w:val="00E57B14"/>
    <w:rsid w:val="00E60D1C"/>
    <w:rsid w:val="00E6136F"/>
    <w:rsid w:val="00E62566"/>
    <w:rsid w:val="00E62878"/>
    <w:rsid w:val="00E63701"/>
    <w:rsid w:val="00E63BCA"/>
    <w:rsid w:val="00E646CF"/>
    <w:rsid w:val="00E64DCC"/>
    <w:rsid w:val="00E65D3A"/>
    <w:rsid w:val="00E65DF8"/>
    <w:rsid w:val="00E668B9"/>
    <w:rsid w:val="00E66FCB"/>
    <w:rsid w:val="00E672D6"/>
    <w:rsid w:val="00E70496"/>
    <w:rsid w:val="00E7086F"/>
    <w:rsid w:val="00E70D98"/>
    <w:rsid w:val="00E7180E"/>
    <w:rsid w:val="00E722F8"/>
    <w:rsid w:val="00E73281"/>
    <w:rsid w:val="00E73CC0"/>
    <w:rsid w:val="00E73CD3"/>
    <w:rsid w:val="00E73D2E"/>
    <w:rsid w:val="00E749C8"/>
    <w:rsid w:val="00E75BF9"/>
    <w:rsid w:val="00E76BE3"/>
    <w:rsid w:val="00E80163"/>
    <w:rsid w:val="00E805BE"/>
    <w:rsid w:val="00E810B4"/>
    <w:rsid w:val="00E81744"/>
    <w:rsid w:val="00E81B0C"/>
    <w:rsid w:val="00E8297A"/>
    <w:rsid w:val="00E839BF"/>
    <w:rsid w:val="00E84EEC"/>
    <w:rsid w:val="00E85D0C"/>
    <w:rsid w:val="00E85E22"/>
    <w:rsid w:val="00E8632D"/>
    <w:rsid w:val="00E8633A"/>
    <w:rsid w:val="00E866A1"/>
    <w:rsid w:val="00E873BE"/>
    <w:rsid w:val="00E874A6"/>
    <w:rsid w:val="00E90C29"/>
    <w:rsid w:val="00E92097"/>
    <w:rsid w:val="00E92ED7"/>
    <w:rsid w:val="00E93B70"/>
    <w:rsid w:val="00E942C2"/>
    <w:rsid w:val="00E94C32"/>
    <w:rsid w:val="00E94DE1"/>
    <w:rsid w:val="00E94FA6"/>
    <w:rsid w:val="00E95812"/>
    <w:rsid w:val="00E95B1C"/>
    <w:rsid w:val="00E97950"/>
    <w:rsid w:val="00E97B07"/>
    <w:rsid w:val="00EA0926"/>
    <w:rsid w:val="00EA0E86"/>
    <w:rsid w:val="00EA1252"/>
    <w:rsid w:val="00EA146B"/>
    <w:rsid w:val="00EA1CE3"/>
    <w:rsid w:val="00EA1DB0"/>
    <w:rsid w:val="00EA1FC1"/>
    <w:rsid w:val="00EA2023"/>
    <w:rsid w:val="00EA22CF"/>
    <w:rsid w:val="00EA2322"/>
    <w:rsid w:val="00EA250A"/>
    <w:rsid w:val="00EA2935"/>
    <w:rsid w:val="00EA2B58"/>
    <w:rsid w:val="00EA3277"/>
    <w:rsid w:val="00EA3491"/>
    <w:rsid w:val="00EA3A3F"/>
    <w:rsid w:val="00EA3DFE"/>
    <w:rsid w:val="00EA43FE"/>
    <w:rsid w:val="00EA528B"/>
    <w:rsid w:val="00EA65C7"/>
    <w:rsid w:val="00EA6FCA"/>
    <w:rsid w:val="00EA7383"/>
    <w:rsid w:val="00EB0661"/>
    <w:rsid w:val="00EB0771"/>
    <w:rsid w:val="00EB143D"/>
    <w:rsid w:val="00EB1459"/>
    <w:rsid w:val="00EB1ED8"/>
    <w:rsid w:val="00EB1FAF"/>
    <w:rsid w:val="00EB314A"/>
    <w:rsid w:val="00EB32FE"/>
    <w:rsid w:val="00EB3EBB"/>
    <w:rsid w:val="00EB4251"/>
    <w:rsid w:val="00EB4D21"/>
    <w:rsid w:val="00EB6DCF"/>
    <w:rsid w:val="00EB70FE"/>
    <w:rsid w:val="00EB7A33"/>
    <w:rsid w:val="00EB7A58"/>
    <w:rsid w:val="00EB7AAD"/>
    <w:rsid w:val="00EC05CF"/>
    <w:rsid w:val="00EC128B"/>
    <w:rsid w:val="00EC17A9"/>
    <w:rsid w:val="00EC247C"/>
    <w:rsid w:val="00EC2A2C"/>
    <w:rsid w:val="00EC2E6D"/>
    <w:rsid w:val="00EC3FFD"/>
    <w:rsid w:val="00EC4BE5"/>
    <w:rsid w:val="00EC55E8"/>
    <w:rsid w:val="00EC5D91"/>
    <w:rsid w:val="00EC6DE1"/>
    <w:rsid w:val="00EC7A52"/>
    <w:rsid w:val="00EC7A99"/>
    <w:rsid w:val="00EC7E1E"/>
    <w:rsid w:val="00ED09B4"/>
    <w:rsid w:val="00ED0CF1"/>
    <w:rsid w:val="00ED2982"/>
    <w:rsid w:val="00ED3DA3"/>
    <w:rsid w:val="00ED3FC4"/>
    <w:rsid w:val="00ED470E"/>
    <w:rsid w:val="00ED476E"/>
    <w:rsid w:val="00ED4D72"/>
    <w:rsid w:val="00ED57B0"/>
    <w:rsid w:val="00ED6018"/>
    <w:rsid w:val="00ED772E"/>
    <w:rsid w:val="00EE0738"/>
    <w:rsid w:val="00EE07A3"/>
    <w:rsid w:val="00EE0826"/>
    <w:rsid w:val="00EE16B3"/>
    <w:rsid w:val="00EE180D"/>
    <w:rsid w:val="00EE18A8"/>
    <w:rsid w:val="00EE1D82"/>
    <w:rsid w:val="00EE24FE"/>
    <w:rsid w:val="00EE26E6"/>
    <w:rsid w:val="00EE2BAE"/>
    <w:rsid w:val="00EE2BC5"/>
    <w:rsid w:val="00EE2D3F"/>
    <w:rsid w:val="00EE34A2"/>
    <w:rsid w:val="00EE401B"/>
    <w:rsid w:val="00EE4739"/>
    <w:rsid w:val="00EE5514"/>
    <w:rsid w:val="00EE566D"/>
    <w:rsid w:val="00EE5C03"/>
    <w:rsid w:val="00EE5DBA"/>
    <w:rsid w:val="00EE6289"/>
    <w:rsid w:val="00EE6794"/>
    <w:rsid w:val="00EE754F"/>
    <w:rsid w:val="00EE77FB"/>
    <w:rsid w:val="00EE7BB2"/>
    <w:rsid w:val="00EE7FE8"/>
    <w:rsid w:val="00EF079B"/>
    <w:rsid w:val="00EF1CD3"/>
    <w:rsid w:val="00EF1E6B"/>
    <w:rsid w:val="00EF2E5A"/>
    <w:rsid w:val="00EF30AC"/>
    <w:rsid w:val="00EF3401"/>
    <w:rsid w:val="00EF48BD"/>
    <w:rsid w:val="00EF4AE2"/>
    <w:rsid w:val="00EF5160"/>
    <w:rsid w:val="00EF527A"/>
    <w:rsid w:val="00EF62F1"/>
    <w:rsid w:val="00EF6B3F"/>
    <w:rsid w:val="00EF7082"/>
    <w:rsid w:val="00EF709B"/>
    <w:rsid w:val="00EF72E0"/>
    <w:rsid w:val="00EF7E41"/>
    <w:rsid w:val="00F00161"/>
    <w:rsid w:val="00F01219"/>
    <w:rsid w:val="00F01A4B"/>
    <w:rsid w:val="00F01CE4"/>
    <w:rsid w:val="00F02536"/>
    <w:rsid w:val="00F02DB9"/>
    <w:rsid w:val="00F0432F"/>
    <w:rsid w:val="00F06312"/>
    <w:rsid w:val="00F068E0"/>
    <w:rsid w:val="00F07579"/>
    <w:rsid w:val="00F100EC"/>
    <w:rsid w:val="00F10A8B"/>
    <w:rsid w:val="00F1107E"/>
    <w:rsid w:val="00F11A7A"/>
    <w:rsid w:val="00F11E6C"/>
    <w:rsid w:val="00F11EE4"/>
    <w:rsid w:val="00F12CF2"/>
    <w:rsid w:val="00F13006"/>
    <w:rsid w:val="00F1592A"/>
    <w:rsid w:val="00F15999"/>
    <w:rsid w:val="00F17D25"/>
    <w:rsid w:val="00F20A64"/>
    <w:rsid w:val="00F218B8"/>
    <w:rsid w:val="00F21C50"/>
    <w:rsid w:val="00F21EB1"/>
    <w:rsid w:val="00F22EAC"/>
    <w:rsid w:val="00F23764"/>
    <w:rsid w:val="00F23F56"/>
    <w:rsid w:val="00F24168"/>
    <w:rsid w:val="00F26387"/>
    <w:rsid w:val="00F27092"/>
    <w:rsid w:val="00F2745A"/>
    <w:rsid w:val="00F27698"/>
    <w:rsid w:val="00F27B66"/>
    <w:rsid w:val="00F30BB0"/>
    <w:rsid w:val="00F3186B"/>
    <w:rsid w:val="00F321CB"/>
    <w:rsid w:val="00F326A0"/>
    <w:rsid w:val="00F330C7"/>
    <w:rsid w:val="00F3373C"/>
    <w:rsid w:val="00F33A49"/>
    <w:rsid w:val="00F33B97"/>
    <w:rsid w:val="00F35249"/>
    <w:rsid w:val="00F353FE"/>
    <w:rsid w:val="00F36680"/>
    <w:rsid w:val="00F37DD1"/>
    <w:rsid w:val="00F37E4A"/>
    <w:rsid w:val="00F41606"/>
    <w:rsid w:val="00F431CF"/>
    <w:rsid w:val="00F44CFC"/>
    <w:rsid w:val="00F4500A"/>
    <w:rsid w:val="00F45AEF"/>
    <w:rsid w:val="00F464AC"/>
    <w:rsid w:val="00F46D2D"/>
    <w:rsid w:val="00F46D62"/>
    <w:rsid w:val="00F4732A"/>
    <w:rsid w:val="00F47E6D"/>
    <w:rsid w:val="00F516A6"/>
    <w:rsid w:val="00F51770"/>
    <w:rsid w:val="00F52400"/>
    <w:rsid w:val="00F52E1D"/>
    <w:rsid w:val="00F52FA4"/>
    <w:rsid w:val="00F535D8"/>
    <w:rsid w:val="00F53ED1"/>
    <w:rsid w:val="00F546D9"/>
    <w:rsid w:val="00F54B67"/>
    <w:rsid w:val="00F54DC7"/>
    <w:rsid w:val="00F557FE"/>
    <w:rsid w:val="00F560EF"/>
    <w:rsid w:val="00F56507"/>
    <w:rsid w:val="00F57176"/>
    <w:rsid w:val="00F579C4"/>
    <w:rsid w:val="00F60169"/>
    <w:rsid w:val="00F61221"/>
    <w:rsid w:val="00F619F4"/>
    <w:rsid w:val="00F61DA9"/>
    <w:rsid w:val="00F62207"/>
    <w:rsid w:val="00F623D0"/>
    <w:rsid w:val="00F62C38"/>
    <w:rsid w:val="00F62D46"/>
    <w:rsid w:val="00F631DA"/>
    <w:rsid w:val="00F64B95"/>
    <w:rsid w:val="00F64D38"/>
    <w:rsid w:val="00F6576C"/>
    <w:rsid w:val="00F6716A"/>
    <w:rsid w:val="00F67943"/>
    <w:rsid w:val="00F70E6C"/>
    <w:rsid w:val="00F70E79"/>
    <w:rsid w:val="00F71009"/>
    <w:rsid w:val="00F71152"/>
    <w:rsid w:val="00F72D60"/>
    <w:rsid w:val="00F73F4F"/>
    <w:rsid w:val="00F74685"/>
    <w:rsid w:val="00F74AB3"/>
    <w:rsid w:val="00F74CCD"/>
    <w:rsid w:val="00F7518C"/>
    <w:rsid w:val="00F752B0"/>
    <w:rsid w:val="00F75694"/>
    <w:rsid w:val="00F75FA6"/>
    <w:rsid w:val="00F76A5C"/>
    <w:rsid w:val="00F76D7F"/>
    <w:rsid w:val="00F77D6D"/>
    <w:rsid w:val="00F817CB"/>
    <w:rsid w:val="00F8387C"/>
    <w:rsid w:val="00F83E3D"/>
    <w:rsid w:val="00F847AA"/>
    <w:rsid w:val="00F84F9F"/>
    <w:rsid w:val="00F8707D"/>
    <w:rsid w:val="00F87A86"/>
    <w:rsid w:val="00F91611"/>
    <w:rsid w:val="00F920DA"/>
    <w:rsid w:val="00F9420A"/>
    <w:rsid w:val="00F943CB"/>
    <w:rsid w:val="00F95AC3"/>
    <w:rsid w:val="00F96208"/>
    <w:rsid w:val="00F9622D"/>
    <w:rsid w:val="00F9665A"/>
    <w:rsid w:val="00F97356"/>
    <w:rsid w:val="00F97B19"/>
    <w:rsid w:val="00F97CB0"/>
    <w:rsid w:val="00FA0E24"/>
    <w:rsid w:val="00FA101C"/>
    <w:rsid w:val="00FA14C8"/>
    <w:rsid w:val="00FA1FBC"/>
    <w:rsid w:val="00FA2CD7"/>
    <w:rsid w:val="00FA2D2C"/>
    <w:rsid w:val="00FA4011"/>
    <w:rsid w:val="00FA48FE"/>
    <w:rsid w:val="00FA4B22"/>
    <w:rsid w:val="00FA4D1C"/>
    <w:rsid w:val="00FA5C0E"/>
    <w:rsid w:val="00FA78A8"/>
    <w:rsid w:val="00FA7B1D"/>
    <w:rsid w:val="00FA7CA5"/>
    <w:rsid w:val="00FA7DAC"/>
    <w:rsid w:val="00FB17B2"/>
    <w:rsid w:val="00FB3857"/>
    <w:rsid w:val="00FB476A"/>
    <w:rsid w:val="00FB4C60"/>
    <w:rsid w:val="00FB5CDD"/>
    <w:rsid w:val="00FB614C"/>
    <w:rsid w:val="00FB7E81"/>
    <w:rsid w:val="00FC22CD"/>
    <w:rsid w:val="00FC243B"/>
    <w:rsid w:val="00FC2464"/>
    <w:rsid w:val="00FC2FA7"/>
    <w:rsid w:val="00FC3650"/>
    <w:rsid w:val="00FC49BC"/>
    <w:rsid w:val="00FC4F4F"/>
    <w:rsid w:val="00FC57D8"/>
    <w:rsid w:val="00FC6C91"/>
    <w:rsid w:val="00FC6F4A"/>
    <w:rsid w:val="00FC7134"/>
    <w:rsid w:val="00FD0606"/>
    <w:rsid w:val="00FD1241"/>
    <w:rsid w:val="00FD1814"/>
    <w:rsid w:val="00FD19E5"/>
    <w:rsid w:val="00FD2181"/>
    <w:rsid w:val="00FD22E4"/>
    <w:rsid w:val="00FD41E2"/>
    <w:rsid w:val="00FD4501"/>
    <w:rsid w:val="00FD4A2F"/>
    <w:rsid w:val="00FD50CF"/>
    <w:rsid w:val="00FD5869"/>
    <w:rsid w:val="00FD7E1B"/>
    <w:rsid w:val="00FE07DA"/>
    <w:rsid w:val="00FE0890"/>
    <w:rsid w:val="00FE0A40"/>
    <w:rsid w:val="00FE171E"/>
    <w:rsid w:val="00FE22EA"/>
    <w:rsid w:val="00FE2C87"/>
    <w:rsid w:val="00FE2D4A"/>
    <w:rsid w:val="00FE3F0E"/>
    <w:rsid w:val="00FE4980"/>
    <w:rsid w:val="00FE50CF"/>
    <w:rsid w:val="00FE6DD6"/>
    <w:rsid w:val="00FE7832"/>
    <w:rsid w:val="00FE7F9D"/>
    <w:rsid w:val="00FF0086"/>
    <w:rsid w:val="00FF0259"/>
    <w:rsid w:val="00FF02BA"/>
    <w:rsid w:val="00FF22B2"/>
    <w:rsid w:val="00FF39AF"/>
    <w:rsid w:val="00FF447B"/>
    <w:rsid w:val="00FF4739"/>
    <w:rsid w:val="00FF4E0E"/>
    <w:rsid w:val="00FF4E36"/>
    <w:rsid w:val="00FF53D8"/>
    <w:rsid w:val="00FF5D13"/>
    <w:rsid w:val="00FF64A0"/>
    <w:rsid w:val="00FF6DE9"/>
    <w:rsid w:val="00FF754E"/>
    <w:rsid w:val="00FF78B8"/>
    <w:rsid w:val="00FF7E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6" type="connector" idref="#Connecteur droit avec flèche 23"/>
        <o:r id="V:Rule7" type="connector" idref="#Connecteur droit avec flèche 27"/>
        <o:r id="V:Rule8" type="connector" idref="#Connecteur droit avec flèche 24"/>
        <o:r id="V:Rule9" type="connector" idref="#Connecteur droit avec flèche 30"/>
        <o:r id="V:Rule10" type="connector" idref="#Connecteur droit avec flèch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Annex I Outline"/>
    <w:basedOn w:val="Normal"/>
    <w:next w:val="Normal"/>
    <w:link w:val="Titre1Car"/>
    <w:uiPriority w:val="9"/>
    <w:qFormat/>
    <w:rsid w:val="0060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57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Centered,Heading 3 Char,Centered Char,centered Char,centered,alec3"/>
    <w:basedOn w:val="Normal"/>
    <w:next w:val="Normal"/>
    <w:link w:val="Titre3Car"/>
    <w:qFormat/>
    <w:rsid w:val="006E1D0F"/>
    <w:pPr>
      <w:keepNext/>
      <w:keepLines/>
      <w:autoSpaceDE w:val="0"/>
      <w:autoSpaceDN w:val="0"/>
      <w:adjustRightInd w:val="0"/>
      <w:spacing w:before="200" w:after="120"/>
      <w:ind w:left="720" w:hanging="720"/>
      <w:jc w:val="both"/>
      <w:outlineLvl w:val="2"/>
    </w:pPr>
    <w:rPr>
      <w:rFonts w:ascii="Cambria" w:eastAsia="Times New Roman" w:hAnsi="Cambria" w:cs="Times New Roman"/>
      <w:b/>
      <w:bCs/>
      <w:color w:val="000000"/>
    </w:rPr>
  </w:style>
  <w:style w:type="paragraph" w:styleId="Titre4">
    <w:name w:val="heading 4"/>
    <w:basedOn w:val="Normal"/>
    <w:next w:val="Normal"/>
    <w:link w:val="Titre4Car"/>
    <w:qFormat/>
    <w:rsid w:val="006E1D0F"/>
    <w:pPr>
      <w:keepNext/>
      <w:keepLines/>
      <w:autoSpaceDE w:val="0"/>
      <w:autoSpaceDN w:val="0"/>
      <w:adjustRightInd w:val="0"/>
      <w:spacing w:before="120" w:after="120"/>
      <w:ind w:left="864" w:hanging="864"/>
      <w:jc w:val="center"/>
      <w:outlineLvl w:val="3"/>
    </w:pPr>
    <w:rPr>
      <w:rFonts w:ascii="Cambria" w:eastAsia="Times New Roman" w:hAnsi="Cambria" w:cs="ArialNarrow"/>
      <w:b/>
      <w:bCs/>
      <w:i/>
      <w:iCs/>
      <w:color w:val="000000"/>
      <w:lang w:bidi="en-US"/>
    </w:rPr>
  </w:style>
  <w:style w:type="paragraph" w:styleId="Titre5">
    <w:name w:val="heading 5"/>
    <w:basedOn w:val="Normal"/>
    <w:next w:val="Normal"/>
    <w:link w:val="Titre5Car"/>
    <w:uiPriority w:val="9"/>
    <w:unhideWhenUsed/>
    <w:qFormat/>
    <w:rsid w:val="003116E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77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F0F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D73B80"/>
    <w:rPr>
      <w:rFonts w:ascii="Calibri" w:eastAsia="Times New Roman" w:hAnsi="Calibri" w:cs="Times New Roman"/>
    </w:rPr>
  </w:style>
  <w:style w:type="paragraph" w:styleId="Sansinterligne">
    <w:name w:val="No Spacing"/>
    <w:link w:val="SansinterligneCar"/>
    <w:uiPriority w:val="1"/>
    <w:qFormat/>
    <w:rsid w:val="00D73B80"/>
    <w:pPr>
      <w:spacing w:after="0" w:line="240" w:lineRule="auto"/>
    </w:pPr>
    <w:rPr>
      <w:rFonts w:ascii="Calibri" w:eastAsia="Times New Roman" w:hAnsi="Calibri" w:cs="Times New Roman"/>
    </w:rPr>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D73B80"/>
    <w:pPr>
      <w:ind w:left="720"/>
      <w:contextualSpacing/>
    </w:pPr>
  </w:style>
  <w:style w:type="paragraph" w:styleId="En-tte">
    <w:name w:val="header"/>
    <w:basedOn w:val="Normal"/>
    <w:link w:val="En-tteCar"/>
    <w:uiPriority w:val="99"/>
    <w:unhideWhenUsed/>
    <w:rsid w:val="00DC6DC4"/>
    <w:pPr>
      <w:tabs>
        <w:tab w:val="center" w:pos="4536"/>
        <w:tab w:val="right" w:pos="9072"/>
      </w:tabs>
      <w:spacing w:after="0" w:line="240" w:lineRule="auto"/>
    </w:pPr>
  </w:style>
  <w:style w:type="character" w:customStyle="1" w:styleId="En-tteCar">
    <w:name w:val="En-tête Car"/>
    <w:basedOn w:val="Policepardfaut"/>
    <w:link w:val="En-tte"/>
    <w:uiPriority w:val="99"/>
    <w:rsid w:val="00DC6DC4"/>
  </w:style>
  <w:style w:type="paragraph" w:styleId="Pieddepage">
    <w:name w:val="footer"/>
    <w:basedOn w:val="Normal"/>
    <w:link w:val="PieddepageCar"/>
    <w:uiPriority w:val="99"/>
    <w:unhideWhenUsed/>
    <w:rsid w:val="00DC6D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DC4"/>
  </w:style>
  <w:style w:type="table" w:styleId="Grilledutableau">
    <w:name w:val="Table Grid"/>
    <w:basedOn w:val="TableauNormal"/>
    <w:uiPriority w:val="59"/>
    <w:rsid w:val="003A5F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5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91"/>
    <w:rPr>
      <w:rFonts w:ascii="Tahoma" w:hAnsi="Tahoma" w:cs="Tahoma"/>
      <w:sz w:val="16"/>
      <w:szCs w:val="16"/>
    </w:rPr>
  </w:style>
  <w:style w:type="character" w:customStyle="1" w:styleId="Titre1Car">
    <w:name w:val="Titre 1 Car"/>
    <w:aliases w:val="Annex I Outline Car"/>
    <w:basedOn w:val="Policepardfaut"/>
    <w:link w:val="Titre1"/>
    <w:uiPriority w:val="9"/>
    <w:rsid w:val="006001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57A5E"/>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basedOn w:val="Policepardfaut"/>
    <w:link w:val="Paragraphedeliste"/>
    <w:uiPriority w:val="34"/>
    <w:qFormat/>
    <w:locked/>
    <w:rsid w:val="00457A5E"/>
  </w:style>
  <w:style w:type="paragraph" w:styleId="Corpsdetexte2">
    <w:name w:val="Body Text 2"/>
    <w:basedOn w:val="Normal"/>
    <w:link w:val="Corpsdetexte2Car"/>
    <w:rsid w:val="00457A5E"/>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457A5E"/>
    <w:rPr>
      <w:rFonts w:ascii="Times New Roman" w:eastAsia="Times New Roman" w:hAnsi="Times New Roman" w:cs="Times New Roman"/>
      <w:sz w:val="24"/>
      <w:szCs w:val="24"/>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iPriority w:val="99"/>
    <w:unhideWhenUsed/>
    <w:rsid w:val="00457A5E"/>
    <w:rPr>
      <w:rFonts w:ascii="Calibri" w:eastAsia="Calibri" w:hAnsi="Calibri" w:cs="Times New Roman"/>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uiPriority w:val="99"/>
    <w:rsid w:val="00457A5E"/>
    <w:rPr>
      <w:rFonts w:ascii="Calibri" w:eastAsia="Calibri" w:hAnsi="Calibri" w:cs="Times New Roman"/>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BVI fnr,Référence pied de page, BVI fnr"/>
    <w:basedOn w:val="Policepardfaut"/>
    <w:uiPriority w:val="99"/>
    <w:unhideWhenUsed/>
    <w:qFormat/>
    <w:rsid w:val="00457A5E"/>
    <w:rPr>
      <w:vertAlign w:val="superscript"/>
    </w:rPr>
  </w:style>
  <w:style w:type="paragraph" w:styleId="Retraitcorpsdetexte">
    <w:name w:val="Body Text Indent"/>
    <w:basedOn w:val="Normal"/>
    <w:link w:val="RetraitcorpsdetexteCar"/>
    <w:rsid w:val="004C18B3"/>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4C18B3"/>
    <w:rPr>
      <w:rFonts w:ascii="Times New Roman" w:eastAsia="Times New Roman" w:hAnsi="Times New Roman" w:cs="Times New Roman"/>
      <w:sz w:val="24"/>
      <w:szCs w:val="24"/>
      <w:lang w:eastAsia="fr-FR"/>
    </w:rPr>
  </w:style>
  <w:style w:type="paragraph" w:customStyle="1" w:styleId="Default">
    <w:name w:val="Default"/>
    <w:rsid w:val="00717C2B"/>
    <w:pPr>
      <w:autoSpaceDE w:val="0"/>
      <w:autoSpaceDN w:val="0"/>
      <w:adjustRightInd w:val="0"/>
      <w:spacing w:after="0" w:line="240" w:lineRule="auto"/>
    </w:pPr>
    <w:rPr>
      <w:rFonts w:ascii="Book Antiqua" w:hAnsi="Book Antiqua" w:cs="Book Antiqua"/>
      <w:color w:val="000000"/>
      <w:sz w:val="24"/>
      <w:szCs w:val="24"/>
    </w:rPr>
  </w:style>
  <w:style w:type="table" w:customStyle="1" w:styleId="TableauGrille1Clair-Accentuation11">
    <w:name w:val="Tableau Grille 1 Clair - Accentuation 11"/>
    <w:basedOn w:val="TableauNormal"/>
    <w:uiPriority w:val="46"/>
    <w:rsid w:val="00AC799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aliases w:val="Centered Car,Heading 3 Char Car,Centered Char Car,centered Char Car,centered Car,alec3 Car"/>
    <w:basedOn w:val="Policepardfaut"/>
    <w:link w:val="Titre3"/>
    <w:rsid w:val="006E1D0F"/>
    <w:rPr>
      <w:rFonts w:ascii="Cambria" w:eastAsia="Times New Roman" w:hAnsi="Cambria" w:cs="Times New Roman"/>
      <w:b/>
      <w:bCs/>
      <w:color w:val="000000"/>
    </w:rPr>
  </w:style>
  <w:style w:type="character" w:customStyle="1" w:styleId="Titre4Car">
    <w:name w:val="Titre 4 Car"/>
    <w:basedOn w:val="Policepardfaut"/>
    <w:link w:val="Titre4"/>
    <w:rsid w:val="006E1D0F"/>
    <w:rPr>
      <w:rFonts w:ascii="Cambria" w:eastAsia="Times New Roman" w:hAnsi="Cambria" w:cs="ArialNarrow"/>
      <w:b/>
      <w:bCs/>
      <w:i/>
      <w:iCs/>
      <w:color w:val="000000"/>
      <w:lang w:bidi="en-US"/>
    </w:rPr>
  </w:style>
  <w:style w:type="paragraph" w:customStyle="1" w:styleId="Body">
    <w:name w:val="Body"/>
    <w:basedOn w:val="Normal"/>
    <w:uiPriority w:val="1"/>
    <w:qFormat/>
    <w:rsid w:val="006E1D0F"/>
    <w:pPr>
      <w:widowControl w:val="0"/>
      <w:spacing w:after="0" w:line="240" w:lineRule="auto"/>
    </w:pPr>
    <w:rPr>
      <w:rFonts w:ascii="Calibri" w:eastAsia="Calibri" w:hAnsi="Calibri"/>
      <w:sz w:val="28"/>
      <w:szCs w:val="28"/>
      <w:lang w:val="en-US"/>
    </w:rPr>
  </w:style>
  <w:style w:type="paragraph" w:customStyle="1" w:styleId="Titre11">
    <w:name w:val="Titre 11"/>
    <w:basedOn w:val="Normal"/>
    <w:uiPriority w:val="1"/>
    <w:qFormat/>
    <w:rsid w:val="006E1D0F"/>
    <w:pPr>
      <w:widowControl w:val="0"/>
      <w:spacing w:after="0" w:line="240" w:lineRule="auto"/>
      <w:outlineLvl w:val="1"/>
    </w:pPr>
    <w:rPr>
      <w:rFonts w:ascii="Calibri" w:eastAsia="Calibri" w:hAnsi="Calibri"/>
      <w:b/>
      <w:bCs/>
      <w:sz w:val="28"/>
      <w:szCs w:val="28"/>
      <w:lang w:val="en-US"/>
    </w:rPr>
  </w:style>
  <w:style w:type="paragraph" w:customStyle="1" w:styleId="Graph">
    <w:name w:val="Graph"/>
    <w:basedOn w:val="Normal"/>
    <w:qFormat/>
    <w:rsid w:val="00812286"/>
    <w:pPr>
      <w:spacing w:after="0" w:line="360" w:lineRule="auto"/>
      <w:jc w:val="both"/>
    </w:pPr>
    <w:rPr>
      <w:rFonts w:ascii="Sylfaen" w:hAnsi="Sylfaen" w:cstheme="majorBidi"/>
      <w:i/>
      <w:szCs w:val="24"/>
    </w:rPr>
  </w:style>
  <w:style w:type="paragraph" w:customStyle="1" w:styleId="Tableau">
    <w:name w:val="Tableau"/>
    <w:basedOn w:val="Normal"/>
    <w:uiPriority w:val="99"/>
    <w:qFormat/>
    <w:rsid w:val="00812286"/>
    <w:pPr>
      <w:spacing w:after="0"/>
      <w:jc w:val="both"/>
    </w:pPr>
    <w:rPr>
      <w:rFonts w:ascii="Sylfaen" w:eastAsia="Calibri" w:hAnsi="Sylfaen" w:cs="Tahoma"/>
      <w:i/>
      <w:szCs w:val="24"/>
    </w:rPr>
  </w:style>
  <w:style w:type="table" w:customStyle="1" w:styleId="Listeclaire1">
    <w:name w:val="Liste claire1"/>
    <w:basedOn w:val="TableauNormal"/>
    <w:uiPriority w:val="61"/>
    <w:rsid w:val="00812286"/>
    <w:pPr>
      <w:spacing w:after="0" w:line="240" w:lineRule="auto"/>
      <w:jc w:val="both"/>
    </w:pPr>
    <w:rPr>
      <w:rFonts w:ascii="Sylfaen" w:hAnsi="Sylfaen"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000000" w:themeFill="text1"/>
      </w:tcPr>
    </w:tblStylePr>
    <w:tblStylePr w:type="lastRow">
      <w:pPr>
        <w:spacing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ongtext">
    <w:name w:val="long_text"/>
    <w:basedOn w:val="Policepardfaut"/>
    <w:rsid w:val="00812286"/>
  </w:style>
  <w:style w:type="character" w:customStyle="1" w:styleId="hps">
    <w:name w:val="hps"/>
    <w:basedOn w:val="Policepardfaut"/>
    <w:rsid w:val="00812286"/>
  </w:style>
  <w:style w:type="table" w:customStyle="1" w:styleId="Listeclaire2">
    <w:name w:val="Liste claire2"/>
    <w:basedOn w:val="TableauNormal"/>
    <w:uiPriority w:val="61"/>
    <w:rsid w:val="00812286"/>
    <w:pPr>
      <w:spacing w:after="0" w:line="240" w:lineRule="auto"/>
      <w:jc w:val="both"/>
    </w:pPr>
    <w:rPr>
      <w:rFonts w:ascii="Sylfaen" w:hAnsi="Sylfaen"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2">
    <w:name w:val="Liste claire - Accent 12"/>
    <w:basedOn w:val="TableauNormal"/>
    <w:uiPriority w:val="61"/>
    <w:rsid w:val="00812286"/>
    <w:pPr>
      <w:spacing w:after="0" w:line="240" w:lineRule="auto"/>
      <w:ind w:left="567"/>
      <w:jc w:val="both"/>
    </w:pPr>
    <w:rPr>
      <w:rFonts w:ascii="Times New Roman" w:hAnsi="Times New Roman"/>
      <w:sz w:val="24"/>
      <w:szCs w:val="2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moyenne11">
    <w:name w:val="Trame moyenne 11"/>
    <w:basedOn w:val="TableauNormal"/>
    <w:uiPriority w:val="63"/>
    <w:rsid w:val="00812286"/>
    <w:pPr>
      <w:spacing w:after="0" w:line="240" w:lineRule="auto"/>
      <w:jc w:val="both"/>
    </w:pPr>
    <w:rPr>
      <w:rFonts w:ascii="Times New Roman" w:hAnsi="Times New Roman" w:cs="Times New Roman"/>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12286"/>
    <w:pPr>
      <w:spacing w:before="240" w:after="240" w:line="240" w:lineRule="auto"/>
      <w:ind w:left="714" w:hanging="357"/>
    </w:pPr>
    <w:rPr>
      <w:rFonts w:ascii="Times New Roman" w:eastAsia="Times New Roman" w:hAnsi="Times New Roman" w:cs="Times New Roman"/>
      <w:sz w:val="24"/>
      <w:szCs w:val="24"/>
      <w:lang w:val="en-US"/>
    </w:rPr>
  </w:style>
  <w:style w:type="character" w:customStyle="1" w:styleId="newsflash">
    <w:name w:val="newsflash"/>
    <w:basedOn w:val="Policepardfaut"/>
    <w:rsid w:val="00812286"/>
  </w:style>
  <w:style w:type="table" w:styleId="Listemoyenne2-Accent1">
    <w:name w:val="Medium List 2 Accent 1"/>
    <w:basedOn w:val="TableauNormal"/>
    <w:uiPriority w:val="66"/>
    <w:rsid w:val="00812286"/>
    <w:pPr>
      <w:spacing w:after="0" w:line="240" w:lineRule="auto"/>
      <w:jc w:val="both"/>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raphique">
    <w:name w:val="graphique"/>
    <w:basedOn w:val="Paragraphedeliste"/>
    <w:qFormat/>
    <w:rsid w:val="00E95812"/>
    <w:pPr>
      <w:autoSpaceDE w:val="0"/>
      <w:autoSpaceDN w:val="0"/>
      <w:adjustRightInd w:val="0"/>
      <w:spacing w:after="120" w:line="360" w:lineRule="auto"/>
      <w:ind w:left="0"/>
      <w:jc w:val="both"/>
    </w:pPr>
    <w:rPr>
      <w:rFonts w:ascii="Arial Narrow" w:eastAsia="Calibri" w:hAnsi="Arial Narrow" w:cs="Calibri"/>
    </w:rPr>
  </w:style>
  <w:style w:type="character" w:customStyle="1" w:styleId="LgendeCar">
    <w:name w:val="Légende Car"/>
    <w:aliases w:val="LVT Table Heading Car,Légende1 Car,Légende21 Car,Légende111 Car,Car111 Car,Car Car Car Car Car Car Car Car Car111 Car,Car Car Car Car Car111 Car,Car Car Car Car111 Car,Car Car Car Car Car Car Car Car211 Car,Caption Char Car"/>
    <w:link w:val="Lgende"/>
    <w:locked/>
    <w:rsid w:val="005078B7"/>
    <w:rPr>
      <w:rFonts w:ascii="Rockwell" w:eastAsia="Times New Roman" w:hAnsi="Rockwell" w:cs="ArialNarrow"/>
      <w:b/>
      <w:bCs/>
      <w:color w:val="000000"/>
      <w:sz w:val="20"/>
      <w:szCs w:val="20"/>
      <w:lang w:bidi="en-US"/>
    </w:rPr>
  </w:style>
  <w:style w:type="paragraph" w:styleId="Lgende">
    <w:name w:val="caption"/>
    <w:aliases w:val="LVT Table Heading,Légende1,Légende21,Légende111,Car111,Car Car Car Car Car Car Car Car Car111,Car Car Car Car Car111,Car Car Car Car111,Car Car Car Car Car Car Car Car211,Car Car Car Car Car Car Car Car Car Car Car Car Car Car Car11,Caption Char"/>
    <w:basedOn w:val="Normal"/>
    <w:next w:val="Normal"/>
    <w:link w:val="LgendeCar"/>
    <w:unhideWhenUsed/>
    <w:qFormat/>
    <w:rsid w:val="005078B7"/>
    <w:pPr>
      <w:autoSpaceDE w:val="0"/>
      <w:autoSpaceDN w:val="0"/>
      <w:adjustRightInd w:val="0"/>
      <w:spacing w:after="0" w:line="240" w:lineRule="auto"/>
      <w:jc w:val="both"/>
    </w:pPr>
    <w:rPr>
      <w:rFonts w:ascii="Rockwell" w:eastAsia="Times New Roman" w:hAnsi="Rockwell" w:cs="ArialNarrow"/>
      <w:b/>
      <w:bCs/>
      <w:color w:val="000000"/>
      <w:sz w:val="20"/>
      <w:szCs w:val="20"/>
      <w:lang w:bidi="en-US"/>
    </w:rPr>
  </w:style>
  <w:style w:type="paragraph" w:customStyle="1" w:styleId="Commentaire1">
    <w:name w:val="Commentaire1"/>
    <w:basedOn w:val="Normal"/>
    <w:next w:val="Commentaire"/>
    <w:link w:val="CommentaireCar"/>
    <w:uiPriority w:val="99"/>
    <w:unhideWhenUsed/>
    <w:rsid w:val="009E31FB"/>
    <w:pPr>
      <w:spacing w:line="240" w:lineRule="auto"/>
    </w:pPr>
    <w:rPr>
      <w:sz w:val="20"/>
      <w:szCs w:val="20"/>
    </w:rPr>
  </w:style>
  <w:style w:type="character" w:customStyle="1" w:styleId="CommentaireCar">
    <w:name w:val="Commentaire Car"/>
    <w:basedOn w:val="Policepardfaut"/>
    <w:link w:val="Commentaire1"/>
    <w:uiPriority w:val="99"/>
    <w:rsid w:val="009E31FB"/>
    <w:rPr>
      <w:sz w:val="20"/>
      <w:szCs w:val="20"/>
    </w:rPr>
  </w:style>
  <w:style w:type="paragraph" w:styleId="Commentaire">
    <w:name w:val="annotation text"/>
    <w:basedOn w:val="Normal"/>
    <w:link w:val="CommentaireCar1"/>
    <w:uiPriority w:val="99"/>
    <w:unhideWhenUsed/>
    <w:rsid w:val="009E31FB"/>
    <w:pPr>
      <w:spacing w:line="240" w:lineRule="auto"/>
    </w:pPr>
    <w:rPr>
      <w:sz w:val="20"/>
      <w:szCs w:val="20"/>
    </w:rPr>
  </w:style>
  <w:style w:type="character" w:customStyle="1" w:styleId="CommentaireCar1">
    <w:name w:val="Commentaire Car1"/>
    <w:basedOn w:val="Policepardfaut"/>
    <w:link w:val="Commentaire"/>
    <w:uiPriority w:val="99"/>
    <w:rsid w:val="009E31FB"/>
    <w:rPr>
      <w:sz w:val="20"/>
      <w:szCs w:val="20"/>
    </w:rPr>
  </w:style>
  <w:style w:type="paragraph" w:styleId="Corpsdetexte">
    <w:name w:val="Body Text"/>
    <w:basedOn w:val="Normal"/>
    <w:link w:val="CorpsdetexteCar"/>
    <w:uiPriority w:val="99"/>
    <w:semiHidden/>
    <w:unhideWhenUsed/>
    <w:rsid w:val="00927703"/>
    <w:pPr>
      <w:spacing w:after="120"/>
    </w:pPr>
  </w:style>
  <w:style w:type="character" w:customStyle="1" w:styleId="CorpsdetexteCar">
    <w:name w:val="Corps de texte Car"/>
    <w:basedOn w:val="Policepardfaut"/>
    <w:link w:val="Corpsdetexte"/>
    <w:uiPriority w:val="99"/>
    <w:semiHidden/>
    <w:rsid w:val="00927703"/>
  </w:style>
  <w:style w:type="paragraph" w:styleId="Titre">
    <w:name w:val="Title"/>
    <w:basedOn w:val="Normal"/>
    <w:next w:val="Normal"/>
    <w:link w:val="TitreCar"/>
    <w:qFormat/>
    <w:rsid w:val="002C1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C14C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B90382"/>
  </w:style>
  <w:style w:type="character" w:styleId="Lienhypertexte">
    <w:name w:val="Hyperlink"/>
    <w:basedOn w:val="Policepardfaut"/>
    <w:uiPriority w:val="99"/>
    <w:unhideWhenUsed/>
    <w:rsid w:val="0073480A"/>
    <w:rPr>
      <w:color w:val="0000FF" w:themeColor="hyperlink"/>
      <w:u w:val="single"/>
    </w:rPr>
  </w:style>
  <w:style w:type="character" w:customStyle="1" w:styleId="st1">
    <w:name w:val="st1"/>
    <w:basedOn w:val="Policepardfaut"/>
    <w:rsid w:val="002A5C0B"/>
  </w:style>
  <w:style w:type="character" w:styleId="Accentuation">
    <w:name w:val="Emphasis"/>
    <w:basedOn w:val="Policepardfaut"/>
    <w:uiPriority w:val="20"/>
    <w:qFormat/>
    <w:rsid w:val="00C06CFA"/>
    <w:rPr>
      <w:b/>
      <w:bCs/>
      <w:i w:val="0"/>
      <w:iCs w:val="0"/>
    </w:rPr>
  </w:style>
  <w:style w:type="character" w:customStyle="1" w:styleId="Titre5Car">
    <w:name w:val="Titre 5 Car"/>
    <w:basedOn w:val="Policepardfaut"/>
    <w:link w:val="Titre5"/>
    <w:uiPriority w:val="9"/>
    <w:rsid w:val="003116E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77F0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F0FE4"/>
    <w:rPr>
      <w:rFonts w:asciiTheme="majorHAnsi" w:eastAsiaTheme="majorEastAsia" w:hAnsiTheme="majorHAnsi" w:cstheme="majorBidi"/>
      <w:i/>
      <w:iCs/>
      <w:color w:val="404040" w:themeColor="text1" w:themeTint="BF"/>
    </w:rPr>
  </w:style>
  <w:style w:type="paragraph" w:styleId="TM1">
    <w:name w:val="toc 1"/>
    <w:basedOn w:val="Normal"/>
    <w:next w:val="Normal"/>
    <w:autoRedefine/>
    <w:uiPriority w:val="39"/>
    <w:unhideWhenUsed/>
    <w:rsid w:val="005F0FE4"/>
    <w:pPr>
      <w:spacing w:before="120" w:after="120"/>
    </w:pPr>
    <w:rPr>
      <w:b/>
      <w:bCs/>
      <w:caps/>
      <w:sz w:val="20"/>
      <w:szCs w:val="20"/>
    </w:rPr>
  </w:style>
  <w:style w:type="paragraph" w:styleId="TM2">
    <w:name w:val="toc 2"/>
    <w:basedOn w:val="Normal"/>
    <w:next w:val="Normal"/>
    <w:autoRedefine/>
    <w:uiPriority w:val="39"/>
    <w:unhideWhenUsed/>
    <w:rsid w:val="005F0FE4"/>
    <w:pPr>
      <w:spacing w:after="0"/>
      <w:ind w:left="220"/>
    </w:pPr>
    <w:rPr>
      <w:smallCaps/>
      <w:sz w:val="20"/>
      <w:szCs w:val="20"/>
    </w:rPr>
  </w:style>
  <w:style w:type="paragraph" w:styleId="TM3">
    <w:name w:val="toc 3"/>
    <w:basedOn w:val="Normal"/>
    <w:next w:val="Normal"/>
    <w:autoRedefine/>
    <w:uiPriority w:val="39"/>
    <w:unhideWhenUsed/>
    <w:rsid w:val="005F0FE4"/>
    <w:pPr>
      <w:spacing w:after="0"/>
      <w:ind w:left="440"/>
    </w:pPr>
    <w:rPr>
      <w:i/>
      <w:iCs/>
      <w:sz w:val="20"/>
      <w:szCs w:val="20"/>
    </w:rPr>
  </w:style>
  <w:style w:type="paragraph" w:styleId="TM4">
    <w:name w:val="toc 4"/>
    <w:basedOn w:val="Normal"/>
    <w:next w:val="Normal"/>
    <w:autoRedefine/>
    <w:uiPriority w:val="39"/>
    <w:unhideWhenUsed/>
    <w:rsid w:val="005F0FE4"/>
    <w:pPr>
      <w:spacing w:after="0"/>
      <w:ind w:left="660"/>
    </w:pPr>
    <w:rPr>
      <w:sz w:val="18"/>
      <w:szCs w:val="18"/>
    </w:rPr>
  </w:style>
  <w:style w:type="paragraph" w:styleId="TM5">
    <w:name w:val="toc 5"/>
    <w:basedOn w:val="Normal"/>
    <w:next w:val="Normal"/>
    <w:autoRedefine/>
    <w:uiPriority w:val="39"/>
    <w:unhideWhenUsed/>
    <w:rsid w:val="005F0FE4"/>
    <w:pPr>
      <w:spacing w:after="0"/>
      <w:ind w:left="880"/>
    </w:pPr>
    <w:rPr>
      <w:sz w:val="18"/>
      <w:szCs w:val="18"/>
    </w:rPr>
  </w:style>
  <w:style w:type="paragraph" w:styleId="TM6">
    <w:name w:val="toc 6"/>
    <w:basedOn w:val="Normal"/>
    <w:next w:val="Normal"/>
    <w:autoRedefine/>
    <w:uiPriority w:val="39"/>
    <w:unhideWhenUsed/>
    <w:rsid w:val="005F0FE4"/>
    <w:pPr>
      <w:spacing w:after="0"/>
      <w:ind w:left="1100"/>
    </w:pPr>
    <w:rPr>
      <w:sz w:val="18"/>
      <w:szCs w:val="18"/>
    </w:rPr>
  </w:style>
  <w:style w:type="paragraph" w:styleId="TM7">
    <w:name w:val="toc 7"/>
    <w:basedOn w:val="Normal"/>
    <w:next w:val="Normal"/>
    <w:autoRedefine/>
    <w:uiPriority w:val="39"/>
    <w:unhideWhenUsed/>
    <w:rsid w:val="005F0FE4"/>
    <w:pPr>
      <w:spacing w:after="0"/>
      <w:ind w:left="1320"/>
    </w:pPr>
    <w:rPr>
      <w:sz w:val="18"/>
      <w:szCs w:val="18"/>
    </w:rPr>
  </w:style>
  <w:style w:type="paragraph" w:styleId="TM8">
    <w:name w:val="toc 8"/>
    <w:basedOn w:val="Normal"/>
    <w:next w:val="Normal"/>
    <w:autoRedefine/>
    <w:uiPriority w:val="39"/>
    <w:unhideWhenUsed/>
    <w:rsid w:val="005F0FE4"/>
    <w:pPr>
      <w:spacing w:after="0"/>
      <w:ind w:left="1540"/>
    </w:pPr>
    <w:rPr>
      <w:sz w:val="18"/>
      <w:szCs w:val="18"/>
    </w:rPr>
  </w:style>
  <w:style w:type="paragraph" w:styleId="TM9">
    <w:name w:val="toc 9"/>
    <w:basedOn w:val="Normal"/>
    <w:next w:val="Normal"/>
    <w:autoRedefine/>
    <w:uiPriority w:val="39"/>
    <w:unhideWhenUsed/>
    <w:rsid w:val="005F0FE4"/>
    <w:pPr>
      <w:spacing w:after="0"/>
      <w:ind w:left="1760"/>
    </w:pPr>
    <w:rPr>
      <w:sz w:val="18"/>
      <w:szCs w:val="18"/>
    </w:rPr>
  </w:style>
  <w:style w:type="paragraph" w:customStyle="1" w:styleId="PNDES1">
    <w:name w:val="PNDES1"/>
    <w:basedOn w:val="Titre1"/>
    <w:next w:val="Normal"/>
    <w:autoRedefine/>
    <w:qFormat/>
    <w:rsid w:val="00DB35EE"/>
    <w:pPr>
      <w:numPr>
        <w:numId w:val="3"/>
      </w:numPr>
      <w:pBdr>
        <w:bottom w:val="thinThickSmallGap" w:sz="12" w:space="1" w:color="auto"/>
      </w:pBdr>
      <w:spacing w:before="0" w:line="240" w:lineRule="auto"/>
      <w:ind w:right="-1"/>
      <w:jc w:val="both"/>
    </w:pPr>
    <w:rPr>
      <w:rFonts w:ascii="Rockwell" w:hAnsi="Rockwell"/>
      <w:bCs w:val="0"/>
      <w:caps/>
      <w:color w:val="auto"/>
      <w:sz w:val="24"/>
      <w:szCs w:val="32"/>
    </w:rPr>
  </w:style>
  <w:style w:type="paragraph" w:customStyle="1" w:styleId="PNDES2">
    <w:name w:val="PNDES 2"/>
    <w:basedOn w:val="Titre2"/>
    <w:next w:val="Normal"/>
    <w:autoRedefine/>
    <w:qFormat/>
    <w:rsid w:val="00EE18A8"/>
    <w:pPr>
      <w:numPr>
        <w:ilvl w:val="1"/>
        <w:numId w:val="3"/>
      </w:numPr>
      <w:spacing w:before="0" w:line="240" w:lineRule="auto"/>
      <w:jc w:val="both"/>
    </w:pPr>
    <w:rPr>
      <w:rFonts w:ascii="Rockwell" w:hAnsi="Rockwell"/>
      <w:bCs w:val="0"/>
      <w:i/>
      <w:caps/>
      <w:color w:val="auto"/>
      <w:sz w:val="24"/>
    </w:rPr>
  </w:style>
  <w:style w:type="paragraph" w:customStyle="1" w:styleId="PNDES3">
    <w:name w:val="PNDES 3"/>
    <w:basedOn w:val="Titre3"/>
    <w:next w:val="Normal"/>
    <w:autoRedefine/>
    <w:qFormat/>
    <w:rsid w:val="003F2E59"/>
    <w:pPr>
      <w:numPr>
        <w:ilvl w:val="2"/>
        <w:numId w:val="3"/>
      </w:numPr>
      <w:autoSpaceDE/>
      <w:autoSpaceDN/>
      <w:adjustRightInd/>
      <w:spacing w:before="0" w:after="0" w:line="240" w:lineRule="auto"/>
    </w:pPr>
    <w:rPr>
      <w:rFonts w:ascii="Bookman Old Style" w:eastAsiaTheme="majorEastAsia" w:hAnsi="Bookman Old Style" w:cstheme="majorBidi"/>
      <w:bCs w:val="0"/>
      <w:smallCaps/>
      <w:color w:val="auto"/>
      <w:sz w:val="24"/>
      <w:szCs w:val="24"/>
    </w:rPr>
  </w:style>
  <w:style w:type="paragraph" w:customStyle="1" w:styleId="PNDES4">
    <w:name w:val="PNDES 4"/>
    <w:basedOn w:val="PNDES3"/>
    <w:qFormat/>
    <w:rsid w:val="00B059FD"/>
    <w:pPr>
      <w:numPr>
        <w:ilvl w:val="3"/>
      </w:numPr>
    </w:pPr>
  </w:style>
  <w:style w:type="paragraph" w:styleId="En-ttedetabledesmatires">
    <w:name w:val="TOC Heading"/>
    <w:basedOn w:val="Titre1"/>
    <w:next w:val="Normal"/>
    <w:uiPriority w:val="39"/>
    <w:unhideWhenUsed/>
    <w:qFormat/>
    <w:rsid w:val="00B059FD"/>
    <w:pPr>
      <w:spacing w:before="240" w:line="259" w:lineRule="auto"/>
      <w:outlineLvl w:val="9"/>
    </w:pPr>
    <w:rPr>
      <w:b w:val="0"/>
      <w:bCs w:val="0"/>
      <w:sz w:val="32"/>
      <w:szCs w:val="32"/>
    </w:rPr>
  </w:style>
  <w:style w:type="character" w:styleId="Marquedecommentaire">
    <w:name w:val="annotation reference"/>
    <w:basedOn w:val="Policepardfaut"/>
    <w:uiPriority w:val="99"/>
    <w:semiHidden/>
    <w:unhideWhenUsed/>
    <w:rsid w:val="002E6EA2"/>
    <w:rPr>
      <w:sz w:val="16"/>
      <w:szCs w:val="16"/>
    </w:rPr>
  </w:style>
  <w:style w:type="paragraph" w:styleId="Objetducommentaire">
    <w:name w:val="annotation subject"/>
    <w:basedOn w:val="Commentaire"/>
    <w:next w:val="Commentaire"/>
    <w:link w:val="ObjetducommentaireCar"/>
    <w:uiPriority w:val="99"/>
    <w:semiHidden/>
    <w:unhideWhenUsed/>
    <w:rsid w:val="002E6EA2"/>
    <w:rPr>
      <w:b/>
      <w:bCs/>
    </w:rPr>
  </w:style>
  <w:style w:type="character" w:customStyle="1" w:styleId="ObjetducommentaireCar">
    <w:name w:val="Objet du commentaire Car"/>
    <w:basedOn w:val="CommentaireCar1"/>
    <w:link w:val="Objetducommentaire"/>
    <w:uiPriority w:val="99"/>
    <w:semiHidden/>
    <w:rsid w:val="002E6EA2"/>
    <w:rPr>
      <w:b/>
      <w:bCs/>
      <w:sz w:val="20"/>
      <w:szCs w:val="20"/>
    </w:rPr>
  </w:style>
  <w:style w:type="table" w:customStyle="1" w:styleId="TableauGrille5Fonc1">
    <w:name w:val="Tableau Grille 5 Foncé1"/>
    <w:basedOn w:val="TableauNormal"/>
    <w:uiPriority w:val="50"/>
    <w:rsid w:val="00FE2D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lledetableauclaire1">
    <w:name w:val="Grille de tableau claire1"/>
    <w:basedOn w:val="TableauNormal"/>
    <w:uiPriority w:val="40"/>
    <w:rsid w:val="00FE2D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253AF7"/>
    <w:pPr>
      <w:spacing w:after="0"/>
    </w:pPr>
  </w:style>
  <w:style w:type="table" w:customStyle="1" w:styleId="Grilledutableau1">
    <w:name w:val="Grille du tableau1"/>
    <w:basedOn w:val="TableauNormal"/>
    <w:next w:val="Grilledutableau"/>
    <w:uiPriority w:val="39"/>
    <w:rsid w:val="005651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F01B6"/>
    <w:rPr>
      <w:color w:val="954F72"/>
      <w:u w:val="single"/>
    </w:rPr>
  </w:style>
  <w:style w:type="paragraph" w:customStyle="1" w:styleId="msonormal0">
    <w:name w:val="msonormal"/>
    <w:basedOn w:val="Normal"/>
    <w:rsid w:val="002F0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64">
    <w:name w:val="xl6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65">
    <w:name w:val="xl6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66">
    <w:name w:val="xl66"/>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67">
    <w:name w:val="xl67"/>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18"/>
      <w:szCs w:val="18"/>
    </w:rPr>
  </w:style>
  <w:style w:type="paragraph" w:customStyle="1" w:styleId="xl68">
    <w:name w:val="xl6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color w:val="FF0000"/>
      <w:sz w:val="18"/>
      <w:szCs w:val="18"/>
    </w:rPr>
  </w:style>
  <w:style w:type="paragraph" w:customStyle="1" w:styleId="xl69">
    <w:name w:val="xl6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18"/>
      <w:szCs w:val="18"/>
    </w:rPr>
  </w:style>
  <w:style w:type="paragraph" w:customStyle="1" w:styleId="xl70">
    <w:name w:val="xl70"/>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71">
    <w:name w:val="xl71"/>
    <w:basedOn w:val="Normal"/>
    <w:rsid w:val="002F01B6"/>
    <w:pPr>
      <w:spacing w:before="100" w:beforeAutospacing="1" w:after="100" w:afterAutospacing="1" w:line="240" w:lineRule="auto"/>
    </w:pPr>
    <w:rPr>
      <w:rFonts w:ascii="Rockwell" w:eastAsia="Times New Roman" w:hAnsi="Rockwell" w:cs="Times New Roman"/>
      <w:sz w:val="24"/>
      <w:szCs w:val="24"/>
    </w:rPr>
  </w:style>
  <w:style w:type="paragraph" w:customStyle="1" w:styleId="xl72">
    <w:name w:val="xl7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rPr>
  </w:style>
  <w:style w:type="paragraph" w:customStyle="1" w:styleId="xl73">
    <w:name w:val="xl73"/>
    <w:basedOn w:val="Normal"/>
    <w:rsid w:val="002F01B6"/>
    <w:pP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74">
    <w:name w:val="xl74"/>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Rockwell" w:eastAsia="Times New Roman" w:hAnsi="Rockwell" w:cs="Times New Roman"/>
      <w:b/>
      <w:bCs/>
      <w:sz w:val="24"/>
      <w:szCs w:val="24"/>
    </w:rPr>
  </w:style>
  <w:style w:type="paragraph" w:customStyle="1" w:styleId="xl75">
    <w:name w:val="xl7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76">
    <w:name w:val="xl76"/>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77">
    <w:name w:val="xl77"/>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78">
    <w:name w:val="xl78"/>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79">
    <w:name w:val="xl79"/>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0">
    <w:name w:val="xl80"/>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1">
    <w:name w:val="xl81"/>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2">
    <w:name w:val="xl8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color w:val="FF0000"/>
      <w:sz w:val="18"/>
      <w:szCs w:val="18"/>
    </w:rPr>
  </w:style>
  <w:style w:type="paragraph" w:customStyle="1" w:styleId="xl83">
    <w:name w:val="xl83"/>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84">
    <w:name w:val="xl8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85">
    <w:name w:val="xl8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color w:val="FF0000"/>
      <w:sz w:val="18"/>
      <w:szCs w:val="18"/>
    </w:rPr>
  </w:style>
  <w:style w:type="paragraph" w:customStyle="1" w:styleId="xl86">
    <w:name w:val="xl86"/>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Rockwell" w:eastAsia="Times New Roman" w:hAnsi="Rockwell" w:cs="Times New Roman"/>
      <w:b/>
      <w:bCs/>
      <w:sz w:val="24"/>
      <w:szCs w:val="24"/>
    </w:rPr>
  </w:style>
  <w:style w:type="paragraph" w:customStyle="1" w:styleId="xl87">
    <w:name w:val="xl87"/>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88">
    <w:name w:val="xl88"/>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9">
    <w:name w:val="xl8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0">
    <w:name w:val="xl90"/>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1">
    <w:name w:val="xl91"/>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92">
    <w:name w:val="xl92"/>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93">
    <w:name w:val="xl93"/>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94">
    <w:name w:val="xl9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95">
    <w:name w:val="xl9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6">
    <w:name w:val="xl96"/>
    <w:basedOn w:val="Normal"/>
    <w:rsid w:val="002F01B6"/>
    <w:pPr>
      <w:pBdr>
        <w:top w:val="single" w:sz="4" w:space="0" w:color="auto"/>
        <w:left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97">
    <w:name w:val="xl97"/>
    <w:basedOn w:val="Normal"/>
    <w:rsid w:val="002F01B6"/>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jc w:val="both"/>
      <w:textAlignment w:val="top"/>
    </w:pPr>
    <w:rPr>
      <w:rFonts w:ascii="Cambria" w:eastAsia="Times New Roman" w:hAnsi="Cambria" w:cs="Times New Roman"/>
      <w:i/>
      <w:iCs/>
      <w:sz w:val="20"/>
      <w:szCs w:val="20"/>
    </w:rPr>
  </w:style>
  <w:style w:type="paragraph" w:customStyle="1" w:styleId="xl98">
    <w:name w:val="xl9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24"/>
      <w:szCs w:val="24"/>
    </w:rPr>
  </w:style>
  <w:style w:type="paragraph" w:customStyle="1" w:styleId="xl99">
    <w:name w:val="xl9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18"/>
      <w:szCs w:val="18"/>
    </w:rPr>
  </w:style>
  <w:style w:type="paragraph" w:customStyle="1" w:styleId="xl100">
    <w:name w:val="xl100"/>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color w:val="FF0000"/>
      <w:sz w:val="24"/>
      <w:szCs w:val="24"/>
    </w:rPr>
  </w:style>
  <w:style w:type="paragraph" w:customStyle="1" w:styleId="xl101">
    <w:name w:val="xl101"/>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2">
    <w:name w:val="xl10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103">
    <w:name w:val="xl103"/>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4">
    <w:name w:val="xl104"/>
    <w:basedOn w:val="Normal"/>
    <w:rsid w:val="002F01B6"/>
    <w:pPr>
      <w:pBdr>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105">
    <w:name w:val="xl105"/>
    <w:basedOn w:val="Normal"/>
    <w:rsid w:val="002F0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106">
    <w:name w:val="xl106"/>
    <w:basedOn w:val="Normal"/>
    <w:rsid w:val="002F0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107">
    <w:name w:val="xl107"/>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8">
    <w:name w:val="xl10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10">
    <w:name w:val="xl110"/>
    <w:basedOn w:val="Normal"/>
    <w:rsid w:val="002F01B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11">
    <w:name w:val="xl111"/>
    <w:basedOn w:val="Normal"/>
    <w:rsid w:val="002F01B6"/>
    <w:pPr>
      <w:pBdr>
        <w:top w:val="single" w:sz="4" w:space="0" w:color="auto"/>
        <w:left w:val="single" w:sz="4" w:space="0" w:color="auto"/>
        <w:right w:val="single" w:sz="4" w:space="0" w:color="auto"/>
      </w:pBdr>
      <w:spacing w:before="100" w:beforeAutospacing="1" w:after="100" w:afterAutospacing="1" w:line="240" w:lineRule="auto"/>
    </w:pPr>
    <w:rPr>
      <w:rFonts w:ascii="Rockwell" w:eastAsia="Times New Roman" w:hAnsi="Rockwell" w:cs="Times New Roman"/>
      <w:color w:val="FF0000"/>
      <w:sz w:val="24"/>
      <w:szCs w:val="24"/>
    </w:rPr>
  </w:style>
  <w:style w:type="paragraph" w:customStyle="1" w:styleId="xl112">
    <w:name w:val="xl112"/>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3">
    <w:name w:val="xl113"/>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4">
    <w:name w:val="xl114"/>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5">
    <w:name w:val="xl115"/>
    <w:basedOn w:val="Normal"/>
    <w:rsid w:val="002F01B6"/>
    <w:pPr>
      <w:spacing w:before="100" w:beforeAutospacing="1" w:after="100" w:afterAutospacing="1" w:line="240" w:lineRule="auto"/>
    </w:pPr>
    <w:rPr>
      <w:rFonts w:ascii="Rockwell" w:eastAsia="Times New Roman" w:hAnsi="Rockwell" w:cs="Times New Roman"/>
      <w:b/>
      <w:bCs/>
      <w:sz w:val="24"/>
      <w:szCs w:val="24"/>
    </w:rPr>
  </w:style>
  <w:style w:type="character" w:customStyle="1" w:styleId="st">
    <w:name w:val="st"/>
    <w:basedOn w:val="Policepardfaut"/>
    <w:rsid w:val="003C1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Annex I Outline"/>
    <w:basedOn w:val="Normal"/>
    <w:next w:val="Normal"/>
    <w:link w:val="Titre1Car"/>
    <w:uiPriority w:val="9"/>
    <w:qFormat/>
    <w:rsid w:val="0060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57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Centered,Heading 3 Char,Centered Char,centered Char,centered,alec3"/>
    <w:basedOn w:val="Normal"/>
    <w:next w:val="Normal"/>
    <w:link w:val="Titre3Car"/>
    <w:qFormat/>
    <w:rsid w:val="006E1D0F"/>
    <w:pPr>
      <w:keepNext/>
      <w:keepLines/>
      <w:autoSpaceDE w:val="0"/>
      <w:autoSpaceDN w:val="0"/>
      <w:adjustRightInd w:val="0"/>
      <w:spacing w:before="200" w:after="120"/>
      <w:ind w:left="720" w:hanging="720"/>
      <w:jc w:val="both"/>
      <w:outlineLvl w:val="2"/>
    </w:pPr>
    <w:rPr>
      <w:rFonts w:ascii="Cambria" w:eastAsia="Times New Roman" w:hAnsi="Cambria" w:cs="Times New Roman"/>
      <w:b/>
      <w:bCs/>
      <w:color w:val="000000"/>
    </w:rPr>
  </w:style>
  <w:style w:type="paragraph" w:styleId="Titre4">
    <w:name w:val="heading 4"/>
    <w:basedOn w:val="Normal"/>
    <w:next w:val="Normal"/>
    <w:link w:val="Titre4Car"/>
    <w:qFormat/>
    <w:rsid w:val="006E1D0F"/>
    <w:pPr>
      <w:keepNext/>
      <w:keepLines/>
      <w:autoSpaceDE w:val="0"/>
      <w:autoSpaceDN w:val="0"/>
      <w:adjustRightInd w:val="0"/>
      <w:spacing w:before="120" w:after="120"/>
      <w:ind w:left="864" w:hanging="864"/>
      <w:jc w:val="center"/>
      <w:outlineLvl w:val="3"/>
    </w:pPr>
    <w:rPr>
      <w:rFonts w:ascii="Cambria" w:eastAsia="Times New Roman" w:hAnsi="Cambria" w:cs="ArialNarrow"/>
      <w:b/>
      <w:bCs/>
      <w:i/>
      <w:iCs/>
      <w:color w:val="000000"/>
      <w:lang w:bidi="en-US"/>
    </w:rPr>
  </w:style>
  <w:style w:type="paragraph" w:styleId="Titre5">
    <w:name w:val="heading 5"/>
    <w:basedOn w:val="Normal"/>
    <w:next w:val="Normal"/>
    <w:link w:val="Titre5Car"/>
    <w:uiPriority w:val="9"/>
    <w:unhideWhenUsed/>
    <w:qFormat/>
    <w:rsid w:val="003116E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77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F0F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uiPriority w:val="1"/>
    <w:locked/>
    <w:rsid w:val="00D73B80"/>
    <w:rPr>
      <w:rFonts w:ascii="Calibri" w:eastAsia="Times New Roman" w:hAnsi="Calibri" w:cs="Times New Roman"/>
    </w:rPr>
  </w:style>
  <w:style w:type="paragraph" w:styleId="Sansinterligne">
    <w:name w:val="No Spacing"/>
    <w:link w:val="SansinterligneCar"/>
    <w:uiPriority w:val="1"/>
    <w:qFormat/>
    <w:rsid w:val="00D73B80"/>
    <w:pPr>
      <w:spacing w:after="0" w:line="240" w:lineRule="auto"/>
    </w:pPr>
    <w:rPr>
      <w:rFonts w:ascii="Calibri" w:eastAsia="Times New Roman" w:hAnsi="Calibri" w:cs="Times New Roman"/>
    </w:rPr>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D73B80"/>
    <w:pPr>
      <w:ind w:left="720"/>
      <w:contextualSpacing/>
    </w:pPr>
  </w:style>
  <w:style w:type="paragraph" w:styleId="En-tte">
    <w:name w:val="header"/>
    <w:basedOn w:val="Normal"/>
    <w:link w:val="En-tteCar"/>
    <w:uiPriority w:val="99"/>
    <w:unhideWhenUsed/>
    <w:rsid w:val="00DC6DC4"/>
    <w:pPr>
      <w:tabs>
        <w:tab w:val="center" w:pos="4536"/>
        <w:tab w:val="right" w:pos="9072"/>
      </w:tabs>
      <w:spacing w:after="0" w:line="240" w:lineRule="auto"/>
    </w:pPr>
  </w:style>
  <w:style w:type="character" w:customStyle="1" w:styleId="En-tteCar">
    <w:name w:val="En-tête Car"/>
    <w:basedOn w:val="Policepardfaut"/>
    <w:link w:val="En-tte"/>
    <w:uiPriority w:val="99"/>
    <w:rsid w:val="00DC6DC4"/>
  </w:style>
  <w:style w:type="paragraph" w:styleId="Pieddepage">
    <w:name w:val="footer"/>
    <w:basedOn w:val="Normal"/>
    <w:link w:val="PieddepageCar"/>
    <w:uiPriority w:val="99"/>
    <w:unhideWhenUsed/>
    <w:rsid w:val="00DC6D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DC4"/>
  </w:style>
  <w:style w:type="table" w:styleId="Grilledutableau">
    <w:name w:val="Table Grid"/>
    <w:basedOn w:val="TableauNormal"/>
    <w:uiPriority w:val="59"/>
    <w:rsid w:val="003A5F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5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91"/>
    <w:rPr>
      <w:rFonts w:ascii="Tahoma" w:hAnsi="Tahoma" w:cs="Tahoma"/>
      <w:sz w:val="16"/>
      <w:szCs w:val="16"/>
    </w:rPr>
  </w:style>
  <w:style w:type="character" w:customStyle="1" w:styleId="Titre1Car">
    <w:name w:val="Titre 1 Car"/>
    <w:aliases w:val="Annex I Outline Car"/>
    <w:basedOn w:val="Policepardfaut"/>
    <w:link w:val="Titre1"/>
    <w:uiPriority w:val="9"/>
    <w:rsid w:val="006001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57A5E"/>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basedOn w:val="Policepardfaut"/>
    <w:link w:val="Paragraphedeliste"/>
    <w:uiPriority w:val="34"/>
    <w:qFormat/>
    <w:locked/>
    <w:rsid w:val="00457A5E"/>
  </w:style>
  <w:style w:type="paragraph" w:styleId="Corpsdetexte2">
    <w:name w:val="Body Text 2"/>
    <w:basedOn w:val="Normal"/>
    <w:link w:val="Corpsdetexte2Car"/>
    <w:rsid w:val="00457A5E"/>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457A5E"/>
    <w:rPr>
      <w:rFonts w:ascii="Times New Roman" w:eastAsia="Times New Roman" w:hAnsi="Times New Roman" w:cs="Times New Roman"/>
      <w:sz w:val="24"/>
      <w:szCs w:val="24"/>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iPriority w:val="99"/>
    <w:unhideWhenUsed/>
    <w:rsid w:val="00457A5E"/>
    <w:rPr>
      <w:rFonts w:ascii="Calibri" w:eastAsia="Calibri" w:hAnsi="Calibri" w:cs="Times New Roman"/>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uiPriority w:val="99"/>
    <w:rsid w:val="00457A5E"/>
    <w:rPr>
      <w:rFonts w:ascii="Calibri" w:eastAsia="Calibri" w:hAnsi="Calibri" w:cs="Times New Roman"/>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BVI fnr,Référence pied de page, BVI fnr"/>
    <w:basedOn w:val="Policepardfaut"/>
    <w:uiPriority w:val="99"/>
    <w:unhideWhenUsed/>
    <w:qFormat/>
    <w:rsid w:val="00457A5E"/>
    <w:rPr>
      <w:vertAlign w:val="superscript"/>
    </w:rPr>
  </w:style>
  <w:style w:type="paragraph" w:styleId="Retraitcorpsdetexte">
    <w:name w:val="Body Text Indent"/>
    <w:basedOn w:val="Normal"/>
    <w:link w:val="RetraitcorpsdetexteCar"/>
    <w:rsid w:val="004C18B3"/>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4C18B3"/>
    <w:rPr>
      <w:rFonts w:ascii="Times New Roman" w:eastAsia="Times New Roman" w:hAnsi="Times New Roman" w:cs="Times New Roman"/>
      <w:sz w:val="24"/>
      <w:szCs w:val="24"/>
      <w:lang w:eastAsia="fr-FR"/>
    </w:rPr>
  </w:style>
  <w:style w:type="paragraph" w:customStyle="1" w:styleId="Default">
    <w:name w:val="Default"/>
    <w:rsid w:val="00717C2B"/>
    <w:pPr>
      <w:autoSpaceDE w:val="0"/>
      <w:autoSpaceDN w:val="0"/>
      <w:adjustRightInd w:val="0"/>
      <w:spacing w:after="0" w:line="240" w:lineRule="auto"/>
    </w:pPr>
    <w:rPr>
      <w:rFonts w:ascii="Book Antiqua" w:hAnsi="Book Antiqua" w:cs="Book Antiqua"/>
      <w:color w:val="000000"/>
      <w:sz w:val="24"/>
      <w:szCs w:val="24"/>
    </w:rPr>
  </w:style>
  <w:style w:type="table" w:customStyle="1" w:styleId="TableauGrille1Clair-Accentuation11">
    <w:name w:val="Tableau Grille 1 Clair - Accentuation 11"/>
    <w:basedOn w:val="TableauNormal"/>
    <w:uiPriority w:val="46"/>
    <w:rsid w:val="00AC799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aliases w:val="Centered Car,Heading 3 Char Car,Centered Char Car,centered Char Car,centered Car,alec3 Car"/>
    <w:basedOn w:val="Policepardfaut"/>
    <w:link w:val="Titre3"/>
    <w:rsid w:val="006E1D0F"/>
    <w:rPr>
      <w:rFonts w:ascii="Cambria" w:eastAsia="Times New Roman" w:hAnsi="Cambria" w:cs="Times New Roman"/>
      <w:b/>
      <w:bCs/>
      <w:color w:val="000000"/>
    </w:rPr>
  </w:style>
  <w:style w:type="character" w:customStyle="1" w:styleId="Titre4Car">
    <w:name w:val="Titre 4 Car"/>
    <w:basedOn w:val="Policepardfaut"/>
    <w:link w:val="Titre4"/>
    <w:rsid w:val="006E1D0F"/>
    <w:rPr>
      <w:rFonts w:ascii="Cambria" w:eastAsia="Times New Roman" w:hAnsi="Cambria" w:cs="ArialNarrow"/>
      <w:b/>
      <w:bCs/>
      <w:i/>
      <w:iCs/>
      <w:color w:val="000000"/>
      <w:lang w:bidi="en-US"/>
    </w:rPr>
  </w:style>
  <w:style w:type="paragraph" w:customStyle="1" w:styleId="Body">
    <w:name w:val="Body"/>
    <w:basedOn w:val="Normal"/>
    <w:uiPriority w:val="1"/>
    <w:qFormat/>
    <w:rsid w:val="006E1D0F"/>
    <w:pPr>
      <w:widowControl w:val="0"/>
      <w:spacing w:after="0" w:line="240" w:lineRule="auto"/>
    </w:pPr>
    <w:rPr>
      <w:rFonts w:ascii="Calibri" w:eastAsia="Calibri" w:hAnsi="Calibri"/>
      <w:sz w:val="28"/>
      <w:szCs w:val="28"/>
      <w:lang w:val="en-US"/>
    </w:rPr>
  </w:style>
  <w:style w:type="paragraph" w:customStyle="1" w:styleId="Titre11">
    <w:name w:val="Titre 11"/>
    <w:basedOn w:val="Normal"/>
    <w:uiPriority w:val="1"/>
    <w:qFormat/>
    <w:rsid w:val="006E1D0F"/>
    <w:pPr>
      <w:widowControl w:val="0"/>
      <w:spacing w:after="0" w:line="240" w:lineRule="auto"/>
      <w:outlineLvl w:val="1"/>
    </w:pPr>
    <w:rPr>
      <w:rFonts w:ascii="Calibri" w:eastAsia="Calibri" w:hAnsi="Calibri"/>
      <w:b/>
      <w:bCs/>
      <w:sz w:val="28"/>
      <w:szCs w:val="28"/>
      <w:lang w:val="en-US"/>
    </w:rPr>
  </w:style>
  <w:style w:type="paragraph" w:customStyle="1" w:styleId="Graph">
    <w:name w:val="Graph"/>
    <w:basedOn w:val="Normal"/>
    <w:qFormat/>
    <w:rsid w:val="00812286"/>
    <w:pPr>
      <w:spacing w:after="0" w:line="360" w:lineRule="auto"/>
      <w:jc w:val="both"/>
    </w:pPr>
    <w:rPr>
      <w:rFonts w:ascii="Sylfaen" w:hAnsi="Sylfaen" w:cstheme="majorBidi"/>
      <w:i/>
      <w:szCs w:val="24"/>
    </w:rPr>
  </w:style>
  <w:style w:type="paragraph" w:customStyle="1" w:styleId="Tableau">
    <w:name w:val="Tableau"/>
    <w:basedOn w:val="Normal"/>
    <w:uiPriority w:val="99"/>
    <w:qFormat/>
    <w:rsid w:val="00812286"/>
    <w:pPr>
      <w:spacing w:after="0"/>
      <w:jc w:val="both"/>
    </w:pPr>
    <w:rPr>
      <w:rFonts w:ascii="Sylfaen" w:eastAsia="Calibri" w:hAnsi="Sylfaen" w:cs="Tahoma"/>
      <w:i/>
      <w:szCs w:val="24"/>
    </w:rPr>
  </w:style>
  <w:style w:type="table" w:customStyle="1" w:styleId="Listeclaire1">
    <w:name w:val="Liste claire1"/>
    <w:basedOn w:val="TableauNormal"/>
    <w:uiPriority w:val="61"/>
    <w:rsid w:val="00812286"/>
    <w:pPr>
      <w:spacing w:after="0" w:line="240" w:lineRule="auto"/>
      <w:jc w:val="both"/>
    </w:pPr>
    <w:rPr>
      <w:rFonts w:ascii="Sylfaen" w:hAnsi="Sylfaen"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000000" w:themeFill="text1"/>
      </w:tcPr>
    </w:tblStylePr>
    <w:tblStylePr w:type="lastRow">
      <w:pPr>
        <w:spacing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ongtext">
    <w:name w:val="long_text"/>
    <w:basedOn w:val="Policepardfaut"/>
    <w:rsid w:val="00812286"/>
  </w:style>
  <w:style w:type="character" w:customStyle="1" w:styleId="hps">
    <w:name w:val="hps"/>
    <w:basedOn w:val="Policepardfaut"/>
    <w:rsid w:val="00812286"/>
  </w:style>
  <w:style w:type="table" w:customStyle="1" w:styleId="Listeclaire2">
    <w:name w:val="Liste claire2"/>
    <w:basedOn w:val="TableauNormal"/>
    <w:uiPriority w:val="61"/>
    <w:rsid w:val="00812286"/>
    <w:pPr>
      <w:spacing w:after="0" w:line="240" w:lineRule="auto"/>
      <w:jc w:val="both"/>
    </w:pPr>
    <w:rPr>
      <w:rFonts w:ascii="Sylfaen" w:hAnsi="Sylfaen"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2">
    <w:name w:val="Liste claire - Accent 12"/>
    <w:basedOn w:val="TableauNormal"/>
    <w:uiPriority w:val="61"/>
    <w:rsid w:val="00812286"/>
    <w:pPr>
      <w:spacing w:after="0" w:line="240" w:lineRule="auto"/>
      <w:ind w:left="567"/>
      <w:jc w:val="both"/>
    </w:pPr>
    <w:rPr>
      <w:rFonts w:ascii="Times New Roman" w:hAnsi="Times New Roman"/>
      <w:sz w:val="24"/>
      <w:szCs w:val="2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moyenne11">
    <w:name w:val="Trame moyenne 11"/>
    <w:basedOn w:val="TableauNormal"/>
    <w:uiPriority w:val="63"/>
    <w:rsid w:val="00812286"/>
    <w:pPr>
      <w:spacing w:after="0" w:line="240" w:lineRule="auto"/>
      <w:jc w:val="both"/>
    </w:pPr>
    <w:rPr>
      <w:rFonts w:ascii="Times New Roman" w:hAnsi="Times New Roman" w:cs="Times New Roman"/>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12286"/>
    <w:pPr>
      <w:spacing w:before="240" w:after="240" w:line="240" w:lineRule="auto"/>
      <w:ind w:left="714" w:hanging="357"/>
    </w:pPr>
    <w:rPr>
      <w:rFonts w:ascii="Times New Roman" w:eastAsia="Times New Roman" w:hAnsi="Times New Roman" w:cs="Times New Roman"/>
      <w:sz w:val="24"/>
      <w:szCs w:val="24"/>
      <w:lang w:val="en-US"/>
    </w:rPr>
  </w:style>
  <w:style w:type="character" w:customStyle="1" w:styleId="newsflash">
    <w:name w:val="newsflash"/>
    <w:basedOn w:val="Policepardfaut"/>
    <w:rsid w:val="00812286"/>
  </w:style>
  <w:style w:type="table" w:styleId="Listemoyenne2-Accent1">
    <w:name w:val="Medium List 2 Accent 1"/>
    <w:basedOn w:val="TableauNormal"/>
    <w:uiPriority w:val="66"/>
    <w:rsid w:val="00812286"/>
    <w:pPr>
      <w:spacing w:after="0" w:line="240" w:lineRule="auto"/>
      <w:jc w:val="both"/>
    </w:pPr>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raphique">
    <w:name w:val="graphique"/>
    <w:basedOn w:val="Paragraphedeliste"/>
    <w:qFormat/>
    <w:rsid w:val="00E95812"/>
    <w:pPr>
      <w:autoSpaceDE w:val="0"/>
      <w:autoSpaceDN w:val="0"/>
      <w:adjustRightInd w:val="0"/>
      <w:spacing w:after="120" w:line="360" w:lineRule="auto"/>
      <w:ind w:left="0"/>
      <w:jc w:val="both"/>
    </w:pPr>
    <w:rPr>
      <w:rFonts w:ascii="Arial Narrow" w:eastAsia="Calibri" w:hAnsi="Arial Narrow" w:cs="Calibri"/>
    </w:rPr>
  </w:style>
  <w:style w:type="character" w:customStyle="1" w:styleId="LgendeCar">
    <w:name w:val="Légende Car"/>
    <w:aliases w:val="LVT Table Heading Car,Légende1 Car,Légende21 Car,Légende111 Car,Car111 Car,Car Car Car Car Car Car Car Car Car111 Car,Car Car Car Car Car111 Car,Car Car Car Car111 Car,Car Car Car Car Car Car Car Car211 Car,Caption Char Car"/>
    <w:link w:val="Lgende"/>
    <w:locked/>
    <w:rsid w:val="005078B7"/>
    <w:rPr>
      <w:rFonts w:ascii="Rockwell" w:eastAsia="Times New Roman" w:hAnsi="Rockwell" w:cs="ArialNarrow"/>
      <w:b/>
      <w:bCs/>
      <w:color w:val="000000"/>
      <w:sz w:val="20"/>
      <w:szCs w:val="20"/>
      <w:lang w:bidi="en-US"/>
    </w:rPr>
  </w:style>
  <w:style w:type="paragraph" w:styleId="Lgende">
    <w:name w:val="caption"/>
    <w:aliases w:val="LVT Table Heading,Légende1,Légende21,Légende111,Car111,Car Car Car Car Car Car Car Car Car111,Car Car Car Car Car111,Car Car Car Car111,Car Car Car Car Car Car Car Car211,Car Car Car Car Car Car Car Car Car Car Car Car Car Car Car11,Caption Char"/>
    <w:basedOn w:val="Normal"/>
    <w:next w:val="Normal"/>
    <w:link w:val="LgendeCar"/>
    <w:unhideWhenUsed/>
    <w:qFormat/>
    <w:rsid w:val="005078B7"/>
    <w:pPr>
      <w:autoSpaceDE w:val="0"/>
      <w:autoSpaceDN w:val="0"/>
      <w:adjustRightInd w:val="0"/>
      <w:spacing w:after="0" w:line="240" w:lineRule="auto"/>
      <w:jc w:val="both"/>
    </w:pPr>
    <w:rPr>
      <w:rFonts w:ascii="Rockwell" w:eastAsia="Times New Roman" w:hAnsi="Rockwell" w:cs="ArialNarrow"/>
      <w:b/>
      <w:bCs/>
      <w:color w:val="000000"/>
      <w:sz w:val="20"/>
      <w:szCs w:val="20"/>
      <w:lang w:bidi="en-US"/>
    </w:rPr>
  </w:style>
  <w:style w:type="paragraph" w:customStyle="1" w:styleId="Commentaire1">
    <w:name w:val="Commentaire1"/>
    <w:basedOn w:val="Normal"/>
    <w:next w:val="Commentaire"/>
    <w:link w:val="CommentaireCar"/>
    <w:uiPriority w:val="99"/>
    <w:unhideWhenUsed/>
    <w:rsid w:val="009E31FB"/>
    <w:pPr>
      <w:spacing w:line="240" w:lineRule="auto"/>
    </w:pPr>
    <w:rPr>
      <w:sz w:val="20"/>
      <w:szCs w:val="20"/>
    </w:rPr>
  </w:style>
  <w:style w:type="character" w:customStyle="1" w:styleId="CommentaireCar">
    <w:name w:val="Commentaire Car"/>
    <w:basedOn w:val="Policepardfaut"/>
    <w:link w:val="Commentaire1"/>
    <w:uiPriority w:val="99"/>
    <w:rsid w:val="009E31FB"/>
    <w:rPr>
      <w:sz w:val="20"/>
      <w:szCs w:val="20"/>
    </w:rPr>
  </w:style>
  <w:style w:type="paragraph" w:styleId="Commentaire">
    <w:name w:val="annotation text"/>
    <w:basedOn w:val="Normal"/>
    <w:link w:val="CommentaireCar1"/>
    <w:uiPriority w:val="99"/>
    <w:unhideWhenUsed/>
    <w:rsid w:val="009E31FB"/>
    <w:pPr>
      <w:spacing w:line="240" w:lineRule="auto"/>
    </w:pPr>
    <w:rPr>
      <w:sz w:val="20"/>
      <w:szCs w:val="20"/>
    </w:rPr>
  </w:style>
  <w:style w:type="character" w:customStyle="1" w:styleId="CommentaireCar1">
    <w:name w:val="Commentaire Car1"/>
    <w:basedOn w:val="Policepardfaut"/>
    <w:link w:val="Commentaire"/>
    <w:uiPriority w:val="99"/>
    <w:rsid w:val="009E31FB"/>
    <w:rPr>
      <w:sz w:val="20"/>
      <w:szCs w:val="20"/>
    </w:rPr>
  </w:style>
  <w:style w:type="paragraph" w:styleId="Corpsdetexte">
    <w:name w:val="Body Text"/>
    <w:basedOn w:val="Normal"/>
    <w:link w:val="CorpsdetexteCar"/>
    <w:uiPriority w:val="99"/>
    <w:semiHidden/>
    <w:unhideWhenUsed/>
    <w:rsid w:val="00927703"/>
    <w:pPr>
      <w:spacing w:after="120"/>
    </w:pPr>
  </w:style>
  <w:style w:type="character" w:customStyle="1" w:styleId="CorpsdetexteCar">
    <w:name w:val="Corps de texte Car"/>
    <w:basedOn w:val="Policepardfaut"/>
    <w:link w:val="Corpsdetexte"/>
    <w:uiPriority w:val="99"/>
    <w:semiHidden/>
    <w:rsid w:val="00927703"/>
  </w:style>
  <w:style w:type="paragraph" w:styleId="Titre">
    <w:name w:val="Title"/>
    <w:basedOn w:val="Normal"/>
    <w:next w:val="Normal"/>
    <w:link w:val="TitreCar"/>
    <w:qFormat/>
    <w:rsid w:val="002C1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C14C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B90382"/>
  </w:style>
  <w:style w:type="character" w:styleId="Lienhypertexte">
    <w:name w:val="Hyperlink"/>
    <w:basedOn w:val="Policepardfaut"/>
    <w:uiPriority w:val="99"/>
    <w:unhideWhenUsed/>
    <w:rsid w:val="0073480A"/>
    <w:rPr>
      <w:color w:val="0000FF" w:themeColor="hyperlink"/>
      <w:u w:val="single"/>
    </w:rPr>
  </w:style>
  <w:style w:type="character" w:customStyle="1" w:styleId="st1">
    <w:name w:val="st1"/>
    <w:basedOn w:val="Policepardfaut"/>
    <w:rsid w:val="002A5C0B"/>
  </w:style>
  <w:style w:type="character" w:styleId="Accentuation">
    <w:name w:val="Emphasis"/>
    <w:basedOn w:val="Policepardfaut"/>
    <w:uiPriority w:val="20"/>
    <w:qFormat/>
    <w:rsid w:val="00C06CFA"/>
    <w:rPr>
      <w:b/>
      <w:bCs/>
      <w:i w:val="0"/>
      <w:iCs w:val="0"/>
    </w:rPr>
  </w:style>
  <w:style w:type="character" w:customStyle="1" w:styleId="Titre5Car">
    <w:name w:val="Titre 5 Car"/>
    <w:basedOn w:val="Policepardfaut"/>
    <w:link w:val="Titre5"/>
    <w:uiPriority w:val="9"/>
    <w:rsid w:val="003116E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77F0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F0FE4"/>
    <w:rPr>
      <w:rFonts w:asciiTheme="majorHAnsi" w:eastAsiaTheme="majorEastAsia" w:hAnsiTheme="majorHAnsi" w:cstheme="majorBidi"/>
      <w:i/>
      <w:iCs/>
      <w:color w:val="404040" w:themeColor="text1" w:themeTint="BF"/>
    </w:rPr>
  </w:style>
  <w:style w:type="paragraph" w:styleId="TM1">
    <w:name w:val="toc 1"/>
    <w:basedOn w:val="Normal"/>
    <w:next w:val="Normal"/>
    <w:autoRedefine/>
    <w:uiPriority w:val="39"/>
    <w:unhideWhenUsed/>
    <w:rsid w:val="005F0FE4"/>
    <w:pPr>
      <w:spacing w:before="120" w:after="120"/>
    </w:pPr>
    <w:rPr>
      <w:b/>
      <w:bCs/>
      <w:caps/>
      <w:sz w:val="20"/>
      <w:szCs w:val="20"/>
    </w:rPr>
  </w:style>
  <w:style w:type="paragraph" w:styleId="TM2">
    <w:name w:val="toc 2"/>
    <w:basedOn w:val="Normal"/>
    <w:next w:val="Normal"/>
    <w:autoRedefine/>
    <w:uiPriority w:val="39"/>
    <w:unhideWhenUsed/>
    <w:rsid w:val="005F0FE4"/>
    <w:pPr>
      <w:spacing w:after="0"/>
      <w:ind w:left="220"/>
    </w:pPr>
    <w:rPr>
      <w:smallCaps/>
      <w:sz w:val="20"/>
      <w:szCs w:val="20"/>
    </w:rPr>
  </w:style>
  <w:style w:type="paragraph" w:styleId="TM3">
    <w:name w:val="toc 3"/>
    <w:basedOn w:val="Normal"/>
    <w:next w:val="Normal"/>
    <w:autoRedefine/>
    <w:uiPriority w:val="39"/>
    <w:unhideWhenUsed/>
    <w:rsid w:val="005F0FE4"/>
    <w:pPr>
      <w:spacing w:after="0"/>
      <w:ind w:left="440"/>
    </w:pPr>
    <w:rPr>
      <w:i/>
      <w:iCs/>
      <w:sz w:val="20"/>
      <w:szCs w:val="20"/>
    </w:rPr>
  </w:style>
  <w:style w:type="paragraph" w:styleId="TM4">
    <w:name w:val="toc 4"/>
    <w:basedOn w:val="Normal"/>
    <w:next w:val="Normal"/>
    <w:autoRedefine/>
    <w:uiPriority w:val="39"/>
    <w:unhideWhenUsed/>
    <w:rsid w:val="005F0FE4"/>
    <w:pPr>
      <w:spacing w:after="0"/>
      <w:ind w:left="660"/>
    </w:pPr>
    <w:rPr>
      <w:sz w:val="18"/>
      <w:szCs w:val="18"/>
    </w:rPr>
  </w:style>
  <w:style w:type="paragraph" w:styleId="TM5">
    <w:name w:val="toc 5"/>
    <w:basedOn w:val="Normal"/>
    <w:next w:val="Normal"/>
    <w:autoRedefine/>
    <w:uiPriority w:val="39"/>
    <w:unhideWhenUsed/>
    <w:rsid w:val="005F0FE4"/>
    <w:pPr>
      <w:spacing w:after="0"/>
      <w:ind w:left="880"/>
    </w:pPr>
    <w:rPr>
      <w:sz w:val="18"/>
      <w:szCs w:val="18"/>
    </w:rPr>
  </w:style>
  <w:style w:type="paragraph" w:styleId="TM6">
    <w:name w:val="toc 6"/>
    <w:basedOn w:val="Normal"/>
    <w:next w:val="Normal"/>
    <w:autoRedefine/>
    <w:uiPriority w:val="39"/>
    <w:unhideWhenUsed/>
    <w:rsid w:val="005F0FE4"/>
    <w:pPr>
      <w:spacing w:after="0"/>
      <w:ind w:left="1100"/>
    </w:pPr>
    <w:rPr>
      <w:sz w:val="18"/>
      <w:szCs w:val="18"/>
    </w:rPr>
  </w:style>
  <w:style w:type="paragraph" w:styleId="TM7">
    <w:name w:val="toc 7"/>
    <w:basedOn w:val="Normal"/>
    <w:next w:val="Normal"/>
    <w:autoRedefine/>
    <w:uiPriority w:val="39"/>
    <w:unhideWhenUsed/>
    <w:rsid w:val="005F0FE4"/>
    <w:pPr>
      <w:spacing w:after="0"/>
      <w:ind w:left="1320"/>
    </w:pPr>
    <w:rPr>
      <w:sz w:val="18"/>
      <w:szCs w:val="18"/>
    </w:rPr>
  </w:style>
  <w:style w:type="paragraph" w:styleId="TM8">
    <w:name w:val="toc 8"/>
    <w:basedOn w:val="Normal"/>
    <w:next w:val="Normal"/>
    <w:autoRedefine/>
    <w:uiPriority w:val="39"/>
    <w:unhideWhenUsed/>
    <w:rsid w:val="005F0FE4"/>
    <w:pPr>
      <w:spacing w:after="0"/>
      <w:ind w:left="1540"/>
    </w:pPr>
    <w:rPr>
      <w:sz w:val="18"/>
      <w:szCs w:val="18"/>
    </w:rPr>
  </w:style>
  <w:style w:type="paragraph" w:styleId="TM9">
    <w:name w:val="toc 9"/>
    <w:basedOn w:val="Normal"/>
    <w:next w:val="Normal"/>
    <w:autoRedefine/>
    <w:uiPriority w:val="39"/>
    <w:unhideWhenUsed/>
    <w:rsid w:val="005F0FE4"/>
    <w:pPr>
      <w:spacing w:after="0"/>
      <w:ind w:left="1760"/>
    </w:pPr>
    <w:rPr>
      <w:sz w:val="18"/>
      <w:szCs w:val="18"/>
    </w:rPr>
  </w:style>
  <w:style w:type="paragraph" w:customStyle="1" w:styleId="PNDES1">
    <w:name w:val="PNDES1"/>
    <w:basedOn w:val="Titre1"/>
    <w:next w:val="Normal"/>
    <w:autoRedefine/>
    <w:qFormat/>
    <w:rsid w:val="00DB35EE"/>
    <w:pPr>
      <w:numPr>
        <w:numId w:val="3"/>
      </w:numPr>
      <w:pBdr>
        <w:bottom w:val="thinThickSmallGap" w:sz="12" w:space="1" w:color="auto"/>
      </w:pBdr>
      <w:spacing w:before="0" w:line="240" w:lineRule="auto"/>
      <w:ind w:right="-1"/>
      <w:jc w:val="both"/>
    </w:pPr>
    <w:rPr>
      <w:rFonts w:ascii="Rockwell" w:hAnsi="Rockwell"/>
      <w:bCs w:val="0"/>
      <w:caps/>
      <w:color w:val="auto"/>
      <w:sz w:val="24"/>
      <w:szCs w:val="32"/>
    </w:rPr>
  </w:style>
  <w:style w:type="paragraph" w:customStyle="1" w:styleId="PNDES2">
    <w:name w:val="PNDES 2"/>
    <w:basedOn w:val="Titre2"/>
    <w:next w:val="Normal"/>
    <w:autoRedefine/>
    <w:qFormat/>
    <w:rsid w:val="00EE18A8"/>
    <w:pPr>
      <w:numPr>
        <w:ilvl w:val="1"/>
        <w:numId w:val="3"/>
      </w:numPr>
      <w:spacing w:before="0" w:line="240" w:lineRule="auto"/>
      <w:jc w:val="both"/>
    </w:pPr>
    <w:rPr>
      <w:rFonts w:ascii="Rockwell" w:hAnsi="Rockwell"/>
      <w:bCs w:val="0"/>
      <w:i/>
      <w:caps/>
      <w:color w:val="auto"/>
      <w:sz w:val="24"/>
    </w:rPr>
  </w:style>
  <w:style w:type="paragraph" w:customStyle="1" w:styleId="PNDES3">
    <w:name w:val="PNDES 3"/>
    <w:basedOn w:val="Titre3"/>
    <w:next w:val="Normal"/>
    <w:autoRedefine/>
    <w:qFormat/>
    <w:rsid w:val="003F2E59"/>
    <w:pPr>
      <w:numPr>
        <w:ilvl w:val="2"/>
        <w:numId w:val="3"/>
      </w:numPr>
      <w:autoSpaceDE/>
      <w:autoSpaceDN/>
      <w:adjustRightInd/>
      <w:spacing w:before="0" w:after="0" w:line="240" w:lineRule="auto"/>
    </w:pPr>
    <w:rPr>
      <w:rFonts w:ascii="Bookman Old Style" w:eastAsiaTheme="majorEastAsia" w:hAnsi="Bookman Old Style" w:cstheme="majorBidi"/>
      <w:bCs w:val="0"/>
      <w:smallCaps/>
      <w:color w:val="auto"/>
      <w:sz w:val="24"/>
      <w:szCs w:val="24"/>
    </w:rPr>
  </w:style>
  <w:style w:type="paragraph" w:customStyle="1" w:styleId="PNDES4">
    <w:name w:val="PNDES 4"/>
    <w:basedOn w:val="PNDES3"/>
    <w:qFormat/>
    <w:rsid w:val="00B059FD"/>
    <w:pPr>
      <w:numPr>
        <w:ilvl w:val="3"/>
      </w:numPr>
    </w:pPr>
  </w:style>
  <w:style w:type="paragraph" w:styleId="En-ttedetabledesmatires">
    <w:name w:val="TOC Heading"/>
    <w:basedOn w:val="Titre1"/>
    <w:next w:val="Normal"/>
    <w:uiPriority w:val="39"/>
    <w:unhideWhenUsed/>
    <w:qFormat/>
    <w:rsid w:val="00B059FD"/>
    <w:pPr>
      <w:spacing w:before="240" w:line="259" w:lineRule="auto"/>
      <w:outlineLvl w:val="9"/>
    </w:pPr>
    <w:rPr>
      <w:b w:val="0"/>
      <w:bCs w:val="0"/>
      <w:sz w:val="32"/>
      <w:szCs w:val="32"/>
    </w:rPr>
  </w:style>
  <w:style w:type="character" w:styleId="Marquedecommentaire">
    <w:name w:val="annotation reference"/>
    <w:basedOn w:val="Policepardfaut"/>
    <w:uiPriority w:val="99"/>
    <w:semiHidden/>
    <w:unhideWhenUsed/>
    <w:rsid w:val="002E6EA2"/>
    <w:rPr>
      <w:sz w:val="16"/>
      <w:szCs w:val="16"/>
    </w:rPr>
  </w:style>
  <w:style w:type="paragraph" w:styleId="Objetducommentaire">
    <w:name w:val="annotation subject"/>
    <w:basedOn w:val="Commentaire"/>
    <w:next w:val="Commentaire"/>
    <w:link w:val="ObjetducommentaireCar"/>
    <w:uiPriority w:val="99"/>
    <w:semiHidden/>
    <w:unhideWhenUsed/>
    <w:rsid w:val="002E6EA2"/>
    <w:rPr>
      <w:b/>
      <w:bCs/>
    </w:rPr>
  </w:style>
  <w:style w:type="character" w:customStyle="1" w:styleId="ObjetducommentaireCar">
    <w:name w:val="Objet du commentaire Car"/>
    <w:basedOn w:val="CommentaireCar1"/>
    <w:link w:val="Objetducommentaire"/>
    <w:uiPriority w:val="99"/>
    <w:semiHidden/>
    <w:rsid w:val="002E6EA2"/>
    <w:rPr>
      <w:b/>
      <w:bCs/>
      <w:sz w:val="20"/>
      <w:szCs w:val="20"/>
    </w:rPr>
  </w:style>
  <w:style w:type="table" w:customStyle="1" w:styleId="TableauGrille5Fonc1">
    <w:name w:val="Tableau Grille 5 Foncé1"/>
    <w:basedOn w:val="TableauNormal"/>
    <w:uiPriority w:val="50"/>
    <w:rsid w:val="00FE2D4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lledetableauclaire1">
    <w:name w:val="Grille de tableau claire1"/>
    <w:basedOn w:val="TableauNormal"/>
    <w:uiPriority w:val="40"/>
    <w:rsid w:val="00FE2D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253AF7"/>
    <w:pPr>
      <w:spacing w:after="0"/>
    </w:pPr>
  </w:style>
  <w:style w:type="table" w:customStyle="1" w:styleId="Grilledutableau1">
    <w:name w:val="Grille du tableau1"/>
    <w:basedOn w:val="TableauNormal"/>
    <w:next w:val="Grilledutableau"/>
    <w:uiPriority w:val="39"/>
    <w:rsid w:val="005651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F01B6"/>
    <w:rPr>
      <w:color w:val="954F72"/>
      <w:u w:val="single"/>
    </w:rPr>
  </w:style>
  <w:style w:type="paragraph" w:customStyle="1" w:styleId="msonormal0">
    <w:name w:val="msonormal"/>
    <w:basedOn w:val="Normal"/>
    <w:rsid w:val="002F0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64">
    <w:name w:val="xl6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65">
    <w:name w:val="xl6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66">
    <w:name w:val="xl66"/>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67">
    <w:name w:val="xl67"/>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18"/>
      <w:szCs w:val="18"/>
    </w:rPr>
  </w:style>
  <w:style w:type="paragraph" w:customStyle="1" w:styleId="xl68">
    <w:name w:val="xl6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color w:val="FF0000"/>
      <w:sz w:val="18"/>
      <w:szCs w:val="18"/>
    </w:rPr>
  </w:style>
  <w:style w:type="paragraph" w:customStyle="1" w:styleId="xl69">
    <w:name w:val="xl6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18"/>
      <w:szCs w:val="18"/>
    </w:rPr>
  </w:style>
  <w:style w:type="paragraph" w:customStyle="1" w:styleId="xl70">
    <w:name w:val="xl70"/>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71">
    <w:name w:val="xl71"/>
    <w:basedOn w:val="Normal"/>
    <w:rsid w:val="002F01B6"/>
    <w:pPr>
      <w:spacing w:before="100" w:beforeAutospacing="1" w:after="100" w:afterAutospacing="1" w:line="240" w:lineRule="auto"/>
    </w:pPr>
    <w:rPr>
      <w:rFonts w:ascii="Rockwell" w:eastAsia="Times New Roman" w:hAnsi="Rockwell" w:cs="Times New Roman"/>
      <w:sz w:val="24"/>
      <w:szCs w:val="24"/>
    </w:rPr>
  </w:style>
  <w:style w:type="paragraph" w:customStyle="1" w:styleId="xl72">
    <w:name w:val="xl7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rPr>
  </w:style>
  <w:style w:type="paragraph" w:customStyle="1" w:styleId="xl73">
    <w:name w:val="xl73"/>
    <w:basedOn w:val="Normal"/>
    <w:rsid w:val="002F01B6"/>
    <w:pP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74">
    <w:name w:val="xl74"/>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Rockwell" w:eastAsia="Times New Roman" w:hAnsi="Rockwell" w:cs="Times New Roman"/>
      <w:b/>
      <w:bCs/>
      <w:sz w:val="24"/>
      <w:szCs w:val="24"/>
    </w:rPr>
  </w:style>
  <w:style w:type="paragraph" w:customStyle="1" w:styleId="xl75">
    <w:name w:val="xl7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76">
    <w:name w:val="xl76"/>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77">
    <w:name w:val="xl77"/>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78">
    <w:name w:val="xl78"/>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79">
    <w:name w:val="xl79"/>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0">
    <w:name w:val="xl80"/>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1">
    <w:name w:val="xl81"/>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2">
    <w:name w:val="xl8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color w:val="FF0000"/>
      <w:sz w:val="18"/>
      <w:szCs w:val="18"/>
    </w:rPr>
  </w:style>
  <w:style w:type="paragraph" w:customStyle="1" w:styleId="xl83">
    <w:name w:val="xl83"/>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84">
    <w:name w:val="xl8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85">
    <w:name w:val="xl8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color w:val="FF0000"/>
      <w:sz w:val="18"/>
      <w:szCs w:val="18"/>
    </w:rPr>
  </w:style>
  <w:style w:type="paragraph" w:customStyle="1" w:styleId="xl86">
    <w:name w:val="xl86"/>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Rockwell" w:eastAsia="Times New Roman" w:hAnsi="Rockwell" w:cs="Times New Roman"/>
      <w:b/>
      <w:bCs/>
      <w:sz w:val="24"/>
      <w:szCs w:val="24"/>
    </w:rPr>
  </w:style>
  <w:style w:type="paragraph" w:customStyle="1" w:styleId="xl87">
    <w:name w:val="xl87"/>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88">
    <w:name w:val="xl88"/>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89">
    <w:name w:val="xl8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0">
    <w:name w:val="xl90"/>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1">
    <w:name w:val="xl91"/>
    <w:basedOn w:val="Normal"/>
    <w:rsid w:val="002F01B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92">
    <w:name w:val="xl92"/>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93">
    <w:name w:val="xl93"/>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94">
    <w:name w:val="xl94"/>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95">
    <w:name w:val="xl95"/>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rPr>
  </w:style>
  <w:style w:type="paragraph" w:customStyle="1" w:styleId="xl96">
    <w:name w:val="xl96"/>
    <w:basedOn w:val="Normal"/>
    <w:rsid w:val="002F01B6"/>
    <w:pPr>
      <w:pBdr>
        <w:top w:val="single" w:sz="4" w:space="0" w:color="auto"/>
        <w:left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97">
    <w:name w:val="xl97"/>
    <w:basedOn w:val="Normal"/>
    <w:rsid w:val="002F01B6"/>
    <w:pPr>
      <w:pBdr>
        <w:top w:val="single" w:sz="8" w:space="0" w:color="000000"/>
        <w:bottom w:val="single" w:sz="8" w:space="0" w:color="000000"/>
        <w:right w:val="single" w:sz="8" w:space="0" w:color="000000"/>
      </w:pBdr>
      <w:shd w:val="clear" w:color="000000" w:fill="F2F2F2"/>
      <w:spacing w:before="100" w:beforeAutospacing="1" w:after="100" w:afterAutospacing="1" w:line="240" w:lineRule="auto"/>
      <w:jc w:val="both"/>
      <w:textAlignment w:val="top"/>
    </w:pPr>
    <w:rPr>
      <w:rFonts w:ascii="Cambria" w:eastAsia="Times New Roman" w:hAnsi="Cambria" w:cs="Times New Roman"/>
      <w:i/>
      <w:iCs/>
      <w:sz w:val="20"/>
      <w:szCs w:val="20"/>
    </w:rPr>
  </w:style>
  <w:style w:type="paragraph" w:customStyle="1" w:styleId="xl98">
    <w:name w:val="xl9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24"/>
      <w:szCs w:val="24"/>
    </w:rPr>
  </w:style>
  <w:style w:type="paragraph" w:customStyle="1" w:styleId="xl99">
    <w:name w:val="xl99"/>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FF0000"/>
      <w:sz w:val="18"/>
      <w:szCs w:val="18"/>
    </w:rPr>
  </w:style>
  <w:style w:type="paragraph" w:customStyle="1" w:styleId="xl100">
    <w:name w:val="xl100"/>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color w:val="FF0000"/>
      <w:sz w:val="24"/>
      <w:szCs w:val="24"/>
    </w:rPr>
  </w:style>
  <w:style w:type="paragraph" w:customStyle="1" w:styleId="xl101">
    <w:name w:val="xl101"/>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2">
    <w:name w:val="xl102"/>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24"/>
      <w:szCs w:val="24"/>
    </w:rPr>
  </w:style>
  <w:style w:type="paragraph" w:customStyle="1" w:styleId="xl103">
    <w:name w:val="xl103"/>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4">
    <w:name w:val="xl104"/>
    <w:basedOn w:val="Normal"/>
    <w:rsid w:val="002F01B6"/>
    <w:pPr>
      <w:pBdr>
        <w:left w:val="single" w:sz="4" w:space="0" w:color="auto"/>
        <w:bottom w:val="single" w:sz="4" w:space="0" w:color="auto"/>
        <w:right w:val="single" w:sz="4" w:space="0" w:color="auto"/>
      </w:pBdr>
      <w:spacing w:before="100" w:beforeAutospacing="1" w:after="100" w:afterAutospacing="1" w:line="240" w:lineRule="auto"/>
    </w:pPr>
    <w:rPr>
      <w:rFonts w:ascii="Rockwell" w:eastAsia="Times New Roman" w:hAnsi="Rockwell" w:cs="Times New Roman"/>
      <w:sz w:val="24"/>
      <w:szCs w:val="24"/>
    </w:rPr>
  </w:style>
  <w:style w:type="paragraph" w:customStyle="1" w:styleId="xl105">
    <w:name w:val="xl105"/>
    <w:basedOn w:val="Normal"/>
    <w:rsid w:val="002F0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106">
    <w:name w:val="xl106"/>
    <w:basedOn w:val="Normal"/>
    <w:rsid w:val="002F0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18"/>
      <w:szCs w:val="18"/>
    </w:rPr>
  </w:style>
  <w:style w:type="paragraph" w:customStyle="1" w:styleId="xl107">
    <w:name w:val="xl107"/>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08">
    <w:name w:val="xl108"/>
    <w:basedOn w:val="Normal"/>
    <w:rsid w:val="002F0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2F01B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10">
    <w:name w:val="xl110"/>
    <w:basedOn w:val="Normal"/>
    <w:rsid w:val="002F01B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Rockwell" w:eastAsia="Times New Roman" w:hAnsi="Rockwell" w:cs="Times New Roman"/>
      <w:b/>
      <w:bCs/>
      <w:sz w:val="18"/>
      <w:szCs w:val="18"/>
    </w:rPr>
  </w:style>
  <w:style w:type="paragraph" w:customStyle="1" w:styleId="xl111">
    <w:name w:val="xl111"/>
    <w:basedOn w:val="Normal"/>
    <w:rsid w:val="002F01B6"/>
    <w:pPr>
      <w:pBdr>
        <w:top w:val="single" w:sz="4" w:space="0" w:color="auto"/>
        <w:left w:val="single" w:sz="4" w:space="0" w:color="auto"/>
        <w:right w:val="single" w:sz="4" w:space="0" w:color="auto"/>
      </w:pBdr>
      <w:spacing w:before="100" w:beforeAutospacing="1" w:after="100" w:afterAutospacing="1" w:line="240" w:lineRule="auto"/>
    </w:pPr>
    <w:rPr>
      <w:rFonts w:ascii="Rockwell" w:eastAsia="Times New Roman" w:hAnsi="Rockwell" w:cs="Times New Roman"/>
      <w:color w:val="FF0000"/>
      <w:sz w:val="24"/>
      <w:szCs w:val="24"/>
    </w:rPr>
  </w:style>
  <w:style w:type="paragraph" w:customStyle="1" w:styleId="xl112">
    <w:name w:val="xl112"/>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3">
    <w:name w:val="xl113"/>
    <w:basedOn w:val="Normal"/>
    <w:rsid w:val="002F01B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4">
    <w:name w:val="xl114"/>
    <w:basedOn w:val="Normal"/>
    <w:rsid w:val="002F01B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Rockwell" w:eastAsia="Times New Roman" w:hAnsi="Rockwell" w:cs="Times New Roman"/>
      <w:b/>
      <w:bCs/>
      <w:sz w:val="18"/>
      <w:szCs w:val="18"/>
    </w:rPr>
  </w:style>
  <w:style w:type="paragraph" w:customStyle="1" w:styleId="xl115">
    <w:name w:val="xl115"/>
    <w:basedOn w:val="Normal"/>
    <w:rsid w:val="002F01B6"/>
    <w:pPr>
      <w:spacing w:before="100" w:beforeAutospacing="1" w:after="100" w:afterAutospacing="1" w:line="240" w:lineRule="auto"/>
    </w:pPr>
    <w:rPr>
      <w:rFonts w:ascii="Rockwell" w:eastAsia="Times New Roman" w:hAnsi="Rockwell" w:cs="Times New Roman"/>
      <w:b/>
      <w:bCs/>
      <w:sz w:val="24"/>
      <w:szCs w:val="24"/>
    </w:rPr>
  </w:style>
  <w:style w:type="character" w:customStyle="1" w:styleId="st">
    <w:name w:val="st"/>
    <w:basedOn w:val="Policepardfaut"/>
    <w:rsid w:val="003C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94">
      <w:bodyDiv w:val="1"/>
      <w:marLeft w:val="0"/>
      <w:marRight w:val="0"/>
      <w:marTop w:val="0"/>
      <w:marBottom w:val="0"/>
      <w:divBdr>
        <w:top w:val="none" w:sz="0" w:space="0" w:color="auto"/>
        <w:left w:val="none" w:sz="0" w:space="0" w:color="auto"/>
        <w:bottom w:val="none" w:sz="0" w:space="0" w:color="auto"/>
        <w:right w:val="none" w:sz="0" w:space="0" w:color="auto"/>
      </w:divBdr>
      <w:divsChild>
        <w:div w:id="1878807388">
          <w:marLeft w:val="1310"/>
          <w:marRight w:val="0"/>
          <w:marTop w:val="0"/>
          <w:marBottom w:val="0"/>
          <w:divBdr>
            <w:top w:val="none" w:sz="0" w:space="0" w:color="auto"/>
            <w:left w:val="none" w:sz="0" w:space="0" w:color="auto"/>
            <w:bottom w:val="none" w:sz="0" w:space="0" w:color="auto"/>
            <w:right w:val="none" w:sz="0" w:space="0" w:color="auto"/>
          </w:divBdr>
        </w:div>
      </w:divsChild>
    </w:div>
    <w:div w:id="195043053">
      <w:bodyDiv w:val="1"/>
      <w:marLeft w:val="0"/>
      <w:marRight w:val="0"/>
      <w:marTop w:val="0"/>
      <w:marBottom w:val="0"/>
      <w:divBdr>
        <w:top w:val="none" w:sz="0" w:space="0" w:color="auto"/>
        <w:left w:val="none" w:sz="0" w:space="0" w:color="auto"/>
        <w:bottom w:val="none" w:sz="0" w:space="0" w:color="auto"/>
        <w:right w:val="none" w:sz="0" w:space="0" w:color="auto"/>
      </w:divBdr>
      <w:divsChild>
        <w:div w:id="38164606">
          <w:marLeft w:val="734"/>
          <w:marRight w:val="0"/>
          <w:marTop w:val="0"/>
          <w:marBottom w:val="0"/>
          <w:divBdr>
            <w:top w:val="none" w:sz="0" w:space="0" w:color="auto"/>
            <w:left w:val="none" w:sz="0" w:space="0" w:color="auto"/>
            <w:bottom w:val="none" w:sz="0" w:space="0" w:color="auto"/>
            <w:right w:val="none" w:sz="0" w:space="0" w:color="auto"/>
          </w:divBdr>
        </w:div>
      </w:divsChild>
    </w:div>
    <w:div w:id="508182362">
      <w:bodyDiv w:val="1"/>
      <w:marLeft w:val="0"/>
      <w:marRight w:val="0"/>
      <w:marTop w:val="0"/>
      <w:marBottom w:val="0"/>
      <w:divBdr>
        <w:top w:val="none" w:sz="0" w:space="0" w:color="auto"/>
        <w:left w:val="none" w:sz="0" w:space="0" w:color="auto"/>
        <w:bottom w:val="none" w:sz="0" w:space="0" w:color="auto"/>
        <w:right w:val="none" w:sz="0" w:space="0" w:color="auto"/>
      </w:divBdr>
    </w:div>
    <w:div w:id="648366684">
      <w:bodyDiv w:val="1"/>
      <w:marLeft w:val="0"/>
      <w:marRight w:val="0"/>
      <w:marTop w:val="0"/>
      <w:marBottom w:val="0"/>
      <w:divBdr>
        <w:top w:val="none" w:sz="0" w:space="0" w:color="auto"/>
        <w:left w:val="none" w:sz="0" w:space="0" w:color="auto"/>
        <w:bottom w:val="none" w:sz="0" w:space="0" w:color="auto"/>
        <w:right w:val="none" w:sz="0" w:space="0" w:color="auto"/>
      </w:divBdr>
      <w:divsChild>
        <w:div w:id="1993633581">
          <w:marLeft w:val="734"/>
          <w:marRight w:val="0"/>
          <w:marTop w:val="0"/>
          <w:marBottom w:val="0"/>
          <w:divBdr>
            <w:top w:val="none" w:sz="0" w:space="0" w:color="auto"/>
            <w:left w:val="none" w:sz="0" w:space="0" w:color="auto"/>
            <w:bottom w:val="none" w:sz="0" w:space="0" w:color="auto"/>
            <w:right w:val="none" w:sz="0" w:space="0" w:color="auto"/>
          </w:divBdr>
        </w:div>
        <w:div w:id="199510599">
          <w:marLeft w:val="734"/>
          <w:marRight w:val="0"/>
          <w:marTop w:val="0"/>
          <w:marBottom w:val="0"/>
          <w:divBdr>
            <w:top w:val="none" w:sz="0" w:space="0" w:color="auto"/>
            <w:left w:val="none" w:sz="0" w:space="0" w:color="auto"/>
            <w:bottom w:val="none" w:sz="0" w:space="0" w:color="auto"/>
            <w:right w:val="none" w:sz="0" w:space="0" w:color="auto"/>
          </w:divBdr>
        </w:div>
      </w:divsChild>
    </w:div>
    <w:div w:id="1309439557">
      <w:bodyDiv w:val="1"/>
      <w:marLeft w:val="0"/>
      <w:marRight w:val="0"/>
      <w:marTop w:val="0"/>
      <w:marBottom w:val="0"/>
      <w:divBdr>
        <w:top w:val="none" w:sz="0" w:space="0" w:color="auto"/>
        <w:left w:val="none" w:sz="0" w:space="0" w:color="auto"/>
        <w:bottom w:val="none" w:sz="0" w:space="0" w:color="auto"/>
        <w:right w:val="none" w:sz="0" w:space="0" w:color="auto"/>
      </w:divBdr>
    </w:div>
    <w:div w:id="1508445511">
      <w:bodyDiv w:val="1"/>
      <w:marLeft w:val="0"/>
      <w:marRight w:val="0"/>
      <w:marTop w:val="0"/>
      <w:marBottom w:val="0"/>
      <w:divBdr>
        <w:top w:val="none" w:sz="0" w:space="0" w:color="auto"/>
        <w:left w:val="none" w:sz="0" w:space="0" w:color="auto"/>
        <w:bottom w:val="none" w:sz="0" w:space="0" w:color="auto"/>
        <w:right w:val="none" w:sz="0" w:space="0" w:color="auto"/>
      </w:divBdr>
      <w:divsChild>
        <w:div w:id="734745251">
          <w:marLeft w:val="734"/>
          <w:marRight w:val="0"/>
          <w:marTop w:val="0"/>
          <w:marBottom w:val="0"/>
          <w:divBdr>
            <w:top w:val="none" w:sz="0" w:space="0" w:color="auto"/>
            <w:left w:val="none" w:sz="0" w:space="0" w:color="auto"/>
            <w:bottom w:val="none" w:sz="0" w:space="0" w:color="auto"/>
            <w:right w:val="none" w:sz="0" w:space="0" w:color="auto"/>
          </w:divBdr>
        </w:div>
      </w:divsChild>
    </w:div>
    <w:div w:id="150859164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90C0-BC82-482D-82B7-926BCCA4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48150</Words>
  <Characters>264826</Characters>
  <Application>Microsoft Office Word</Application>
  <DocSecurity>0</DocSecurity>
  <Lines>2206</Lines>
  <Paragraphs>624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Somé S.A.</dc:creator>
  <cp:lastModifiedBy>Alima</cp:lastModifiedBy>
  <cp:revision>2</cp:revision>
  <cp:lastPrinted>2016-04-28T14:57:00Z</cp:lastPrinted>
  <dcterms:created xsi:type="dcterms:W3CDTF">2016-08-23T14:08:00Z</dcterms:created>
  <dcterms:modified xsi:type="dcterms:W3CDTF">2016-08-23T14:08:00Z</dcterms:modified>
</cp:coreProperties>
</file>