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styles.xml" ContentType="application/vnd.openxmlformats-officedocument.wordprocessingml.styles+xml"/>
  <Override PartName="/word/header8.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docProps/core.xml" ContentType="application/vnd.openxmlformats-package.core-properties+xml"/>
  <Override PartName="/word/footer4.xml" ContentType="application/vnd.openxmlformats-officedocument.wordprocessingml.footer+xml"/>
  <Override PartName="/word/footer9.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Calibri" w:cs="Calibri" w:hAnsi="Calibri"/>
          <w:i/>
        </w:rPr>
      </w:pPr>
      <w:bookmarkStart w:id="0" w:name="_GoBack"/>
      <w:bookmarkEnd w:id="0"/>
      <w:r>
        <w:rPr>
          <w:rFonts w:cs="Calibri" w:eastAsia="Microsoft JhengHei"/>
          <w:b/>
          <w:i/>
          <w:noProof/>
        </w:rPr>
        <mc:AlternateContent>
          <mc:Choice Requires="wps">
            <w:drawing>
              <wp:anchor distT="0" distB="0" distL="0" distR="0" simplePos="false" relativeHeight="17" behindDoc="false" locked="false" layoutInCell="true" allowOverlap="true">
                <wp:simplePos x="0" y="0"/>
                <wp:positionH relativeFrom="column">
                  <wp:posOffset>3714750</wp:posOffset>
                </wp:positionH>
                <wp:positionV relativeFrom="paragraph">
                  <wp:posOffset>8255</wp:posOffset>
                </wp:positionV>
                <wp:extent cx="2372359" cy="1955800"/>
                <wp:effectExtent l="8890" t="12065" r="9525" b="13334"/>
                <wp:wrapNone/>
                <wp:docPr id="1026" name="Rectangle 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2359" cy="1955800"/>
                        </a:xfrm>
                        <a:prstGeom prst="rect"/>
                        <a:solidFill>
                          <a:srgbClr val="ffffff"/>
                        </a:solidFill>
                        <a:ln cmpd="sng" cap="flat" w="9525">
                          <a:solidFill>
                            <a:srgbClr val="000000"/>
                          </a:solidFill>
                          <a:prstDash val="solid"/>
                          <a:miter/>
                          <a:headEnd len="med" type="none" w="med"/>
                          <a:tailEnd len="med" type="none" w="med"/>
                        </a:ln>
                      </wps:spPr>
                      <wps:txbx id="1026">
                        <w:txbxContent>
                          <w:p>
                            <w:pPr>
                              <w:pStyle w:val="style157"/>
                              <w:jc w:val="center"/>
                              <w:rPr>
                                <w:rFonts w:cs="Calibri"/>
                                <w:b/>
                                <w:i/>
                                <w:sz w:val="24"/>
                                <w:szCs w:val="24"/>
                                <w:lang w:val="fr-FR"/>
                              </w:rPr>
                            </w:pPr>
                            <w:r>
                              <w:rPr>
                                <w:rFonts w:cs="Calibri"/>
                                <w:b/>
                                <w:i/>
                                <w:sz w:val="24"/>
                                <w:szCs w:val="24"/>
                                <w:lang w:val="fr-FR"/>
                              </w:rPr>
                              <w:t>BURKINA FASO</w:t>
                            </w:r>
                          </w:p>
                          <w:p>
                            <w:pPr>
                              <w:pStyle w:val="style157"/>
                              <w:tabs>
                                <w:tab w:val="center" w:leader="none" w:pos="4570"/>
                              </w:tabs>
                              <w:rPr>
                                <w:rFonts w:cs="Calibri"/>
                                <w:i/>
                                <w:sz w:val="24"/>
                                <w:szCs w:val="24"/>
                                <w:lang w:val="fr-FR"/>
                              </w:rPr>
                            </w:pPr>
                            <w:r>
                              <w:rPr>
                                <w:rFonts w:cs="Calibri"/>
                                <w:i/>
                                <w:sz w:val="24"/>
                                <w:szCs w:val="24"/>
                                <w:lang w:val="fr-FR"/>
                              </w:rPr>
                              <w:tab/>
                            </w:r>
                            <w:r>
                              <w:rPr>
                                <w:rFonts w:cs="Calibri"/>
                                <w:i/>
                                <w:sz w:val="24"/>
                                <w:szCs w:val="24"/>
                                <w:lang w:val="fr-FR"/>
                              </w:rPr>
                              <w:t>-------</w:t>
                            </w:r>
                          </w:p>
                          <w:p>
                            <w:pPr>
                              <w:pStyle w:val="style157"/>
                              <w:jc w:val="center"/>
                              <w:rPr>
                                <w:rFonts w:cs="Calibri"/>
                                <w:b/>
                                <w:i/>
                                <w:sz w:val="24"/>
                                <w:szCs w:val="24"/>
                                <w:lang w:val="fr-FR"/>
                              </w:rPr>
                            </w:pPr>
                            <w:r>
                              <w:rPr>
                                <w:rFonts w:cs="Calibri"/>
                                <w:b/>
                                <w:i/>
                                <w:sz w:val="24"/>
                                <w:szCs w:val="24"/>
                                <w:lang w:val="fr-FR"/>
                              </w:rPr>
                              <w:t xml:space="preserve">Unité - Progrès </w:t>
                            </w:r>
                            <w:r>
                              <w:rPr>
                                <w:rFonts w:cs="Calibri"/>
                                <w:b/>
                                <w:i/>
                                <w:sz w:val="24"/>
                                <w:szCs w:val="24"/>
                                <w:lang w:val="fr-FR"/>
                              </w:rPr>
                              <w:t>–</w:t>
                            </w:r>
                            <w:r>
                              <w:rPr>
                                <w:rFonts w:cs="Calibri"/>
                                <w:b/>
                                <w:i/>
                                <w:sz w:val="24"/>
                                <w:szCs w:val="24"/>
                                <w:lang w:val="fr-FR"/>
                              </w:rPr>
                              <w:t xml:space="preserve"> Justice</w:t>
                            </w:r>
                          </w:p>
                          <w:p>
                            <w:pPr>
                              <w:pStyle w:val="style157"/>
                              <w:jc w:val="center"/>
                              <w:rPr>
                                <w:rFonts w:cs="Calibri"/>
                                <w:b/>
                                <w:i/>
                                <w:sz w:val="24"/>
                                <w:szCs w:val="24"/>
                                <w:lang w:val="fr-FR"/>
                              </w:rPr>
                            </w:pPr>
                          </w:p>
                          <w:p>
                            <w:pPr>
                              <w:pStyle w:val="style157"/>
                              <w:jc w:val="center"/>
                              <w:rPr>
                                <w:rFonts w:cs="Calibri"/>
                                <w:b/>
                                <w:i/>
                                <w:sz w:val="24"/>
                                <w:szCs w:val="24"/>
                                <w:lang w:val="fr-FR"/>
                              </w:rPr>
                            </w:pPr>
                            <w:r>
                              <w:rPr>
                                <w:rFonts w:cs="Calibri" w:eastAsia="Microsoft JhengHei"/>
                                <w:b/>
                                <w:i/>
                                <w:noProof/>
                                <w:lang w:val="fr-FR" w:eastAsia="fr-FR"/>
                              </w:rPr>
                              <w:drawing>
                                <wp:inline distT="0" distR="0" distL="0" distB="0">
                                  <wp:extent cx="962025" cy="1019175"/>
                                  <wp:effectExtent l="0" t="0" r="9525" b="9525"/>
                                  <wp:docPr id="2049"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962025" cy="1019175"/>
                                          </a:xfrm>
                                          <a:prstGeom prst="rect"/>
                                          <a:ln>
                                            <a:noFill/>
                                          </a:ln>
                                        </pic:spPr>
                                      </pic:pic>
                                    </a:graphicData>
                                  </a:graphic>
                                </wp:inline>
                              </w:drawing>
                            </w:r>
                          </w:p>
                          <w:p>
                            <w:pPr>
                              <w:pStyle w:val="style0"/>
                              <w:jc w:val="center"/>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26" fillcolor="white" stroked="t" style="position:absolute;margin-left:292.5pt;margin-top:0.65pt;width:186.8pt;height:154.0pt;z-index:17;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157"/>
                        <w:jc w:val="center"/>
                        <w:rPr>
                          <w:rFonts w:cs="Calibri"/>
                          <w:b/>
                          <w:i/>
                          <w:sz w:val="24"/>
                          <w:szCs w:val="24"/>
                          <w:lang w:val="fr-FR"/>
                        </w:rPr>
                      </w:pPr>
                      <w:r>
                        <w:rPr>
                          <w:rFonts w:cs="Calibri"/>
                          <w:b/>
                          <w:i/>
                          <w:sz w:val="24"/>
                          <w:szCs w:val="24"/>
                          <w:lang w:val="fr-FR"/>
                        </w:rPr>
                        <w:t>BURKINA FASO</w:t>
                      </w:r>
                    </w:p>
                    <w:p>
                      <w:pPr>
                        <w:pStyle w:val="style157"/>
                        <w:tabs>
                          <w:tab w:val="center" w:leader="none" w:pos="4570"/>
                        </w:tabs>
                        <w:rPr>
                          <w:rFonts w:cs="Calibri"/>
                          <w:i/>
                          <w:sz w:val="24"/>
                          <w:szCs w:val="24"/>
                          <w:lang w:val="fr-FR"/>
                        </w:rPr>
                      </w:pPr>
                      <w:r>
                        <w:rPr>
                          <w:rFonts w:cs="Calibri"/>
                          <w:i/>
                          <w:sz w:val="24"/>
                          <w:szCs w:val="24"/>
                          <w:lang w:val="fr-FR"/>
                        </w:rPr>
                        <w:tab/>
                      </w:r>
                      <w:r>
                        <w:rPr>
                          <w:rFonts w:cs="Calibri"/>
                          <w:i/>
                          <w:sz w:val="24"/>
                          <w:szCs w:val="24"/>
                          <w:lang w:val="fr-FR"/>
                        </w:rPr>
                        <w:t>-------</w:t>
                      </w:r>
                    </w:p>
                    <w:p>
                      <w:pPr>
                        <w:pStyle w:val="style157"/>
                        <w:jc w:val="center"/>
                        <w:rPr>
                          <w:rFonts w:cs="Calibri"/>
                          <w:b/>
                          <w:i/>
                          <w:sz w:val="24"/>
                          <w:szCs w:val="24"/>
                          <w:lang w:val="fr-FR"/>
                        </w:rPr>
                      </w:pPr>
                      <w:r>
                        <w:rPr>
                          <w:rFonts w:cs="Calibri"/>
                          <w:b/>
                          <w:i/>
                          <w:sz w:val="24"/>
                          <w:szCs w:val="24"/>
                          <w:lang w:val="fr-FR"/>
                        </w:rPr>
                        <w:t xml:space="preserve">Unité - Progrès </w:t>
                      </w:r>
                      <w:r>
                        <w:rPr>
                          <w:rFonts w:cs="Calibri"/>
                          <w:b/>
                          <w:i/>
                          <w:sz w:val="24"/>
                          <w:szCs w:val="24"/>
                          <w:lang w:val="fr-FR"/>
                        </w:rPr>
                        <w:t>–</w:t>
                      </w:r>
                      <w:r>
                        <w:rPr>
                          <w:rFonts w:cs="Calibri"/>
                          <w:b/>
                          <w:i/>
                          <w:sz w:val="24"/>
                          <w:szCs w:val="24"/>
                          <w:lang w:val="fr-FR"/>
                        </w:rPr>
                        <w:t xml:space="preserve"> Justice</w:t>
                      </w:r>
                    </w:p>
                    <w:p>
                      <w:pPr>
                        <w:pStyle w:val="style157"/>
                        <w:jc w:val="center"/>
                        <w:rPr>
                          <w:rFonts w:cs="Calibri"/>
                          <w:b/>
                          <w:i/>
                          <w:sz w:val="24"/>
                          <w:szCs w:val="24"/>
                          <w:lang w:val="fr-FR"/>
                        </w:rPr>
                      </w:pPr>
                    </w:p>
                    <w:p>
                      <w:pPr>
                        <w:pStyle w:val="style157"/>
                        <w:jc w:val="center"/>
                        <w:rPr>
                          <w:rFonts w:cs="Calibri"/>
                          <w:b/>
                          <w:i/>
                          <w:sz w:val="24"/>
                          <w:szCs w:val="24"/>
                          <w:lang w:val="fr-FR"/>
                        </w:rPr>
                      </w:pPr>
                      <w:r>
                        <w:rPr>
                          <w:rFonts w:cs="Calibri" w:eastAsia="Microsoft JhengHei"/>
                          <w:b/>
                          <w:i/>
                          <w:noProof/>
                          <w:lang w:val="fr-FR" w:eastAsia="fr-FR"/>
                        </w:rPr>
                        <w:drawing>
                          <wp:inline distT="0" distR="0" distL="0" distB="0">
                            <wp:extent cx="962025" cy="1019175"/>
                            <wp:effectExtent l="0" t="0" r="9525" b="9525"/>
                            <wp:docPr id="2049"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962025" cy="1019175"/>
                                    </a:xfrm>
                                    <a:prstGeom prst="rect"/>
                                    <a:ln>
                                      <a:noFill/>
                                    </a:ln>
                                  </pic:spPr>
                                </pic:pic>
                              </a:graphicData>
                            </a:graphic>
                          </wp:inline>
                        </w:drawing>
                      </w:r>
                    </w:p>
                    <w:p>
                      <w:pPr>
                        <w:pStyle w:val="style0"/>
                        <w:jc w:val="center"/>
                        <w:rPr/>
                      </w:pPr>
                    </w:p>
                  </w:txbxContent>
                </v:textbox>
              </v:rect>
            </w:pict>
          </mc:Fallback>
        </mc:AlternateContent>
      </w:r>
      <w:r>
        <w:rPr>
          <w:rFonts w:cs="Calibri"/>
          <w:i/>
          <w:noProof/>
        </w:rPr>
        <mc:AlternateContent>
          <mc:Choice Requires="wps">
            <w:drawing>
              <wp:anchor distT="0" distB="0" distL="0" distR="0" simplePos="false" relativeHeight="15" behindDoc="false" locked="false" layoutInCell="true" allowOverlap="true">
                <wp:simplePos x="0" y="0"/>
                <wp:positionH relativeFrom="column">
                  <wp:posOffset>-300990</wp:posOffset>
                </wp:positionH>
                <wp:positionV relativeFrom="paragraph">
                  <wp:posOffset>8255</wp:posOffset>
                </wp:positionV>
                <wp:extent cx="2372360" cy="1949450"/>
                <wp:effectExtent l="12700" t="12065" r="5715" b="10160"/>
                <wp:wrapNone/>
                <wp:docPr id="1027" name="Rectangle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2360" cy="1949450"/>
                        </a:xfrm>
                        <a:prstGeom prst="rect"/>
                        <a:solidFill>
                          <a:srgbClr val="ffffff"/>
                        </a:solidFill>
                        <a:ln cmpd="sng" cap="flat" w="9525">
                          <a:solidFill>
                            <a:srgbClr val="000000"/>
                          </a:solidFill>
                          <a:prstDash val="solid"/>
                          <a:miter/>
                          <a:headEnd len="med" type="none" w="med"/>
                          <a:tailEnd len="med" type="none" w="med"/>
                        </a:ln>
                      </wps:spPr>
                      <wps:txbx id="1027">
                        <w:txbxContent>
                          <w:p>
                            <w:pPr>
                              <w:pStyle w:val="style0"/>
                              <w:jc w:val="center"/>
                              <w:rPr/>
                            </w:pPr>
                            <w:r>
                              <w:t>MINISTERE DE L’AGRICULTURE ET DES AMENAGEMENTS HYDR</w:t>
                            </w:r>
                            <w:r>
                              <w:t>O-AGRICOLES</w:t>
                            </w:r>
                          </w:p>
                          <w:p>
                            <w:pPr>
                              <w:pStyle w:val="style0"/>
                              <w:jc w:val="center"/>
                              <w:rPr/>
                            </w:pPr>
                            <w:r>
                              <w:t>……………...</w:t>
                            </w:r>
                          </w:p>
                          <w:p>
                            <w:pPr>
                              <w:pStyle w:val="style0"/>
                              <w:jc w:val="center"/>
                              <w:rPr/>
                            </w:pPr>
                            <w:r>
                              <w:t>SECRETARIAT</w:t>
                            </w:r>
                            <w:r>
                              <w:t xml:space="preserve"> GENERAL</w:t>
                            </w:r>
                          </w:p>
                          <w:p>
                            <w:pPr>
                              <w:pStyle w:val="style0"/>
                              <w:jc w:val="center"/>
                              <w:rPr/>
                            </w:pPr>
                            <w:r>
                              <w:t>………..</w:t>
                            </w:r>
                          </w:p>
                          <w:p>
                            <w:pPr>
                              <w:pStyle w:val="style0"/>
                              <w:jc w:val="center"/>
                              <w:rPr/>
                            </w:pPr>
                            <w:r>
                              <w:t>PROGRAMME DE DEVELOPPEMENT ET DE COMPETETIVITE AGRICOLE</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27" fillcolor="white" stroked="t" style="position:absolute;margin-left:-23.7pt;margin-top:0.65pt;width:186.8pt;height:153.5pt;z-index:15;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pPr>
                      <w:r>
                        <w:t>MINISTERE DE L’AGRICULTURE ET DES AMENAGEMENTS HYDR</w:t>
                      </w:r>
                      <w:r>
                        <w:t>O-AGRICOLES</w:t>
                      </w:r>
                    </w:p>
                    <w:p>
                      <w:pPr>
                        <w:pStyle w:val="style0"/>
                        <w:jc w:val="center"/>
                        <w:rPr/>
                      </w:pPr>
                      <w:r>
                        <w:t>……………...</w:t>
                      </w:r>
                    </w:p>
                    <w:p>
                      <w:pPr>
                        <w:pStyle w:val="style0"/>
                        <w:jc w:val="center"/>
                        <w:rPr/>
                      </w:pPr>
                      <w:r>
                        <w:t>SECRETARIAT</w:t>
                      </w:r>
                      <w:r>
                        <w:t xml:space="preserve"> GENERAL</w:t>
                      </w:r>
                    </w:p>
                    <w:p>
                      <w:pPr>
                        <w:pStyle w:val="style0"/>
                        <w:jc w:val="center"/>
                        <w:rPr/>
                      </w:pPr>
                      <w:r>
                        <w:t>………..</w:t>
                      </w:r>
                    </w:p>
                    <w:p>
                      <w:pPr>
                        <w:pStyle w:val="style0"/>
                        <w:jc w:val="center"/>
                        <w:rPr/>
                      </w:pPr>
                      <w:r>
                        <w:t>PROGRAMME DE DEVELOPPEMENT ET DE COMPETETIVITE AGRICOLE</w:t>
                      </w:r>
                    </w:p>
                  </w:txbxContent>
                </v:textbox>
              </v:rect>
            </w:pict>
          </mc:Fallback>
        </mc:AlternateContent>
      </w:r>
    </w:p>
    <w:p>
      <w:pPr>
        <w:pStyle w:val="style0"/>
        <w:jc w:val="center"/>
        <w:rPr>
          <w:rFonts w:ascii="Calibri" w:cs="Calibri" w:hAnsi="Calibri"/>
          <w:i/>
        </w:rPr>
      </w:pPr>
    </w:p>
    <w:p>
      <w:pPr>
        <w:pStyle w:val="style0"/>
        <w:spacing w:after="179"/>
        <w:ind w:left="67"/>
        <w:jc w:val="center"/>
        <w:rPr>
          <w:rFonts w:ascii="Calibri" w:cs="Calibri" w:hAnsi="Calibri"/>
          <w:b/>
          <w:i/>
        </w:rPr>
      </w:pPr>
    </w:p>
    <w:p>
      <w:pPr>
        <w:pStyle w:val="style0"/>
        <w:spacing w:after="44"/>
        <w:ind w:left="10"/>
        <w:jc w:val="right"/>
        <w:rPr>
          <w:rFonts w:ascii="Calibri" w:cs="Calibri" w:hAnsi="Calibri"/>
          <w:i/>
        </w:rPr>
      </w:pPr>
      <w:r>
        <w:rPr>
          <w:rFonts w:ascii="Calibri" w:cs="Calibri" w:hAnsi="Calibri"/>
          <w:b/>
          <w:i/>
        </w:rPr>
        <w:tab/>
      </w:r>
      <w:r>
        <w:rPr>
          <w:rFonts w:ascii="Calibri" w:cs="Calibri" w:hAnsi="Calibri"/>
          <w:b/>
          <w:i/>
        </w:rPr>
        <w:t xml:space="preserve"> </w:t>
      </w:r>
    </w:p>
    <w:p>
      <w:pPr>
        <w:pStyle w:val="style0"/>
        <w:spacing w:after="43"/>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rFonts w:ascii="Calibri" w:cs="Calibri" w:hAnsi="Calibri"/>
          <w:b/>
          <w:i/>
        </w:rPr>
        <w:t xml:space="preserve"> </w:t>
      </w:r>
    </w:p>
    <w:p>
      <w:pPr>
        <w:pStyle w:val="style0"/>
        <w:spacing w:after="53"/>
        <w:jc w:val="center"/>
        <w:rPr>
          <w:rFonts w:ascii="Calibri" w:cs="Calibri" w:hAnsi="Calibri"/>
          <w:i/>
        </w:rPr>
      </w:pPr>
      <w:r>
        <w:rPr>
          <w:rFonts w:ascii="Calibri" w:cs="Calibri" w:hAnsi="Calibri"/>
          <w:b/>
          <w:i/>
        </w:rPr>
        <w:t xml:space="preserve"> </w:t>
      </w:r>
    </w:p>
    <w:p>
      <w:pPr>
        <w:pStyle w:val="style0"/>
        <w:spacing w:after="52"/>
        <w:jc w:val="center"/>
        <w:rPr>
          <w:rFonts w:ascii="Calibri" w:cs="Calibri" w:hAnsi="Calibri"/>
          <w:i/>
        </w:rPr>
      </w:pPr>
      <w:r>
        <w:rPr>
          <w:rFonts w:ascii="Calibri" w:cs="Calibri" w:hAnsi="Calibri"/>
          <w:b/>
          <w:i/>
        </w:rPr>
        <w:t xml:space="preserve"> </w:t>
      </w:r>
    </w:p>
    <w:p>
      <w:pPr>
        <w:pStyle w:val="style0"/>
        <w:spacing w:after="52"/>
        <w:jc w:val="center"/>
        <w:rPr>
          <w:rFonts w:ascii="Calibri" w:cs="Calibri" w:hAnsi="Calibri"/>
          <w:b/>
          <w:i/>
        </w:rPr>
      </w:pPr>
    </w:p>
    <w:p>
      <w:pPr>
        <w:pStyle w:val="style0"/>
        <w:spacing w:after="52"/>
        <w:jc w:val="center"/>
        <w:rPr>
          <w:rFonts w:ascii="Calibri" w:cs="Calibri" w:hAnsi="Calibri"/>
          <w:b/>
          <w:i/>
        </w:rPr>
      </w:pPr>
    </w:p>
    <w:p>
      <w:pPr>
        <w:pStyle w:val="style0"/>
        <w:spacing w:after="52"/>
        <w:jc w:val="center"/>
        <w:rPr>
          <w:rFonts w:ascii="Calibri" w:cs="Calibri" w:hAnsi="Calibri"/>
          <w:b/>
          <w:i/>
        </w:rPr>
      </w:pPr>
    </w:p>
    <w:p>
      <w:pPr>
        <w:pStyle w:val="style0"/>
        <w:spacing w:after="52"/>
        <w:jc w:val="center"/>
        <w:rPr>
          <w:rFonts w:ascii="Calibri" w:cs="Calibri" w:hAnsi="Calibri"/>
          <w:b/>
          <w:i/>
        </w:rPr>
      </w:pPr>
    </w:p>
    <w:p>
      <w:pPr>
        <w:pStyle w:val="style0"/>
        <w:spacing w:after="52"/>
        <w:jc w:val="center"/>
        <w:rPr>
          <w:rFonts w:ascii="Calibri" w:cs="Calibri" w:hAnsi="Calibri"/>
          <w:b/>
          <w:i/>
        </w:rPr>
      </w:pPr>
    </w:p>
    <w:p>
      <w:pPr>
        <w:pStyle w:val="style0"/>
        <w:spacing w:after="43"/>
        <w:jc w:val="center"/>
        <w:rPr>
          <w:rFonts w:ascii="Calibri" w:cs="Calibri" w:hAnsi="Calibri"/>
          <w:i/>
        </w:rPr>
      </w:pPr>
    </w:p>
    <w:p>
      <w:pPr>
        <w:pStyle w:val="style0"/>
        <w:spacing w:after="43"/>
        <w:jc w:val="center"/>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rFonts w:ascii="Calibri" w:cs="Calibri" w:hAnsi="Calibri"/>
          <w:b/>
          <w:i/>
        </w:rPr>
        <w:t xml:space="preserve"> </w:t>
      </w:r>
    </w:p>
    <w:p>
      <w:pPr>
        <w:pStyle w:val="style0"/>
        <w:spacing w:after="43"/>
        <w:jc w:val="center"/>
        <w:rPr>
          <w:rFonts w:ascii="Calibri" w:cs="Calibri" w:hAnsi="Calibri"/>
          <w:i/>
        </w:rPr>
      </w:pPr>
      <w:r>
        <w:rPr>
          <w:i/>
          <w:noProof/>
        </w:rPr>
        <mc:AlternateContent>
          <mc:Choice Requires="wps">
            <w:drawing>
              <wp:anchor distT="0" distB="0" distL="0" distR="0" simplePos="false" relativeHeight="14" behindDoc="true" locked="false" layoutInCell="true" allowOverlap="true">
                <wp:simplePos x="0" y="0"/>
                <wp:positionH relativeFrom="column">
                  <wp:posOffset>-745490</wp:posOffset>
                </wp:positionH>
                <wp:positionV relativeFrom="paragraph">
                  <wp:posOffset>137160</wp:posOffset>
                </wp:positionV>
                <wp:extent cx="7329805" cy="1495425"/>
                <wp:effectExtent l="0" t="0" r="23495" b="28575"/>
                <wp:wrapNone/>
                <wp:docPr id="1028" name="Rectangle: Diagonal Corners Rounded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329805" cy="1495425"/>
                        </a:xfrm>
                        <a:prstGeom prst="round2DiagRect"/>
                        <a:solidFill>
                          <a:srgbClr val="92d050"/>
                        </a:solidFill>
                        <a:ln cmpd="sng" cap="flat" w="12700">
                          <a:solidFill>
                            <a:srgbClr val="ff0000"/>
                          </a:solidFill>
                          <a:prstDash val="solid"/>
                          <a:miter/>
                          <a:headEnd/>
                          <a:tailEn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8" coordsize="7329805,1495425" path="m249242,0l7329805,0c7329805,0,7329805,0,7329805,0l7329805,1246182c7329805,1383835,7218216,1495425,7080562,1495425l0,1495425c0,1495425,0,1495425,0,1495425l0,249242c0,111590,111590,0,249242,0xe" adj="3600,0," fillcolor="#92d050" stroked="t" style="position:absolute;margin-left:-58.7pt;margin-top:10.8pt;width:577.15pt;height:117.75pt;z-index:-2147483633;mso-position-horizontal-relative:text;mso-position-vertical-relative:text;mso-width-percent:0;mso-height-percent:0;mso-width-relative:page;mso-height-relative:page;mso-wrap-distance-left:0.0pt;mso-wrap-distance-right:0.0pt;visibility:visible;">
                <v:stroke joinstyle="miter" color="red" weight="1.0pt"/>
                <v:fill/>
                <v:path textboxrect="73000,73000,7256804,1422424" o:connecttype="custom"/>
              </v:shape>
            </w:pict>
          </mc:Fallback>
        </mc:AlternateContent>
      </w:r>
    </w:p>
    <w:p>
      <w:pPr>
        <w:pStyle w:val="style0"/>
        <w:spacing w:after="43"/>
        <w:jc w:val="center"/>
        <w:rPr>
          <w:rFonts w:ascii="Calibri" w:cs="Calibri" w:hAnsi="Calibri"/>
          <w:i/>
        </w:rPr>
      </w:pPr>
      <w:r>
        <w:rPr>
          <w:rFonts w:ascii="Calibri" w:cs="Calibri" w:hAnsi="Calibri"/>
          <w:b/>
          <w:i/>
        </w:rPr>
        <w:t xml:space="preserve"> </w:t>
      </w:r>
    </w:p>
    <w:p>
      <w:pPr>
        <w:pStyle w:val="style0"/>
        <w:spacing w:after="43" w:lineRule="auto" w:line="243"/>
        <w:ind w:right="-15"/>
        <w:jc w:val="center"/>
        <w:rPr>
          <w:rFonts w:ascii="Calibri" w:cs="Calibri" w:hAnsi="Calibri"/>
          <w:i/>
          <w:color w:val="ffffff"/>
          <w:sz w:val="36"/>
        </w:rPr>
      </w:pPr>
      <w:r>
        <w:rPr>
          <w:rFonts w:ascii="Calibri" w:cs="Calibri" w:hAnsi="Calibri"/>
          <w:b/>
          <w:i/>
          <w:color w:val="ffffff"/>
          <w:sz w:val="52"/>
        </w:rPr>
        <w:t>CADRE DE GESTION ENVIRONNEMENTALE ET SOCIALE (CGES)</w:t>
      </w:r>
    </w:p>
    <w:p>
      <w:pPr>
        <w:pStyle w:val="style0"/>
        <w:spacing w:after="43"/>
        <w:jc w:val="center"/>
        <w:rPr>
          <w:rFonts w:ascii="Calibri" w:cs="Calibri" w:hAnsi="Calibri"/>
          <w:i/>
          <w:sz w:val="22"/>
        </w:rPr>
      </w:pPr>
      <w:r>
        <w:rPr>
          <w:rFonts w:ascii="Calibri" w:cs="Calibri" w:hAnsi="Calibri"/>
          <w:b/>
          <w:i/>
          <w:sz w:val="22"/>
        </w:rPr>
        <w:t xml:space="preserve">  </w:t>
      </w:r>
    </w:p>
    <w:p>
      <w:pPr>
        <w:pStyle w:val="style0"/>
        <w:spacing w:after="43"/>
        <w:jc w:val="center"/>
        <w:rPr>
          <w:rFonts w:ascii="Calibri" w:cs="Calibri" w:hAnsi="Calibri"/>
          <w:i/>
          <w:sz w:val="22"/>
        </w:rPr>
      </w:pPr>
      <w:r>
        <w:rPr>
          <w:rFonts w:ascii="Calibri" w:cs="Calibri" w:hAnsi="Calibri"/>
          <w:b/>
          <w:i/>
          <w:sz w:val="22"/>
        </w:rPr>
        <w:t xml:space="preserve"> </w:t>
      </w: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36"/>
        </w:rPr>
      </w:pPr>
      <w:r>
        <w:rPr>
          <w:rFonts w:ascii="Calibri" w:cs="Calibri" w:hAnsi="Calibri"/>
          <w:b/>
          <w:i/>
          <w:sz w:val="36"/>
        </w:rPr>
        <w:t xml:space="preserve">Rapport </w:t>
      </w:r>
      <w:r>
        <w:rPr>
          <w:rFonts w:ascii="Calibri" w:cs="Calibri" w:hAnsi="Calibri"/>
          <w:b/>
          <w:i/>
          <w:sz w:val="36"/>
        </w:rPr>
        <w:t>final</w:t>
      </w:r>
    </w:p>
    <w:p>
      <w:pPr>
        <w:pStyle w:val="style0"/>
        <w:spacing w:after="43"/>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spacing w:after="43"/>
        <w:jc w:val="center"/>
        <w:rPr>
          <w:rFonts w:ascii="Calibri" w:cs="Calibri" w:hAnsi="Calibri"/>
          <w:b/>
          <w:i/>
          <w:sz w:val="22"/>
        </w:rPr>
      </w:pPr>
    </w:p>
    <w:p>
      <w:pPr>
        <w:pStyle w:val="style0"/>
        <w:pBdr>
          <w:top w:val="single" w:sz="4" w:space="1" w:color="auto"/>
        </w:pBdr>
        <w:spacing w:after="43"/>
        <w:jc w:val="center"/>
        <w:rPr>
          <w:rFonts w:ascii="Calibri" w:cs="Calibri" w:hAnsi="Calibri"/>
          <w:b/>
          <w:i/>
          <w:sz w:val="22"/>
        </w:rPr>
        <w:sectPr>
          <w:footerReference w:type="even" r:id="rId3"/>
          <w:footerReference w:type="default" r:id="rId4"/>
          <w:footerReference w:type="first" r:id="rId5"/>
          <w:pgSz w:w="11900" w:h="16840" w:orient="portrait"/>
          <w:pgMar w:top="1296" w:right="1410" w:bottom="1468" w:left="1349" w:header="720" w:footer="720" w:gutter="0"/>
          <w:cols w:space="720"/>
          <w:titlePg/>
        </w:sectPr>
      </w:pPr>
      <w:r>
        <w:rPr>
          <w:rFonts w:ascii="Calibri" w:cs="Calibri" w:hAnsi="Calibri"/>
          <w:b/>
          <w:i/>
          <w:sz w:val="22"/>
        </w:rPr>
        <w:t xml:space="preserve"> </w:t>
      </w:r>
      <w:r>
        <w:rPr>
          <w:rFonts w:ascii="Calibri" w:cs="Calibri" w:hAnsi="Calibri"/>
          <w:b/>
          <w:i/>
          <w:sz w:val="22"/>
        </w:rPr>
        <w:t>Mars</w:t>
      </w:r>
      <w:r>
        <w:rPr>
          <w:rFonts w:ascii="Calibri" w:cs="Calibri" w:hAnsi="Calibri"/>
          <w:b/>
          <w:i/>
          <w:sz w:val="22"/>
        </w:rPr>
        <w:t xml:space="preserve"> </w:t>
      </w:r>
      <w:r>
        <w:rPr>
          <w:rFonts w:ascii="Calibri" w:cs="Calibri" w:hAnsi="Calibri"/>
          <w:b/>
          <w:i/>
          <w:sz w:val="22"/>
        </w:rPr>
        <w:t>201</w:t>
      </w:r>
      <w:r>
        <w:rPr>
          <w:rFonts w:ascii="Calibri" w:cs="Calibri" w:hAnsi="Calibri"/>
          <w:b/>
          <w:i/>
          <w:sz w:val="22"/>
        </w:rPr>
        <w:t>9</w:t>
      </w:r>
    </w:p>
    <w:p>
      <w:pPr>
        <w:pStyle w:val="style266"/>
        <w:rPr>
          <w:color w:val="auto"/>
          <w:lang w:val="fr-FR"/>
        </w:rPr>
      </w:pPr>
      <w:r>
        <w:rPr>
          <w:color w:val="auto"/>
          <w:lang w:val="fr-FR"/>
        </w:rPr>
        <w:t>Table des matières</w:t>
      </w:r>
    </w:p>
    <w:p>
      <w:pPr>
        <w:pStyle w:val="style19"/>
        <w:rPr>
          <w:rFonts w:ascii="Calibri" w:cs="宋体" w:eastAsia="宋体" w:hAnsi="Calibri"/>
          <w:b w:val="false"/>
          <w:bCs w:val="false"/>
          <w:caps w:val="false"/>
          <w:noProof/>
          <w:sz w:val="22"/>
          <w:szCs w:val="22"/>
        </w:rPr>
      </w:pPr>
      <w:r>
        <w:rPr/>
        <w:fldChar w:fldCharType="begin"/>
      </w:r>
      <w:r>
        <w:instrText xml:space="preserve"> TOC \o "1-3" \h \z \u </w:instrText>
      </w:r>
      <w:r>
        <w:rPr/>
        <w:fldChar w:fldCharType="separate"/>
      </w:r>
      <w:r>
        <w:rPr/>
        <w:fldChar w:fldCharType="begin"/>
      </w:r>
      <w:r>
        <w:instrText xml:space="preserve"> HYPERLINK \l "_Toc2780454" </w:instrText>
      </w:r>
      <w:r>
        <w:rPr/>
        <w:fldChar w:fldCharType="separate"/>
      </w:r>
      <w:r>
        <w:rPr>
          <w:rStyle w:val="style85"/>
          <w:noProof/>
        </w:rPr>
        <w:t>LISTE DES SIGLES ET ABREVIATIONS</w:t>
      </w:r>
      <w:r>
        <w:rPr>
          <w:noProof/>
          <w:webHidden/>
        </w:rPr>
        <w:tab/>
      </w:r>
      <w:r>
        <w:rPr>
          <w:noProof/>
          <w:webHidden/>
        </w:rPr>
        <w:fldChar w:fldCharType="begin"/>
      </w:r>
      <w:r>
        <w:rPr>
          <w:noProof/>
          <w:webHidden/>
        </w:rPr>
        <w:instrText xml:space="preserve"> PAGEREF _Toc2780454 \h </w:instrText>
      </w:r>
      <w:r>
        <w:rPr>
          <w:noProof/>
          <w:webHidden/>
        </w:rPr>
        <w:fldChar w:fldCharType="separate"/>
      </w:r>
      <w:r>
        <w:rPr>
          <w:noProof/>
          <w:webHidden/>
        </w:rPr>
        <w:t>3</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"_Toc2780455" </w:instrText>
      </w:r>
      <w:r>
        <w:rPr/>
        <w:fldChar w:fldCharType="separate"/>
      </w:r>
      <w:r>
        <w:rPr>
          <w:rStyle w:val="style85"/>
          <w:noProof/>
        </w:rPr>
        <w:t>LISTE DES TABLEAUX</w:t>
      </w:r>
      <w:r>
        <w:rPr>
          <w:noProof/>
          <w:webHidden/>
        </w:rPr>
        <w:tab/>
      </w:r>
      <w:r>
        <w:rPr>
          <w:noProof/>
          <w:webHidden/>
        </w:rPr>
        <w:fldChar w:fldCharType="begin"/>
      </w:r>
      <w:r>
        <w:rPr>
          <w:noProof/>
          <w:webHidden/>
        </w:rPr>
        <w:instrText xml:space="preserve"> PAGEREF _Toc2780455 \h </w:instrText>
      </w:r>
      <w:r>
        <w:rPr>
          <w:noProof/>
          <w:webHidden/>
        </w:rPr>
        <w:fldChar w:fldCharType="separate"/>
      </w:r>
      <w:r>
        <w:rPr>
          <w:noProof/>
          <w:webHidden/>
        </w:rPr>
        <w:t>4</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"_Toc2780456" </w:instrText>
      </w:r>
      <w:r>
        <w:rPr/>
        <w:fldChar w:fldCharType="separate"/>
      </w:r>
      <w:r>
        <w:rPr>
          <w:rStyle w:val="style85"/>
          <w:noProof/>
        </w:rPr>
        <w:t>LISTE DES CARTES</w:t>
      </w:r>
      <w:r>
        <w:rPr>
          <w:noProof/>
          <w:webHidden/>
        </w:rPr>
        <w:tab/>
      </w:r>
      <w:r>
        <w:rPr>
          <w:noProof/>
          <w:webHidden/>
        </w:rPr>
        <w:fldChar w:fldCharType="begin"/>
      </w:r>
      <w:r>
        <w:rPr>
          <w:noProof/>
          <w:webHidden/>
        </w:rPr>
        <w:instrText xml:space="preserve"> PAGEREF _Toc2780456 \h </w:instrText>
      </w:r>
      <w:r>
        <w:rPr>
          <w:noProof/>
          <w:webHidden/>
        </w:rPr>
        <w:fldChar w:fldCharType="separate"/>
      </w:r>
      <w:r>
        <w:rPr>
          <w:noProof/>
          <w:webHidden/>
        </w:rPr>
        <w:t>4</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"_Toc2780457" </w:instrText>
      </w:r>
      <w:r>
        <w:rPr/>
        <w:fldChar w:fldCharType="separate"/>
      </w:r>
      <w:r>
        <w:rPr>
          <w:rStyle w:val="style85"/>
          <w:noProof/>
        </w:rPr>
        <w:t>RESUME EXECUTIF</w:t>
      </w:r>
      <w:r>
        <w:rPr>
          <w:noProof/>
          <w:webHidden/>
        </w:rPr>
        <w:tab/>
      </w:r>
      <w:r>
        <w:rPr>
          <w:noProof/>
          <w:webHidden/>
        </w:rPr>
        <w:fldChar w:fldCharType="begin"/>
      </w:r>
      <w:r>
        <w:rPr>
          <w:noProof/>
          <w:webHidden/>
        </w:rPr>
        <w:instrText xml:space="preserve"> PAGEREF _Toc2780457 \h </w:instrText>
      </w:r>
      <w:r>
        <w:rPr>
          <w:noProof/>
          <w:webHidden/>
        </w:rPr>
        <w:fldChar w:fldCharType="separate"/>
      </w:r>
      <w:r>
        <w:rPr>
          <w:noProof/>
          <w:webHidden/>
        </w:rPr>
        <w:t>5</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"_Toc2780458" </w:instrText>
      </w:r>
      <w:r>
        <w:rPr/>
        <w:fldChar w:fldCharType="separate"/>
      </w:r>
      <w:r>
        <w:rPr>
          <w:rStyle w:val="style85"/>
          <w:noProof/>
          <w:lang w:val="en-US"/>
        </w:rPr>
        <w:t>EXECUTIVE SUMMARY</w:t>
      </w:r>
      <w:r>
        <w:rPr>
          <w:noProof/>
          <w:webHidden/>
        </w:rPr>
        <w:tab/>
      </w:r>
      <w:r>
        <w:rPr>
          <w:noProof/>
          <w:webHidden/>
        </w:rPr>
        <w:fldChar w:fldCharType="begin"/>
      </w:r>
      <w:r>
        <w:rPr>
          <w:noProof/>
          <w:webHidden/>
        </w:rPr>
        <w:instrText xml:space="preserve"> PAGEREF _Toc2780458 \h </w:instrText>
      </w:r>
      <w:r>
        <w:rPr>
          <w:noProof/>
          <w:webHidden/>
        </w:rPr>
        <w:fldChar w:fldCharType="separate"/>
      </w:r>
      <w:r>
        <w:rPr>
          <w:noProof/>
          <w:webHidden/>
        </w:rPr>
        <w:t>13</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"_Toc2780459" </w:instrText>
      </w:r>
      <w:r>
        <w:rPr/>
        <w:fldChar w:fldCharType="separate"/>
      </w:r>
      <w:r>
        <w:rPr>
          <w:rStyle w:val="style85"/>
          <w:noProof/>
        </w:rPr>
        <w:t>I. INTRODUCTION</w:t>
      </w:r>
      <w:r>
        <w:rPr>
          <w:noProof/>
          <w:webHidden/>
        </w:rPr>
        <w:tab/>
      </w:r>
      <w:r>
        <w:rPr>
          <w:noProof/>
          <w:webHidden/>
        </w:rPr>
        <w:fldChar w:fldCharType="begin"/>
      </w:r>
      <w:r>
        <w:rPr>
          <w:noProof/>
          <w:webHidden/>
        </w:rPr>
        <w:instrText xml:space="preserve"> PAGEREF _Toc2780459 \h </w:instrText>
      </w:r>
      <w:r>
        <w:rPr>
          <w:noProof/>
          <w:webHidden/>
        </w:rPr>
        <w:fldChar w:fldCharType="separate"/>
      </w:r>
      <w:r>
        <w:rPr>
          <w:noProof/>
          <w:webHidden/>
        </w:rPr>
        <w:t>21</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"_Toc2780460" </w:instrText>
      </w:r>
      <w:r>
        <w:rPr/>
        <w:fldChar w:fldCharType="separate"/>
      </w:r>
      <w:r>
        <w:rPr>
          <w:rStyle w:val="style85"/>
        </w:rPr>
        <w:t>1.1. Contexte et justification de l’étude</w:t>
      </w:r>
      <w:r>
        <w:rPr>
          <w:webHidden/>
        </w:rPr>
        <w:tab/>
      </w:r>
      <w:r>
        <w:rPr>
          <w:webHidden/>
        </w:rPr>
        <w:fldChar w:fldCharType="begin"/>
      </w:r>
      <w:r>
        <w:rPr>
          <w:webHidden/>
        </w:rPr>
        <w:instrText xml:space="preserve"> PAGEREF _Toc2780460 \h </w:instrText>
      </w:r>
      <w:r>
        <w:rPr>
          <w:webHidden/>
        </w:rPr>
        <w:fldChar w:fldCharType="separate"/>
      </w:r>
      <w:r>
        <w:rPr>
          <w:webHidden/>
        </w:rPr>
        <w:t>21</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"_Toc2780461" </w:instrText>
      </w:r>
      <w:r>
        <w:rPr/>
        <w:fldChar w:fldCharType="separate"/>
      </w:r>
      <w:r>
        <w:rPr>
          <w:rStyle w:val="style85"/>
        </w:rPr>
        <w:t>1.2. Objectifs du CGES</w:t>
      </w:r>
      <w:r>
        <w:rPr>
          <w:webHidden/>
        </w:rPr>
        <w:tab/>
      </w:r>
      <w:r>
        <w:rPr>
          <w:webHidden/>
        </w:rPr>
        <w:fldChar w:fldCharType="begin"/>
      </w:r>
      <w:r>
        <w:rPr>
          <w:webHidden/>
        </w:rPr>
        <w:instrText xml:space="preserve"> PAGEREF _Toc2780461 \h </w:instrText>
      </w:r>
      <w:r>
        <w:rPr>
          <w:webHidden/>
        </w:rPr>
        <w:fldChar w:fldCharType="separate"/>
      </w:r>
      <w:r>
        <w:rPr>
          <w:webHidden/>
        </w:rPr>
        <w:t>22</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"_Toc2780462" </w:instrText>
      </w:r>
      <w:r>
        <w:rPr/>
        <w:fldChar w:fldCharType="separate"/>
      </w:r>
      <w:r>
        <w:rPr>
          <w:rStyle w:val="style85"/>
        </w:rPr>
        <w:t>1.3. Méthodologie d’élaboration du CGES</w:t>
      </w:r>
      <w:r>
        <w:rPr>
          <w:webHidden/>
        </w:rPr>
        <w:tab/>
      </w:r>
      <w:r>
        <w:rPr>
          <w:webHidden/>
        </w:rPr>
        <w:fldChar w:fldCharType="begin"/>
      </w:r>
      <w:r>
        <w:rPr>
          <w:webHidden/>
        </w:rPr>
        <w:instrText xml:space="preserve"> PAGEREF _Toc2780462 \h </w:instrText>
      </w:r>
      <w:r>
        <w:rPr>
          <w:webHidden/>
        </w:rPr>
        <w:fldChar w:fldCharType="separate"/>
      </w:r>
      <w:r>
        <w:rPr>
          <w:webHidden/>
        </w:rPr>
        <w:t>22</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"_Toc2780463" </w:instrText>
      </w:r>
      <w:r>
        <w:rPr/>
        <w:fldChar w:fldCharType="separate"/>
      </w:r>
      <w:r>
        <w:rPr>
          <w:rStyle w:val="style85"/>
        </w:rPr>
        <w:t>1.4. Structuration du rapport</w:t>
      </w:r>
      <w:r>
        <w:rPr>
          <w:webHidden/>
        </w:rPr>
        <w:tab/>
      </w:r>
      <w:r>
        <w:rPr>
          <w:webHidden/>
        </w:rPr>
        <w:fldChar w:fldCharType="begin"/>
      </w:r>
      <w:r>
        <w:rPr>
          <w:webHidden/>
        </w:rPr>
        <w:instrText xml:space="preserve"> PAGEREF _Toc2780463 \h </w:instrText>
      </w:r>
      <w:r>
        <w:rPr>
          <w:webHidden/>
        </w:rPr>
        <w:fldChar w:fldCharType="separate"/>
      </w:r>
      <w:r>
        <w:rPr>
          <w:webHidden/>
        </w:rPr>
        <w:t>23</w:t>
      </w:r>
      <w:r>
        <w:rPr>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"_Toc2780464" </w:instrText>
      </w:r>
      <w:r>
        <w:rPr/>
        <w:fldChar w:fldCharType="separate"/>
      </w:r>
      <w:r>
        <w:rPr>
          <w:rStyle w:val="style85"/>
          <w:noProof/>
        </w:rPr>
        <w:t>II. DESCRIPTION DU PROGRAMME</w:t>
      </w:r>
      <w:r>
        <w:rPr>
          <w:noProof/>
          <w:webHidden/>
        </w:rPr>
        <w:tab/>
      </w:r>
      <w:r>
        <w:rPr>
          <w:noProof/>
          <w:webHidden/>
        </w:rPr>
        <w:fldChar w:fldCharType="begin"/>
      </w:r>
      <w:r>
        <w:rPr>
          <w:noProof/>
          <w:webHidden/>
        </w:rPr>
        <w:instrText xml:space="preserve"> PAGEREF _Toc2780464 \h </w:instrText>
      </w:r>
      <w:r>
        <w:rPr>
          <w:noProof/>
          <w:webHidden/>
        </w:rPr>
        <w:fldChar w:fldCharType="separate"/>
      </w:r>
      <w:r>
        <w:rPr>
          <w:noProof/>
          <w:webHidden/>
        </w:rPr>
        <w:t>24</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"_Toc2780466" </w:instrText>
      </w:r>
      <w:r>
        <w:rPr/>
        <w:fldChar w:fldCharType="separate"/>
      </w:r>
      <w:r>
        <w:rPr>
          <w:rStyle w:val="style85"/>
        </w:rPr>
        <w:t>2.1. Résumé du Programme</w:t>
      </w:r>
      <w:r>
        <w:rPr>
          <w:webHidden/>
        </w:rPr>
        <w:tab/>
      </w:r>
      <w:r>
        <w:rPr>
          <w:webHidden/>
        </w:rPr>
        <w:fldChar w:fldCharType="begin"/>
      </w:r>
      <w:r>
        <w:rPr>
          <w:webHidden/>
        </w:rPr>
        <w:instrText xml:space="preserve"> PAGEREF _Toc2780466 \h </w:instrText>
      </w:r>
      <w:r>
        <w:rPr>
          <w:webHidden/>
        </w:rPr>
        <w:fldChar w:fldCharType="separate"/>
      </w:r>
      <w:r>
        <w:rPr>
          <w:webHidden/>
        </w:rPr>
        <w:t>24</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"_Toc2780467" </w:instrText>
      </w:r>
      <w:r>
        <w:rPr/>
        <w:fldChar w:fldCharType="separate"/>
      </w:r>
      <w:r>
        <w:rPr>
          <w:rStyle w:val="style85"/>
        </w:rPr>
        <w:t>2.2. Description du Programme et de ses composantes</w:t>
      </w:r>
      <w:r>
        <w:rPr>
          <w:webHidden/>
        </w:rPr>
        <w:tab/>
      </w:r>
      <w:r>
        <w:rPr>
          <w:webHidden/>
        </w:rPr>
        <w:fldChar w:fldCharType="begin"/>
      </w:r>
      <w:r>
        <w:rPr>
          <w:webHidden/>
        </w:rPr>
        <w:instrText xml:space="preserve"> PAGEREF _Toc2780467 \h </w:instrText>
      </w:r>
      <w:r>
        <w:rPr>
          <w:webHidden/>
        </w:rPr>
        <w:fldChar w:fldCharType="separate"/>
      </w:r>
      <w:r>
        <w:rPr>
          <w:webHidden/>
        </w:rPr>
        <w:t>24</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"_Toc2780468" </w:instrText>
      </w:r>
      <w:r>
        <w:rPr/>
        <w:fldChar w:fldCharType="separate"/>
      </w:r>
      <w:r>
        <w:rPr>
          <w:rStyle w:val="style85"/>
          <w:b/>
          <w:noProof/>
        </w:rPr>
        <w:t>2.2.1. Composante 1 : appui à l’amélioration de la productivité agricole</w:t>
      </w:r>
      <w:r>
        <w:rPr>
          <w:noProof/>
          <w:webHidden/>
        </w:rPr>
        <w:tab/>
      </w:r>
      <w:r>
        <w:rPr>
          <w:noProof/>
          <w:webHidden/>
        </w:rPr>
        <w:fldChar w:fldCharType="begin"/>
      </w:r>
      <w:r>
        <w:rPr>
          <w:noProof/>
          <w:webHidden/>
        </w:rPr>
        <w:instrText xml:space="preserve"> PAGEREF _Toc2780468 \h </w:instrText>
      </w:r>
      <w:r>
        <w:rPr>
          <w:noProof/>
          <w:webHidden/>
        </w:rPr>
        <w:fldChar w:fldCharType="separate"/>
      </w:r>
      <w:r>
        <w:rPr>
          <w:noProof/>
          <w:webHidden/>
        </w:rPr>
        <w:t>24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"_Toc2780469" </w:instrText>
      </w:r>
      <w:r>
        <w:rPr/>
        <w:fldChar w:fldCharType="separate"/>
      </w:r>
      <w:r>
        <w:rPr>
          <w:rStyle w:val="style85"/>
          <w:b/>
          <w:noProof/>
        </w:rPr>
        <w:t>2.2.2. Composante 2 : amélioration de l’accès au marché et soutien au financement du secteur privé</w:t>
      </w:r>
      <w:r>
        <w:rPr>
          <w:noProof/>
          <w:webHidden/>
        </w:rPr>
        <w:tab/>
      </w:r>
      <w:r>
        <w:rPr>
          <w:noProof/>
          <w:webHidden/>
        </w:rPr>
        <w:fldChar w:fldCharType="begin"/>
      </w:r>
      <w:r>
        <w:rPr>
          <w:noProof/>
          <w:webHidden/>
        </w:rPr>
        <w:instrText xml:space="preserve"> PAGEREF _Toc2780469 \h </w:instrText>
      </w:r>
      <w:r>
        <w:rPr>
          <w:noProof/>
          <w:webHidden/>
        </w:rPr>
        <w:fldChar w:fldCharType="separate"/>
      </w:r>
      <w:r>
        <w:rPr>
          <w:noProof/>
          <w:webHidden/>
        </w:rPr>
        <w:t>26</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"_Toc2780470" </w:instrText>
      </w:r>
      <w:r>
        <w:rPr/>
        <w:fldChar w:fldCharType="separate"/>
      </w:r>
      <w:r>
        <w:rPr>
          <w:rStyle w:val="style85"/>
          <w:b/>
          <w:noProof/>
        </w:rPr>
        <w:t>2.2.3. Composante 3 : prévention des crises, coordination et gestion du Programme</w:t>
      </w:r>
      <w:r>
        <w:rPr>
          <w:noProof/>
          <w:webHidden/>
        </w:rPr>
        <w:tab/>
      </w:r>
      <w:r>
        <w:rPr>
          <w:noProof/>
          <w:webHidden/>
        </w:rPr>
        <w:fldChar w:fldCharType="begin"/>
      </w:r>
      <w:r>
        <w:rPr>
          <w:noProof/>
          <w:webHidden/>
        </w:rPr>
        <w:instrText xml:space="preserve"> PAGEREF _Toc2780470 \h </w:instrText>
      </w:r>
      <w:r>
        <w:rPr>
          <w:noProof/>
          <w:webHidden/>
        </w:rPr>
        <w:fldChar w:fldCharType="separate"/>
      </w:r>
      <w:r>
        <w:rPr>
          <w:noProof/>
          <w:webHidden/>
        </w:rPr>
        <w:t>27</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"_Toc2780471" </w:instrText>
      </w:r>
      <w:r>
        <w:rPr/>
        <w:fldChar w:fldCharType="separate"/>
      </w:r>
      <w:r>
        <w:rPr>
          <w:rStyle w:val="style85"/>
          <w:noProof/>
        </w:rPr>
        <w:t xml:space="preserve">III. ENJEUX </w:t>
      </w:r>
      <w:r>
        <w:rPr>
          <w:rStyle w:val="style85"/>
          <w:iCs/>
          <w:noProof/>
        </w:rPr>
        <w:t>ENVIRONNEMENTAUX ET SOCIAUX MAJEURS DANS LES ZONES D’IMPLANTATION POTENTIELLE DES SOUS-PROJETS</w:t>
      </w:r>
      <w:r>
        <w:rPr>
          <w:noProof/>
          <w:webHidden/>
        </w:rPr>
        <w:tab/>
      </w:r>
      <w:r>
        <w:rPr>
          <w:noProof/>
          <w:webHidden/>
        </w:rPr>
        <w:fldChar w:fldCharType="begin"/>
      </w:r>
      <w:r>
        <w:rPr>
          <w:noProof/>
          <w:webHidden/>
        </w:rPr>
        <w:instrText xml:space="preserve"> PAGEREF _Toc2780471 \h </w:instrText>
      </w:r>
      <w:r>
        <w:rPr>
          <w:noProof/>
          <w:webHidden/>
        </w:rPr>
        <w:fldChar w:fldCharType="separate"/>
      </w:r>
      <w:r>
        <w:rPr>
          <w:noProof/>
          <w:webHidden/>
        </w:rPr>
        <w:t>30</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"_Toc2780472" </w:instrText>
      </w:r>
      <w:r>
        <w:rPr/>
        <w:fldChar w:fldCharType="separate"/>
      </w:r>
      <w:r>
        <w:rPr>
          <w:rStyle w:val="style85"/>
        </w:rPr>
        <w:t>3.1. Enjeux environnementaux</w:t>
      </w:r>
      <w:r>
        <w:rPr>
          <w:webHidden/>
        </w:rPr>
        <w:tab/>
      </w:r>
      <w:r>
        <w:rPr>
          <w:webHidden/>
        </w:rPr>
        <w:fldChar w:fldCharType="begin"/>
      </w:r>
      <w:r>
        <w:rPr>
          <w:webHidden/>
        </w:rPr>
        <w:instrText xml:space="preserve"> PAGEREF _Toc2780472 \h </w:instrText>
      </w:r>
      <w:r>
        <w:rPr>
          <w:webHidden/>
        </w:rPr>
        <w:fldChar w:fldCharType="separate"/>
      </w:r>
      <w:r>
        <w:rPr>
          <w:webHidden/>
        </w:rPr>
        <w:t>30</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"_Toc2780473" </w:instrText>
      </w:r>
      <w:r>
        <w:rPr/>
        <w:fldChar w:fldCharType="separate"/>
      </w:r>
      <w:r>
        <w:rPr>
          <w:rStyle w:val="style85"/>
          <w:b/>
          <w:noProof/>
        </w:rPr>
        <w:t>3.1.1. Enjeux liés au changement climatique</w:t>
      </w:r>
      <w:r>
        <w:rPr>
          <w:noProof/>
          <w:webHidden/>
        </w:rPr>
        <w:tab/>
      </w:r>
      <w:r>
        <w:rPr>
          <w:noProof/>
          <w:webHidden/>
        </w:rPr>
        <w:fldChar w:fldCharType="begin"/>
      </w:r>
      <w:r>
        <w:rPr>
          <w:noProof/>
          <w:webHidden/>
        </w:rPr>
        <w:instrText xml:space="preserve"> PAGEREF _Toc2780473 \h </w:instrText>
      </w:r>
      <w:r>
        <w:rPr>
          <w:noProof/>
          <w:webHidden/>
        </w:rPr>
        <w:fldChar w:fldCharType="separate"/>
      </w:r>
      <w:r>
        <w:rPr>
          <w:noProof/>
          <w:webHidden/>
        </w:rPr>
        <w:t>30</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"_Toc2780474" </w:instrText>
      </w:r>
      <w:r>
        <w:rPr/>
        <w:fldChar w:fldCharType="separate"/>
      </w:r>
      <w:r>
        <w:rPr>
          <w:rStyle w:val="style85"/>
          <w:b/>
          <w:noProof/>
        </w:rPr>
        <w:t>3.1.2. Enjeux liés à la protection de l’environnement</w:t>
      </w:r>
      <w:r>
        <w:rPr>
          <w:noProof/>
          <w:webHidden/>
        </w:rPr>
        <w:tab/>
      </w:r>
      <w:r>
        <w:rPr>
          <w:noProof/>
          <w:webHidden/>
        </w:rPr>
        <w:fldChar w:fldCharType="begin"/>
      </w:r>
      <w:r>
        <w:rPr>
          <w:noProof/>
          <w:webHidden/>
        </w:rPr>
        <w:instrText xml:space="preserve"> PAGEREF _Toc2780474 \h </w:instrText>
      </w:r>
      <w:r>
        <w:rPr>
          <w:noProof/>
          <w:webHidden/>
        </w:rPr>
        <w:fldChar w:fldCharType="separate"/>
      </w:r>
      <w:r>
        <w:rPr>
          <w:noProof/>
          <w:webHidden/>
        </w:rPr>
        <w:t>30</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"_Toc2780475" </w:instrText>
      </w:r>
      <w:r>
        <w:rPr/>
        <w:fldChar w:fldCharType="separate"/>
      </w:r>
      <w:r>
        <w:rPr>
          <w:rStyle w:val="style85"/>
        </w:rPr>
        <w:t>3.2. Enjeux sociaux</w:t>
      </w:r>
      <w:r>
        <w:rPr>
          <w:webHidden/>
        </w:rPr>
        <w:tab/>
      </w:r>
      <w:r>
        <w:rPr>
          <w:webHidden/>
        </w:rPr>
        <w:fldChar w:fldCharType="begin"/>
      </w:r>
      <w:r>
        <w:rPr>
          <w:webHidden/>
        </w:rPr>
        <w:instrText xml:space="preserve"> PAGEREF _Toc2780475 \h </w:instrText>
      </w:r>
      <w:r>
        <w:rPr>
          <w:webHidden/>
        </w:rPr>
        <w:fldChar w:fldCharType="separate"/>
      </w:r>
      <w:r>
        <w:rPr>
          <w:webHidden/>
        </w:rPr>
        <w:t>31</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"_Toc2780476" </w:instrText>
      </w:r>
      <w:r>
        <w:rPr/>
        <w:fldChar w:fldCharType="separate"/>
      </w:r>
      <w:r>
        <w:rPr>
          <w:rStyle w:val="style85"/>
          <w:b/>
          <w:noProof/>
        </w:rPr>
        <w:t>3.2.1. Evolution démographique dans les zones d’implantation des sous-projets</w:t>
      </w:r>
      <w:r>
        <w:rPr>
          <w:noProof/>
          <w:webHidden/>
        </w:rPr>
        <w:tab/>
      </w:r>
      <w:r>
        <w:rPr>
          <w:noProof/>
          <w:webHidden/>
        </w:rPr>
        <w:fldChar w:fldCharType="begin"/>
      </w:r>
      <w:r>
        <w:rPr>
          <w:noProof/>
          <w:webHidden/>
        </w:rPr>
        <w:instrText xml:space="preserve"> PAGEREF _Toc2780476 \h </w:instrText>
      </w:r>
      <w:r>
        <w:rPr>
          <w:noProof/>
          <w:webHidden/>
        </w:rPr>
        <w:fldChar w:fldCharType="separate"/>
      </w:r>
      <w:r>
        <w:rPr>
          <w:noProof/>
          <w:webHidden/>
        </w:rPr>
        <w:t>31</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"_Toc2780477" </w:instrText>
      </w:r>
      <w:r>
        <w:rPr/>
        <w:fldChar w:fldCharType="separate"/>
      </w:r>
      <w:r>
        <w:rPr>
          <w:rStyle w:val="style85"/>
          <w:b/>
          <w:noProof/>
        </w:rPr>
        <w:t>3.2.2. Enjeux liés au foncier</w:t>
      </w:r>
      <w:r>
        <w:rPr>
          <w:noProof/>
          <w:webHidden/>
        </w:rPr>
        <w:tab/>
      </w:r>
      <w:r>
        <w:rPr>
          <w:noProof/>
          <w:webHidden/>
        </w:rPr>
        <w:fldChar w:fldCharType="begin"/>
      </w:r>
      <w:r>
        <w:rPr>
          <w:noProof/>
          <w:webHidden/>
        </w:rPr>
        <w:instrText xml:space="preserve"> PAGEREF _Toc2780477 \h </w:instrText>
      </w:r>
      <w:r>
        <w:rPr>
          <w:noProof/>
          <w:webHidden/>
        </w:rPr>
        <w:fldChar w:fldCharType="separate"/>
      </w:r>
      <w:r>
        <w:rPr>
          <w:noProof/>
          <w:webHidden/>
        </w:rPr>
        <w:t>32</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"_Toc2780478" </w:instrText>
      </w:r>
      <w:r>
        <w:rPr/>
        <w:fldChar w:fldCharType="separate"/>
      </w:r>
      <w:r>
        <w:rPr>
          <w:rStyle w:val="style85"/>
          <w:b/>
          <w:noProof/>
        </w:rPr>
        <w:t>3.2.3. Enjeux liés à la pauvreté en milieu rural</w:t>
      </w:r>
      <w:r>
        <w:rPr>
          <w:noProof/>
          <w:webHidden/>
        </w:rPr>
        <w:tab/>
      </w:r>
      <w:r>
        <w:rPr>
          <w:noProof/>
          <w:webHidden/>
        </w:rPr>
        <w:fldChar w:fldCharType="begin"/>
      </w:r>
      <w:r>
        <w:rPr>
          <w:noProof/>
          <w:webHidden/>
        </w:rPr>
        <w:instrText xml:space="preserve"> PAGEREF _Toc2780478 \h </w:instrText>
      </w:r>
      <w:r>
        <w:rPr>
          <w:noProof/>
          <w:webHidden/>
        </w:rPr>
        <w:fldChar w:fldCharType="separate"/>
      </w:r>
      <w:r>
        <w:rPr>
          <w:noProof/>
          <w:webHidden/>
        </w:rPr>
        <w:t>32</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"_Toc2780479" </w:instrText>
      </w:r>
      <w:r>
        <w:rPr/>
        <w:fldChar w:fldCharType="separate"/>
      </w:r>
      <w:r>
        <w:rPr>
          <w:rStyle w:val="style85"/>
          <w:b/>
          <w:noProof/>
        </w:rPr>
        <w:t>3.2.4. Enjeux liés aux contraintes sur l’état du réseau routier</w:t>
      </w:r>
      <w:r>
        <w:rPr>
          <w:noProof/>
          <w:webHidden/>
        </w:rPr>
        <w:tab/>
      </w:r>
      <w:r>
        <w:rPr>
          <w:noProof/>
          <w:webHidden/>
        </w:rPr>
        <w:fldChar w:fldCharType="begin"/>
      </w:r>
      <w:r>
        <w:rPr>
          <w:noProof/>
          <w:webHidden/>
        </w:rPr>
        <w:instrText xml:space="preserve"> PAGEREF _Toc2780479 \h </w:instrText>
      </w:r>
      <w:r>
        <w:rPr>
          <w:noProof/>
          <w:webHidden/>
        </w:rPr>
        <w:fldChar w:fldCharType="separate"/>
      </w:r>
      <w:r>
        <w:rPr>
          <w:noProof/>
          <w:webHidden/>
        </w:rPr>
        <w:t>32</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"_Toc2780480" </w:instrText>
      </w:r>
      <w:r>
        <w:rPr/>
        <w:fldChar w:fldCharType="separate"/>
      </w:r>
      <w:r>
        <w:rPr>
          <w:rStyle w:val="style85"/>
          <w:noProof/>
        </w:rPr>
        <w:t>IV. STRUCTURE ADMINISTRATIVE DU PROGRAMME, GESTION ET MISE EN ŒUVRE</w:t>
      </w:r>
      <w:r>
        <w:rPr>
          <w:noProof/>
          <w:webHidden/>
        </w:rPr>
        <w:tab/>
      </w:r>
      <w:r>
        <w:rPr>
          <w:noProof/>
          <w:webHidden/>
        </w:rPr>
        <w:fldChar w:fldCharType="begin"/>
      </w:r>
      <w:r>
        <w:rPr>
          <w:noProof/>
          <w:webHidden/>
        </w:rPr>
        <w:instrText xml:space="preserve"> PAGEREF _Toc2780480 \h </w:instrText>
      </w:r>
      <w:r>
        <w:rPr>
          <w:noProof/>
          <w:webHidden/>
        </w:rPr>
        <w:fldChar w:fldCharType="separate"/>
      </w:r>
      <w:r>
        <w:rPr>
          <w:noProof/>
          <w:webHidden/>
        </w:rPr>
        <w:t>33</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"_Toc2780481" </w:instrText>
      </w:r>
      <w:r>
        <w:rPr/>
        <w:fldChar w:fldCharType="separate"/>
      </w:r>
      <w:r>
        <w:rPr>
          <w:rStyle w:val="style85"/>
        </w:rPr>
        <w:t>4.1. Cadre politique en matière environnementale et sociale du Programme</w:t>
      </w:r>
      <w:r>
        <w:rPr>
          <w:webHidden/>
        </w:rPr>
        <w:tab/>
      </w:r>
      <w:r>
        <w:rPr>
          <w:webHidden/>
        </w:rPr>
        <w:fldChar w:fldCharType="begin"/>
      </w:r>
      <w:r>
        <w:rPr>
          <w:webHidden/>
        </w:rPr>
        <w:instrText xml:space="preserve"> PAGEREF _Toc2780481 \h </w:instrText>
      </w:r>
      <w:r>
        <w:rPr>
          <w:webHidden/>
        </w:rPr>
        <w:fldChar w:fldCharType="separate"/>
      </w:r>
      <w:r>
        <w:rPr>
          <w:webHidden/>
        </w:rPr>
        <w:t>33</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"_Toc2780482" </w:instrText>
      </w:r>
      <w:r>
        <w:rPr/>
        <w:fldChar w:fldCharType="separate"/>
      </w:r>
      <w:r>
        <w:rPr>
          <w:rStyle w:val="style85"/>
        </w:rPr>
        <w:t>4.2. Cadre juridique en matière environnementale et sociale du Programme</w:t>
      </w:r>
      <w:r>
        <w:rPr>
          <w:webHidden/>
        </w:rPr>
        <w:tab/>
      </w:r>
      <w:r>
        <w:rPr>
          <w:webHidden/>
        </w:rPr>
        <w:fldChar w:fldCharType="begin"/>
      </w:r>
      <w:r>
        <w:rPr>
          <w:webHidden/>
        </w:rPr>
        <w:instrText xml:space="preserve"> PAGEREF _Toc2780482 \h </w:instrText>
      </w:r>
      <w:r>
        <w:rPr>
          <w:webHidden/>
        </w:rPr>
        <w:fldChar w:fldCharType="separate"/>
      </w:r>
      <w:r>
        <w:rPr>
          <w:webHidden/>
        </w:rPr>
        <w:t>34</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"_Toc2780483" </w:instrText>
      </w:r>
      <w:r>
        <w:rPr/>
        <w:fldChar w:fldCharType="separate"/>
      </w:r>
      <w:r>
        <w:rPr>
          <w:rStyle w:val="style85"/>
          <w:b/>
          <w:noProof/>
        </w:rPr>
        <w:t>4.2.1. Cadre juridique national</w:t>
      </w:r>
      <w:r>
        <w:rPr>
          <w:noProof/>
          <w:webHidden/>
        </w:rPr>
        <w:tab/>
      </w:r>
      <w:r>
        <w:rPr>
          <w:noProof/>
          <w:webHidden/>
        </w:rPr>
        <w:fldChar w:fldCharType="begin"/>
      </w:r>
      <w:r>
        <w:rPr>
          <w:noProof/>
          <w:webHidden/>
        </w:rPr>
        <w:instrText xml:space="preserve"> PAGEREF _Toc2780483 \h </w:instrText>
      </w:r>
      <w:r>
        <w:rPr>
          <w:noProof/>
          <w:webHidden/>
        </w:rPr>
        <w:fldChar w:fldCharType="separate"/>
      </w:r>
      <w:r>
        <w:rPr>
          <w:noProof/>
          <w:webHidden/>
        </w:rPr>
        <w:t>34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"_Toc2780484" </w:instrText>
      </w:r>
      <w:r>
        <w:rPr/>
        <w:fldChar w:fldCharType="separate"/>
      </w:r>
      <w:r>
        <w:rPr>
          <w:rStyle w:val="style85"/>
          <w:b/>
          <w:noProof/>
        </w:rPr>
        <w:t>4.2.2. Cadre juridique international</w:t>
      </w:r>
      <w:r>
        <w:rPr>
          <w:noProof/>
          <w:webHidden/>
        </w:rPr>
        <w:tab/>
      </w:r>
      <w:r>
        <w:rPr>
          <w:noProof/>
          <w:webHidden/>
        </w:rPr>
        <w:fldChar w:fldCharType="begin"/>
      </w:r>
      <w:r>
        <w:rPr>
          <w:noProof/>
          <w:webHidden/>
        </w:rPr>
        <w:instrText xml:space="preserve"> PAGEREF _Toc2780484 \h </w:instrText>
      </w:r>
      <w:r>
        <w:rPr>
          <w:noProof/>
          <w:webHidden/>
        </w:rPr>
        <w:fldChar w:fldCharType="separate"/>
      </w:r>
      <w:r>
        <w:rPr>
          <w:noProof/>
          <w:webHidden/>
        </w:rPr>
        <w:t>38</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"_Toc2780485" </w:instrText>
      </w:r>
      <w:r>
        <w:rPr/>
        <w:fldChar w:fldCharType="separate"/>
      </w:r>
      <w:r>
        <w:rPr>
          <w:rStyle w:val="style85"/>
          <w:b/>
          <w:noProof/>
        </w:rPr>
        <w:t>4.2.3. Exigences des politiques de sauvegarde environnementale et sociale déclenchées par le PDCA et dispositions nationales pertinentes</w:t>
      </w:r>
      <w:r>
        <w:rPr>
          <w:noProof/>
          <w:webHidden/>
        </w:rPr>
        <w:tab/>
      </w:r>
      <w:r>
        <w:rPr>
          <w:noProof/>
          <w:webHidden/>
        </w:rPr>
        <w:fldChar w:fldCharType="begin"/>
      </w:r>
      <w:r>
        <w:rPr>
          <w:noProof/>
          <w:webHidden/>
        </w:rPr>
        <w:instrText xml:space="preserve"> PAGEREF _Toc2780485 \h </w:instrText>
      </w:r>
      <w:r>
        <w:rPr>
          <w:noProof/>
          <w:webHidden/>
        </w:rPr>
        <w:fldChar w:fldCharType="separate"/>
      </w:r>
      <w:r>
        <w:rPr>
          <w:noProof/>
          <w:webHidden/>
        </w:rPr>
        <w:t>43</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"_Toc2780486" </w:instrText>
      </w:r>
      <w:r>
        <w:rPr/>
        <w:fldChar w:fldCharType="separate"/>
      </w:r>
      <w:r>
        <w:rPr>
          <w:rStyle w:val="style85"/>
        </w:rPr>
        <w:t>4.3. Cadre institutionnel de la mise en œuvre du Programme</w:t>
      </w:r>
      <w:r>
        <w:rPr>
          <w:webHidden/>
        </w:rPr>
        <w:tab/>
      </w:r>
      <w:r>
        <w:rPr>
          <w:webHidden/>
        </w:rPr>
        <w:fldChar w:fldCharType="begin"/>
      </w:r>
      <w:r>
        <w:rPr>
          <w:webHidden/>
        </w:rPr>
        <w:instrText xml:space="preserve"> PAGEREF _Toc2780486 \h </w:instrText>
      </w:r>
      <w:r>
        <w:rPr>
          <w:webHidden/>
        </w:rPr>
        <w:fldChar w:fldCharType="separate"/>
      </w:r>
      <w:r>
        <w:rPr>
          <w:webHidden/>
        </w:rPr>
        <w:t>53</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"_Toc2780487" </w:instrText>
      </w:r>
      <w:r>
        <w:rPr/>
        <w:fldChar w:fldCharType="separate"/>
      </w:r>
      <w:r>
        <w:rPr>
          <w:rStyle w:val="style85"/>
          <w:b/>
          <w:noProof/>
        </w:rPr>
        <w:t>4.3.1. Acteurs institutionnels de mise en œuvre du Programme</w:t>
      </w:r>
      <w:r>
        <w:rPr>
          <w:noProof/>
          <w:webHidden/>
        </w:rPr>
        <w:tab/>
      </w:r>
      <w:r>
        <w:rPr>
          <w:noProof/>
          <w:webHidden/>
        </w:rPr>
        <w:fldChar w:fldCharType="begin"/>
      </w:r>
      <w:r>
        <w:rPr>
          <w:noProof/>
          <w:webHidden/>
        </w:rPr>
        <w:instrText xml:space="preserve"> PAGEREF _Toc2780487 \h </w:instrText>
      </w:r>
      <w:r>
        <w:rPr>
          <w:noProof/>
          <w:webHidden/>
        </w:rPr>
        <w:fldChar w:fldCharType="separate"/>
      </w:r>
      <w:r>
        <w:rPr>
          <w:noProof/>
          <w:webHidden/>
        </w:rPr>
        <w:t>53</w:t>
      </w:r>
      <w:r>
        <w:rPr>
          <w:noProof/>
          <w:webHidden/>
        </w:rPr>
        <w:fldChar w:fldCharType="end"/>
      </w:r>
      <w:r>
        <w:rPr/>
        <w:fldChar w:fldCharType="end"/>
      </w:r>
    </w:p>
    <w:p>
      <w:pPr>
        <w:pStyle w:val="style19"/>
        <w:tabs>
          <w:tab w:val="left" w:leader="none" w:pos="720"/>
        </w:tabs>
        <w:rPr>
          <w:rFonts w:ascii="Calibri" w:cs="宋体" w:eastAsia="宋体" w:hAnsi="Calibri"/>
          <w:b w:val="false"/>
          <w:bCs w:val="false"/>
          <w:caps w:val="false"/>
          <w:noProof/>
          <w:sz w:val="22"/>
          <w:szCs w:val="22"/>
        </w:rPr>
      </w:pPr>
      <w:r>
        <w:rPr/>
        <w:fldChar w:fldCharType="begin"/>
      </w:r>
      <w:r>
        <w:instrText xml:space="preserve"> HYPERLINK \l "_Toc2780488" </w:instrText>
      </w:r>
      <w:r>
        <w:rPr/>
        <w:fldChar w:fldCharType="separate"/>
      </w:r>
      <w:r>
        <w:rPr>
          <w:rStyle w:val="style85"/>
          <w:iCs/>
          <w:noProof/>
        </w:rPr>
        <w:t>IV.</w:t>
      </w:r>
      <w:r>
        <w:rPr>
          <w:rFonts w:ascii="Calibri" w:cs="宋体" w:eastAsia="宋体" w:hAnsi="Calibri"/>
          <w:b w:val="false"/>
          <w:bCs w:val="false"/>
          <w:caps w:val="false"/>
          <w:noProof/>
          <w:sz w:val="22"/>
          <w:szCs w:val="22"/>
        </w:rPr>
        <w:tab/>
      </w:r>
      <w:r>
        <w:rPr>
          <w:rStyle w:val="style85"/>
          <w:iCs/>
          <w:noProof/>
        </w:rPr>
        <w:t>EVALUATION DES RISQUES, IMPACTS ENVIRONNEMENTAUX ET SOCIAUX POTENTIELS GENERIQUES DU PROGRAMME</w:t>
      </w:r>
      <w:r>
        <w:rPr>
          <w:noProof/>
          <w:webHidden/>
        </w:rPr>
        <w:tab/>
      </w:r>
      <w:r>
        <w:rPr>
          <w:noProof/>
          <w:webHidden/>
        </w:rPr>
        <w:fldChar w:fldCharType="begin"/>
      </w:r>
      <w:r>
        <w:rPr>
          <w:noProof/>
          <w:webHidden/>
        </w:rPr>
        <w:instrText xml:space="preserve"> PAGEREF _Toc2780488 \h </w:instrText>
      </w:r>
      <w:r>
        <w:rPr>
          <w:noProof/>
          <w:webHidden/>
        </w:rPr>
        <w:fldChar w:fldCharType="separate"/>
      </w:r>
      <w:r>
        <w:rPr>
          <w:noProof/>
          <w:webHidden/>
        </w:rPr>
        <w:t>58</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"_Toc2780489" </w:instrText>
      </w:r>
      <w:r>
        <w:rPr/>
        <w:fldChar w:fldCharType="separate"/>
      </w:r>
      <w:r>
        <w:rPr>
          <w:rStyle w:val="style85"/>
        </w:rPr>
        <w:t>5.1. Risques environnementaux et sociaux génériques potentiels</w:t>
      </w:r>
      <w:r>
        <w:rPr>
          <w:webHidden/>
        </w:rPr>
        <w:tab/>
      </w:r>
      <w:r>
        <w:rPr>
          <w:webHidden/>
        </w:rPr>
        <w:fldChar w:fldCharType="begin"/>
      </w:r>
      <w:r>
        <w:rPr>
          <w:webHidden/>
        </w:rPr>
        <w:instrText xml:space="preserve"> PAGEREF _Toc2780489 \h </w:instrText>
      </w:r>
      <w:r>
        <w:rPr>
          <w:webHidden/>
        </w:rPr>
        <w:fldChar w:fldCharType="separate"/>
      </w:r>
      <w:r>
        <w:rPr>
          <w:webHidden/>
        </w:rPr>
        <w:t>58</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"_Toc2780490" </w:instrText>
      </w:r>
      <w:r>
        <w:rPr/>
        <w:fldChar w:fldCharType="separate"/>
      </w:r>
      <w:r>
        <w:rPr>
          <w:rStyle w:val="style85"/>
          <w:b/>
          <w:noProof/>
        </w:rPr>
        <w:t>5.1.1. Activités sources de risques potentiels</w:t>
      </w:r>
      <w:r>
        <w:rPr>
          <w:noProof/>
          <w:webHidden/>
        </w:rPr>
        <w:tab/>
      </w:r>
      <w:r>
        <w:rPr>
          <w:noProof/>
          <w:webHidden/>
        </w:rPr>
        <w:fldChar w:fldCharType="begin"/>
      </w:r>
      <w:r>
        <w:rPr>
          <w:noProof/>
          <w:webHidden/>
        </w:rPr>
        <w:instrText xml:space="preserve"> PAGEREF _Toc2780490 \h </w:instrText>
      </w:r>
      <w:r>
        <w:rPr>
          <w:noProof/>
          <w:webHidden/>
        </w:rPr>
        <w:fldChar w:fldCharType="separate"/>
      </w:r>
      <w:r>
        <w:rPr>
          <w:noProof/>
          <w:webHidden/>
        </w:rPr>
        <w:t>58</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"_Toc2780491" </w:instrText>
      </w:r>
      <w:r>
        <w:rPr/>
        <w:fldChar w:fldCharType="separate"/>
      </w:r>
      <w:r>
        <w:rPr>
          <w:rStyle w:val="style85"/>
          <w:b/>
          <w:noProof/>
        </w:rPr>
        <w:t>5.1.2. Identification des  risques potentiels  liés aux activités du Programme</w:t>
      </w:r>
      <w:r>
        <w:rPr>
          <w:noProof/>
          <w:webHidden/>
        </w:rPr>
        <w:tab/>
      </w:r>
      <w:r>
        <w:rPr>
          <w:noProof/>
          <w:webHidden/>
        </w:rPr>
        <w:fldChar w:fldCharType="begin"/>
      </w:r>
      <w:r>
        <w:rPr>
          <w:noProof/>
          <w:webHidden/>
        </w:rPr>
        <w:instrText xml:space="preserve"> PAGEREF _Toc2780491 \h </w:instrText>
      </w:r>
      <w:r>
        <w:rPr>
          <w:noProof/>
          <w:webHidden/>
        </w:rPr>
        <w:fldChar w:fldCharType="separate"/>
      </w:r>
      <w:r>
        <w:rPr>
          <w:noProof/>
          <w:webHidden/>
        </w:rPr>
        <w:t>58</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"_Toc2780492" </w:instrText>
      </w:r>
      <w:r>
        <w:rPr/>
        <w:fldChar w:fldCharType="separate"/>
      </w:r>
      <w:r>
        <w:rPr>
          <w:rStyle w:val="style85"/>
        </w:rPr>
        <w:t>5.2. Impacts environnementaux et sociaux génériques potentiels par type de sous-projets</w:t>
      </w:r>
      <w:r>
        <w:rPr>
          <w:webHidden/>
        </w:rPr>
        <w:tab/>
      </w:r>
      <w:r>
        <w:rPr>
          <w:webHidden/>
        </w:rPr>
        <w:fldChar w:fldCharType="begin"/>
      </w:r>
      <w:r>
        <w:rPr>
          <w:webHidden/>
        </w:rPr>
        <w:instrText xml:space="preserve"> PAGEREF _Toc2780492 \h </w:instrText>
      </w:r>
      <w:r>
        <w:rPr>
          <w:webHidden/>
        </w:rPr>
        <w:fldChar w:fldCharType="separate"/>
      </w:r>
      <w:r>
        <w:rPr>
          <w:webHidden/>
        </w:rPr>
        <w:t>59</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"_Toc2780493" </w:instrText>
      </w:r>
      <w:r>
        <w:rPr/>
        <w:fldChar w:fldCharType="separate"/>
      </w:r>
      <w:r>
        <w:rPr>
          <w:rStyle w:val="style85"/>
          <w:b/>
          <w:noProof/>
        </w:rPr>
        <w:t>5.2.1. Impacts positifs génériques potentiels des sous-projets</w:t>
      </w:r>
      <w:r>
        <w:rPr>
          <w:noProof/>
          <w:webHidden/>
        </w:rPr>
        <w:tab/>
      </w:r>
      <w:r>
        <w:rPr>
          <w:noProof/>
          <w:webHidden/>
        </w:rPr>
        <w:fldChar w:fldCharType="begin"/>
      </w:r>
      <w:r>
        <w:rPr>
          <w:noProof/>
          <w:webHidden/>
        </w:rPr>
        <w:instrText xml:space="preserve"> PAGEREF _Toc2780493 \h </w:instrText>
      </w:r>
      <w:r>
        <w:rPr>
          <w:noProof/>
          <w:webHidden/>
        </w:rPr>
        <w:fldChar w:fldCharType="separate"/>
      </w:r>
      <w:r>
        <w:rPr>
          <w:noProof/>
          <w:webHidden/>
        </w:rPr>
        <w:t>60</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"_Toc2780494" </w:instrText>
      </w:r>
      <w:r>
        <w:rPr/>
        <w:fldChar w:fldCharType="separate"/>
      </w:r>
      <w:r>
        <w:rPr>
          <w:rStyle w:val="style85"/>
          <w:b/>
          <w:noProof/>
        </w:rPr>
        <w:t>5.2.2. Impacts négatifs génériques potentiels des sous-projets</w:t>
      </w:r>
      <w:r>
        <w:rPr>
          <w:noProof/>
          <w:webHidden/>
        </w:rPr>
        <w:tab/>
      </w:r>
      <w:r>
        <w:rPr>
          <w:noProof/>
          <w:webHidden/>
        </w:rPr>
        <w:fldChar w:fldCharType="begin"/>
      </w:r>
      <w:r>
        <w:rPr>
          <w:noProof/>
          <w:webHidden/>
        </w:rPr>
        <w:instrText xml:space="preserve"> PAGEREF _Toc2780494 \h </w:instrText>
      </w:r>
      <w:r>
        <w:rPr>
          <w:noProof/>
          <w:webHidden/>
        </w:rPr>
        <w:fldChar w:fldCharType="separate"/>
      </w:r>
      <w:r>
        <w:rPr>
          <w:noProof/>
          <w:webHidden/>
        </w:rPr>
        <w:t>62</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"_Toc2780495" </w:instrText>
      </w:r>
      <w:r>
        <w:rPr/>
        <w:fldChar w:fldCharType="separate"/>
      </w:r>
      <w:r>
        <w:rPr>
          <w:rStyle w:val="style85"/>
          <w:b/>
          <w:noProof/>
        </w:rPr>
        <w:t>5..2.3. Impacts négatifs cumulatifs des activités du Programme</w:t>
      </w:r>
      <w:r>
        <w:rPr>
          <w:noProof/>
          <w:webHidden/>
        </w:rPr>
        <w:tab/>
      </w:r>
      <w:r>
        <w:rPr>
          <w:noProof/>
          <w:webHidden/>
        </w:rPr>
        <w:fldChar w:fldCharType="begin"/>
      </w:r>
      <w:r>
        <w:rPr>
          <w:noProof/>
          <w:webHidden/>
        </w:rPr>
        <w:instrText xml:space="preserve"> PAGEREF _Toc2780495 \h </w:instrText>
      </w:r>
      <w:r>
        <w:rPr>
          <w:noProof/>
          <w:webHidden/>
        </w:rPr>
        <w:fldChar w:fldCharType="separate"/>
      </w:r>
      <w:r>
        <w:rPr>
          <w:noProof/>
          <w:webHidden/>
        </w:rPr>
        <w:t>64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"_Toc2780496" </w:instrText>
      </w:r>
      <w:r>
        <w:rPr/>
        <w:fldChar w:fldCharType="separate"/>
      </w:r>
      <w:r>
        <w:rPr>
          <w:rStyle w:val="style85"/>
          <w:b/>
          <w:noProof/>
        </w:rPr>
        <w:t>5..2.4. Impacts négatifs liés aux effets d’entrainement « effet tâche d’huile »</w:t>
      </w:r>
      <w:r>
        <w:rPr>
          <w:noProof/>
          <w:webHidden/>
        </w:rPr>
        <w:tab/>
      </w:r>
      <w:r>
        <w:rPr>
          <w:noProof/>
          <w:webHidden/>
        </w:rPr>
        <w:fldChar w:fldCharType="begin"/>
      </w:r>
      <w:r>
        <w:rPr>
          <w:noProof/>
          <w:webHidden/>
        </w:rPr>
        <w:instrText xml:space="preserve"> PAGEREF _Toc2780496 \h </w:instrText>
      </w:r>
      <w:r>
        <w:rPr>
          <w:noProof/>
          <w:webHidden/>
        </w:rPr>
        <w:fldChar w:fldCharType="separate"/>
      </w:r>
      <w:r>
        <w:rPr>
          <w:noProof/>
          <w:webHidden/>
        </w:rPr>
        <w:t>64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"_Toc2780497" </w:instrText>
      </w:r>
      <w:r>
        <w:rPr/>
        <w:fldChar w:fldCharType="separate"/>
      </w:r>
      <w:r>
        <w:rPr>
          <w:rStyle w:val="style85"/>
          <w:b/>
          <w:noProof/>
        </w:rPr>
        <w:t>5..3.5. Impacts des changements climatiques sur l’agriculture et l’élevage</w:t>
      </w:r>
      <w:r>
        <w:rPr>
          <w:noProof/>
          <w:webHidden/>
        </w:rPr>
        <w:tab/>
      </w:r>
      <w:r>
        <w:rPr>
          <w:noProof/>
          <w:webHidden/>
        </w:rPr>
        <w:fldChar w:fldCharType="begin"/>
      </w:r>
      <w:r>
        <w:rPr>
          <w:noProof/>
          <w:webHidden/>
        </w:rPr>
        <w:instrText xml:space="preserve"> PAGEREF _Toc2780497 \h </w:instrText>
      </w:r>
      <w:r>
        <w:rPr>
          <w:noProof/>
          <w:webHidden/>
        </w:rPr>
        <w:fldChar w:fldCharType="separate"/>
      </w:r>
      <w:r>
        <w:rPr>
          <w:noProof/>
          <w:webHidden/>
        </w:rPr>
        <w:t>64</w:t>
      </w:r>
      <w:r>
        <w:rPr>
          <w:noProof/>
          <w:webHidden/>
        </w:rPr>
        <w:fldChar w:fldCharType="end"/>
      </w:r>
      <w:r>
        <w:rPr/>
        <w:fldChar w:fldCharType="end"/>
      </w:r>
    </w:p>
    <w:p>
      <w:pPr>
        <w:pStyle w:val="style19"/>
        <w:tabs>
          <w:tab w:val="left" w:leader="none" w:pos="480"/>
        </w:tabs>
        <w:rPr>
          <w:rFonts w:ascii="Calibri" w:cs="宋体" w:eastAsia="宋体" w:hAnsi="Calibri"/>
          <w:b w:val="false"/>
          <w:bCs w:val="false"/>
          <w:caps w:val="false"/>
          <w:noProof/>
          <w:sz w:val="22"/>
          <w:szCs w:val="22"/>
        </w:rPr>
      </w:pPr>
      <w:r>
        <w:rPr/>
        <w:fldChar w:fldCharType="begin"/>
      </w:r>
      <w:r>
        <w:instrText xml:space="preserve"> HYPERLINK \l "_Toc2780498" </w:instrText>
      </w:r>
      <w:r>
        <w:rPr/>
        <w:fldChar w:fldCharType="separate"/>
      </w:r>
      <w:r>
        <w:rPr>
          <w:rStyle w:val="style85"/>
          <w:noProof/>
        </w:rPr>
        <w:t>V.</w:t>
      </w:r>
      <w:r>
        <w:rPr>
          <w:rFonts w:ascii="Calibri" w:cs="宋体" w:eastAsia="宋体" w:hAnsi="Calibri"/>
          <w:b w:val="false"/>
          <w:bCs w:val="false"/>
          <w:caps w:val="false"/>
          <w:noProof/>
          <w:sz w:val="22"/>
          <w:szCs w:val="22"/>
        </w:rPr>
        <w:tab/>
      </w:r>
      <w:r>
        <w:rPr>
          <w:rStyle w:val="style85"/>
          <w:iCs/>
          <w:noProof/>
        </w:rPr>
        <w:t>CONSULTATION DES PARTIES PRENANTES</w:t>
      </w:r>
      <w:r>
        <w:rPr>
          <w:noProof/>
          <w:webHidden/>
        </w:rPr>
        <w:tab/>
      </w:r>
      <w:r>
        <w:rPr>
          <w:noProof/>
          <w:webHidden/>
        </w:rPr>
        <w:fldChar w:fldCharType="begin"/>
      </w:r>
      <w:r>
        <w:rPr>
          <w:noProof/>
          <w:webHidden/>
        </w:rPr>
        <w:instrText xml:space="preserve"> PAGEREF _Toc2780498 \h </w:instrText>
      </w:r>
      <w:r>
        <w:rPr>
          <w:noProof/>
          <w:webHidden/>
        </w:rPr>
        <w:fldChar w:fldCharType="separate"/>
      </w:r>
      <w:r>
        <w:rPr>
          <w:noProof/>
          <w:webHidden/>
        </w:rPr>
        <w:t>65</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"_Toc2780499" </w:instrText>
      </w:r>
      <w:r>
        <w:rPr/>
        <w:fldChar w:fldCharType="separate"/>
      </w:r>
      <w:r>
        <w:rPr>
          <w:rStyle w:val="style85"/>
        </w:rPr>
        <w:t>6.1. Mécanismes de consultation, de communication et de participation du public</w:t>
      </w:r>
      <w:r>
        <w:rPr>
          <w:webHidden/>
        </w:rPr>
        <w:tab/>
      </w:r>
      <w:r>
        <w:rPr>
          <w:webHidden/>
        </w:rPr>
        <w:fldChar w:fldCharType="begin"/>
      </w:r>
      <w:r>
        <w:rPr>
          <w:webHidden/>
        </w:rPr>
        <w:instrText xml:space="preserve"> PAGEREF _Toc2780499 \h </w:instrText>
      </w:r>
      <w:r>
        <w:rPr>
          <w:webHidden/>
        </w:rPr>
        <w:fldChar w:fldCharType="separate"/>
      </w:r>
      <w:r>
        <w:rPr>
          <w:webHidden/>
        </w:rPr>
        <w:t>65</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"_Toc2780500" </w:instrText>
      </w:r>
      <w:r>
        <w:rPr/>
        <w:fldChar w:fldCharType="separate"/>
      </w:r>
      <w:r>
        <w:rPr>
          <w:rStyle w:val="style85"/>
        </w:rPr>
        <w:t>6.2. Synthèse des consultations du public sur les aspects de sauvegarde environnementale et sociale du Programme</w:t>
      </w:r>
      <w:r>
        <w:rPr>
          <w:webHidden/>
        </w:rPr>
        <w:tab/>
      </w:r>
      <w:r>
        <w:rPr>
          <w:webHidden/>
        </w:rPr>
        <w:fldChar w:fldCharType="begin"/>
      </w:r>
      <w:r>
        <w:rPr>
          <w:webHidden/>
        </w:rPr>
        <w:instrText xml:space="preserve"> PAGEREF _Toc2780500 \h </w:instrText>
      </w:r>
      <w:r>
        <w:rPr>
          <w:webHidden/>
        </w:rPr>
        <w:fldChar w:fldCharType="separate"/>
      </w:r>
      <w:r>
        <w:rPr>
          <w:webHidden/>
        </w:rPr>
        <w:t>65</w:t>
      </w:r>
      <w:r>
        <w:rPr>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"_Toc2780501" </w:instrText>
      </w:r>
      <w:r>
        <w:rPr/>
        <w:fldChar w:fldCharType="separate"/>
      </w:r>
      <w:r>
        <w:rPr>
          <w:rStyle w:val="style85"/>
          <w:iCs/>
          <w:noProof/>
        </w:rPr>
        <w:t>VII. PLAN CADRE DE GESTION ENVIRONNEMENTALE ET SOCIALE (PCGES)</w:t>
      </w:r>
      <w:r>
        <w:rPr>
          <w:noProof/>
          <w:webHidden/>
        </w:rPr>
        <w:tab/>
      </w:r>
      <w:r>
        <w:rPr>
          <w:noProof/>
          <w:webHidden/>
        </w:rPr>
        <w:fldChar w:fldCharType="begin"/>
      </w:r>
      <w:r>
        <w:rPr>
          <w:noProof/>
          <w:webHidden/>
        </w:rPr>
        <w:instrText xml:space="preserve"> PAGEREF _Toc2780501 \h </w:instrText>
      </w:r>
      <w:r>
        <w:rPr>
          <w:noProof/>
          <w:webHidden/>
        </w:rPr>
        <w:fldChar w:fldCharType="separate"/>
      </w:r>
      <w:r>
        <w:rPr>
          <w:noProof/>
          <w:webHidden/>
        </w:rPr>
        <w:t>74</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"_Toc2780502" </w:instrText>
      </w:r>
      <w:r>
        <w:rPr/>
        <w:fldChar w:fldCharType="separate"/>
      </w:r>
      <w:r>
        <w:rPr>
          <w:rStyle w:val="style85"/>
        </w:rPr>
        <w:t>7.1.  Procédure de gestion environnementale et sociale des sous-projets</w:t>
      </w:r>
      <w:r>
        <w:rPr>
          <w:webHidden/>
        </w:rPr>
        <w:tab/>
      </w:r>
      <w:r>
        <w:rPr>
          <w:webHidden/>
        </w:rPr>
        <w:fldChar w:fldCharType="begin"/>
      </w:r>
      <w:r>
        <w:rPr>
          <w:webHidden/>
        </w:rPr>
        <w:instrText xml:space="preserve"> PAGEREF _Toc2780502 \h </w:instrText>
      </w:r>
      <w:r>
        <w:rPr>
          <w:webHidden/>
        </w:rPr>
        <w:fldChar w:fldCharType="separate"/>
      </w:r>
      <w:r>
        <w:rPr>
          <w:webHidden/>
        </w:rPr>
        <w:t>74</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"_Toc2780503" </w:instrText>
      </w:r>
      <w:r>
        <w:rPr/>
        <w:fldChar w:fldCharType="separate"/>
      </w:r>
      <w:r>
        <w:rPr>
          <w:rStyle w:val="style85"/>
          <w:b/>
          <w:noProof/>
        </w:rPr>
        <w:t>7.1.1. Etapes de la gestion environnementale et sociale des activités du Programme</w:t>
      </w:r>
      <w:r>
        <w:rPr>
          <w:noProof/>
          <w:webHidden/>
        </w:rPr>
        <w:tab/>
      </w:r>
      <w:r>
        <w:rPr>
          <w:noProof/>
          <w:webHidden/>
        </w:rPr>
        <w:fldChar w:fldCharType="begin"/>
      </w:r>
      <w:r>
        <w:rPr>
          <w:noProof/>
          <w:webHidden/>
        </w:rPr>
        <w:instrText xml:space="preserve"> PAGEREF _Toc2780503 \h </w:instrText>
      </w:r>
      <w:r>
        <w:rPr>
          <w:noProof/>
          <w:webHidden/>
        </w:rPr>
        <w:fldChar w:fldCharType="separate"/>
      </w:r>
      <w:r>
        <w:rPr>
          <w:noProof/>
          <w:webHidden/>
        </w:rPr>
        <w:t>74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"_Toc2780507" </w:instrText>
      </w:r>
      <w:r>
        <w:rPr/>
        <w:fldChar w:fldCharType="separate"/>
      </w:r>
      <w:r>
        <w:rPr>
          <w:rStyle w:val="style85"/>
          <w:b/>
          <w:noProof/>
        </w:rPr>
        <w:t>7.1.2. Responsabilités de la mise en œuvre de de la procédure de gestion environnementale et sociale</w:t>
      </w:r>
      <w:r>
        <w:rPr>
          <w:noProof/>
          <w:webHidden/>
        </w:rPr>
        <w:tab/>
      </w:r>
      <w:r>
        <w:rPr>
          <w:noProof/>
          <w:webHidden/>
        </w:rPr>
        <w:fldChar w:fldCharType="begin"/>
      </w:r>
      <w:r>
        <w:rPr>
          <w:noProof/>
          <w:webHidden/>
        </w:rPr>
        <w:instrText xml:space="preserve"> PAGEREF _Toc2780507 \h </w:instrText>
      </w:r>
      <w:r>
        <w:rPr>
          <w:noProof/>
          <w:webHidden/>
        </w:rPr>
        <w:fldChar w:fldCharType="separate"/>
      </w:r>
      <w:r>
        <w:rPr>
          <w:noProof/>
          <w:webHidden/>
        </w:rPr>
        <w:t>77</w:t>
      </w:r>
      <w:r>
        <w:rPr>
          <w:noProof/>
          <w:webHidden/>
        </w:rPr>
        <w:fldChar w:fldCharType="end"/>
      </w:r>
      <w:r>
        <w:rPr/>
        <w:fldChar w:fldCharType="end"/>
      </w:r>
    </w:p>
    <w:p>
      <w:pPr>
        <w:pStyle w:val="style21"/>
        <w:tabs>
          <w:tab w:val="left" w:leader="none" w:pos="1200"/>
        </w:tabs>
        <w:rPr>
          <w:rFonts w:ascii="Calibri" w:cs="宋体" w:eastAsia="宋体" w:hAnsi="Calibri"/>
          <w:i w:val="false"/>
          <w:iCs w:val="false"/>
          <w:noProof/>
          <w:sz w:val="22"/>
          <w:szCs w:val="22"/>
        </w:rPr>
      </w:pPr>
      <w:r>
        <w:rPr/>
        <w:fldChar w:fldCharType="begin"/>
      </w:r>
      <w:r>
        <w:instrText xml:space="preserve"> HYPERLINK \l "_Toc2780508" </w:instrText>
      </w:r>
      <w:r>
        <w:rPr/>
        <w:fldChar w:fldCharType="separate"/>
      </w:r>
      <w:r>
        <w:rPr>
          <w:rStyle w:val="style85"/>
          <w:b/>
          <w:noProof/>
        </w:rPr>
        <w:t>7.2.</w:t>
      </w:r>
      <w:r>
        <w:rPr>
          <w:rFonts w:ascii="Calibri" w:cs="宋体" w:eastAsia="宋体" w:hAnsi="Calibri"/>
          <w:i w:val="false"/>
          <w:iCs w:val="false"/>
          <w:noProof/>
          <w:sz w:val="22"/>
          <w:szCs w:val="22"/>
        </w:rPr>
        <w:tab/>
      </w:r>
      <w:r>
        <w:rPr>
          <w:rStyle w:val="style85"/>
          <w:b/>
          <w:noProof/>
        </w:rPr>
        <w:t>Orientations pour la Protection des Ressources Culturelles Physiques (PRCP)</w:t>
      </w:r>
      <w:r>
        <w:rPr>
          <w:noProof/>
          <w:webHidden/>
        </w:rPr>
        <w:tab/>
      </w:r>
      <w:r>
        <w:rPr>
          <w:noProof/>
          <w:webHidden/>
        </w:rPr>
        <w:fldChar w:fldCharType="begin"/>
      </w:r>
      <w:r>
        <w:rPr>
          <w:noProof/>
          <w:webHidden/>
        </w:rPr>
        <w:instrText xml:space="preserve"> PAGEREF _Toc2780508 \h </w:instrText>
      </w:r>
      <w:r>
        <w:rPr>
          <w:noProof/>
          <w:webHidden/>
        </w:rPr>
        <w:fldChar w:fldCharType="separate"/>
      </w:r>
      <w:r>
        <w:rPr>
          <w:noProof/>
          <w:webHidden/>
        </w:rPr>
        <w:t>80</w:t>
      </w:r>
      <w:r>
        <w:rPr>
          <w:noProof/>
          <w:webHidden/>
        </w:rPr>
        <w:fldChar w:fldCharType="end"/>
      </w:r>
      <w:r>
        <w:rPr/>
        <w:fldChar w:fldCharType="end"/>
      </w:r>
    </w:p>
    <w:p>
      <w:pPr>
        <w:pStyle w:val="style21"/>
        <w:tabs>
          <w:tab w:val="left" w:leader="none" w:pos="1200"/>
        </w:tabs>
        <w:rPr>
          <w:rFonts w:ascii="Calibri" w:cs="宋体" w:eastAsia="宋体" w:hAnsi="Calibri"/>
          <w:i w:val="false"/>
          <w:iCs w:val="false"/>
          <w:noProof/>
          <w:sz w:val="22"/>
          <w:szCs w:val="22"/>
        </w:rPr>
      </w:pPr>
      <w:r>
        <w:rPr/>
        <w:fldChar w:fldCharType="begin"/>
      </w:r>
      <w:r>
        <w:instrText xml:space="preserve"> HYPERLINK \l "_Toc2780509" </w:instrText>
      </w:r>
      <w:r>
        <w:rPr/>
        <w:fldChar w:fldCharType="separate"/>
      </w:r>
      <w:r>
        <w:rPr>
          <w:rStyle w:val="style85"/>
          <w:b/>
          <w:noProof/>
        </w:rPr>
        <w:t>7.3.</w:t>
      </w:r>
      <w:r>
        <w:rPr>
          <w:rFonts w:ascii="Calibri" w:cs="宋体" w:eastAsia="宋体" w:hAnsi="Calibri"/>
          <w:i w:val="false"/>
          <w:iCs w:val="false"/>
          <w:noProof/>
          <w:sz w:val="22"/>
          <w:szCs w:val="22"/>
        </w:rPr>
        <w:tab/>
      </w:r>
      <w:r>
        <w:rPr>
          <w:rStyle w:val="style85"/>
          <w:b/>
          <w:noProof/>
        </w:rPr>
        <w:t>Analyse des capacités des parties prenantes en matière de gestion environnementale et sociale</w:t>
      </w:r>
      <w:r>
        <w:rPr>
          <w:noProof/>
          <w:webHidden/>
        </w:rPr>
        <w:tab/>
      </w:r>
      <w:r>
        <w:rPr>
          <w:noProof/>
          <w:webHidden/>
        </w:rPr>
        <w:fldChar w:fldCharType="begin"/>
      </w:r>
      <w:r>
        <w:rPr>
          <w:noProof/>
          <w:webHidden/>
        </w:rPr>
        <w:instrText xml:space="preserve"> PAGEREF _Toc2780509 \h </w:instrText>
      </w:r>
      <w:r>
        <w:rPr>
          <w:noProof/>
          <w:webHidden/>
        </w:rPr>
        <w:fldChar w:fldCharType="separate"/>
      </w:r>
      <w:r>
        <w:rPr>
          <w:noProof/>
          <w:webHidden/>
        </w:rPr>
        <w:t>81</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"_Toc2780510" </w:instrText>
      </w:r>
      <w:r>
        <w:rPr/>
        <w:fldChar w:fldCharType="separate"/>
      </w:r>
      <w:r>
        <w:rPr>
          <w:rStyle w:val="style85"/>
        </w:rPr>
        <w:t>7.4. Mesures de renforcement des capacités en gestion environnementale et sociale</w:t>
      </w:r>
      <w:r>
        <w:rPr>
          <w:webHidden/>
        </w:rPr>
        <w:tab/>
      </w:r>
      <w:r>
        <w:rPr>
          <w:webHidden/>
        </w:rPr>
        <w:fldChar w:fldCharType="begin"/>
      </w:r>
      <w:r>
        <w:rPr>
          <w:webHidden/>
        </w:rPr>
        <w:instrText xml:space="preserve"> PAGEREF _Toc2780510 \h </w:instrText>
      </w:r>
      <w:r>
        <w:rPr>
          <w:webHidden/>
        </w:rPr>
        <w:fldChar w:fldCharType="separate"/>
      </w:r>
      <w:r>
        <w:rPr>
          <w:webHidden/>
        </w:rPr>
        <w:t>83</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"_Toc2780511" </w:instrText>
      </w:r>
      <w:r>
        <w:rPr/>
        <w:fldChar w:fldCharType="separate"/>
      </w:r>
      <w:r>
        <w:rPr>
          <w:rStyle w:val="style85"/>
        </w:rPr>
        <w:t>7.5. Programme de suivi environnemental et social</w:t>
      </w:r>
      <w:r>
        <w:rPr>
          <w:webHidden/>
        </w:rPr>
        <w:tab/>
      </w:r>
      <w:r>
        <w:rPr>
          <w:webHidden/>
        </w:rPr>
        <w:fldChar w:fldCharType="begin"/>
      </w:r>
      <w:r>
        <w:rPr>
          <w:webHidden/>
        </w:rPr>
        <w:instrText xml:space="preserve"> PAGEREF _Toc2780511 \h </w:instrText>
      </w:r>
      <w:r>
        <w:rPr>
          <w:webHidden/>
        </w:rPr>
        <w:fldChar w:fldCharType="separate"/>
      </w:r>
      <w:r>
        <w:rPr>
          <w:webHidden/>
        </w:rPr>
        <w:t>86</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"_Toc2780512" </w:instrText>
      </w:r>
      <w:r>
        <w:rPr/>
        <w:fldChar w:fldCharType="separate"/>
      </w:r>
      <w:r>
        <w:rPr>
          <w:rStyle w:val="style85"/>
          <w:rFonts w:ascii="Times New Roman Bold" w:hAnsi="Times New Roman Bold"/>
          <w:b/>
          <w:noProof/>
          <w:spacing w:val="-3"/>
          <w:lang w:eastAsia="en-US"/>
        </w:rPr>
        <w:t>7.5.1. Portée du dispositif de suivi-environnemental</w:t>
      </w:r>
      <w:r>
        <w:rPr>
          <w:noProof/>
          <w:webHidden/>
        </w:rPr>
        <w:tab/>
      </w:r>
      <w:r>
        <w:rPr>
          <w:noProof/>
          <w:webHidden/>
        </w:rPr>
        <w:fldChar w:fldCharType="begin"/>
      </w:r>
      <w:r>
        <w:rPr>
          <w:noProof/>
          <w:webHidden/>
        </w:rPr>
        <w:instrText xml:space="preserve"> PAGEREF _Toc2780512 \h </w:instrText>
      </w:r>
      <w:r>
        <w:rPr>
          <w:noProof/>
          <w:webHidden/>
        </w:rPr>
        <w:fldChar w:fldCharType="separate"/>
      </w:r>
      <w:r>
        <w:rPr>
          <w:noProof/>
          <w:webHidden/>
        </w:rPr>
        <w:t>86</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"_Toc2780513" </w:instrText>
      </w:r>
      <w:r>
        <w:rPr/>
        <w:fldChar w:fldCharType="separate"/>
      </w:r>
      <w:r>
        <w:rPr>
          <w:rStyle w:val="style85"/>
          <w:rFonts w:ascii="Times New Roman Bold" w:hAnsi="Times New Roman Bold"/>
          <w:b/>
          <w:noProof/>
          <w:spacing w:val="-3"/>
          <w:lang w:eastAsia="en-US"/>
        </w:rPr>
        <w:t>7.5.2. Suivi des impacts cumulatifs</w:t>
      </w:r>
      <w:r>
        <w:rPr>
          <w:noProof/>
          <w:webHidden/>
        </w:rPr>
        <w:tab/>
      </w:r>
      <w:r>
        <w:rPr>
          <w:noProof/>
          <w:webHidden/>
        </w:rPr>
        <w:fldChar w:fldCharType="begin"/>
      </w:r>
      <w:r>
        <w:rPr>
          <w:noProof/>
          <w:webHidden/>
        </w:rPr>
        <w:instrText xml:space="preserve"> PAGEREF _Toc2780513 \h </w:instrText>
      </w:r>
      <w:r>
        <w:rPr>
          <w:noProof/>
          <w:webHidden/>
        </w:rPr>
        <w:fldChar w:fldCharType="separate"/>
      </w:r>
      <w:r>
        <w:rPr>
          <w:noProof/>
          <w:webHidden/>
        </w:rPr>
        <w:t>87</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"_Toc2780514" </w:instrText>
      </w:r>
      <w:r>
        <w:rPr/>
        <w:fldChar w:fldCharType="separate"/>
      </w:r>
      <w:r>
        <w:rPr>
          <w:rStyle w:val="style85"/>
          <w:rFonts w:ascii="Times New Roman Bold" w:hAnsi="Times New Roman Bold"/>
          <w:b/>
          <w:noProof/>
          <w:spacing w:val="-3"/>
          <w:lang w:eastAsia="en-US"/>
        </w:rPr>
        <w:t>7.5.3. Implication des laboratoires spécialisés d’analyses dans le suivi</w:t>
      </w:r>
      <w:r>
        <w:rPr>
          <w:noProof/>
          <w:webHidden/>
        </w:rPr>
        <w:tab/>
      </w:r>
      <w:r>
        <w:rPr>
          <w:noProof/>
          <w:webHidden/>
        </w:rPr>
        <w:fldChar w:fldCharType="begin"/>
      </w:r>
      <w:r>
        <w:rPr>
          <w:noProof/>
          <w:webHidden/>
        </w:rPr>
        <w:instrText xml:space="preserve"> PAGEREF _Toc2780514 \h </w:instrText>
      </w:r>
      <w:r>
        <w:rPr>
          <w:noProof/>
          <w:webHidden/>
        </w:rPr>
        <w:fldChar w:fldCharType="separate"/>
      </w:r>
      <w:r>
        <w:rPr>
          <w:noProof/>
          <w:webHidden/>
        </w:rPr>
        <w:t>87</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"_Toc2780515" </w:instrText>
      </w:r>
      <w:r>
        <w:rPr/>
        <w:fldChar w:fldCharType="separate"/>
      </w:r>
      <w:r>
        <w:rPr>
          <w:rStyle w:val="style85"/>
        </w:rPr>
        <w:t>7.6. Arrangements institutionnels pour la mise en œuvre du CGES</w:t>
      </w:r>
      <w:r>
        <w:rPr>
          <w:webHidden/>
        </w:rPr>
        <w:tab/>
      </w:r>
      <w:r>
        <w:rPr>
          <w:webHidden/>
        </w:rPr>
        <w:fldChar w:fldCharType="begin"/>
      </w:r>
      <w:r>
        <w:rPr>
          <w:webHidden/>
        </w:rPr>
        <w:instrText xml:space="preserve"> PAGEREF _Toc2780515 \h </w:instrText>
      </w:r>
      <w:r>
        <w:rPr>
          <w:webHidden/>
        </w:rPr>
        <w:fldChar w:fldCharType="separate"/>
      </w:r>
      <w:r>
        <w:rPr>
          <w:webHidden/>
        </w:rPr>
        <w:t>87</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"_Toc2780516" </w:instrText>
      </w:r>
      <w:r>
        <w:rPr/>
        <w:fldChar w:fldCharType="separate"/>
      </w:r>
      <w:r>
        <w:rPr>
          <w:rStyle w:val="style85"/>
        </w:rPr>
        <w:t>7.7. Calendrier de mise en œuvre et de suivi activités de gestion environnementale et sociale</w:t>
      </w:r>
      <w:r>
        <w:rPr>
          <w:webHidden/>
        </w:rPr>
        <w:tab/>
      </w:r>
      <w:r>
        <w:rPr>
          <w:webHidden/>
        </w:rPr>
        <w:fldChar w:fldCharType="begin"/>
      </w:r>
      <w:r>
        <w:rPr>
          <w:webHidden/>
        </w:rPr>
        <w:instrText xml:space="preserve"> PAGEREF _Toc2780516 \h </w:instrText>
      </w:r>
      <w:r>
        <w:rPr>
          <w:webHidden/>
        </w:rPr>
        <w:fldChar w:fldCharType="separate"/>
      </w:r>
      <w:r>
        <w:rPr>
          <w:webHidden/>
        </w:rPr>
        <w:t>89</w:t>
      </w:r>
      <w:r>
        <w:rPr>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"_Toc2780517" </w:instrText>
      </w:r>
      <w:r>
        <w:rPr/>
        <w:fldChar w:fldCharType="separate"/>
      </w:r>
      <w:r>
        <w:rPr>
          <w:rStyle w:val="style85"/>
        </w:rPr>
        <w:t>7.8. Coûts des mesures environnementales et sociales</w:t>
      </w:r>
      <w:r>
        <w:rPr>
          <w:webHidden/>
        </w:rPr>
        <w:tab/>
      </w:r>
      <w:r>
        <w:rPr>
          <w:webHidden/>
        </w:rPr>
        <w:fldChar w:fldCharType="begin"/>
      </w:r>
      <w:r>
        <w:rPr>
          <w:webHidden/>
        </w:rPr>
        <w:instrText xml:space="preserve"> PAGEREF _Toc2780517 \h </w:instrText>
      </w:r>
      <w:r>
        <w:rPr>
          <w:webHidden/>
        </w:rPr>
        <w:fldChar w:fldCharType="separate"/>
      </w:r>
      <w:r>
        <w:rPr>
          <w:webHidden/>
        </w:rPr>
        <w:t>91</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"_Toc2780518" </w:instrText>
      </w:r>
      <w:r>
        <w:rPr/>
        <w:fldChar w:fldCharType="separate"/>
      </w:r>
      <w:r>
        <w:rPr>
          <w:rStyle w:val="style85"/>
          <w:rFonts w:ascii="Times New Roman Bold" w:hAnsi="Times New Roman Bold"/>
          <w:b/>
          <w:noProof/>
          <w:spacing w:val="-3"/>
          <w:lang w:eastAsia="en-US"/>
        </w:rPr>
        <w:t>7.8.1. Coûts de réalisation des EIES/NIES et de mise en œuvre des mesures techniques</w:t>
      </w:r>
      <w:r>
        <w:rPr>
          <w:noProof/>
          <w:webHidden/>
        </w:rPr>
        <w:tab/>
      </w:r>
      <w:r>
        <w:rPr>
          <w:noProof/>
          <w:webHidden/>
        </w:rPr>
        <w:fldChar w:fldCharType="begin"/>
      </w:r>
      <w:r>
        <w:rPr>
          <w:noProof/>
          <w:webHidden/>
        </w:rPr>
        <w:instrText xml:space="preserve"> PAGEREF _Toc2780518 \h </w:instrText>
      </w:r>
      <w:r>
        <w:rPr>
          <w:noProof/>
          <w:webHidden/>
        </w:rPr>
        <w:fldChar w:fldCharType="separate"/>
      </w:r>
      <w:r>
        <w:rPr>
          <w:noProof/>
          <w:webHidden/>
        </w:rPr>
        <w:t>91</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"_Toc2780519" </w:instrText>
      </w:r>
      <w:r>
        <w:rPr/>
        <w:fldChar w:fldCharType="separate"/>
      </w:r>
      <w:r>
        <w:rPr>
          <w:rStyle w:val="style85"/>
          <w:rFonts w:ascii="Times New Roman Bold" w:hAnsi="Times New Roman Bold"/>
          <w:b/>
          <w:noProof/>
          <w:spacing w:val="-3"/>
          <w:lang w:eastAsia="en-US"/>
        </w:rPr>
        <w:t>7.8.2. Coûts de Suivi/Evaluation des activités du Programme</w:t>
      </w:r>
      <w:r>
        <w:rPr>
          <w:noProof/>
          <w:webHidden/>
        </w:rPr>
        <w:tab/>
      </w:r>
      <w:r>
        <w:rPr>
          <w:noProof/>
          <w:webHidden/>
        </w:rPr>
        <w:fldChar w:fldCharType="begin"/>
      </w:r>
      <w:r>
        <w:rPr>
          <w:noProof/>
          <w:webHidden/>
        </w:rPr>
        <w:instrText xml:space="preserve"> PAGEREF _Toc2780519 \h </w:instrText>
      </w:r>
      <w:r>
        <w:rPr>
          <w:noProof/>
          <w:webHidden/>
        </w:rPr>
        <w:fldChar w:fldCharType="separate"/>
      </w:r>
      <w:r>
        <w:rPr>
          <w:noProof/>
          <w:webHidden/>
        </w:rPr>
        <w:t>91</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"_Toc2780520" </w:instrText>
      </w:r>
      <w:r>
        <w:rPr/>
        <w:fldChar w:fldCharType="separate"/>
      </w:r>
      <w:r>
        <w:rPr>
          <w:rStyle w:val="style85"/>
          <w:rFonts w:ascii="Times New Roman Bold" w:hAnsi="Times New Roman Bold"/>
          <w:b/>
          <w:noProof/>
          <w:spacing w:val="-3"/>
          <w:lang w:eastAsia="en-US"/>
        </w:rPr>
        <w:t>7.8.3. Coûts des mesures de Formation et de Sensibilisation</w:t>
      </w:r>
      <w:r>
        <w:rPr>
          <w:noProof/>
          <w:webHidden/>
        </w:rPr>
        <w:tab/>
      </w:r>
      <w:r>
        <w:rPr>
          <w:noProof/>
          <w:webHidden/>
        </w:rPr>
        <w:fldChar w:fldCharType="begin"/>
      </w:r>
      <w:r>
        <w:rPr>
          <w:noProof/>
          <w:webHidden/>
        </w:rPr>
        <w:instrText xml:space="preserve"> PAGEREF _Toc2780520 \h </w:instrText>
      </w:r>
      <w:r>
        <w:rPr>
          <w:noProof/>
          <w:webHidden/>
        </w:rPr>
        <w:fldChar w:fldCharType="separate"/>
      </w:r>
      <w:r>
        <w:rPr>
          <w:noProof/>
          <w:webHidden/>
        </w:rPr>
        <w:t>91</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"_Toc2780521" </w:instrText>
      </w:r>
      <w:r>
        <w:rPr/>
        <w:fldChar w:fldCharType="separate"/>
      </w:r>
      <w:r>
        <w:rPr>
          <w:rStyle w:val="style85"/>
          <w:rFonts w:ascii="Times New Roman Bold" w:hAnsi="Times New Roman Bold"/>
          <w:b/>
          <w:noProof/>
          <w:spacing w:val="-3"/>
          <w:lang w:eastAsia="en-US"/>
        </w:rPr>
        <w:t>7.8.4. Autres coûts</w:t>
      </w:r>
      <w:r>
        <w:rPr>
          <w:noProof/>
          <w:webHidden/>
        </w:rPr>
        <w:tab/>
      </w:r>
      <w:r>
        <w:rPr>
          <w:noProof/>
          <w:webHidden/>
        </w:rPr>
        <w:fldChar w:fldCharType="begin"/>
      </w:r>
      <w:r>
        <w:rPr>
          <w:noProof/>
          <w:webHidden/>
        </w:rPr>
        <w:instrText xml:space="preserve"> PAGEREF _Toc2780521 \h </w:instrText>
      </w:r>
      <w:r>
        <w:rPr>
          <w:noProof/>
          <w:webHidden/>
        </w:rPr>
        <w:fldChar w:fldCharType="separate"/>
      </w:r>
      <w:r>
        <w:rPr>
          <w:noProof/>
          <w:webHidden/>
        </w:rPr>
        <w:t>92</w:t>
      </w:r>
      <w:r>
        <w:rPr>
          <w:noProof/>
          <w:webHidden/>
        </w:rPr>
        <w:fldChar w:fldCharType="end"/>
      </w:r>
      <w:r>
        <w:rPr/>
        <w:fldChar w:fldCharType="end"/>
      </w:r>
    </w:p>
    <w:p>
      <w:pPr>
        <w:pStyle w:val="style20"/>
        <w:rPr>
          <w:rFonts w:ascii="Calibri" w:cs="宋体" w:eastAsia="宋体" w:hAnsi="Calibri"/>
          <w:smallCaps w:val="false"/>
          <w:sz w:val="22"/>
          <w:szCs w:val="22"/>
        </w:rPr>
      </w:pPr>
      <w:r>
        <w:rPr/>
        <w:fldChar w:fldCharType="begin"/>
      </w:r>
      <w:r>
        <w:instrText xml:space="preserve"> HYPERLINK \l "_Toc2780522" </w:instrText>
      </w:r>
      <w:r>
        <w:rPr/>
        <w:fldChar w:fldCharType="separate"/>
      </w:r>
      <w:r>
        <w:rPr>
          <w:rStyle w:val="style85"/>
        </w:rPr>
        <w:t>7.9. Mécanismes de gestion des plaintes</w:t>
      </w:r>
      <w:r>
        <w:rPr>
          <w:webHidden/>
        </w:rPr>
        <w:tab/>
      </w:r>
      <w:r>
        <w:rPr>
          <w:webHidden/>
        </w:rPr>
        <w:fldChar w:fldCharType="begin"/>
      </w:r>
      <w:r>
        <w:rPr>
          <w:webHidden/>
        </w:rPr>
        <w:instrText xml:space="preserve"> PAGEREF _Toc2780522 \h </w:instrText>
      </w:r>
      <w:r>
        <w:rPr>
          <w:webHidden/>
        </w:rPr>
        <w:fldChar w:fldCharType="separate"/>
      </w:r>
      <w:r>
        <w:rPr>
          <w:webHidden/>
        </w:rPr>
        <w:t>94</w:t>
      </w:r>
      <w:r>
        <w:rPr>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"_Toc2780523" </w:instrText>
      </w:r>
      <w:r>
        <w:rPr/>
        <w:fldChar w:fldCharType="separate"/>
      </w:r>
      <w:r>
        <w:rPr>
          <w:rStyle w:val="style85"/>
          <w:rFonts w:ascii="Times New Roman Bold" w:hAnsi="Times New Roman Bold"/>
          <w:b/>
          <w:noProof/>
          <w:spacing w:val="-3"/>
          <w:lang w:eastAsia="en-US"/>
        </w:rPr>
        <w:t>7.9.1. Les différents types de plaintes à traiter</w:t>
      </w:r>
      <w:r>
        <w:rPr>
          <w:noProof/>
          <w:webHidden/>
        </w:rPr>
        <w:tab/>
      </w:r>
      <w:r>
        <w:rPr>
          <w:noProof/>
          <w:webHidden/>
        </w:rPr>
        <w:fldChar w:fldCharType="begin"/>
      </w:r>
      <w:r>
        <w:rPr>
          <w:noProof/>
          <w:webHidden/>
        </w:rPr>
        <w:instrText xml:space="preserve"> PAGEREF _Toc2780523 \h </w:instrText>
      </w:r>
      <w:r>
        <w:rPr>
          <w:noProof/>
          <w:webHidden/>
        </w:rPr>
        <w:fldChar w:fldCharType="separate"/>
      </w:r>
      <w:r>
        <w:rPr>
          <w:noProof/>
          <w:webHidden/>
        </w:rPr>
        <w:t>94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"_Toc2780524" </w:instrText>
      </w:r>
      <w:r>
        <w:rPr/>
        <w:fldChar w:fldCharType="separate"/>
      </w:r>
      <w:r>
        <w:rPr>
          <w:rStyle w:val="style85"/>
          <w:rFonts w:ascii="Times New Roman Bold" w:hAnsi="Times New Roman Bold"/>
          <w:b/>
          <w:noProof/>
          <w:spacing w:val="-3"/>
          <w:lang w:eastAsia="en-US"/>
        </w:rPr>
        <w:t>7.9.2. Procédure d’enregistrement et gestion des plaintes</w:t>
      </w:r>
      <w:r>
        <w:rPr>
          <w:noProof/>
          <w:webHidden/>
        </w:rPr>
        <w:tab/>
      </w:r>
      <w:r>
        <w:rPr>
          <w:noProof/>
          <w:webHidden/>
        </w:rPr>
        <w:fldChar w:fldCharType="begin"/>
      </w:r>
      <w:r>
        <w:rPr>
          <w:noProof/>
          <w:webHidden/>
        </w:rPr>
        <w:instrText xml:space="preserve"> PAGEREF _Toc2780524 \h </w:instrText>
      </w:r>
      <w:r>
        <w:rPr>
          <w:noProof/>
          <w:webHidden/>
        </w:rPr>
        <w:fldChar w:fldCharType="separate"/>
      </w:r>
      <w:r>
        <w:rPr>
          <w:noProof/>
          <w:webHidden/>
        </w:rPr>
        <w:t>94</w:t>
      </w:r>
      <w:r>
        <w:rPr>
          <w:noProof/>
          <w:webHidden/>
        </w:rPr>
        <w:fldChar w:fldCharType="end"/>
      </w:r>
      <w:r>
        <w:rPr/>
        <w:fldChar w:fldCharType="end"/>
      </w:r>
    </w:p>
    <w:p>
      <w:pPr>
        <w:pStyle w:val="style21"/>
        <w:rPr>
          <w:rFonts w:ascii="Calibri" w:cs="宋体" w:eastAsia="宋体" w:hAnsi="Calibri"/>
          <w:i w:val="false"/>
          <w:iCs w:val="false"/>
          <w:noProof/>
          <w:sz w:val="22"/>
          <w:szCs w:val="22"/>
        </w:rPr>
      </w:pPr>
      <w:r>
        <w:rPr/>
        <w:fldChar w:fldCharType="begin"/>
      </w:r>
      <w:r>
        <w:instrText xml:space="preserve"> HYPERLINK \l "_Toc2780525" </w:instrText>
      </w:r>
      <w:r>
        <w:rPr/>
        <w:fldChar w:fldCharType="separate"/>
      </w:r>
      <w:r>
        <w:rPr>
          <w:rStyle w:val="style85"/>
          <w:rFonts w:ascii="Times New Roman Bold" w:hAnsi="Times New Roman Bold"/>
          <w:b/>
          <w:noProof/>
          <w:spacing w:val="-3"/>
          <w:lang w:eastAsia="en-US"/>
        </w:rPr>
        <w:t>7.9.3. Documentation de la procédure d’enregistrement et de  gestion des plaintes</w:t>
      </w:r>
      <w:r>
        <w:rPr>
          <w:noProof/>
          <w:webHidden/>
        </w:rPr>
        <w:tab/>
      </w:r>
      <w:r>
        <w:rPr>
          <w:noProof/>
          <w:webHidden/>
        </w:rPr>
        <w:fldChar w:fldCharType="begin"/>
      </w:r>
      <w:r>
        <w:rPr>
          <w:noProof/>
          <w:webHidden/>
        </w:rPr>
        <w:instrText xml:space="preserve"> PAGEREF _Toc2780525 \h </w:instrText>
      </w:r>
      <w:r>
        <w:rPr>
          <w:noProof/>
          <w:webHidden/>
        </w:rPr>
        <w:fldChar w:fldCharType="separate"/>
      </w:r>
      <w:r>
        <w:rPr>
          <w:noProof/>
          <w:webHidden/>
        </w:rPr>
        <w:t>96</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"_Toc2780526" </w:instrText>
      </w:r>
      <w:r>
        <w:rPr/>
        <w:fldChar w:fldCharType="separate"/>
      </w:r>
      <w:r>
        <w:rPr>
          <w:rStyle w:val="style85"/>
          <w:noProof/>
        </w:rPr>
        <w:t>8. CONCLUSION</w:t>
      </w:r>
      <w:r>
        <w:rPr>
          <w:noProof/>
          <w:webHidden/>
        </w:rPr>
        <w:tab/>
      </w:r>
      <w:r>
        <w:rPr>
          <w:noProof/>
          <w:webHidden/>
        </w:rPr>
        <w:fldChar w:fldCharType="begin"/>
      </w:r>
      <w:r>
        <w:rPr>
          <w:noProof/>
          <w:webHidden/>
        </w:rPr>
        <w:instrText xml:space="preserve"> PAGEREF _Toc2780526 \h </w:instrText>
      </w:r>
      <w:r>
        <w:rPr>
          <w:noProof/>
          <w:webHidden/>
        </w:rPr>
        <w:fldChar w:fldCharType="separate"/>
      </w:r>
      <w:r>
        <w:rPr>
          <w:noProof/>
          <w:webHidden/>
        </w:rPr>
        <w:t>97</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"_Toc2780527" </w:instrText>
      </w:r>
      <w:r>
        <w:rPr/>
        <w:fldChar w:fldCharType="separate"/>
      </w:r>
      <w:r>
        <w:rPr>
          <w:rStyle w:val="style85"/>
          <w:noProof/>
        </w:rPr>
        <w:t>BIBLIOGRAPHIE</w:t>
      </w:r>
      <w:r>
        <w:rPr>
          <w:noProof/>
          <w:webHidden/>
        </w:rPr>
        <w:tab/>
      </w:r>
      <w:r>
        <w:rPr>
          <w:noProof/>
          <w:webHidden/>
        </w:rPr>
        <w:fldChar w:fldCharType="begin"/>
      </w:r>
      <w:r>
        <w:rPr>
          <w:noProof/>
          <w:webHidden/>
        </w:rPr>
        <w:instrText xml:space="preserve"> PAGEREF _Toc2780527 \h </w:instrText>
      </w:r>
      <w:r>
        <w:rPr>
          <w:noProof/>
          <w:webHidden/>
        </w:rPr>
        <w:fldChar w:fldCharType="separate"/>
      </w:r>
      <w:r>
        <w:rPr>
          <w:noProof/>
          <w:webHidden/>
        </w:rPr>
        <w:t>98</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"_Toc2780528" </w:instrText>
      </w:r>
      <w:r>
        <w:rPr/>
        <w:fldChar w:fldCharType="separate"/>
      </w:r>
      <w:r>
        <w:rPr>
          <w:rStyle w:val="style85"/>
          <w:noProof/>
        </w:rPr>
        <w:t>ANNEXES</w:t>
      </w:r>
      <w:r>
        <w:rPr>
          <w:noProof/>
          <w:webHidden/>
        </w:rPr>
        <w:tab/>
      </w:r>
      <w:r>
        <w:rPr>
          <w:noProof/>
          <w:webHidden/>
        </w:rPr>
        <w:fldChar w:fldCharType="begin"/>
      </w:r>
      <w:r>
        <w:rPr>
          <w:noProof/>
          <w:webHidden/>
        </w:rPr>
        <w:instrText xml:space="preserve"> PAGEREF _Toc2780528 \h </w:instrText>
      </w:r>
      <w:r>
        <w:rPr>
          <w:noProof/>
          <w:webHidden/>
        </w:rPr>
        <w:fldChar w:fldCharType="separate"/>
      </w:r>
      <w:r>
        <w:rPr>
          <w:noProof/>
          <w:webHidden/>
        </w:rPr>
        <w:t>99</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"_Toc2780529" </w:instrText>
      </w:r>
      <w:r>
        <w:rPr/>
        <w:fldChar w:fldCharType="separate"/>
      </w:r>
      <w:r>
        <w:rPr>
          <w:rStyle w:val="style85"/>
          <w:noProof/>
        </w:rPr>
        <w:t xml:space="preserve">ANNEXE 1 : </w:t>
      </w:r>
      <w:r>
        <w:rPr>
          <w:rStyle w:val="style85"/>
          <w:rFonts w:ascii="Times New Roman Gras" w:hAnsi="Times New Roman Gras"/>
          <w:noProof/>
        </w:rPr>
        <w:t>Formulaire de sélection des projets</w:t>
      </w:r>
      <w:r>
        <w:rPr>
          <w:noProof/>
          <w:webHidden/>
        </w:rPr>
        <w:tab/>
      </w:r>
      <w:r>
        <w:rPr>
          <w:noProof/>
          <w:webHidden/>
        </w:rPr>
        <w:fldChar w:fldCharType="begin"/>
      </w:r>
      <w:r>
        <w:rPr>
          <w:noProof/>
          <w:webHidden/>
        </w:rPr>
        <w:instrText xml:space="preserve"> PAGEREF _Toc2780529 \h </w:instrText>
      </w:r>
      <w:r>
        <w:rPr>
          <w:noProof/>
          <w:webHidden/>
        </w:rPr>
        <w:fldChar w:fldCharType="separate"/>
      </w:r>
      <w:r>
        <w:rPr>
          <w:noProof/>
          <w:webHidden/>
        </w:rPr>
        <w:t>100</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"_Toc2780530" </w:instrText>
      </w:r>
      <w:r>
        <w:rPr/>
        <w:fldChar w:fldCharType="separate"/>
      </w:r>
      <w:r>
        <w:rPr>
          <w:rStyle w:val="style85"/>
          <w:noProof/>
        </w:rPr>
        <w:t xml:space="preserve">ANNEXE 2 : </w:t>
      </w:r>
      <w:r>
        <w:rPr>
          <w:rStyle w:val="style85"/>
          <w:rFonts w:ascii="Times New Roman Gras" w:hAnsi="Times New Roman Gras"/>
          <w:noProof/>
        </w:rPr>
        <w:t>LISTE DE CONTRÔLE ENVIRONNEMENTAL ET SOCIAL</w:t>
      </w:r>
      <w:r>
        <w:rPr>
          <w:noProof/>
          <w:webHidden/>
        </w:rPr>
        <w:tab/>
      </w:r>
      <w:r>
        <w:rPr>
          <w:noProof/>
          <w:webHidden/>
        </w:rPr>
        <w:fldChar w:fldCharType="begin"/>
      </w:r>
      <w:r>
        <w:rPr>
          <w:noProof/>
          <w:webHidden/>
        </w:rPr>
        <w:instrText xml:space="preserve"> PAGEREF _Toc2780530 \h </w:instrText>
      </w:r>
      <w:r>
        <w:rPr>
          <w:noProof/>
          <w:webHidden/>
        </w:rPr>
        <w:fldChar w:fldCharType="separate"/>
      </w:r>
      <w:r>
        <w:rPr>
          <w:noProof/>
          <w:webHidden/>
        </w:rPr>
        <w:t>102</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"_Toc2780531" </w:instrText>
      </w:r>
      <w:r>
        <w:rPr/>
        <w:fldChar w:fldCharType="separate"/>
      </w:r>
      <w:r>
        <w:rPr>
          <w:rStyle w:val="style85"/>
          <w:noProof/>
        </w:rPr>
        <w:t>ANNEXE 3 : COMPTES RENDUS DE RENCONTRES ET D’ECHANGES EFFECTUES DANS LE CADRE DU PDCA</w:t>
      </w:r>
      <w:r>
        <w:rPr>
          <w:noProof/>
          <w:webHidden/>
        </w:rPr>
        <w:tab/>
      </w:r>
      <w:r>
        <w:rPr>
          <w:noProof/>
          <w:webHidden/>
        </w:rPr>
        <w:fldChar w:fldCharType="begin"/>
      </w:r>
      <w:r>
        <w:rPr>
          <w:noProof/>
          <w:webHidden/>
        </w:rPr>
        <w:instrText xml:space="preserve"> PAGEREF _Toc2780531 \h </w:instrText>
      </w:r>
      <w:r>
        <w:rPr>
          <w:noProof/>
          <w:webHidden/>
        </w:rPr>
        <w:fldChar w:fldCharType="separate"/>
      </w:r>
      <w:r>
        <w:rPr>
          <w:noProof/>
          <w:webHidden/>
        </w:rPr>
        <w:t>103</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"_Toc2780532" </w:instrText>
      </w:r>
      <w:r>
        <w:rPr/>
        <w:fldChar w:fldCharType="separate"/>
      </w:r>
      <w:r>
        <w:rPr>
          <w:rStyle w:val="style85"/>
          <w:noProof/>
        </w:rPr>
        <w:t xml:space="preserve">ANNEXE 4 : </w:t>
      </w:r>
      <w:r>
        <w:rPr>
          <w:rStyle w:val="style85"/>
          <w:rFonts w:ascii="Times New Roman Gras" w:hAnsi="Times New Roman Gras"/>
          <w:noProof/>
        </w:rPr>
        <w:t>TDR DE L’ETUDE</w:t>
      </w:r>
      <w:r>
        <w:rPr>
          <w:noProof/>
          <w:webHidden/>
        </w:rPr>
        <w:tab/>
      </w:r>
      <w:r>
        <w:rPr>
          <w:noProof/>
          <w:webHidden/>
        </w:rPr>
        <w:fldChar w:fldCharType="begin"/>
      </w:r>
      <w:r>
        <w:rPr>
          <w:noProof/>
          <w:webHidden/>
        </w:rPr>
        <w:instrText xml:space="preserve"> PAGEREF _Toc2780532 \h </w:instrText>
      </w:r>
      <w:r>
        <w:rPr>
          <w:noProof/>
          <w:webHidden/>
        </w:rPr>
        <w:fldChar w:fldCharType="separate"/>
      </w:r>
      <w:r>
        <w:rPr>
          <w:noProof/>
          <w:webHidden/>
        </w:rPr>
        <w:t>111</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"_Toc2780533" </w:instrText>
      </w:r>
      <w:r>
        <w:rPr/>
        <w:fldChar w:fldCharType="separate"/>
      </w:r>
      <w:r>
        <w:rPr>
          <w:rStyle w:val="style85"/>
          <w:noProof/>
        </w:rPr>
        <w:t>ANNEXE 5 : PHOTOS CHOISIES POUR LES CONSULTATIONS PUBLIQUES</w:t>
      </w:r>
      <w:r>
        <w:rPr>
          <w:noProof/>
          <w:webHidden/>
        </w:rPr>
        <w:tab/>
      </w:r>
      <w:r>
        <w:rPr>
          <w:noProof/>
          <w:webHidden/>
        </w:rPr>
        <w:fldChar w:fldCharType="begin"/>
      </w:r>
      <w:r>
        <w:rPr>
          <w:noProof/>
          <w:webHidden/>
        </w:rPr>
        <w:instrText xml:space="preserve"> PAGEREF _Toc2780533 \h </w:instrText>
      </w:r>
      <w:r>
        <w:rPr>
          <w:noProof/>
          <w:webHidden/>
        </w:rPr>
        <w:fldChar w:fldCharType="separate"/>
      </w:r>
      <w:r>
        <w:rPr>
          <w:noProof/>
          <w:webHidden/>
        </w:rPr>
        <w:t>122</w:t>
      </w:r>
      <w:r>
        <w:rPr>
          <w:noProof/>
          <w:webHidden/>
        </w:rPr>
        <w:fldChar w:fldCharType="end"/>
      </w:r>
      <w:r>
        <w:rPr/>
        <w:fldChar w:fldCharType="end"/>
      </w:r>
    </w:p>
    <w:p>
      <w:pPr>
        <w:pStyle w:val="style19"/>
        <w:rPr>
          <w:rFonts w:ascii="Calibri" w:cs="宋体" w:eastAsia="宋体" w:hAnsi="Calibri"/>
          <w:b w:val="false"/>
          <w:bCs w:val="false"/>
          <w:caps w:val="false"/>
          <w:noProof/>
          <w:sz w:val="22"/>
          <w:szCs w:val="22"/>
        </w:rPr>
      </w:pPr>
      <w:r>
        <w:rPr/>
        <w:fldChar w:fldCharType="begin"/>
      </w:r>
      <w:r>
        <w:instrText xml:space="preserve"> HYPERLINK \l "_Toc2780534" </w:instrText>
      </w:r>
      <w:r>
        <w:rPr/>
        <w:fldChar w:fldCharType="separate"/>
      </w:r>
      <w:r>
        <w:rPr>
          <w:rStyle w:val="style85"/>
          <w:noProof/>
        </w:rPr>
        <w:t>ANNEXE 6 : LISTES DE PRESENCE AUX CONSULTATIONS PUBLIQUES</w:t>
      </w:r>
      <w:r>
        <w:rPr>
          <w:noProof/>
          <w:webHidden/>
        </w:rPr>
        <w:tab/>
      </w:r>
      <w:r>
        <w:rPr>
          <w:noProof/>
          <w:webHidden/>
        </w:rPr>
        <w:fldChar w:fldCharType="begin"/>
      </w:r>
      <w:r>
        <w:rPr>
          <w:noProof/>
          <w:webHidden/>
        </w:rPr>
        <w:instrText xml:space="preserve"> PAGEREF _Toc2780534 \h </w:instrText>
      </w:r>
      <w:r>
        <w:rPr>
          <w:noProof/>
          <w:webHidden/>
        </w:rPr>
        <w:fldChar w:fldCharType="separate"/>
      </w:r>
      <w:r>
        <w:rPr>
          <w:noProof/>
          <w:webHidden/>
        </w:rPr>
        <w:t>124</w:t>
      </w:r>
      <w:r>
        <w:rPr>
          <w:noProof/>
          <w:webHidden/>
        </w:rPr>
        <w:fldChar w:fldCharType="end"/>
      </w:r>
      <w:r>
        <w:rPr/>
        <w:fldChar w:fldCharType="end"/>
      </w:r>
    </w:p>
    <w:p>
      <w:pPr>
        <w:pStyle w:val="style0"/>
        <w:rPr/>
      </w:pPr>
      <w:r>
        <w:rPr>
          <w:b/>
          <w:bCs/>
        </w:rPr>
        <w:fldChar w:fldCharType="end"/>
      </w:r>
    </w:p>
    <w:p>
      <w:pPr>
        <w:pStyle w:val="style1"/>
        <w:rPr/>
      </w:pPr>
      <w:r>
        <w:br w:type="page"/>
      </w:r>
      <w:bookmarkStart w:id="1" w:name="_Toc686067"/>
      <w:bookmarkStart w:id="2" w:name="_Toc2780454"/>
      <w:bookmarkStart w:id="3" w:name="_Hlk536311638"/>
      <w:r>
        <w:t>LISTE DES SIGLES ET ABREVIATIONS</w:t>
      </w:r>
      <w:bookmarkEnd w:id="1"/>
      <w:bookmarkEnd w:id="2"/>
    </w:p>
    <w:bookmarkEnd w:id="3"/>
    <w:p>
      <w:pPr>
        <w:pStyle w:val="style0"/>
        <w:spacing w:after="43"/>
        <w:jc w:val="both"/>
        <w:rPr>
          <w:i/>
          <w:sz w:val="22"/>
        </w:rPr>
      </w:pPr>
    </w:p>
    <w:tbl>
      <w:tblPr>
        <w:tblW w:w="10620" w:type="dxa"/>
        <w:tblInd w:w="108" w:type="dxa"/>
        <w:tblLook w:val="04A0" w:firstRow="1" w:lastRow="0" w:firstColumn="1" w:lastColumn="0" w:noHBand="0" w:noVBand="1"/>
      </w:tblPr>
      <w:tblGrid>
        <w:gridCol w:w="1378"/>
        <w:gridCol w:w="276"/>
        <w:gridCol w:w="9025"/>
      </w:tblGrid>
      <w:tr>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lang w:val="en-US" w:eastAsia="en-US"/>
              </w:rPr>
            </w:pPr>
            <w:r>
              <w:rPr>
                <w:rFonts w:ascii="Arial" w:cs="Arial" w:hAnsi="Arial"/>
                <w:b/>
                <w:bCs/>
                <w:color w:val="000000"/>
                <w:sz w:val="22"/>
                <w:szCs w:val="22"/>
              </w:rPr>
              <w:t>BUNEE</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Bureau National des Evaluations Environnementales </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CGES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Cadre de Gestion Environnementale et Sociale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CP</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Comité de pilotage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CPR</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Cadre de Politique de Réinstallation</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CVD </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Comité Villageois de Développement</w:t>
            </w:r>
          </w:p>
        </w:tc>
      </w:tr>
      <w:tr>
        <w:tblPrEx/>
        <w:trPr>
          <w:trHeight w:val="30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EIES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Etude d’Impact Environnemental et Social</w:t>
            </w:r>
          </w:p>
        </w:tc>
      </w:tr>
      <w:tr>
        <w:tblPrEx/>
        <w:trPr>
          <w:trHeight w:val="30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HNC</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Habitat Naturel Critique</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IEC</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Information, Education et Communication</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MAAH</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Ministère de l’Agriculture et des Aménagements Hydr</w:t>
            </w:r>
            <w:r>
              <w:rPr>
                <w:rFonts w:ascii="Arial" w:cs="Arial" w:hAnsi="Arial"/>
                <w:color w:val="000000"/>
                <w:sz w:val="22"/>
                <w:szCs w:val="22"/>
              </w:rPr>
              <w:t>o-Agricoles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MATD</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Ministère de l’Administration Territoriale et de la Décentralisation </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MEEVCC</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Ministère de l’Environnement, de l’Économie Verte et du Changement Climatique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MI</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Ministère des Infrastructures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MRAH</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Ministère des Ressources Animales et Halieutiques </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MS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Ministère de la Santé </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ONGs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Organisations non Gouvernementales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PAFASP</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Programme d’Appui aux Filières Agro-Sylvo-Pastorales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PAP</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Personnes Affectées par le Projet </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PAPSA</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Projet d’Appui à la Productivité et à la Sécurité Alimentaire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PAR</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Plan d'Action de Réinstallation</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PCSA</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Programme de croissance économique dans le secteur agricole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PDCA</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Programme de Développement et de Compétitivité Agricole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PGES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Plans de Gestion Environnementale et Sociale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PME</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Petites et Moyennes Entreprises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PNDES</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Plan National de Développement Economique et social </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PNGT</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Programme National de Gestion des Terroirs</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PO</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Politique Opérationnelle</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PPA</w:t>
            </w:r>
            <w:r>
              <w:rPr>
                <w:rFonts w:ascii="Arial" w:cs="Arial" w:hAnsi="Arial"/>
                <w:b/>
                <w:bCs/>
                <w:color w:val="000000"/>
                <w:sz w:val="22"/>
                <w:szCs w:val="22"/>
              </w:rPr>
              <w:t>A</w:t>
            </w:r>
            <w:r>
              <w:rPr>
                <w:rFonts w:ascii="Arial" w:cs="Arial" w:hAnsi="Arial"/>
                <w:b/>
                <w:bCs/>
                <w:color w:val="000000"/>
                <w:sz w:val="22"/>
                <w:szCs w:val="22"/>
              </w:rPr>
              <w:t>O</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Programme de Productivité Agricole en Afrique de l’Ouest</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PR</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Plans de Réinstallation </w:t>
            </w:r>
          </w:p>
        </w:tc>
      </w:tr>
      <w:tr>
        <w:tblPrEx/>
        <w:trPr>
          <w:trHeight w:val="31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 xml:space="preserve">PRAPS-BF </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Projet Régional d’Appui au Pastoralisme au Sahel – Burkina Faso</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PTBA</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Plans de Travail et Budget Annuel</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STD</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Services Techniques Déconcentrés</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TDR</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Termes de Référence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UAT</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Unité d’Animation Technique</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UCP</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Unité Coordination du Projet</w:t>
            </w:r>
          </w:p>
        </w:tc>
      </w:tr>
      <w:tr>
        <w:tblPrEx/>
        <w:trPr>
          <w:trHeight w:val="280" w:hRule="atLeast"/>
        </w:trPr>
        <w:tc>
          <w:tcPr>
            <w:tcW w:w="1380" w:type="dxa"/>
            <w:tcBorders>
              <w:top w:val="nil"/>
              <w:left w:val="nil"/>
              <w:bottom w:val="nil"/>
              <w:right w:val="nil"/>
            </w:tcBorders>
            <w:shd w:val="clear" w:color="auto" w:fill="auto"/>
            <w:noWrap/>
            <w:vAlign w:val="bottom"/>
            <w:hideMark/>
          </w:tcPr>
          <w:p>
            <w:pPr>
              <w:pStyle w:val="style0"/>
              <w:rPr>
                <w:rFonts w:ascii="Arial" w:cs="Arial" w:hAnsi="Arial"/>
                <w:b/>
                <w:bCs/>
                <w:color w:val="000000"/>
                <w:sz w:val="22"/>
                <w:szCs w:val="22"/>
              </w:rPr>
            </w:pPr>
            <w:r>
              <w:rPr>
                <w:rFonts w:ascii="Arial" w:cs="Arial" w:hAnsi="Arial"/>
                <w:b/>
                <w:bCs/>
                <w:color w:val="000000"/>
                <w:sz w:val="22"/>
                <w:szCs w:val="22"/>
              </w:rPr>
              <w:t>WAATP</w:t>
            </w:r>
          </w:p>
        </w:tc>
        <w:tc>
          <w:tcPr>
            <w:tcW w:w="200" w:type="dxa"/>
            <w:tcBorders>
              <w:top w:val="nil"/>
              <w:left w:val="nil"/>
              <w:bottom w:val="nil"/>
              <w:right w:val="nil"/>
            </w:tcBorders>
            <w:shd w:val="clear" w:color="auto" w:fill="auto"/>
            <w:noWrap/>
            <w:vAlign w:val="bottom"/>
            <w:hideMark/>
          </w:tcPr>
          <w:p>
            <w:pPr>
              <w:pStyle w:val="style0"/>
              <w:jc w:val="center"/>
              <w:rPr>
                <w:rFonts w:ascii="Arial" w:cs="Arial" w:hAnsi="Arial"/>
                <w:color w:val="000000"/>
                <w:sz w:val="22"/>
                <w:szCs w:val="22"/>
              </w:rPr>
            </w:pPr>
            <w:r>
              <w:rPr>
                <w:rFonts w:ascii="Arial" w:cs="Arial" w:hAnsi="Arial"/>
                <w:color w:val="000000"/>
                <w:sz w:val="22"/>
                <w:szCs w:val="22"/>
              </w:rPr>
              <w:t xml:space="preserve">: </w:t>
            </w:r>
          </w:p>
        </w:tc>
        <w:tc>
          <w:tcPr>
            <w:tcW w:w="9040" w:type="dxa"/>
            <w:tcBorders>
              <w:top w:val="nil"/>
              <w:left w:val="nil"/>
              <w:bottom w:val="nil"/>
              <w:right w:val="nil"/>
            </w:tcBorders>
            <w:shd w:val="clear" w:color="auto" w:fill="auto"/>
            <w:noWrap/>
            <w:vAlign w:val="bottom"/>
            <w:hideMark/>
          </w:tcPr>
          <w:p>
            <w:pPr>
              <w:pStyle w:val="style0"/>
              <w:rPr>
                <w:rFonts w:ascii="Arial" w:cs="Arial" w:hAnsi="Arial"/>
                <w:color w:val="000000"/>
                <w:sz w:val="22"/>
                <w:szCs w:val="22"/>
              </w:rPr>
            </w:pPr>
            <w:r>
              <w:rPr>
                <w:rFonts w:ascii="Arial" w:cs="Arial" w:hAnsi="Arial"/>
                <w:color w:val="000000"/>
                <w:sz w:val="22"/>
                <w:szCs w:val="22"/>
              </w:rPr>
              <w:t xml:space="preserve">West Africa Agriculture Transformation Project </w:t>
            </w:r>
          </w:p>
        </w:tc>
      </w:tr>
    </w:tbl>
    <w:p>
      <w:pPr>
        <w:pStyle w:val="style0"/>
        <w:spacing w:after="43"/>
        <w:jc w:val="both"/>
        <w:rPr>
          <w:i/>
          <w:sz w:val="22"/>
        </w:rPr>
      </w:pPr>
    </w:p>
    <w:p>
      <w:pPr>
        <w:pStyle w:val="style1"/>
        <w:rPr/>
      </w:pPr>
      <w:r>
        <w:br w:type="page"/>
      </w:r>
      <w:bookmarkStart w:id="4" w:name="_Toc686068"/>
      <w:bookmarkStart w:id="5" w:name="_Toc2780455"/>
      <w:r>
        <w:t>LISTE DES TABLEAUX</w:t>
      </w:r>
      <w:bookmarkEnd w:id="4"/>
      <w:bookmarkEnd w:id="5"/>
    </w:p>
    <w:p>
      <w:pPr>
        <w:pStyle w:val="style0"/>
        <w:rPr/>
      </w:pPr>
    </w:p>
    <w:p>
      <w:pPr>
        <w:pStyle w:val="style35"/>
        <w:tabs>
          <w:tab w:val="right" w:leader="dot" w:pos="9060"/>
        </w:tabs>
        <w:rPr>
          <w:rFonts w:ascii="Calibri" w:cs="宋体" w:eastAsia="宋体" w:hAnsi="Calibri"/>
          <w:noProof/>
          <w:sz w:val="22"/>
          <w:szCs w:val="22"/>
        </w:rPr>
      </w:pPr>
      <w:r>
        <w:rPr/>
        <w:fldChar w:fldCharType="begin"/>
      </w:r>
      <w:r>
        <w:instrText xml:space="preserve"> TOC \h \z \c "Tableau" </w:instrText>
      </w:r>
      <w:r>
        <w:rPr/>
        <w:fldChar w:fldCharType="separate"/>
      </w:r>
      <w:r>
        <w:rPr/>
        <w:fldChar w:fldCharType="begin"/>
      </w:r>
      <w:r>
        <w:instrText xml:space="preserve"> HYPERLINK \l "_Toc2780535" </w:instrText>
      </w:r>
      <w:r>
        <w:rPr/>
        <w:fldChar w:fldCharType="separate"/>
      </w:r>
      <w:r>
        <w:rPr>
          <w:rStyle w:val="style85"/>
          <w:noProof/>
        </w:rPr>
        <w:t>Tableau 1 : Points d’eau présents dans les zones d’implantation des sous-projets</w:t>
      </w:r>
      <w:r>
        <w:rPr>
          <w:noProof/>
          <w:webHidden/>
        </w:rPr>
        <w:tab/>
      </w:r>
      <w:r>
        <w:rPr>
          <w:noProof/>
          <w:webHidden/>
        </w:rPr>
        <w:fldChar w:fldCharType="begin"/>
      </w:r>
      <w:r>
        <w:rPr>
          <w:noProof/>
          <w:webHidden/>
        </w:rPr>
        <w:instrText xml:space="preserve"> PAGEREF _Toc2780535 \h </w:instrText>
      </w:r>
      <w:r>
        <w:rPr>
          <w:noProof/>
          <w:webHidden/>
        </w:rPr>
        <w:fldChar w:fldCharType="separate"/>
      </w:r>
      <w:r>
        <w:rPr>
          <w:noProof/>
          <w:webHidden/>
        </w:rPr>
        <w:t>30</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"_Toc2780536" </w:instrText>
      </w:r>
      <w:r>
        <w:rPr/>
        <w:fldChar w:fldCharType="separate"/>
      </w:r>
      <w:r>
        <w:rPr>
          <w:rStyle w:val="style85"/>
          <w:noProof/>
        </w:rPr>
        <w:t xml:space="preserve">Tableau 2 : </w:t>
      </w:r>
      <w:r>
        <w:rPr>
          <w:rStyle w:val="style85"/>
          <w:rFonts w:eastAsia="MS Mincho"/>
          <w:noProof/>
          <w:kern w:val="2"/>
          <w:lang w:eastAsia="ja-JP"/>
        </w:rPr>
        <w:t>Sites Ramsar du Burkina Faso</w:t>
      </w:r>
      <w:r>
        <w:rPr>
          <w:noProof/>
          <w:webHidden/>
        </w:rPr>
        <w:tab/>
      </w:r>
      <w:r>
        <w:rPr>
          <w:noProof/>
          <w:webHidden/>
        </w:rPr>
        <w:fldChar w:fldCharType="begin"/>
      </w:r>
      <w:r>
        <w:rPr>
          <w:noProof/>
          <w:webHidden/>
        </w:rPr>
        <w:instrText xml:space="preserve"> PAGEREF _Toc2780536 \h </w:instrText>
      </w:r>
      <w:r>
        <w:rPr>
          <w:noProof/>
          <w:webHidden/>
        </w:rPr>
        <w:fldChar w:fldCharType="separate"/>
      </w:r>
      <w:r>
        <w:rPr>
          <w:noProof/>
          <w:webHidden/>
        </w:rPr>
        <w:t>31</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"_Toc2780537" </w:instrText>
      </w:r>
      <w:r>
        <w:rPr/>
        <w:fldChar w:fldCharType="separate"/>
      </w:r>
      <w:r>
        <w:rPr>
          <w:rStyle w:val="style85"/>
          <w:noProof/>
        </w:rPr>
        <w:t>Tableau 3: Principales conventions intéressant le programme</w:t>
      </w:r>
      <w:r>
        <w:rPr>
          <w:noProof/>
          <w:webHidden/>
        </w:rPr>
        <w:tab/>
      </w:r>
      <w:r>
        <w:rPr>
          <w:noProof/>
          <w:webHidden/>
        </w:rPr>
        <w:fldChar w:fldCharType="begin"/>
      </w:r>
      <w:r>
        <w:rPr>
          <w:noProof/>
          <w:webHidden/>
        </w:rPr>
        <w:instrText xml:space="preserve"> PAGEREF _Toc2780537 \h </w:instrText>
      </w:r>
      <w:r>
        <w:rPr>
          <w:noProof/>
          <w:webHidden/>
        </w:rPr>
        <w:fldChar w:fldCharType="separate"/>
      </w:r>
      <w:r>
        <w:rPr>
          <w:noProof/>
          <w:webHidden/>
        </w:rPr>
        <w:t>40</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"_Toc2780538" </w:instrText>
      </w:r>
      <w:r>
        <w:rPr/>
        <w:fldChar w:fldCharType="separate"/>
      </w:r>
      <w:r>
        <w:rPr>
          <w:rStyle w:val="style85"/>
          <w:noProof/>
        </w:rPr>
        <w:t>Tableau 4 :</w:t>
      </w:r>
      <w:r>
        <w:rPr>
          <w:rStyle w:val="style85"/>
          <w:noProof/>
          <w:spacing w:val="-1"/>
        </w:rPr>
        <w:t xml:space="preserve"> Exigences des politiques de sauvegarde environnementale et sociale déclenchées par le PDCA et les dispositions nationales pertinentes</w:t>
      </w:r>
      <w:r>
        <w:rPr>
          <w:noProof/>
          <w:webHidden/>
        </w:rPr>
        <w:tab/>
      </w:r>
      <w:r>
        <w:rPr>
          <w:noProof/>
          <w:webHidden/>
        </w:rPr>
        <w:fldChar w:fldCharType="begin"/>
      </w:r>
      <w:r>
        <w:rPr>
          <w:noProof/>
          <w:webHidden/>
        </w:rPr>
        <w:instrText xml:space="preserve"> PAGEREF _Toc2780538 \h </w:instrText>
      </w:r>
      <w:r>
        <w:rPr>
          <w:noProof/>
          <w:webHidden/>
        </w:rPr>
        <w:fldChar w:fldCharType="separate"/>
      </w:r>
      <w:r>
        <w:rPr>
          <w:noProof/>
          <w:webHidden/>
        </w:rPr>
        <w:t>44</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"_Toc2780539" </w:instrText>
      </w:r>
      <w:r>
        <w:rPr/>
        <w:fldChar w:fldCharType="separate"/>
      </w:r>
      <w:r>
        <w:rPr>
          <w:rStyle w:val="style85"/>
          <w:noProof/>
        </w:rPr>
        <w:t>Tableau 5: Récapitulatif des impacts positifs potentiels du Programme</w:t>
      </w:r>
      <w:r>
        <w:rPr>
          <w:noProof/>
          <w:webHidden/>
        </w:rPr>
        <w:tab/>
      </w:r>
      <w:r>
        <w:rPr>
          <w:noProof/>
          <w:webHidden/>
        </w:rPr>
        <w:fldChar w:fldCharType="begin"/>
      </w:r>
      <w:r>
        <w:rPr>
          <w:noProof/>
          <w:webHidden/>
        </w:rPr>
        <w:instrText xml:space="preserve"> PAGEREF _Toc2780539 \h </w:instrText>
      </w:r>
      <w:r>
        <w:rPr>
          <w:noProof/>
          <w:webHidden/>
        </w:rPr>
        <w:fldChar w:fldCharType="separate"/>
      </w:r>
      <w:r>
        <w:rPr>
          <w:noProof/>
          <w:webHidden/>
        </w:rPr>
        <w:t>61</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"_Toc2780540" </w:instrText>
      </w:r>
      <w:r>
        <w:rPr/>
        <w:fldChar w:fldCharType="separate"/>
      </w:r>
      <w:r>
        <w:rPr>
          <w:rStyle w:val="style85"/>
          <w:noProof/>
        </w:rPr>
        <w:t>Tableau 6: Récapitulatif des impacts négatifs environnementaux et sociaux potentiels des sous-projets</w:t>
      </w:r>
      <w:r>
        <w:rPr>
          <w:noProof/>
          <w:webHidden/>
        </w:rPr>
        <w:tab/>
      </w:r>
      <w:r>
        <w:rPr>
          <w:noProof/>
          <w:webHidden/>
        </w:rPr>
        <w:fldChar w:fldCharType="begin"/>
      </w:r>
      <w:r>
        <w:rPr>
          <w:noProof/>
          <w:webHidden/>
        </w:rPr>
        <w:instrText xml:space="preserve"> PAGEREF _Toc2780540 \h </w:instrText>
      </w:r>
      <w:r>
        <w:rPr>
          <w:noProof/>
          <w:webHidden/>
        </w:rPr>
        <w:fldChar w:fldCharType="separate"/>
      </w:r>
      <w:r>
        <w:rPr>
          <w:noProof/>
          <w:webHidden/>
        </w:rPr>
        <w:t>63</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"_Toc2780541" </w:instrText>
      </w:r>
      <w:r>
        <w:rPr/>
        <w:fldChar w:fldCharType="separate"/>
      </w:r>
      <w:r>
        <w:rPr>
          <w:rStyle w:val="style85"/>
          <w:noProof/>
        </w:rPr>
        <w:t xml:space="preserve">Tableau 7 : </w:t>
      </w:r>
      <w:r>
        <w:rPr>
          <w:rStyle w:val="style85"/>
          <w:noProof/>
        </w:rPr>
        <w:t>Synthèse des consultations menées dans la zone d’intervention du Programme</w:t>
      </w:r>
      <w:r>
        <w:rPr>
          <w:noProof/>
          <w:webHidden/>
        </w:rPr>
        <w:tab/>
      </w:r>
      <w:r>
        <w:rPr>
          <w:noProof/>
          <w:webHidden/>
        </w:rPr>
        <w:fldChar w:fldCharType="begin"/>
      </w:r>
      <w:r>
        <w:rPr>
          <w:noProof/>
          <w:webHidden/>
        </w:rPr>
        <w:instrText xml:space="preserve"> PAGEREF _Toc2780541 \h </w:instrText>
      </w:r>
      <w:r>
        <w:rPr>
          <w:noProof/>
          <w:webHidden/>
        </w:rPr>
        <w:fldChar w:fldCharType="separate"/>
      </w:r>
      <w:r>
        <w:rPr>
          <w:noProof/>
          <w:webHidden/>
        </w:rPr>
        <w:t>67</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"_Toc2780542" </w:instrText>
      </w:r>
      <w:r>
        <w:rPr/>
        <w:fldChar w:fldCharType="separate"/>
      </w:r>
      <w:r>
        <w:rPr>
          <w:rStyle w:val="style85"/>
          <w:noProof/>
        </w:rPr>
        <w:t>Tableau 8</w:t>
      </w:r>
      <w:r>
        <w:rPr>
          <w:rStyle w:val="style85"/>
          <w:noProof/>
        </w:rPr>
        <w:t xml:space="preserve"> : Récapitulatif des étapes </w:t>
      </w:r>
      <w:r>
        <w:rPr>
          <w:rStyle w:val="style85"/>
          <w:noProof/>
        </w:rPr>
        <w:t>et responsabilités de la gestion environnementale et sociale du PDCA</w:t>
      </w:r>
      <w:r>
        <w:rPr>
          <w:noProof/>
          <w:webHidden/>
        </w:rPr>
        <w:tab/>
      </w:r>
      <w:r>
        <w:rPr>
          <w:noProof/>
          <w:webHidden/>
        </w:rPr>
        <w:fldChar w:fldCharType="begin"/>
      </w:r>
      <w:r>
        <w:rPr>
          <w:noProof/>
          <w:webHidden/>
        </w:rPr>
        <w:instrText xml:space="preserve"> PAGEREF _Toc2780542 \h </w:instrText>
      </w:r>
      <w:r>
        <w:rPr>
          <w:noProof/>
          <w:webHidden/>
        </w:rPr>
        <w:fldChar w:fldCharType="separate"/>
      </w:r>
      <w:r>
        <w:rPr>
          <w:noProof/>
          <w:webHidden/>
        </w:rPr>
        <w:t>78</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"_Toc2780543" </w:instrText>
      </w:r>
      <w:r>
        <w:rPr/>
        <w:fldChar w:fldCharType="separate"/>
      </w:r>
      <w:r>
        <w:rPr>
          <w:rStyle w:val="style85"/>
          <w:noProof/>
        </w:rPr>
        <w:t>Tableau 9: Récapitulatif des mesures par phase et responsabilités</w:t>
      </w:r>
      <w:r>
        <w:rPr>
          <w:noProof/>
          <w:webHidden/>
        </w:rPr>
        <w:tab/>
      </w:r>
      <w:r>
        <w:rPr>
          <w:noProof/>
          <w:webHidden/>
        </w:rPr>
        <w:fldChar w:fldCharType="begin"/>
      </w:r>
      <w:r>
        <w:rPr>
          <w:noProof/>
          <w:webHidden/>
        </w:rPr>
        <w:instrText xml:space="preserve"> PAGEREF _Toc2780543 \h </w:instrText>
      </w:r>
      <w:r>
        <w:rPr>
          <w:noProof/>
          <w:webHidden/>
        </w:rPr>
        <w:fldChar w:fldCharType="separate"/>
      </w:r>
      <w:r>
        <w:rPr>
          <w:noProof/>
          <w:webHidden/>
        </w:rPr>
        <w:t>80</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"_Toc2780544" </w:instrText>
      </w:r>
      <w:r>
        <w:rPr/>
        <w:fldChar w:fldCharType="separate"/>
      </w:r>
      <w:r>
        <w:rPr>
          <w:rStyle w:val="style85"/>
          <w:noProof/>
        </w:rPr>
        <w:t>Tableau 10: Activités d’Information et Sensibilisation</w:t>
      </w:r>
      <w:r>
        <w:rPr>
          <w:noProof/>
          <w:webHidden/>
        </w:rPr>
        <w:tab/>
      </w:r>
      <w:r>
        <w:rPr>
          <w:noProof/>
          <w:webHidden/>
        </w:rPr>
        <w:fldChar w:fldCharType="begin"/>
      </w:r>
      <w:r>
        <w:rPr>
          <w:noProof/>
          <w:webHidden/>
        </w:rPr>
        <w:instrText xml:space="preserve"> PAGEREF _Toc2780544 \h </w:instrText>
      </w:r>
      <w:r>
        <w:rPr>
          <w:noProof/>
          <w:webHidden/>
        </w:rPr>
        <w:fldChar w:fldCharType="separate"/>
      </w:r>
      <w:r>
        <w:rPr>
          <w:noProof/>
          <w:webHidden/>
        </w:rPr>
        <w:t>85</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"_Toc2780545" </w:instrText>
      </w:r>
      <w:r>
        <w:rPr/>
        <w:fldChar w:fldCharType="separate"/>
      </w:r>
      <w:r>
        <w:rPr>
          <w:rStyle w:val="style85"/>
          <w:noProof/>
        </w:rPr>
        <w:t>Tableau 11 : Calendrier de mise en œuvre des mesures environnementales et sociales</w:t>
      </w:r>
      <w:r>
        <w:rPr>
          <w:noProof/>
          <w:webHidden/>
        </w:rPr>
        <w:tab/>
      </w:r>
      <w:r>
        <w:rPr>
          <w:noProof/>
          <w:webHidden/>
        </w:rPr>
        <w:fldChar w:fldCharType="begin"/>
      </w:r>
      <w:r>
        <w:rPr>
          <w:noProof/>
          <w:webHidden/>
        </w:rPr>
        <w:instrText xml:space="preserve"> PAGEREF _Toc2780545 \h </w:instrText>
      </w:r>
      <w:r>
        <w:rPr>
          <w:noProof/>
          <w:webHidden/>
        </w:rPr>
        <w:fldChar w:fldCharType="separate"/>
      </w:r>
      <w:r>
        <w:rPr>
          <w:noProof/>
          <w:webHidden/>
        </w:rPr>
        <w:t>90</w:t>
      </w:r>
      <w:r>
        <w:rPr>
          <w:noProof/>
          <w:webHidden/>
        </w:rPr>
        <w:fldChar w:fldCharType="end"/>
      </w:r>
      <w:r>
        <w:rPr/>
        <w:fldChar w:fldCharType="end"/>
      </w:r>
    </w:p>
    <w:p>
      <w:pPr>
        <w:pStyle w:val="style35"/>
        <w:tabs>
          <w:tab w:val="right" w:leader="dot" w:pos="9060"/>
        </w:tabs>
        <w:rPr>
          <w:rFonts w:ascii="Calibri" w:cs="宋体" w:eastAsia="宋体" w:hAnsi="Calibri"/>
          <w:noProof/>
          <w:sz w:val="22"/>
          <w:szCs w:val="22"/>
        </w:rPr>
      </w:pPr>
      <w:r>
        <w:rPr/>
        <w:fldChar w:fldCharType="begin"/>
      </w:r>
      <w:r>
        <w:instrText xml:space="preserve"> HYPERLINK \l "_Toc2780546" </w:instrText>
      </w:r>
      <w:r>
        <w:rPr/>
        <w:fldChar w:fldCharType="separate"/>
      </w:r>
      <w:r>
        <w:rPr>
          <w:rStyle w:val="style85"/>
          <w:noProof/>
        </w:rPr>
        <w:t>Tableau 12 : Synthèse des couts des activités et mesures environnementales</w:t>
      </w:r>
      <w:r>
        <w:rPr>
          <w:noProof/>
          <w:webHidden/>
        </w:rPr>
        <w:tab/>
      </w:r>
      <w:r>
        <w:rPr>
          <w:noProof/>
          <w:webHidden/>
        </w:rPr>
        <w:fldChar w:fldCharType="begin"/>
      </w:r>
      <w:r>
        <w:rPr>
          <w:noProof/>
          <w:webHidden/>
        </w:rPr>
        <w:instrText xml:space="preserve"> PAGEREF _Toc2780546 \h </w:instrText>
      </w:r>
      <w:r>
        <w:rPr>
          <w:noProof/>
          <w:webHidden/>
        </w:rPr>
        <w:fldChar w:fldCharType="separate"/>
      </w:r>
      <w:r>
        <w:rPr>
          <w:noProof/>
          <w:webHidden/>
        </w:rPr>
        <w:t>92</w:t>
      </w:r>
      <w:r>
        <w:rPr>
          <w:noProof/>
          <w:webHidden/>
        </w:rPr>
        <w:fldChar w:fldCharType="end"/>
      </w:r>
      <w:r>
        <w:rPr/>
        <w:fldChar w:fldCharType="end"/>
      </w:r>
    </w:p>
    <w:p>
      <w:pPr>
        <w:pStyle w:val="style0"/>
        <w:rPr/>
      </w:pPr>
      <w:r>
        <w:rPr/>
        <w:fldChar w:fldCharType="end"/>
      </w:r>
    </w:p>
    <w:p>
      <w:pPr>
        <w:pStyle w:val="style0"/>
        <w:rPr/>
      </w:pPr>
    </w:p>
    <w:p>
      <w:pPr>
        <w:pStyle w:val="style0"/>
        <w:rPr/>
      </w:pPr>
    </w:p>
    <w:bookmarkStart w:id="6" w:name="_Toc686069"/>
    <w:bookmarkStart w:id="7" w:name="_Toc2780456"/>
    <w:p>
      <w:pPr>
        <w:pStyle w:val="style1"/>
        <w:rPr/>
      </w:pPr>
      <w:r>
        <w:t xml:space="preserve">LISTE DES </w:t>
      </w:r>
      <w:r>
        <w:t>CARTES</w:t>
      </w:r>
      <w:bookmarkEnd w:id="6"/>
      <w:bookmarkEnd w:id="7"/>
    </w:p>
    <w:p>
      <w:pPr>
        <w:pStyle w:val="style0"/>
        <w:rPr/>
      </w:pPr>
    </w:p>
    <w:p>
      <w:pPr>
        <w:pStyle w:val="style35"/>
        <w:tabs>
          <w:tab w:val="right" w:leader="dot" w:pos="9060"/>
        </w:tabs>
        <w:rPr>
          <w:rFonts w:ascii="Calibri" w:cs="宋体" w:eastAsia="宋体" w:hAnsi="Calibri"/>
          <w:noProof/>
          <w:sz w:val="22"/>
          <w:szCs w:val="22"/>
        </w:rPr>
      </w:pPr>
      <w:r>
        <w:rPr>
          <w:i/>
          <w:sz w:val="22"/>
        </w:rPr>
        <w:fldChar w:fldCharType="begin"/>
      </w:r>
      <w:r>
        <w:rPr>
          <w:i/>
          <w:sz w:val="22"/>
        </w:rPr>
        <w:instrText xml:space="preserve"> TOC \h \z \c "Carte" </w:instrText>
      </w:r>
      <w:r>
        <w:rPr>
          <w:i/>
          <w:sz w:val="22"/>
        </w:rPr>
        <w:fldChar w:fldCharType="separate"/>
      </w:r>
      <w:r>
        <w:rPr/>
        <w:fldChar w:fldCharType="begin"/>
      </w:r>
      <w:r>
        <w:instrText xml:space="preserve"> HYPERLINK \l "_Toc1959583" </w:instrText>
      </w:r>
      <w:r>
        <w:rPr/>
        <w:fldChar w:fldCharType="separate"/>
      </w:r>
      <w:r>
        <w:rPr>
          <w:rStyle w:val="style85"/>
          <w:noProof/>
        </w:rPr>
        <w:t>Carte 1 : Localisation de la zone d’intervention du Programme</w:t>
      </w:r>
      <w:r>
        <w:rPr>
          <w:noProof/>
          <w:webHidden/>
        </w:rPr>
        <w:tab/>
      </w:r>
      <w:r>
        <w:rPr>
          <w:noProof/>
          <w:webHidden/>
        </w:rPr>
        <w:fldChar w:fldCharType="begin"/>
      </w:r>
      <w:r>
        <w:rPr>
          <w:noProof/>
          <w:webHidden/>
        </w:rPr>
        <w:instrText xml:space="preserve"> PAGEREF _Toc1959583 \h </w:instrText>
      </w:r>
      <w:r>
        <w:rPr>
          <w:noProof/>
          <w:webHidden/>
        </w:rPr>
        <w:fldChar w:fldCharType="separate"/>
      </w:r>
      <w:r>
        <w:rPr>
          <w:noProof/>
          <w:webHidden/>
        </w:rPr>
        <w:t>29</w:t>
      </w:r>
      <w:r>
        <w:rPr>
          <w:noProof/>
          <w:webHidden/>
        </w:rPr>
        <w:fldChar w:fldCharType="end"/>
      </w:r>
      <w:r>
        <w:rPr/>
        <w:fldChar w:fldCharType="end"/>
      </w:r>
    </w:p>
    <w:p>
      <w:pPr>
        <w:pStyle w:val="style0"/>
        <w:spacing w:after="43"/>
        <w:jc w:val="both"/>
        <w:rPr>
          <w:i/>
          <w:sz w:val="22"/>
        </w:rPr>
      </w:pPr>
      <w:r>
        <w:rPr>
          <w:i/>
          <w:sz w:val="22"/>
        </w:rPr>
        <w:fldChar w:fldCharType="end"/>
      </w:r>
    </w:p>
    <w:p>
      <w:pPr>
        <w:pStyle w:val="style0"/>
        <w:spacing w:after="43"/>
        <w:jc w:val="both"/>
        <w:rPr>
          <w:i/>
          <w:sz w:val="22"/>
        </w:rPr>
      </w:pPr>
    </w:p>
    <w:p>
      <w:pPr>
        <w:pStyle w:val="style0"/>
        <w:spacing w:after="43"/>
        <w:jc w:val="both"/>
        <w:rPr>
          <w:i/>
          <w:sz w:val="22"/>
        </w:rPr>
      </w:pPr>
    </w:p>
    <w:p>
      <w:pPr>
        <w:pStyle w:val="style0"/>
        <w:spacing w:after="43"/>
        <w:jc w:val="both"/>
        <w:rPr>
          <w:i/>
          <w:sz w:val="22"/>
        </w:rPr>
      </w:pPr>
    </w:p>
    <w:bookmarkStart w:id="8" w:name="_Toc686071"/>
    <w:p>
      <w:pPr>
        <w:pStyle w:val="style1"/>
        <w:rPr>
          <w:lang w:val="en-US"/>
        </w:rPr>
      </w:pPr>
    </w:p>
    <w:p>
      <w:pPr>
        <w:pStyle w:val="style0"/>
        <w:rPr>
          <w:b/>
          <w:bCs/>
          <w:color w:val="000000"/>
          <w:szCs w:val="20"/>
          <w:lang w:val="en-US"/>
        </w:rPr>
      </w:pPr>
      <w:r>
        <w:rPr>
          <w:lang w:val="en-US"/>
        </w:rPr>
        <w:br w:type="page"/>
      </w:r>
    </w:p>
    <w:bookmarkStart w:id="9" w:name="_Toc2780457"/>
    <w:p>
      <w:pPr>
        <w:pStyle w:val="style1"/>
        <w:rPr/>
      </w:pPr>
      <w:r>
        <w:t xml:space="preserve">RESUME </w:t>
      </w:r>
      <w:bookmarkEnd w:id="8"/>
      <w:r>
        <w:t>EXECUTIF</w:t>
      </w:r>
      <w:bookmarkEnd w:id="9"/>
    </w:p>
    <w:p>
      <w:pPr>
        <w:pStyle w:val="style0"/>
        <w:rPr/>
      </w:pP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Brève description du </w:t>
      </w:r>
      <w:r>
        <w:rPr>
          <w:b/>
          <w:color w:val="000000"/>
          <w:sz w:val="23"/>
          <w:szCs w:val="23"/>
        </w:rPr>
        <w:t>pro</w:t>
      </w:r>
      <w:r>
        <w:rPr>
          <w:b/>
          <w:color w:val="000000"/>
          <w:sz w:val="23"/>
          <w:szCs w:val="23"/>
        </w:rPr>
        <w:t>gramme</w:t>
      </w:r>
      <w:r>
        <w:rPr>
          <w:b/>
          <w:color w:val="000000"/>
          <w:sz w:val="23"/>
          <w:szCs w:val="23"/>
        </w:rPr>
        <w:t xml:space="preserve"> </w:t>
      </w:r>
    </w:p>
    <w:p>
      <w:pPr>
        <w:pStyle w:val="style0"/>
        <w:autoSpaceDE w:val="false"/>
        <w:autoSpaceDN w:val="false"/>
        <w:adjustRightInd w:val="false"/>
        <w:spacing w:after="160" w:lineRule="auto" w:line="259"/>
        <w:jc w:val="both"/>
        <w:rPr>
          <w:color w:val="222222"/>
          <w:sz w:val="22"/>
          <w:szCs w:val="22"/>
          <w:lang w:eastAsia="en-US"/>
        </w:rPr>
      </w:pPr>
      <w:r>
        <w:rPr>
          <w:color w:val="222222"/>
          <w:sz w:val="22"/>
          <w:szCs w:val="22"/>
          <w:lang w:eastAsia="en-US"/>
        </w:rPr>
        <w:t>Le Programme de Développement et de Compétitivité Agricole (PDCA) a pour objectif global de contribuer à la transformation structurelle du secteur agricole pour booster la croissance économique, améliorer la compétitivité des filières porteuses et assurer de façon durable la sécurité alimentaire et nutritionnelle.</w:t>
      </w:r>
    </w:p>
    <w:p>
      <w:pPr>
        <w:pStyle w:val="style0"/>
        <w:autoSpaceDE w:val="false"/>
        <w:autoSpaceDN w:val="false"/>
        <w:adjustRightInd w:val="false"/>
        <w:spacing w:after="160" w:lineRule="auto" w:line="259"/>
        <w:jc w:val="both"/>
        <w:rPr>
          <w:color w:val="222222"/>
          <w:sz w:val="22"/>
          <w:szCs w:val="22"/>
          <w:lang w:eastAsia="en-US"/>
        </w:rPr>
      </w:pPr>
      <w:r>
        <w:rPr>
          <w:color w:val="222222"/>
          <w:sz w:val="22"/>
          <w:szCs w:val="22"/>
          <w:lang w:eastAsia="en-US"/>
        </w:rPr>
        <w:t xml:space="preserve">L’objectif de développement du programme est d’accroître la productivité agricole et l’accès aux marchés pour les petits producteurs et les petites et moyennes entreprises (PME) dans les </w:t>
      </w:r>
      <w:r>
        <w:rPr>
          <w:color w:val="222222"/>
          <w:sz w:val="22"/>
          <w:szCs w:val="22"/>
          <w:lang w:eastAsia="en-US"/>
        </w:rPr>
        <w:t>chaînes</w:t>
      </w:r>
      <w:r>
        <w:rPr>
          <w:color w:val="222222"/>
          <w:sz w:val="22"/>
          <w:szCs w:val="22"/>
          <w:lang w:eastAsia="en-US"/>
        </w:rPr>
        <w:t xml:space="preserve"> de valeur ciblées dans la zone d’intervention du Projet. </w:t>
      </w:r>
    </w:p>
    <w:p>
      <w:pPr>
        <w:pStyle w:val="style0"/>
        <w:autoSpaceDE w:val="false"/>
        <w:autoSpaceDN w:val="false"/>
        <w:adjustRightInd w:val="false"/>
        <w:spacing w:after="160" w:lineRule="auto" w:line="259"/>
        <w:jc w:val="both"/>
        <w:rPr>
          <w:color w:val="222222"/>
          <w:sz w:val="22"/>
          <w:szCs w:val="22"/>
          <w:lang w:eastAsia="en-US"/>
        </w:rPr>
      </w:pPr>
      <w:r>
        <w:rPr>
          <w:color w:val="222222"/>
          <w:sz w:val="22"/>
          <w:szCs w:val="22"/>
          <w:lang w:eastAsia="en-US"/>
        </w:rPr>
        <w:t>Le programme couvrira quatre régions ayant des fortes potentialités en terres aménageables et des retenues d’eau avec pour principales filières ciblées le riz, le maïs, la tomate, l’oignon, et l’arboriculture fruitière. En plus de ces filières, les cultures de diversification agricole notamment le niébé, l’anacarde et le sésame bénéficieront des services et facilités d’accès aux marchés, de transformation et de commercialisation des produits agricoles mis en place par le Programme.</w:t>
      </w:r>
    </w:p>
    <w:p>
      <w:pPr>
        <w:pStyle w:val="style0"/>
        <w:jc w:val="both"/>
        <w:contextualSpacing/>
        <w:rPr>
          <w:sz w:val="22"/>
          <w:szCs w:val="22"/>
        </w:rPr>
      </w:pPr>
      <w:r>
        <w:rPr>
          <w:sz w:val="22"/>
          <w:szCs w:val="22"/>
        </w:rPr>
        <w:t xml:space="preserve">Du point de vue des composantes, le programme est structuré comme suit : </w:t>
      </w:r>
    </w:p>
    <w:p>
      <w:pPr>
        <w:pStyle w:val="style0"/>
        <w:numPr>
          <w:ilvl w:val="0"/>
          <w:numId w:val="83"/>
        </w:numPr>
        <w:ind w:left="360"/>
        <w:jc w:val="both"/>
        <w:contextualSpacing/>
        <w:rPr>
          <w:b/>
          <w:i/>
          <w:sz w:val="22"/>
          <w:szCs w:val="22"/>
        </w:rPr>
      </w:pPr>
      <w:r>
        <w:rPr>
          <w:b/>
          <w:i/>
          <w:sz w:val="22"/>
          <w:szCs w:val="22"/>
        </w:rPr>
        <w:t xml:space="preserve">Composante </w:t>
      </w:r>
      <w:r>
        <w:rPr>
          <w:b/>
          <w:i/>
          <w:sz w:val="22"/>
          <w:szCs w:val="22"/>
        </w:rPr>
        <w:t>1</w:t>
      </w:r>
      <w:r>
        <w:rPr>
          <w:b/>
          <w:i/>
          <w:sz w:val="22"/>
          <w:szCs w:val="22"/>
        </w:rPr>
        <w:t xml:space="preserve"> : amélioration de la productivité et de la production agricole ; </w:t>
      </w:r>
    </w:p>
    <w:p>
      <w:pPr>
        <w:pStyle w:val="style0"/>
        <w:numPr>
          <w:ilvl w:val="0"/>
          <w:numId w:val="83"/>
        </w:numPr>
        <w:ind w:left="360"/>
        <w:jc w:val="both"/>
        <w:contextualSpacing/>
        <w:rPr>
          <w:b/>
          <w:i/>
          <w:sz w:val="22"/>
          <w:szCs w:val="22"/>
        </w:rPr>
      </w:pPr>
      <w:r>
        <w:rPr>
          <w:b/>
          <w:i/>
          <w:sz w:val="22"/>
          <w:szCs w:val="22"/>
        </w:rPr>
        <w:t xml:space="preserve">Composante </w:t>
      </w:r>
      <w:r>
        <w:rPr>
          <w:b/>
          <w:i/>
          <w:sz w:val="22"/>
          <w:szCs w:val="22"/>
        </w:rPr>
        <w:t>2</w:t>
      </w:r>
      <w:r>
        <w:rPr>
          <w:b/>
          <w:i/>
          <w:sz w:val="22"/>
          <w:szCs w:val="22"/>
        </w:rPr>
        <w:t xml:space="preserve"> : amélioration de l’accès au marché </w:t>
      </w:r>
    </w:p>
    <w:p>
      <w:pPr>
        <w:pStyle w:val="style0"/>
        <w:numPr>
          <w:ilvl w:val="0"/>
          <w:numId w:val="83"/>
        </w:numPr>
        <w:ind w:left="360"/>
        <w:jc w:val="both"/>
        <w:contextualSpacing/>
        <w:rPr>
          <w:b/>
          <w:i/>
          <w:sz w:val="22"/>
          <w:szCs w:val="22"/>
        </w:rPr>
      </w:pPr>
      <w:r>
        <w:rPr>
          <w:b/>
          <w:i/>
          <w:sz w:val="22"/>
          <w:szCs w:val="22"/>
        </w:rPr>
        <w:t>Composante 3 :</w:t>
      </w:r>
      <w:r>
        <w:rPr>
          <w:b/>
          <w:i/>
          <w:sz w:val="22"/>
          <w:szCs w:val="22"/>
        </w:rPr>
        <w:t xml:space="preserve"> appui aux investissements privés </w:t>
      </w:r>
      <w:r>
        <w:rPr>
          <w:b/>
          <w:i/>
          <w:sz w:val="22"/>
          <w:szCs w:val="22"/>
        </w:rPr>
        <w:t>et</w:t>
      </w:r>
    </w:p>
    <w:p>
      <w:pPr>
        <w:pStyle w:val="style0"/>
        <w:numPr>
          <w:ilvl w:val="0"/>
          <w:numId w:val="83"/>
        </w:numPr>
        <w:ind w:left="360"/>
        <w:jc w:val="both"/>
        <w:contextualSpacing/>
        <w:rPr>
          <w:b/>
          <w:i/>
          <w:sz w:val="22"/>
          <w:szCs w:val="22"/>
        </w:rPr>
      </w:pPr>
      <w:r>
        <w:rPr>
          <w:b/>
          <w:i/>
          <w:sz w:val="22"/>
          <w:szCs w:val="22"/>
        </w:rPr>
        <w:t xml:space="preserve">Composante </w:t>
      </w:r>
      <w:r>
        <w:rPr>
          <w:b/>
          <w:i/>
          <w:sz w:val="22"/>
          <w:szCs w:val="22"/>
        </w:rPr>
        <w:t>4</w:t>
      </w:r>
      <w:r>
        <w:rPr>
          <w:b/>
          <w:i/>
          <w:sz w:val="22"/>
          <w:szCs w:val="22"/>
        </w:rPr>
        <w:t xml:space="preserve"> : prévention et gestion des crises, coordination du Projet et suivi et évaluation.</w:t>
      </w:r>
    </w:p>
    <w:p>
      <w:pPr>
        <w:pStyle w:val="style0"/>
        <w:autoSpaceDE w:val="false"/>
        <w:autoSpaceDN w:val="false"/>
        <w:adjustRightInd w:val="false"/>
        <w:spacing w:after="160" w:lineRule="auto" w:line="259"/>
        <w:jc w:val="both"/>
        <w:rPr>
          <w:color w:val="000000"/>
          <w:sz w:val="22"/>
          <w:szCs w:val="22"/>
        </w:rPr>
      </w:pPr>
    </w:p>
    <w:p>
      <w:pPr>
        <w:pStyle w:val="style0"/>
        <w:autoSpaceDE w:val="false"/>
        <w:autoSpaceDN w:val="false"/>
        <w:adjustRightInd w:val="false"/>
        <w:spacing w:after="160" w:lineRule="auto" w:line="259"/>
        <w:jc w:val="both"/>
        <w:rPr>
          <w:rFonts w:eastAsia="Calibri"/>
          <w:iCs/>
          <w:sz w:val="22"/>
          <w:szCs w:val="22"/>
          <w:lang w:eastAsia="en-US"/>
        </w:rPr>
      </w:pPr>
      <w:r>
        <w:rPr>
          <w:color w:val="000000"/>
          <w:sz w:val="22"/>
          <w:szCs w:val="22"/>
        </w:rPr>
        <w:t xml:space="preserve">Plusieurs sous-projets permettront au programme d’être opérationnel. Il s’agit des sous-projets suivants : i) </w:t>
      </w:r>
      <w:r>
        <w:rPr>
          <w:rFonts w:eastAsia="Calibri"/>
          <w:i/>
          <w:sz w:val="22"/>
          <w:szCs w:val="22"/>
          <w:lang w:eastAsia="en-US"/>
        </w:rPr>
        <w:t>sous-projet « Création des vergers</w:t>
      </w:r>
      <w:r>
        <w:rPr>
          <w:rFonts w:eastAsia="Calibri"/>
          <w:i/>
          <w:sz w:val="22"/>
          <w:szCs w:val="22"/>
          <w:lang w:eastAsia="en-US"/>
        </w:rPr>
        <w:t xml:space="preserve"> </w:t>
      </w:r>
      <w:r>
        <w:rPr>
          <w:rFonts w:eastAsia="Calibri"/>
          <w:i/>
          <w:sz w:val="22"/>
          <w:szCs w:val="22"/>
          <w:lang w:eastAsia="en-US"/>
        </w:rPr>
        <w:t>», ii) sous-projet « Création et exploitation des aménagements hydro-agricoles », iii) sous-projet « Création des unités de conservation et de transformation des produits agricoles », iv) Sous-projet « Appui aux services agricoles », v) sous-projet « Renforcement du réseau routier » et vi) s</w:t>
      </w:r>
      <w:r>
        <w:rPr>
          <w:rFonts w:eastAsia="Calibri"/>
          <w:iCs/>
          <w:sz w:val="22"/>
          <w:szCs w:val="22"/>
          <w:lang w:eastAsia="en-US"/>
        </w:rPr>
        <w:t>ous-projet « Appui au financement du secteur privé ».</w:t>
      </w:r>
    </w:p>
    <w:p>
      <w:pPr>
        <w:pStyle w:val="style0"/>
        <w:autoSpaceDE w:val="false"/>
        <w:autoSpaceDN w:val="false"/>
        <w:adjustRightInd w:val="false"/>
        <w:spacing w:after="160" w:lineRule="auto" w:line="259"/>
        <w:jc w:val="both"/>
        <w:rPr>
          <w:color w:val="000000"/>
          <w:sz w:val="23"/>
          <w:szCs w:val="23"/>
        </w:rPr>
      </w:pP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Brève description des enjeux et risques environnementaux et sociaux </w:t>
      </w:r>
      <w:r>
        <w:rPr>
          <w:b/>
          <w:color w:val="000000"/>
          <w:sz w:val="23"/>
          <w:szCs w:val="23"/>
        </w:rPr>
        <w:t xml:space="preserve">génériques </w:t>
      </w:r>
      <w:r>
        <w:rPr>
          <w:b/>
          <w:color w:val="000000"/>
          <w:sz w:val="23"/>
          <w:szCs w:val="23"/>
        </w:rPr>
        <w:t>majeurs dans les zones d’implantation potentielle des sous-projets</w:t>
      </w:r>
    </w:p>
    <w:p>
      <w:pPr>
        <w:pStyle w:val="style0"/>
        <w:autoSpaceDE w:val="false"/>
        <w:autoSpaceDN w:val="false"/>
        <w:adjustRightInd w:val="false"/>
        <w:spacing w:after="160" w:lineRule="auto" w:line="259"/>
        <w:jc w:val="both"/>
        <w:rPr>
          <w:color w:val="000000"/>
          <w:sz w:val="22"/>
          <w:szCs w:val="22"/>
        </w:rPr>
      </w:pPr>
      <w:r>
        <w:rPr>
          <w:color w:val="000000"/>
          <w:sz w:val="22"/>
          <w:szCs w:val="22"/>
        </w:rPr>
        <w:t>Les enjeux environnementaux, sociaux et risques dans les zones d’implantation potentielle des sous-projets sont principalement :</w:t>
      </w:r>
    </w:p>
    <w:p>
      <w:pPr>
        <w:pStyle w:val="style0"/>
        <w:numPr>
          <w:ilvl w:val="0"/>
          <w:numId w:val="78"/>
        </w:numPr>
        <w:autoSpaceDE w:val="false"/>
        <w:autoSpaceDN w:val="false"/>
        <w:adjustRightInd w:val="false"/>
        <w:spacing w:after="160" w:lineRule="auto" w:line="259"/>
        <w:jc w:val="both"/>
        <w:rPr>
          <w:color w:val="000000"/>
          <w:sz w:val="22"/>
          <w:szCs w:val="22"/>
        </w:rPr>
      </w:pPr>
      <w:r>
        <w:rPr>
          <w:color w:val="000000"/>
          <w:sz w:val="22"/>
          <w:szCs w:val="22"/>
        </w:rPr>
        <w:t>l’évolution démographique ;</w:t>
      </w:r>
    </w:p>
    <w:p>
      <w:pPr>
        <w:pStyle w:val="style0"/>
        <w:numPr>
          <w:ilvl w:val="0"/>
          <w:numId w:val="78"/>
        </w:numPr>
        <w:autoSpaceDE w:val="false"/>
        <w:autoSpaceDN w:val="false"/>
        <w:adjustRightInd w:val="false"/>
        <w:spacing w:after="160" w:lineRule="auto" w:line="259"/>
        <w:jc w:val="both"/>
        <w:rPr>
          <w:color w:val="000000"/>
          <w:sz w:val="22"/>
          <w:szCs w:val="22"/>
        </w:rPr>
      </w:pPr>
      <w:r>
        <w:rPr>
          <w:color w:val="000000"/>
          <w:sz w:val="22"/>
          <w:szCs w:val="22"/>
        </w:rPr>
        <w:t>les questions foncières ;</w:t>
      </w:r>
    </w:p>
    <w:p>
      <w:pPr>
        <w:pStyle w:val="style0"/>
        <w:numPr>
          <w:ilvl w:val="0"/>
          <w:numId w:val="78"/>
        </w:numPr>
        <w:autoSpaceDE w:val="false"/>
        <w:autoSpaceDN w:val="false"/>
        <w:adjustRightInd w:val="false"/>
        <w:spacing w:after="160" w:lineRule="auto" w:line="259"/>
        <w:jc w:val="both"/>
        <w:rPr>
          <w:color w:val="000000"/>
          <w:sz w:val="22"/>
          <w:szCs w:val="22"/>
        </w:rPr>
      </w:pPr>
      <w:r>
        <w:rPr>
          <w:color w:val="000000"/>
          <w:sz w:val="22"/>
          <w:szCs w:val="22"/>
        </w:rPr>
        <w:t>le niveau de pauvreté ;</w:t>
      </w:r>
    </w:p>
    <w:p>
      <w:pPr>
        <w:pStyle w:val="style0"/>
        <w:numPr>
          <w:ilvl w:val="0"/>
          <w:numId w:val="78"/>
        </w:numPr>
        <w:autoSpaceDE w:val="false"/>
        <w:autoSpaceDN w:val="false"/>
        <w:adjustRightInd w:val="false"/>
        <w:spacing w:after="160" w:lineRule="auto" w:line="259"/>
        <w:jc w:val="both"/>
        <w:rPr>
          <w:color w:val="000000"/>
          <w:sz w:val="22"/>
          <w:szCs w:val="22"/>
        </w:rPr>
      </w:pPr>
      <w:r>
        <w:rPr>
          <w:color w:val="000000"/>
          <w:sz w:val="22"/>
          <w:szCs w:val="22"/>
        </w:rPr>
        <w:t>les contraintes sur l’état du réseau routier.</w:t>
      </w: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Cadre juridique et institutionnel des évaluations environnementale et sociale du pays </w:t>
      </w:r>
    </w:p>
    <w:p>
      <w:pPr>
        <w:pStyle w:val="style0"/>
        <w:autoSpaceDE w:val="false"/>
        <w:autoSpaceDN w:val="false"/>
        <w:adjustRightInd w:val="false"/>
        <w:spacing w:after="160" w:lineRule="auto" w:line="259"/>
        <w:jc w:val="both"/>
        <w:rPr>
          <w:color w:val="000000"/>
          <w:sz w:val="22"/>
          <w:szCs w:val="22"/>
        </w:rPr>
      </w:pPr>
      <w:r>
        <w:rPr>
          <w:color w:val="000000"/>
          <w:sz w:val="22"/>
          <w:szCs w:val="22"/>
        </w:rPr>
        <w:t>Le Burkina Faso a ratifié au plan sous régional, régional et international, de nombreuses conventions et traités dans le cadre de la protection de l’environnement. Ces différents instruments couvrent presque tous les domaines et vont de la lutte contre la désertification aux changements climatiques en passant par la gestion des espèces et des écosystèmes d’intérêt mondial et la lutte contre les pollutions et nuisances de toutes sortes et en particulier les pollutions par les pesticides.</w:t>
      </w:r>
    </w:p>
    <w:p>
      <w:pPr>
        <w:pStyle w:val="style0"/>
        <w:autoSpaceDE w:val="false"/>
        <w:autoSpaceDN w:val="false"/>
        <w:adjustRightInd w:val="false"/>
        <w:spacing w:after="160" w:lineRule="auto" w:line="259"/>
        <w:jc w:val="both"/>
        <w:rPr>
          <w:color w:val="000000"/>
          <w:sz w:val="22"/>
          <w:szCs w:val="22"/>
        </w:rPr>
      </w:pPr>
      <w:r>
        <w:rPr>
          <w:color w:val="000000"/>
          <w:sz w:val="22"/>
          <w:szCs w:val="22"/>
        </w:rPr>
        <w:t xml:space="preserve">Concomitamment au plan national, le pays a élaboré des politiques, des procédures stratégiques et des instruments juridiques et réglementaires en vue de la protection de l’environnement. </w:t>
      </w:r>
    </w:p>
    <w:p>
      <w:pPr>
        <w:pStyle w:val="style0"/>
        <w:autoSpaceDE w:val="false"/>
        <w:autoSpaceDN w:val="false"/>
        <w:adjustRightInd w:val="false"/>
        <w:jc w:val="both"/>
        <w:rPr>
          <w:b/>
          <w:sz w:val="22"/>
          <w:szCs w:val="22"/>
        </w:rPr>
      </w:pPr>
    </w:p>
    <w:p>
      <w:pPr>
        <w:pStyle w:val="style0"/>
        <w:autoSpaceDE w:val="false"/>
        <w:autoSpaceDN w:val="false"/>
        <w:adjustRightInd w:val="false"/>
        <w:spacing w:after="160" w:lineRule="auto" w:line="259"/>
        <w:jc w:val="both"/>
        <w:rPr>
          <w:color w:val="000000"/>
          <w:sz w:val="22"/>
          <w:szCs w:val="22"/>
        </w:rPr>
      </w:pPr>
      <w:r>
        <w:rPr>
          <w:color w:val="000000"/>
          <w:sz w:val="22"/>
          <w:szCs w:val="22"/>
        </w:rPr>
        <w:t xml:space="preserve">Le principal référentiel du pays est le Plan National de Développement Economique et Social (PNDES) adopté par le Gouvernement du Burkina Faso le 20 juillet 2016 et qui vise à réformer les institutions et à moderniser l’administration, à développer le capital humain et à dynamiser les secteurs porteurs pour l’économie et l’emploi. </w:t>
      </w:r>
    </w:p>
    <w:p>
      <w:pPr>
        <w:pStyle w:val="style0"/>
        <w:spacing w:after="52"/>
        <w:jc w:val="both"/>
        <w:rPr>
          <w:color w:val="000000"/>
          <w:sz w:val="22"/>
          <w:szCs w:val="22"/>
        </w:rPr>
      </w:pPr>
    </w:p>
    <w:p>
      <w:pPr>
        <w:pStyle w:val="style0"/>
        <w:spacing w:after="52"/>
        <w:jc w:val="both"/>
        <w:rPr>
          <w:color w:val="000000"/>
          <w:sz w:val="22"/>
          <w:szCs w:val="22"/>
        </w:rPr>
      </w:pPr>
      <w:r>
        <w:rPr>
          <w:color w:val="000000"/>
          <w:sz w:val="22"/>
          <w:szCs w:val="22"/>
        </w:rPr>
        <w:t xml:space="preserve">Par la nature, les caractéristiques et l’envergure des travaux envisagés dans le cadre de l’exécution du Programme de Développement et de Compétitivité Agricole (PDCA), le programme s’est vu classé en catégorie « A » selon les critères de catégorisation environnementale et sociale de la </w:t>
      </w:r>
      <w:r>
        <w:rPr>
          <w:color w:val="000000"/>
          <w:sz w:val="22"/>
          <w:szCs w:val="22"/>
        </w:rPr>
        <w:t>Banque mondiale et sept (7) politiques opérationnelles de sauvegardes environnementales et sociales sont déclenchées à savoir : (i) PO 4.01« Evaluation Environnementale »; (ii)</w:t>
      </w:r>
      <w:r>
        <w:rPr>
          <w:color w:val="000000"/>
          <w:sz w:val="22"/>
          <w:szCs w:val="22"/>
        </w:rPr>
        <w:t xml:space="preserve"> </w:t>
      </w:r>
      <w:r>
        <w:rPr>
          <w:color w:val="000000"/>
          <w:sz w:val="22"/>
          <w:szCs w:val="22"/>
        </w:rPr>
        <w:t xml:space="preserve">PO 4.09« Gestion des pestes » ; (iii) PO 4.04« Habitats Naturels »; (iv) PO 4.11 « Ressources culturelles physiques », (v) PO 4.37 « Sécurité des barrages » ,(vi) PO 4.12 « Réinstallation Involontaire » et (vii) OP 7.50« Projets sur les voies d’eaux internationales ». </w:t>
      </w:r>
    </w:p>
    <w:p>
      <w:pPr>
        <w:pStyle w:val="style0"/>
        <w:autoSpaceDE w:val="false"/>
        <w:autoSpaceDN w:val="false"/>
        <w:adjustRightInd w:val="false"/>
        <w:spacing w:after="160" w:lineRule="auto" w:line="259"/>
        <w:jc w:val="both"/>
        <w:rPr>
          <w:color w:val="000000"/>
          <w:sz w:val="23"/>
          <w:szCs w:val="23"/>
        </w:rPr>
      </w:pP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Principaux impacts/risques génériques par type de sous-projets </w:t>
      </w:r>
    </w:p>
    <w:p>
      <w:pPr>
        <w:pStyle w:val="style0"/>
        <w:jc w:val="both"/>
        <w:rPr>
          <w:rFonts w:eastAsia="Calibri"/>
          <w:sz w:val="22"/>
          <w:szCs w:val="22"/>
          <w:lang w:eastAsia="en-US"/>
        </w:rPr>
      </w:pPr>
      <w:r>
        <w:rPr>
          <w:rFonts w:eastAsia="Calibri"/>
          <w:sz w:val="22"/>
          <w:szCs w:val="22"/>
          <w:lang w:eastAsia="en-US"/>
        </w:rPr>
        <w:t>Les risques liés aux activités du Programme découlent de l’utilisation des pesticides par les producteurs agricoles qui exploiteront les périmètres irrigués. Les principaux risques sont :</w:t>
      </w:r>
    </w:p>
    <w:p>
      <w:pPr>
        <w:pStyle w:val="style0"/>
        <w:numPr>
          <w:ilvl w:val="0"/>
          <w:numId w:val="123"/>
        </w:numPr>
        <w:jc w:val="both"/>
        <w:contextualSpacing/>
        <w:rPr>
          <w:rFonts w:eastAsia="Calibri"/>
          <w:sz w:val="22"/>
          <w:szCs w:val="22"/>
          <w:lang w:eastAsia="en-US"/>
        </w:rPr>
      </w:pPr>
      <w:r>
        <w:rPr>
          <w:rFonts w:eastAsia="Calibri"/>
          <w:sz w:val="22"/>
          <w:szCs w:val="22"/>
          <w:lang w:eastAsia="en-US"/>
        </w:rPr>
        <w:t>intoxication des usagers  et des animaux ;</w:t>
      </w:r>
    </w:p>
    <w:p>
      <w:pPr>
        <w:pStyle w:val="style0"/>
        <w:numPr>
          <w:ilvl w:val="0"/>
          <w:numId w:val="123"/>
        </w:numPr>
        <w:jc w:val="both"/>
        <w:contextualSpacing/>
        <w:rPr>
          <w:rFonts w:eastAsia="Calibri"/>
          <w:sz w:val="22"/>
          <w:szCs w:val="22"/>
          <w:lang w:eastAsia="en-US"/>
        </w:rPr>
      </w:pPr>
      <w:r>
        <w:rPr>
          <w:rFonts w:eastAsia="Calibri"/>
          <w:sz w:val="22"/>
          <w:szCs w:val="22"/>
          <w:lang w:eastAsia="en-US"/>
        </w:rPr>
        <w:t>contamination du sol et des cours d’eau ;</w:t>
      </w:r>
    </w:p>
    <w:p>
      <w:pPr>
        <w:pStyle w:val="style0"/>
        <w:numPr>
          <w:ilvl w:val="0"/>
          <w:numId w:val="123"/>
        </w:numPr>
        <w:jc w:val="both"/>
        <w:contextualSpacing/>
        <w:rPr>
          <w:rFonts w:eastAsia="Calibri"/>
          <w:sz w:val="22"/>
          <w:szCs w:val="22"/>
          <w:lang w:eastAsia="en-US"/>
        </w:rPr>
      </w:pPr>
      <w:r>
        <w:rPr>
          <w:rFonts w:eastAsia="Calibri"/>
          <w:sz w:val="22"/>
          <w:szCs w:val="22"/>
          <w:lang w:eastAsia="en-US"/>
        </w:rPr>
        <w:t>déversement accidentel de pesticides dans l’environnement par une mauvaise manutention ou manipulation;</w:t>
      </w:r>
    </w:p>
    <w:p>
      <w:pPr>
        <w:pStyle w:val="style0"/>
        <w:numPr>
          <w:ilvl w:val="0"/>
          <w:numId w:val="123"/>
        </w:numPr>
        <w:jc w:val="both"/>
        <w:contextualSpacing/>
        <w:rPr>
          <w:rFonts w:eastAsia="Calibri"/>
          <w:sz w:val="22"/>
          <w:szCs w:val="22"/>
          <w:lang w:eastAsia="en-US"/>
        </w:rPr>
      </w:pPr>
      <w:r>
        <w:rPr>
          <w:rFonts w:eastAsia="Calibri"/>
          <w:sz w:val="22"/>
          <w:szCs w:val="22"/>
          <w:lang w:eastAsia="en-US"/>
        </w:rPr>
        <w:t>déversement accidentel de pesticides sur l’organisme humain ;</w:t>
      </w:r>
    </w:p>
    <w:p>
      <w:pPr>
        <w:pStyle w:val="style0"/>
        <w:numPr>
          <w:ilvl w:val="0"/>
          <w:numId w:val="123"/>
        </w:numPr>
        <w:jc w:val="both"/>
        <w:contextualSpacing/>
        <w:rPr>
          <w:rFonts w:eastAsia="Calibri"/>
          <w:sz w:val="22"/>
          <w:szCs w:val="22"/>
          <w:lang w:eastAsia="en-US"/>
        </w:rPr>
      </w:pPr>
      <w:r>
        <w:rPr>
          <w:rFonts w:eastAsia="Calibri"/>
          <w:sz w:val="22"/>
          <w:szCs w:val="22"/>
          <w:lang w:eastAsia="en-US"/>
        </w:rPr>
        <w:t>ingestion accidentel de pesticides ;</w:t>
      </w:r>
    </w:p>
    <w:p>
      <w:pPr>
        <w:pStyle w:val="style0"/>
        <w:numPr>
          <w:ilvl w:val="0"/>
          <w:numId w:val="123"/>
        </w:numPr>
        <w:jc w:val="both"/>
        <w:contextualSpacing/>
        <w:rPr>
          <w:rFonts w:eastAsia="Calibri"/>
          <w:sz w:val="22"/>
          <w:szCs w:val="22"/>
          <w:lang w:eastAsia="en-US"/>
        </w:rPr>
      </w:pPr>
      <w:r>
        <w:rPr>
          <w:rFonts w:eastAsia="Calibri"/>
          <w:sz w:val="22"/>
          <w:szCs w:val="22"/>
          <w:lang w:eastAsia="en-US"/>
        </w:rPr>
        <w:t>accident de la circulation lors du transport des pesticides ;</w:t>
      </w:r>
    </w:p>
    <w:p>
      <w:pPr>
        <w:pStyle w:val="style0"/>
        <w:numPr>
          <w:ilvl w:val="0"/>
          <w:numId w:val="123"/>
        </w:numPr>
        <w:jc w:val="both"/>
        <w:contextualSpacing/>
        <w:rPr>
          <w:rFonts w:eastAsia="Calibri"/>
          <w:sz w:val="22"/>
          <w:szCs w:val="22"/>
          <w:lang w:eastAsia="en-US"/>
        </w:rPr>
      </w:pPr>
      <w:r>
        <w:rPr>
          <w:rFonts w:eastAsia="Calibri"/>
          <w:sz w:val="22"/>
          <w:szCs w:val="22"/>
          <w:lang w:eastAsia="en-US"/>
        </w:rPr>
        <w:t>inhalation des pesticides dans les voies respiratoires ;</w:t>
      </w:r>
    </w:p>
    <w:p>
      <w:pPr>
        <w:pStyle w:val="style0"/>
        <w:numPr>
          <w:ilvl w:val="0"/>
          <w:numId w:val="123"/>
        </w:numPr>
        <w:jc w:val="both"/>
        <w:contextualSpacing/>
        <w:rPr>
          <w:rFonts w:eastAsia="Calibri"/>
          <w:sz w:val="22"/>
          <w:szCs w:val="22"/>
          <w:lang w:eastAsia="en-US"/>
        </w:rPr>
      </w:pPr>
      <w:r>
        <w:rPr>
          <w:rFonts w:eastAsia="Calibri"/>
          <w:sz w:val="22"/>
          <w:szCs w:val="22"/>
          <w:lang w:eastAsia="en-US"/>
        </w:rPr>
        <w:t>contamination des faunes aquatiques ;</w:t>
      </w:r>
    </w:p>
    <w:p>
      <w:pPr>
        <w:pStyle w:val="style0"/>
        <w:numPr>
          <w:ilvl w:val="0"/>
          <w:numId w:val="123"/>
        </w:numPr>
        <w:jc w:val="both"/>
        <w:contextualSpacing/>
        <w:rPr>
          <w:rFonts w:eastAsia="Calibri"/>
          <w:sz w:val="22"/>
          <w:szCs w:val="22"/>
          <w:lang w:eastAsia="en-US"/>
        </w:rPr>
      </w:pPr>
      <w:r>
        <w:rPr>
          <w:rFonts w:eastAsia="Calibri"/>
          <w:sz w:val="22"/>
          <w:szCs w:val="22"/>
          <w:lang w:eastAsia="en-US"/>
        </w:rPr>
        <w:t>contamination de produits vivriers et alimentaires ;</w:t>
      </w:r>
    </w:p>
    <w:p>
      <w:pPr>
        <w:pStyle w:val="style0"/>
        <w:numPr>
          <w:ilvl w:val="0"/>
          <w:numId w:val="123"/>
        </w:numPr>
        <w:jc w:val="both"/>
        <w:contextualSpacing/>
        <w:rPr>
          <w:rFonts w:eastAsia="Calibri"/>
          <w:sz w:val="22"/>
          <w:szCs w:val="22"/>
          <w:lang w:eastAsia="en-US"/>
        </w:rPr>
      </w:pPr>
      <w:r>
        <w:rPr>
          <w:rFonts w:eastAsia="Calibri"/>
          <w:sz w:val="22"/>
          <w:szCs w:val="22"/>
          <w:lang w:eastAsia="en-US"/>
        </w:rPr>
        <w:t>pollution de la nappe phréatique;</w:t>
      </w:r>
    </w:p>
    <w:p>
      <w:pPr>
        <w:pStyle w:val="style0"/>
        <w:numPr>
          <w:ilvl w:val="0"/>
          <w:numId w:val="123"/>
        </w:numPr>
        <w:jc w:val="both"/>
        <w:contextualSpacing/>
        <w:rPr>
          <w:rFonts w:eastAsia="Calibri"/>
          <w:sz w:val="22"/>
          <w:szCs w:val="22"/>
          <w:lang w:eastAsia="en-US"/>
        </w:rPr>
      </w:pPr>
      <w:r>
        <w:rPr>
          <w:rFonts w:eastAsia="Calibri"/>
          <w:sz w:val="22"/>
          <w:szCs w:val="22"/>
          <w:lang w:eastAsia="en-US"/>
        </w:rPr>
        <w:t>mortalité des animaux aquatique et faunique.</w:t>
      </w:r>
    </w:p>
    <w:p>
      <w:pPr>
        <w:pStyle w:val="style0"/>
        <w:jc w:val="both"/>
        <w:rPr>
          <w:rFonts w:eastAsia="Calibri"/>
          <w:sz w:val="22"/>
          <w:szCs w:val="22"/>
          <w:lang w:eastAsia="en-US"/>
        </w:rPr>
      </w:pPr>
    </w:p>
    <w:p>
      <w:pPr>
        <w:pStyle w:val="style0"/>
        <w:jc w:val="both"/>
        <w:rPr>
          <w:rFonts w:eastAsia="Calibri"/>
          <w:sz w:val="22"/>
          <w:szCs w:val="22"/>
          <w:lang w:eastAsia="en-US"/>
        </w:rPr>
      </w:pPr>
      <w:r>
        <w:rPr>
          <w:rFonts w:eastAsia="Calibri"/>
          <w:sz w:val="22"/>
          <w:szCs w:val="22"/>
          <w:lang w:eastAsia="en-US"/>
        </w:rPr>
        <w:t>Quant aux impacts environnementaux et sociaux potentiels négatifs</w:t>
      </w:r>
      <w:r>
        <w:rPr>
          <w:rFonts w:eastAsia="Calibri"/>
          <w:sz w:val="22"/>
          <w:szCs w:val="22"/>
          <w:lang w:eastAsia="en-US"/>
        </w:rPr>
        <w:t xml:space="preserve"> </w:t>
      </w:r>
      <w:r>
        <w:rPr>
          <w:rFonts w:eastAsia="Calibri"/>
          <w:sz w:val="22"/>
          <w:szCs w:val="22"/>
          <w:lang w:eastAsia="en-US"/>
        </w:rPr>
        <w:t>génériques</w:t>
      </w:r>
      <w:r>
        <w:rPr>
          <w:rFonts w:eastAsia="Calibri"/>
          <w:sz w:val="22"/>
          <w:szCs w:val="22"/>
          <w:lang w:eastAsia="en-US"/>
        </w:rPr>
        <w:t>, ils portent sur :</w:t>
      </w:r>
    </w:p>
    <w:p>
      <w:pPr>
        <w:pStyle w:val="style0"/>
        <w:numPr>
          <w:ilvl w:val="0"/>
          <w:numId w:val="8"/>
        </w:numPr>
        <w:spacing w:after="160" w:lineRule="auto" w:line="259"/>
        <w:jc w:val="both"/>
        <w:rPr>
          <w:rFonts w:eastAsia="Calibri"/>
          <w:sz w:val="22"/>
          <w:szCs w:val="22"/>
          <w:lang w:eastAsia="en-US"/>
        </w:rPr>
      </w:pPr>
      <w:r>
        <w:rPr>
          <w:rFonts w:eastAsia="Calibri"/>
          <w:sz w:val="22"/>
          <w:szCs w:val="22"/>
          <w:lang w:eastAsia="en-US"/>
        </w:rPr>
        <w:t>la pollution des eaux et des sols liés à  l’usage des engrais et des pesticides;</w:t>
      </w:r>
    </w:p>
    <w:p>
      <w:pPr>
        <w:pStyle w:val="style0"/>
        <w:numPr>
          <w:ilvl w:val="0"/>
          <w:numId w:val="8"/>
        </w:numPr>
        <w:spacing w:after="160" w:lineRule="auto" w:line="259"/>
        <w:jc w:val="both"/>
        <w:rPr>
          <w:rFonts w:eastAsia="Calibri"/>
          <w:sz w:val="22"/>
          <w:szCs w:val="22"/>
          <w:lang w:eastAsia="en-US"/>
        </w:rPr>
      </w:pPr>
      <w:r>
        <w:rPr>
          <w:rFonts w:eastAsia="Calibri"/>
          <w:sz w:val="22"/>
          <w:szCs w:val="22"/>
          <w:lang w:eastAsia="en-US"/>
        </w:rPr>
        <w:t>la perte partielle de la végétation à travers le déboisement non autorisé des berges ;</w:t>
      </w:r>
    </w:p>
    <w:p>
      <w:pPr>
        <w:pStyle w:val="style0"/>
        <w:numPr>
          <w:ilvl w:val="0"/>
          <w:numId w:val="8"/>
        </w:numPr>
        <w:spacing w:after="160" w:lineRule="auto" w:line="259"/>
        <w:jc w:val="both"/>
        <w:rPr>
          <w:rFonts w:eastAsia="Calibri"/>
          <w:sz w:val="22"/>
          <w:szCs w:val="22"/>
          <w:lang w:eastAsia="en-US"/>
        </w:rPr>
      </w:pPr>
      <w:r>
        <w:rPr>
          <w:rFonts w:eastAsia="Calibri"/>
          <w:sz w:val="22"/>
          <w:szCs w:val="22"/>
          <w:lang w:eastAsia="en-US"/>
        </w:rPr>
        <w:t>les nuisances au cadre de vie en l’absence d’un système de gestion appropriée des déchets issus des unités de transformation;</w:t>
      </w:r>
    </w:p>
    <w:p>
      <w:pPr>
        <w:pStyle w:val="style0"/>
        <w:numPr>
          <w:ilvl w:val="0"/>
          <w:numId w:val="8"/>
        </w:numPr>
        <w:spacing w:after="160" w:lineRule="auto" w:line="259"/>
        <w:jc w:val="both"/>
        <w:rPr>
          <w:rFonts w:eastAsia="Calibri"/>
          <w:sz w:val="22"/>
          <w:szCs w:val="22"/>
          <w:lang w:eastAsia="en-US"/>
        </w:rPr>
      </w:pPr>
      <w:r>
        <w:rPr>
          <w:sz w:val="22"/>
          <w:szCs w:val="22"/>
          <w:lang w:eastAsia="en-US"/>
        </w:rPr>
        <w:t xml:space="preserve">la </w:t>
      </w:r>
      <w:r>
        <w:rPr>
          <w:sz w:val="22"/>
          <w:szCs w:val="22"/>
          <w:lang w:eastAsia="en-US"/>
        </w:rPr>
        <w:t>survenance</w:t>
      </w:r>
      <w:r>
        <w:rPr>
          <w:sz w:val="22"/>
          <w:szCs w:val="22"/>
          <w:lang w:eastAsia="en-US"/>
        </w:rPr>
        <w:t xml:space="preserve"> des conflits entre les éleveurs et les agriculteurs et avec l’arrivée de nouveaux exploitants  dans le cadre des aménagements hydroagricoles ;</w:t>
      </w:r>
    </w:p>
    <w:p>
      <w:pPr>
        <w:pStyle w:val="style0"/>
        <w:numPr>
          <w:ilvl w:val="0"/>
          <w:numId w:val="8"/>
        </w:numPr>
        <w:spacing w:after="160" w:lineRule="auto" w:line="259"/>
        <w:jc w:val="both"/>
        <w:rPr>
          <w:rFonts w:eastAsia="Calibri"/>
          <w:sz w:val="22"/>
          <w:szCs w:val="22"/>
          <w:lang w:eastAsia="en-US"/>
        </w:rPr>
      </w:pPr>
      <w:r>
        <w:rPr>
          <w:sz w:val="22"/>
          <w:szCs w:val="22"/>
          <w:lang w:eastAsia="en-US"/>
        </w:rPr>
        <w:t xml:space="preserve">la </w:t>
      </w:r>
      <w:r>
        <w:rPr>
          <w:sz w:val="22"/>
          <w:szCs w:val="22"/>
          <w:lang w:eastAsia="en-US"/>
        </w:rPr>
        <w:t>p</w:t>
      </w:r>
      <w:r>
        <w:rPr>
          <w:sz w:val="22"/>
          <w:szCs w:val="22"/>
          <w:lang w:eastAsia="en-US"/>
        </w:rPr>
        <w:t xml:space="preserve">ollution locale de l’air et des eaux/sols lors des travaux de </w:t>
      </w:r>
      <w:r>
        <w:rPr>
          <w:sz w:val="22"/>
          <w:szCs w:val="22"/>
          <w:lang w:eastAsia="en-US"/>
        </w:rPr>
        <w:t>réhabilitation</w:t>
      </w:r>
      <w:r>
        <w:rPr>
          <w:sz w:val="22"/>
          <w:szCs w:val="22"/>
          <w:lang w:eastAsia="en-US"/>
        </w:rPr>
        <w:t xml:space="preserve"> et/ou de constructions de nouvelles pistes rurales, etc.</w:t>
      </w:r>
    </w:p>
    <w:p>
      <w:pPr>
        <w:pStyle w:val="style0"/>
        <w:ind w:left="720"/>
        <w:jc w:val="both"/>
        <w:rPr>
          <w:rFonts w:eastAsia="Calibri"/>
          <w:sz w:val="23"/>
          <w:szCs w:val="23"/>
          <w:lang w:eastAsia="en-US"/>
        </w:rPr>
      </w:pP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Consultations </w:t>
      </w:r>
      <w:r>
        <w:rPr>
          <w:b/>
          <w:color w:val="000000"/>
          <w:sz w:val="23"/>
          <w:szCs w:val="23"/>
        </w:rPr>
        <w:t>des parties prenantes</w:t>
      </w:r>
      <w:r>
        <w:rPr>
          <w:b/>
          <w:color w:val="000000"/>
          <w:sz w:val="23"/>
          <w:szCs w:val="23"/>
        </w:rPr>
        <w:t xml:space="preserve"> </w:t>
      </w:r>
    </w:p>
    <w:p>
      <w:pPr>
        <w:pStyle w:val="style0"/>
        <w:tabs>
          <w:tab w:val="left" w:leader="none" w:pos="-720"/>
          <w:tab w:val="left" w:leader="none" w:pos="0"/>
        </w:tabs>
        <w:suppressAutoHyphens/>
        <w:spacing w:after="160" w:lineRule="auto" w:line="259"/>
        <w:jc w:val="both"/>
        <w:rPr>
          <w:rFonts w:eastAsia="Calibri"/>
          <w:sz w:val="22"/>
          <w:szCs w:val="22"/>
          <w:lang w:eastAsia="en-US"/>
        </w:rPr>
      </w:pPr>
      <w:r>
        <w:rPr>
          <w:rFonts w:eastAsia="Calibri"/>
          <w:sz w:val="22"/>
          <w:szCs w:val="22"/>
          <w:lang w:eastAsia="en-US"/>
        </w:rPr>
        <w:t>Le point de départ des consultations publiques a été l’atelier de cadrage à Ouagadougou tenue le 04 décembre 2018 avec les représentants des structures techniques (directions générales et centrales du MAAH, projets rattachés) impliquées dans la mise en œuvre du programme. Ensuite, les séances de consultation se sont poursuivies dans les zones riveraines des sites potentiels d’aménagement prévus par le PDCA du 07 au 12 janvier 2019 avec les parties prenantes (services techniques déconcentrés, services administratifs locaux, responsables des communes et villages bénéficiaires, organisations de producteurs, personnes potentiellement affectées par les sous-projets, etc.) aux dates et lieux suivants :</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site de Dourou (Kirsi/Passoré/Nord), 07 au 08 janvier 2019</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site de Douna/Niofila (Douna/Léraba/Cascades), 08 janvier 2019;</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site de Banzon (Banzon/Kénédougou/Cascades), 10 janvier 2019;</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sites de Dangoumana (Sono/Kossi/Boucle du Mouhoun) et de Bissan (Lanfiéra/Kossi/Boucle du Mouhoun), 12 janvier 2019.</w:t>
      </w:r>
    </w:p>
    <w:p>
      <w:pPr>
        <w:pStyle w:val="style0"/>
        <w:tabs>
          <w:tab w:val="left" w:leader="none" w:pos="-720"/>
          <w:tab w:val="left" w:leader="none" w:pos="0"/>
        </w:tabs>
        <w:suppressAutoHyphens/>
        <w:spacing w:after="160" w:lineRule="auto" w:line="259"/>
        <w:jc w:val="both"/>
        <w:rPr>
          <w:rFonts w:eastAsia="Calibri"/>
          <w:sz w:val="22"/>
          <w:szCs w:val="22"/>
          <w:lang w:eastAsia="en-US"/>
        </w:rPr>
      </w:pPr>
    </w:p>
    <w:p>
      <w:pPr>
        <w:pStyle w:val="style0"/>
        <w:tabs>
          <w:tab w:val="left" w:leader="none" w:pos="-720"/>
          <w:tab w:val="left" w:leader="none" w:pos="0"/>
        </w:tabs>
        <w:suppressAutoHyphens/>
        <w:spacing w:after="160" w:lineRule="auto" w:line="259"/>
        <w:jc w:val="both"/>
        <w:rPr>
          <w:rFonts w:eastAsia="Calibri"/>
          <w:sz w:val="22"/>
          <w:szCs w:val="22"/>
          <w:lang w:eastAsia="en-US"/>
        </w:rPr>
      </w:pPr>
      <w:r>
        <w:rPr>
          <w:rFonts w:eastAsia="Calibri"/>
          <w:sz w:val="22"/>
          <w:szCs w:val="22"/>
          <w:lang w:eastAsia="en-US"/>
        </w:rPr>
        <w:t>A l’issue de ces consultations</w:t>
      </w:r>
      <w:r>
        <w:rPr>
          <w:rFonts w:eastAsia="Calibri"/>
          <w:sz w:val="22"/>
          <w:szCs w:val="22"/>
          <w:lang w:eastAsia="en-US"/>
        </w:rPr>
        <w:t xml:space="preserve"> publiques</w:t>
      </w:r>
      <w:r>
        <w:rPr>
          <w:rFonts w:eastAsia="Calibri"/>
          <w:sz w:val="22"/>
          <w:szCs w:val="22"/>
          <w:lang w:eastAsia="en-US"/>
        </w:rPr>
        <w:t xml:space="preserve">, un certain nombre de mesures ont </w:t>
      </w:r>
      <w:r>
        <w:rPr>
          <w:rFonts w:eastAsia="Calibri"/>
          <w:sz w:val="22"/>
          <w:szCs w:val="22"/>
          <w:lang w:eastAsia="en-US"/>
        </w:rPr>
        <w:t xml:space="preserve">été </w:t>
      </w:r>
      <w:r>
        <w:rPr>
          <w:rFonts w:eastAsia="Calibri"/>
          <w:sz w:val="22"/>
          <w:szCs w:val="22"/>
          <w:lang w:eastAsia="en-US"/>
        </w:rPr>
        <w:t>proposées par les parties prenantes et ont été acceptées par le Gouvernement pour prise en compte dans le programme. Il s’agit des principales mesures suivantes</w:t>
      </w:r>
      <w:r>
        <w:rPr>
          <w:rFonts w:eastAsia="Calibri"/>
          <w:sz w:val="22"/>
          <w:szCs w:val="22"/>
          <w:lang w:eastAsia="en-US"/>
        </w:rPr>
        <w:t xml:space="preserve"> </w:t>
      </w:r>
      <w:r>
        <w:rPr>
          <w:rFonts w:eastAsia="Calibri"/>
          <w:sz w:val="22"/>
          <w:szCs w:val="22"/>
          <w:lang w:eastAsia="en-US"/>
        </w:rPr>
        <w:t>:</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procéder à l’indemnisation et compensation en cas d’expropriation des terres ;</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protéger les berges des cours d’eau exploités pour l’irrigation ;</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impliquer toutes les parties prenantes dans la mise en œuvre du programme ;</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immatriculer les terres afin de sécuriser la production ;</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 xml:space="preserve">engager les promoteurs </w:t>
      </w:r>
      <w:r>
        <w:rPr>
          <w:rFonts w:eastAsia="Calibri"/>
          <w:sz w:val="22"/>
          <w:szCs w:val="22"/>
          <w:lang w:eastAsia="en-US"/>
        </w:rPr>
        <w:t xml:space="preserve">privés </w:t>
      </w:r>
      <w:r>
        <w:rPr>
          <w:rFonts w:eastAsia="Calibri"/>
          <w:sz w:val="22"/>
          <w:szCs w:val="22"/>
          <w:lang w:eastAsia="en-US"/>
        </w:rPr>
        <w:t>au respect de la réglementation relative à l’utilisation rationnelle des pesticides et engrais chimiques pour une meilleure protection de l’environnement, etc.</w:t>
      </w:r>
    </w:p>
    <w:p>
      <w:pPr>
        <w:pStyle w:val="style0"/>
        <w:numPr>
          <w:ilvl w:val="0"/>
          <w:numId w:val="138"/>
        </w:numPr>
        <w:autoSpaceDE w:val="false"/>
        <w:autoSpaceDN w:val="false"/>
        <w:adjustRightInd w:val="false"/>
        <w:spacing w:after="160" w:lineRule="auto" w:line="259"/>
        <w:jc w:val="both"/>
        <w:rPr>
          <w:rFonts w:eastAsia="Calibri"/>
          <w:sz w:val="22"/>
          <w:szCs w:val="22"/>
          <w:lang w:eastAsia="en-US"/>
        </w:rPr>
      </w:pPr>
      <w:r>
        <w:rPr>
          <w:rFonts w:eastAsia="Calibri"/>
          <w:sz w:val="22"/>
          <w:szCs w:val="22"/>
          <w:lang w:eastAsia="en-US"/>
        </w:rPr>
        <w:t xml:space="preserve">renforcer les </w:t>
      </w:r>
      <w:r>
        <w:rPr>
          <w:rFonts w:eastAsia="Calibri"/>
          <w:sz w:val="22"/>
          <w:szCs w:val="22"/>
          <w:lang w:eastAsia="en-US"/>
        </w:rPr>
        <w:t>capacités</w:t>
      </w:r>
      <w:r>
        <w:rPr>
          <w:rFonts w:eastAsia="Calibri"/>
          <w:sz w:val="22"/>
          <w:szCs w:val="22"/>
          <w:lang w:eastAsia="en-US"/>
        </w:rPr>
        <w:t xml:space="preserve"> des producteurs et des agents des services </w:t>
      </w:r>
      <w:r>
        <w:rPr>
          <w:rFonts w:eastAsia="Calibri"/>
          <w:sz w:val="22"/>
          <w:szCs w:val="22"/>
          <w:lang w:eastAsia="en-US"/>
        </w:rPr>
        <w:t>techniques</w:t>
      </w:r>
      <w:r>
        <w:rPr>
          <w:rFonts w:eastAsia="Calibri"/>
          <w:sz w:val="22"/>
          <w:szCs w:val="22"/>
          <w:lang w:eastAsia="en-US"/>
        </w:rPr>
        <w:t xml:space="preserve"> déconcentrés (sensibilisation et formations sur l’utilisation des </w:t>
      </w:r>
      <w:r>
        <w:rPr>
          <w:rFonts w:eastAsia="Calibri"/>
          <w:sz w:val="22"/>
          <w:szCs w:val="22"/>
          <w:lang w:eastAsia="en-US"/>
        </w:rPr>
        <w:t>pesticides</w:t>
      </w:r>
      <w:r>
        <w:rPr>
          <w:rFonts w:eastAsia="Calibri"/>
          <w:sz w:val="22"/>
          <w:szCs w:val="22"/>
          <w:lang w:eastAsia="en-US"/>
        </w:rPr>
        <w:t xml:space="preserve"> et engrais chimiques).</w:t>
      </w:r>
    </w:p>
    <w:p>
      <w:pPr>
        <w:pStyle w:val="style0"/>
        <w:numPr>
          <w:ilvl w:val="0"/>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Plan Cadre de Gestion Environnementale et sociale </w:t>
      </w:r>
    </w:p>
    <w:p>
      <w:pPr>
        <w:pStyle w:val="style0"/>
        <w:autoSpaceDE w:val="false"/>
        <w:autoSpaceDN w:val="false"/>
        <w:adjustRightInd w:val="false"/>
        <w:spacing w:after="160" w:lineRule="auto" w:line="259"/>
        <w:jc w:val="both"/>
        <w:rPr>
          <w:color w:val="000000"/>
          <w:sz w:val="22"/>
          <w:szCs w:val="22"/>
        </w:rPr>
      </w:pPr>
      <w:r>
        <w:rPr>
          <w:color w:val="000000"/>
          <w:sz w:val="22"/>
          <w:szCs w:val="22"/>
        </w:rPr>
        <w:t xml:space="preserve">Le plan cadre de gestion environnementale et sociale comporte plusieurs actions et mesures concrètes pour opérationnaliser de manière durable le CGES sur le terrain. </w:t>
      </w: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Procédure de gestion environnementale et sociale des sous</w:t>
      </w:r>
      <w:r>
        <w:rPr>
          <w:b/>
          <w:color w:val="000000"/>
          <w:sz w:val="23"/>
          <w:szCs w:val="23"/>
        </w:rPr>
        <w:t>-</w:t>
      </w:r>
      <w:r>
        <w:rPr>
          <w:b/>
          <w:color w:val="000000"/>
          <w:sz w:val="23"/>
          <w:szCs w:val="23"/>
        </w:rPr>
        <w:t>projets</w:t>
      </w:r>
    </w:p>
    <w:p>
      <w:pPr>
        <w:pStyle w:val="style0"/>
        <w:autoSpaceDE w:val="false"/>
        <w:autoSpaceDN w:val="false"/>
        <w:adjustRightInd w:val="false"/>
        <w:spacing w:after="160" w:lineRule="auto" w:line="259"/>
        <w:jc w:val="both"/>
        <w:rPr>
          <w:color w:val="000000"/>
          <w:sz w:val="22"/>
          <w:szCs w:val="22"/>
        </w:rPr>
      </w:pPr>
      <w:r>
        <w:rPr>
          <w:color w:val="000000"/>
          <w:sz w:val="22"/>
          <w:szCs w:val="22"/>
        </w:rPr>
        <w:t xml:space="preserve">La procédure de gestion environnementale et sociale des activités du </w:t>
      </w:r>
      <w:r>
        <w:rPr>
          <w:color w:val="000000"/>
          <w:sz w:val="22"/>
          <w:szCs w:val="22"/>
        </w:rPr>
        <w:t>pro</w:t>
      </w:r>
      <w:r>
        <w:rPr>
          <w:color w:val="000000"/>
          <w:sz w:val="22"/>
          <w:szCs w:val="22"/>
        </w:rPr>
        <w:t>gramme</w:t>
      </w:r>
      <w:r>
        <w:rPr>
          <w:color w:val="000000"/>
          <w:sz w:val="22"/>
          <w:szCs w:val="22"/>
        </w:rPr>
        <w:t xml:space="preserve"> </w:t>
      </w:r>
      <w:r>
        <w:rPr>
          <w:color w:val="000000"/>
          <w:sz w:val="22"/>
          <w:szCs w:val="22"/>
        </w:rPr>
        <w:t>est décrite en huit (8) étapes allant du screening au suivi-rapportage des PGES des sous-projets (selon le type de projet et le risque) y compris de façon spécifique des critères et ce, conformément à la procédure administrative nationale et celles de la Banque</w:t>
      </w:r>
      <w:r>
        <w:rPr>
          <w:color w:val="000000"/>
          <w:sz w:val="22"/>
          <w:szCs w:val="22"/>
        </w:rPr>
        <w:t xml:space="preserve"> mondiale.</w:t>
      </w: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Renforcement des capacités spécifiques </w:t>
      </w:r>
    </w:p>
    <w:p>
      <w:pPr>
        <w:pStyle w:val="style0"/>
        <w:autoSpaceDE w:val="false"/>
        <w:autoSpaceDN w:val="false"/>
        <w:adjustRightInd w:val="false"/>
        <w:spacing w:after="160" w:lineRule="auto" w:line="259"/>
        <w:jc w:val="both"/>
        <w:rPr>
          <w:color w:val="000000"/>
          <w:sz w:val="22"/>
          <w:szCs w:val="22"/>
        </w:rPr>
      </w:pPr>
      <w:r>
        <w:rPr>
          <w:color w:val="000000"/>
          <w:sz w:val="22"/>
          <w:szCs w:val="22"/>
        </w:rPr>
        <w:t>Une série de mesures de renforcement des capacités institutionnelles et individuelles a été proposée. Ces mesures prévoient :</w:t>
      </w:r>
    </w:p>
    <w:p>
      <w:pPr>
        <w:pStyle w:val="style0"/>
        <w:numPr>
          <w:ilvl w:val="0"/>
          <w:numId w:val="138"/>
        </w:numPr>
        <w:autoSpaceDE w:val="false"/>
        <w:autoSpaceDN w:val="false"/>
        <w:adjustRightInd w:val="false"/>
        <w:spacing w:after="160" w:lineRule="auto" w:line="259"/>
        <w:jc w:val="both"/>
        <w:contextualSpacing/>
        <w:rPr>
          <w:color w:val="000000"/>
          <w:sz w:val="22"/>
          <w:szCs w:val="22"/>
          <w:lang w:val="fr-CA"/>
        </w:rPr>
      </w:pPr>
      <w:r>
        <w:rPr>
          <w:color w:val="000000"/>
          <w:sz w:val="22"/>
          <w:szCs w:val="22"/>
        </w:rPr>
        <w:t>le recrutement d’un expert en sauvegarde environnementale et un autre en sauvegarde sociale au compte du programme ;</w:t>
      </w:r>
    </w:p>
    <w:p>
      <w:pPr>
        <w:pStyle w:val="style0"/>
        <w:numPr>
          <w:ilvl w:val="0"/>
          <w:numId w:val="138"/>
        </w:numPr>
        <w:jc w:val="both"/>
        <w:contextualSpacing/>
        <w:rPr>
          <w:color w:val="000000"/>
          <w:sz w:val="22"/>
          <w:szCs w:val="22"/>
        </w:rPr>
      </w:pPr>
      <w:r>
        <w:rPr>
          <w:color w:val="000000"/>
          <w:sz w:val="22"/>
          <w:szCs w:val="22"/>
        </w:rPr>
        <w:t>l’élaboration d’un manuel de bonnes pratiques de production et de gestion de l’eau ;</w:t>
      </w:r>
    </w:p>
    <w:p>
      <w:pPr>
        <w:pStyle w:val="style0"/>
        <w:numPr>
          <w:ilvl w:val="0"/>
          <w:numId w:val="138"/>
        </w:numPr>
        <w:jc w:val="both"/>
        <w:contextualSpacing/>
        <w:rPr>
          <w:color w:val="000000"/>
          <w:sz w:val="22"/>
          <w:szCs w:val="22"/>
        </w:rPr>
      </w:pPr>
      <w:r>
        <w:rPr>
          <w:sz w:val="22"/>
          <w:szCs w:val="22"/>
          <w:lang w:eastAsia="en-US"/>
        </w:rPr>
        <w:t>la mise en place d’un Code de bonne conduite des entreprises de travaux et sous-traitants;</w:t>
      </w:r>
    </w:p>
    <w:p>
      <w:pPr>
        <w:pStyle w:val="style0"/>
        <w:numPr>
          <w:ilvl w:val="0"/>
          <w:numId w:val="138"/>
        </w:numPr>
        <w:jc w:val="both"/>
        <w:contextualSpacing/>
        <w:rPr>
          <w:color w:val="000000"/>
          <w:sz w:val="22"/>
          <w:szCs w:val="22"/>
        </w:rPr>
      </w:pPr>
      <w:r>
        <w:rPr>
          <w:color w:val="000000"/>
          <w:sz w:val="22"/>
          <w:szCs w:val="22"/>
        </w:rPr>
        <w:t>la formation des membres de l’UNC et des URC, des points focaux des directions générales impliquées ainsi que des agents des Services Techniques régionaux et locaux, sur les procédures et techniques de gestion environnementale et sociale des sous-projets ;</w:t>
      </w:r>
    </w:p>
    <w:p>
      <w:pPr>
        <w:pStyle w:val="style0"/>
        <w:numPr>
          <w:ilvl w:val="0"/>
          <w:numId w:val="138"/>
        </w:numPr>
        <w:jc w:val="both"/>
        <w:contextualSpacing/>
        <w:rPr>
          <w:color w:val="000000"/>
          <w:sz w:val="22"/>
          <w:szCs w:val="22"/>
        </w:rPr>
      </w:pPr>
      <w:r>
        <w:rPr>
          <w:color w:val="000000"/>
          <w:sz w:val="22"/>
          <w:szCs w:val="22"/>
        </w:rPr>
        <w:t>des formations sur l’utilisation et la gestion sécurisée des pesticides, le suivi environnemental et social, etc.</w:t>
      </w:r>
    </w:p>
    <w:p>
      <w:pPr>
        <w:pStyle w:val="style0"/>
        <w:autoSpaceDE w:val="false"/>
        <w:autoSpaceDN w:val="false"/>
        <w:adjustRightInd w:val="false"/>
        <w:spacing w:after="160" w:lineRule="auto" w:line="259"/>
        <w:jc w:val="both"/>
        <w:rPr>
          <w:color w:val="000000"/>
          <w:sz w:val="23"/>
          <w:szCs w:val="23"/>
          <w:lang w:val="fr-CA"/>
        </w:rPr>
      </w:pP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Mécanisme de gestion des plaintes </w:t>
      </w:r>
    </w:p>
    <w:p>
      <w:pPr>
        <w:pStyle w:val="style0"/>
        <w:jc w:val="both"/>
        <w:rPr>
          <w:sz w:val="22"/>
          <w:szCs w:val="22"/>
          <w:lang w:eastAsia="en-US"/>
        </w:rPr>
      </w:pPr>
      <w:r>
        <w:rPr>
          <w:sz w:val="22"/>
          <w:szCs w:val="22"/>
          <w:lang w:eastAsia="en-US"/>
        </w:rPr>
        <w:t>Plusieurs types de plaintes peuvent apparaître dans le cadre de la mise en œuvre du programme :</w:t>
      </w:r>
    </w:p>
    <w:p>
      <w:pPr>
        <w:pStyle w:val="style0"/>
        <w:numPr>
          <w:ilvl w:val="0"/>
          <w:numId w:val="101"/>
        </w:numPr>
        <w:spacing w:after="200" w:lineRule="auto" w:line="276"/>
        <w:jc w:val="both"/>
        <w:contextualSpacing/>
        <w:rPr>
          <w:sz w:val="22"/>
          <w:szCs w:val="22"/>
          <w:lang w:eastAsia="en-US"/>
        </w:rPr>
      </w:pPr>
      <w:r>
        <w:rPr>
          <w:sz w:val="22"/>
          <w:szCs w:val="22"/>
          <w:lang w:eastAsia="en-US"/>
        </w:rPr>
        <w:t>les incidents liés aux travaux (pollutions des eaux, poussières &amp; fumées, accidents, nuisances sonores, etc.) ;</w:t>
      </w:r>
    </w:p>
    <w:p>
      <w:pPr>
        <w:pStyle w:val="style0"/>
        <w:numPr>
          <w:ilvl w:val="0"/>
          <w:numId w:val="101"/>
        </w:numPr>
        <w:spacing w:after="200" w:lineRule="auto" w:line="276"/>
        <w:jc w:val="both"/>
        <w:contextualSpacing/>
        <w:rPr>
          <w:sz w:val="22"/>
          <w:szCs w:val="22"/>
          <w:lang w:eastAsia="en-US"/>
        </w:rPr>
      </w:pPr>
      <w:r>
        <w:rPr>
          <w:sz w:val="22"/>
          <w:szCs w:val="22"/>
          <w:lang w:eastAsia="en-US"/>
        </w:rPr>
        <w:t>les doléances soumises par les populations riveraines ;</w:t>
      </w:r>
    </w:p>
    <w:p>
      <w:pPr>
        <w:pStyle w:val="style0"/>
        <w:numPr>
          <w:ilvl w:val="0"/>
          <w:numId w:val="101"/>
        </w:numPr>
        <w:spacing w:after="200" w:lineRule="auto" w:line="276"/>
        <w:jc w:val="both"/>
        <w:contextualSpacing/>
        <w:rPr>
          <w:sz w:val="22"/>
          <w:szCs w:val="22"/>
          <w:lang w:eastAsia="en-US"/>
        </w:rPr>
      </w:pPr>
      <w:r>
        <w:rPr>
          <w:sz w:val="22"/>
          <w:szCs w:val="22"/>
          <w:lang w:val="fr-CA" w:eastAsia="en-US"/>
        </w:rPr>
        <w:t xml:space="preserve">les requêtes ou demandes de clarification sur les sous- projets; </w:t>
      </w:r>
    </w:p>
    <w:p>
      <w:pPr>
        <w:pStyle w:val="style0"/>
        <w:numPr>
          <w:ilvl w:val="0"/>
          <w:numId w:val="101"/>
        </w:numPr>
        <w:spacing w:after="200" w:lineRule="auto" w:line="276"/>
        <w:jc w:val="both"/>
        <w:contextualSpacing/>
        <w:rPr>
          <w:sz w:val="22"/>
          <w:szCs w:val="22"/>
          <w:lang w:eastAsia="en-US"/>
        </w:rPr>
      </w:pPr>
      <w:r>
        <w:rPr>
          <w:sz w:val="22"/>
          <w:szCs w:val="22"/>
          <w:lang w:eastAsia="en-US"/>
        </w:rPr>
        <w:t>les suggestions et les dénonciations.</w:t>
      </w:r>
    </w:p>
    <w:p>
      <w:pPr>
        <w:pStyle w:val="style0"/>
        <w:spacing w:after="160" w:lineRule="auto" w:line="259"/>
        <w:jc w:val="both"/>
        <w:rPr>
          <w:rFonts w:eastAsia="Calibri"/>
          <w:sz w:val="22"/>
          <w:szCs w:val="22"/>
          <w:lang w:eastAsia="en-US"/>
        </w:rPr>
      </w:pPr>
    </w:p>
    <w:p>
      <w:pPr>
        <w:pStyle w:val="style0"/>
        <w:spacing w:after="160" w:lineRule="auto" w:line="259"/>
        <w:jc w:val="both"/>
        <w:rPr>
          <w:sz w:val="22"/>
          <w:szCs w:val="22"/>
        </w:rPr>
      </w:pPr>
      <w:r>
        <w:rPr>
          <w:rFonts w:eastAsia="Calibri"/>
          <w:sz w:val="22"/>
          <w:szCs w:val="22"/>
          <w:lang w:eastAsia="en-US"/>
        </w:rPr>
        <w:t>Pour apporter des solutions, un mécanisme de gestion des plaintes (MGP) a été proposé</w:t>
      </w:r>
      <w:r>
        <w:rPr>
          <w:sz w:val="22"/>
          <w:szCs w:val="22"/>
        </w:rPr>
        <w:t xml:space="preserve"> dans le cadre du présent CGES. Il prend en compte le cadre juridique national en matière de gestion des litiges fonciers et l’OP/BP 4.01 de la Banque mondiale. Il énonce une série de dispositions qui sont plus détaillées dans le Cadre politique de réinstallation, document élaboré séparément dans le cadre du programme.</w:t>
      </w: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Indicateurs clés  de mise en œuvre du CGES </w:t>
      </w:r>
    </w:p>
    <w:p>
      <w:pPr>
        <w:pStyle w:val="style0"/>
        <w:jc w:val="both"/>
        <w:rPr>
          <w:sz w:val="22"/>
          <w:szCs w:val="22"/>
          <w:lang w:eastAsia="en-US"/>
        </w:rPr>
      </w:pPr>
      <w:r>
        <w:rPr>
          <w:sz w:val="22"/>
          <w:szCs w:val="22"/>
          <w:lang w:eastAsia="en-US"/>
        </w:rPr>
        <w:t>Pour le suivi de la mise en œuvre du CGES, deux types d’indicateurs ont été définis : i) les indicateurs stratégiques à suivre par le Comité de revue du programme.</w:t>
      </w:r>
    </w:p>
    <w:p>
      <w:pPr>
        <w:pStyle w:val="style0"/>
        <w:jc w:val="both"/>
        <w:rPr>
          <w:sz w:val="22"/>
          <w:szCs w:val="22"/>
          <w:lang w:eastAsia="en-US"/>
        </w:rPr>
      </w:pPr>
    </w:p>
    <w:p>
      <w:pPr>
        <w:pStyle w:val="style0"/>
        <w:jc w:val="both"/>
        <w:rPr>
          <w:sz w:val="22"/>
          <w:szCs w:val="22"/>
          <w:lang w:eastAsia="en-US"/>
        </w:rPr>
      </w:pPr>
      <w:r>
        <w:rPr>
          <w:sz w:val="22"/>
          <w:szCs w:val="22"/>
          <w:lang w:eastAsia="en-US"/>
        </w:rPr>
        <w:t>Les indicateurs stratégiques à suivre par le Comité de revue du Programme sont les suivants:</w:t>
      </w:r>
    </w:p>
    <w:p>
      <w:pPr>
        <w:pStyle w:val="style0"/>
        <w:numPr>
          <w:ilvl w:val="0"/>
          <w:numId w:val="94"/>
        </w:numPr>
        <w:tabs>
          <w:tab w:val="left" w:leader="none" w:pos="720"/>
        </w:tabs>
        <w:autoSpaceDE w:val="false"/>
        <w:autoSpaceDN w:val="false"/>
        <w:adjustRightInd w:val="false"/>
        <w:ind w:left="720"/>
        <w:jc w:val="both"/>
        <w:rPr>
          <w:color w:val="000000"/>
          <w:sz w:val="22"/>
          <w:szCs w:val="22"/>
          <w:lang w:eastAsia="en-US"/>
        </w:rPr>
      </w:pPr>
      <w:r>
        <w:rPr>
          <w:color w:val="000000"/>
          <w:sz w:val="22"/>
          <w:szCs w:val="22"/>
          <w:lang w:eastAsia="en-US"/>
        </w:rPr>
        <w:t>le recrutement des spécialistes en sauvegardes environnementales et sociales au sein de l’UNC ;</w:t>
      </w:r>
    </w:p>
    <w:p>
      <w:pPr>
        <w:pStyle w:val="style0"/>
        <w:numPr>
          <w:ilvl w:val="0"/>
          <w:numId w:val="94"/>
        </w:numPr>
        <w:tabs>
          <w:tab w:val="left" w:leader="none" w:pos="720"/>
        </w:tabs>
        <w:autoSpaceDE w:val="false"/>
        <w:autoSpaceDN w:val="false"/>
        <w:adjustRightInd w:val="false"/>
        <w:ind w:left="720"/>
        <w:jc w:val="both"/>
        <w:rPr>
          <w:color w:val="000000"/>
          <w:sz w:val="22"/>
          <w:szCs w:val="22"/>
          <w:lang w:eastAsia="en-US"/>
        </w:rPr>
      </w:pPr>
      <w:r>
        <w:rPr>
          <w:color w:val="000000"/>
          <w:sz w:val="22"/>
          <w:szCs w:val="22"/>
          <w:lang w:eastAsia="en-US"/>
        </w:rPr>
        <w:t>l’effectivité de la sélection environnementale et sociale et de la réalisation des EIES/NIES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la mise en œuvre des activités de formation/sensibilisation ;</w:t>
      </w:r>
    </w:p>
    <w:p>
      <w:pPr>
        <w:pStyle w:val="style0"/>
        <w:numPr>
          <w:ilvl w:val="0"/>
          <w:numId w:val="94"/>
        </w:numPr>
        <w:tabs>
          <w:tab w:val="left" w:leader="none" w:pos="720"/>
        </w:tabs>
        <w:ind w:left="720"/>
        <w:jc w:val="both"/>
        <w:rPr>
          <w:sz w:val="22"/>
          <w:szCs w:val="22"/>
          <w:lang w:eastAsia="en-US"/>
        </w:rPr>
      </w:pPr>
      <w:r>
        <w:rPr>
          <w:sz w:val="22"/>
          <w:szCs w:val="22"/>
          <w:lang w:eastAsia="en-US"/>
        </w:rPr>
        <w:t>l’effectivité de la coordination et du suivi environnemental et social par le BUNEE.</w:t>
      </w:r>
    </w:p>
    <w:p>
      <w:pPr>
        <w:pStyle w:val="style0"/>
        <w:spacing w:after="160" w:lineRule="auto" w:line="259"/>
        <w:jc w:val="both"/>
        <w:rPr>
          <w:sz w:val="22"/>
          <w:szCs w:val="22"/>
          <w:lang w:eastAsia="en-US"/>
        </w:rPr>
      </w:pPr>
    </w:p>
    <w:p>
      <w:pPr>
        <w:pStyle w:val="style0"/>
        <w:spacing w:after="160" w:lineRule="auto" w:line="259"/>
        <w:jc w:val="both"/>
        <w:rPr>
          <w:rFonts w:eastAsia="Calibri"/>
          <w:sz w:val="22"/>
          <w:szCs w:val="22"/>
          <w:lang w:eastAsia="en-US"/>
        </w:rPr>
      </w:pPr>
      <w:r>
        <w:rPr>
          <w:sz w:val="22"/>
          <w:szCs w:val="22"/>
          <w:lang w:eastAsia="en-US"/>
        </w:rPr>
        <w:t>D’autres i</w:t>
      </w:r>
      <w:r>
        <w:rPr>
          <w:rFonts w:eastAsia="Calibri"/>
          <w:sz w:val="22"/>
          <w:szCs w:val="22"/>
          <w:lang w:eastAsia="en-US"/>
        </w:rPr>
        <w:t xml:space="preserve">ndicateurs seront suivis par l’UCP : </w:t>
      </w:r>
    </w:p>
    <w:p>
      <w:pPr>
        <w:pStyle w:val="style0"/>
        <w:numPr>
          <w:ilvl w:val="0"/>
          <w:numId w:val="120"/>
        </w:numPr>
        <w:autoSpaceDE w:val="false"/>
        <w:autoSpaceDN w:val="false"/>
        <w:adjustRightInd w:val="false"/>
        <w:jc w:val="both"/>
        <w:rPr>
          <w:sz w:val="22"/>
          <w:szCs w:val="22"/>
          <w:lang w:eastAsia="en-US"/>
        </w:rPr>
      </w:pPr>
      <w:r>
        <w:rPr>
          <w:sz w:val="22"/>
          <w:szCs w:val="22"/>
          <w:lang w:eastAsia="en-US"/>
        </w:rPr>
        <w:t>n</w:t>
      </w:r>
      <w:r>
        <w:rPr>
          <w:sz w:val="22"/>
          <w:szCs w:val="22"/>
          <w:lang w:eastAsia="en-US"/>
        </w:rPr>
        <w:t xml:space="preserve">ombre </w:t>
      </w:r>
      <w:r>
        <w:rPr>
          <w:sz w:val="22"/>
          <w:szCs w:val="22"/>
          <w:lang w:eastAsia="en-US"/>
        </w:rPr>
        <w:t>de sous-projets passés par une sélection environnementale et sociale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w:t>
      </w:r>
      <w:r>
        <w:rPr>
          <w:sz w:val="22"/>
          <w:szCs w:val="22"/>
          <w:lang w:eastAsia="en-US"/>
        </w:rPr>
        <w:t xml:space="preserve">ombre </w:t>
      </w:r>
      <w:r>
        <w:rPr>
          <w:sz w:val="22"/>
          <w:szCs w:val="22"/>
          <w:lang w:eastAsia="en-US"/>
        </w:rPr>
        <w:t xml:space="preserve">de sous-projets ayant nécessité la conduite d’une EIES </w:t>
      </w:r>
      <w:r>
        <w:rPr>
          <w:sz w:val="22"/>
          <w:szCs w:val="22"/>
          <w:lang w:eastAsia="en-US"/>
        </w:rPr>
        <w:t xml:space="preserve">ou d’une NIES </w:t>
      </w:r>
      <w:r>
        <w:rPr>
          <w:sz w:val="22"/>
          <w:szCs w:val="22"/>
          <w:lang w:eastAsia="en-US"/>
        </w:rPr>
        <w:t xml:space="preserve">avec PGES mis en œuvre ;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bCs/>
          <w:sz w:val="22"/>
          <w:szCs w:val="22"/>
        </w:rPr>
        <w:t>nombre de sous-</w:t>
      </w:r>
      <w:r>
        <w:rPr>
          <w:bCs/>
          <w:sz w:val="22"/>
          <w:szCs w:val="22"/>
        </w:rPr>
        <w:t>projets ayant fait l'objet de suivi en</w:t>
      </w:r>
      <w:r>
        <w:rPr>
          <w:bCs/>
          <w:sz w:val="22"/>
          <w:szCs w:val="22"/>
        </w:rPr>
        <w:t>vironnemental et de « reporting</w:t>
      </w:r>
      <w:r>
        <w:rPr>
          <w:bCs/>
          <w:sz w:val="22"/>
          <w:szCs w:val="22"/>
        </w:rPr>
        <w:t xml:space="preserve"> »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nombre de campagnes de sensibilisations réalisées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w:t>
      </w:r>
      <w:r>
        <w:rPr>
          <w:sz w:val="22"/>
          <w:szCs w:val="22"/>
          <w:lang w:eastAsia="en-US"/>
        </w:rPr>
        <w:t xml:space="preserve">ombre </w:t>
      </w:r>
      <w:r>
        <w:rPr>
          <w:sz w:val="22"/>
          <w:szCs w:val="22"/>
          <w:lang w:eastAsia="en-US"/>
        </w:rPr>
        <w:t>d’arbres plantés après l’implantation des infrastructures (parcelle agricole irriguée, unité de conservation et de transformation, etc.)</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w:t>
      </w:r>
      <w:r>
        <w:rPr>
          <w:sz w:val="22"/>
          <w:szCs w:val="22"/>
          <w:lang w:eastAsia="en-US"/>
        </w:rPr>
        <w:t xml:space="preserve">ombre </w:t>
      </w:r>
      <w:r>
        <w:rPr>
          <w:sz w:val="22"/>
          <w:szCs w:val="22"/>
          <w:lang w:eastAsia="en-US"/>
        </w:rPr>
        <w:t>de séances de formation/sensibilisation organisées au profit des acteurs</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w:t>
      </w:r>
      <w:r>
        <w:rPr>
          <w:sz w:val="22"/>
          <w:szCs w:val="22"/>
          <w:lang w:eastAsia="en-US"/>
        </w:rPr>
        <w:t xml:space="preserve">ombre </w:t>
      </w:r>
      <w:r>
        <w:rPr>
          <w:sz w:val="22"/>
          <w:szCs w:val="22"/>
          <w:lang w:eastAsia="en-US"/>
        </w:rPr>
        <w:t>et type de réclamations enregistrées et traitées.</w:t>
      </w:r>
    </w:p>
    <w:p>
      <w:pPr>
        <w:pStyle w:val="style0"/>
        <w:autoSpaceDE w:val="false"/>
        <w:autoSpaceDN w:val="false"/>
        <w:adjustRightInd w:val="false"/>
        <w:ind w:left="720"/>
        <w:jc w:val="both"/>
        <w:rPr>
          <w:sz w:val="22"/>
          <w:szCs w:val="22"/>
          <w:lang w:eastAsia="en-US"/>
        </w:rPr>
      </w:pPr>
    </w:p>
    <w:p>
      <w:pPr>
        <w:pStyle w:val="style0"/>
        <w:autoSpaceDE w:val="false"/>
        <w:autoSpaceDN w:val="false"/>
        <w:adjustRightInd w:val="false"/>
        <w:spacing w:after="160" w:lineRule="auto" w:line="259"/>
        <w:ind w:left="720"/>
        <w:jc w:val="both"/>
        <w:rPr>
          <w:sz w:val="23"/>
          <w:szCs w:val="23"/>
          <w:lang w:eastAsia="en-US"/>
        </w:rPr>
      </w:pP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Arrangement institutionnel clair pour l'exécution de la procédure de gestion environnementale et sociale des sous-projets </w:t>
      </w:r>
    </w:p>
    <w:p>
      <w:pPr>
        <w:pStyle w:val="style0"/>
        <w:autoSpaceDE w:val="false"/>
        <w:autoSpaceDN w:val="false"/>
        <w:adjustRightInd w:val="false"/>
        <w:spacing w:after="160" w:lineRule="auto" w:line="259"/>
        <w:jc w:val="both"/>
        <w:rPr>
          <w:bCs/>
          <w:iCs/>
          <w:color w:val="000000"/>
          <w:sz w:val="22"/>
          <w:szCs w:val="22"/>
        </w:rPr>
      </w:pPr>
      <w:r>
        <w:rPr>
          <w:bCs/>
          <w:iCs/>
          <w:color w:val="000000"/>
          <w:sz w:val="22"/>
          <w:szCs w:val="22"/>
        </w:rPr>
        <w:t>Pour la mise en œuvre du CGES, des arrangements institutionnels seront requis. Le cadre organisationnel de mise en œuvre des mesures du CGES comprend entre autres :</w:t>
      </w:r>
    </w:p>
    <w:p>
      <w:pPr>
        <w:pStyle w:val="style0"/>
        <w:numPr>
          <w:ilvl w:val="0"/>
          <w:numId w:val="122"/>
        </w:numPr>
        <w:jc w:val="both"/>
        <w:rPr>
          <w:sz w:val="22"/>
          <w:szCs w:val="22"/>
        </w:rPr>
      </w:pPr>
      <w:r>
        <w:rPr>
          <w:b/>
          <w:sz w:val="22"/>
          <w:szCs w:val="22"/>
        </w:rPr>
        <w:t>le Comité de revue du Programme</w:t>
      </w:r>
      <w:r>
        <w:rPr>
          <w:sz w:val="22"/>
          <w:szCs w:val="22"/>
        </w:rPr>
        <w:t xml:space="preserve"> pour une </w:t>
      </w:r>
      <w:r>
        <w:rPr>
          <w:sz w:val="22"/>
          <w:szCs w:val="22"/>
        </w:rPr>
        <w:t>coordination d’ordre stratégique : Le PDCA relevant du programme budgétaire « Aménagements hydroagricoles et irrigation » du MAAH, un arrêté ministériel devra être pris pour préciser sa responsabilité et ses missions ainsi que son mode de fonctionnement. Il devra particulièrement veiller à l’exécution adéquate du Programme à travers le respect strict des orientations stratégiques et programmes d’activités opérationnelles, la cohérence entre les objectifs gouvernementaux et des partenaires avec ceux poursuivis par le programme. Il approuve les plans de travail et les budgets annuels/semestriels et veille également à la bonne gouvernance générale du Programme. Il devra aussi s</w:t>
      </w:r>
      <w:r>
        <w:rPr>
          <w:sz w:val="22"/>
          <w:szCs w:val="22"/>
        </w:rPr>
        <w:t>’assurer que tous les acteurs concernés sont bien impliqués et ont des rôles à jouer) ;</w:t>
      </w:r>
      <w:r>
        <w:rPr>
          <w:color w:val="000000"/>
          <w:sz w:val="22"/>
          <w:szCs w:val="22"/>
        </w:rPr>
        <w:t xml:space="preserve"> les structures membres du comité effectueront des missions de supervision ; </w:t>
      </w:r>
    </w:p>
    <w:p>
      <w:pPr>
        <w:pStyle w:val="style0"/>
        <w:numPr>
          <w:ilvl w:val="0"/>
          <w:numId w:val="122"/>
        </w:numPr>
        <w:jc w:val="both"/>
        <w:rPr>
          <w:sz w:val="22"/>
          <w:szCs w:val="22"/>
        </w:rPr>
      </w:pPr>
      <w:r>
        <w:rPr>
          <w:b/>
          <w:sz w:val="22"/>
          <w:szCs w:val="22"/>
        </w:rPr>
        <w:t>la Coordination du Programme</w:t>
      </w:r>
      <w:r>
        <w:rPr>
          <w:b/>
          <w:sz w:val="22"/>
          <w:szCs w:val="22"/>
        </w:rPr>
        <w:t>(UNC)</w:t>
      </w:r>
      <w:r>
        <w:rPr>
          <w:sz w:val="22"/>
          <w:szCs w:val="22"/>
        </w:rPr>
        <w:t xml:space="preserve"> </w:t>
      </w:r>
      <w:r>
        <w:rPr>
          <w:sz w:val="22"/>
          <w:szCs w:val="22"/>
        </w:rPr>
        <w:t>à travers s</w:t>
      </w:r>
      <w:r>
        <w:rPr>
          <w:sz w:val="22"/>
          <w:szCs w:val="22"/>
        </w:rPr>
        <w:t>es spécialistes en sauvegardes environnementale et sociale</w:t>
      </w:r>
      <w:r>
        <w:rPr>
          <w:sz w:val="22"/>
          <w:szCs w:val="22"/>
        </w:rPr>
        <w:t>,</w:t>
      </w:r>
      <w:r>
        <w:rPr>
          <w:sz w:val="22"/>
          <w:szCs w:val="22"/>
        </w:rPr>
        <w:t xml:space="preserve"> jouer</w:t>
      </w:r>
      <w:r>
        <w:rPr>
          <w:sz w:val="22"/>
          <w:szCs w:val="22"/>
        </w:rPr>
        <w:t>a</w:t>
      </w:r>
      <w:r>
        <w:rPr>
          <w:sz w:val="22"/>
          <w:szCs w:val="22"/>
        </w:rPr>
        <w:t xml:space="preserve"> un rôle d’interface avec le BUNEE  et veiller</w:t>
      </w:r>
      <w:r>
        <w:rPr>
          <w:sz w:val="22"/>
          <w:szCs w:val="22"/>
        </w:rPr>
        <w:t>a</w:t>
      </w:r>
      <w:r>
        <w:rPr>
          <w:sz w:val="22"/>
          <w:szCs w:val="22"/>
        </w:rPr>
        <w:t xml:space="preserve"> à la mise en œuvre de la sélection environnementale et sociale, l’approbation, la mise en œuvre et le suivi </w:t>
      </w:r>
      <w:r>
        <w:rPr>
          <w:sz w:val="22"/>
          <w:szCs w:val="22"/>
        </w:rPr>
        <w:t xml:space="preserve">environnemental et social </w:t>
      </w:r>
      <w:r>
        <w:rPr>
          <w:sz w:val="22"/>
          <w:szCs w:val="22"/>
        </w:rPr>
        <w:t>des activités retenues dans le cadre du Programme</w:t>
      </w:r>
      <w:r>
        <w:rPr>
          <w:sz w:val="22"/>
          <w:szCs w:val="22"/>
        </w:rPr>
        <w:t xml:space="preserve">. Par ailleurs, elle </w:t>
      </w:r>
      <w:r>
        <w:rPr>
          <w:sz w:val="22"/>
          <w:szCs w:val="22"/>
        </w:rPr>
        <w:t>va également recruter des ONG pour la sensibilisation, la mobilisation et l’accompagnement social. Elle veillera à la formation des autres acteurs en gestion envi</w:t>
      </w:r>
      <w:r>
        <w:rPr>
          <w:sz w:val="22"/>
          <w:szCs w:val="22"/>
        </w:rPr>
        <w:t xml:space="preserve">ronnementale et sociale ; </w:t>
      </w:r>
      <w:r>
        <w:rPr>
          <w:sz w:val="22"/>
          <w:szCs w:val="22"/>
        </w:rPr>
        <w:t>et</w:t>
      </w:r>
      <w:r>
        <w:rPr>
          <w:sz w:val="22"/>
          <w:szCs w:val="22"/>
        </w:rPr>
        <w:t xml:space="preserve"> assurera la diffusion du CGES</w:t>
      </w:r>
      <w:r>
        <w:rPr>
          <w:sz w:val="22"/>
          <w:szCs w:val="22"/>
        </w:rPr>
        <w:t>, du CPR, du PGP</w:t>
      </w:r>
      <w:r>
        <w:rPr>
          <w:sz w:val="22"/>
          <w:szCs w:val="22"/>
        </w:rPr>
        <w:t xml:space="preserve"> et des éventuelles évaluations environnementales</w:t>
      </w:r>
      <w:r>
        <w:rPr>
          <w:sz w:val="22"/>
          <w:szCs w:val="22"/>
        </w:rPr>
        <w:t xml:space="preserve"> et sociales</w:t>
      </w:r>
      <w:r>
        <w:rPr>
          <w:sz w:val="22"/>
          <w:szCs w:val="22"/>
        </w:rPr>
        <w:t xml:space="preserve"> spécifiques</w:t>
      </w:r>
      <w:r>
        <w:rPr>
          <w:sz w:val="22"/>
          <w:szCs w:val="22"/>
        </w:rPr>
        <w:t xml:space="preserve"> </w:t>
      </w:r>
      <w:r>
        <w:rPr>
          <w:sz w:val="22"/>
          <w:szCs w:val="22"/>
        </w:rPr>
        <w:t>(EIES, NIES,</w:t>
      </w:r>
      <w:r>
        <w:rPr>
          <w:sz w:val="22"/>
          <w:szCs w:val="22"/>
        </w:rPr>
        <w:t xml:space="preserve"> </w:t>
      </w:r>
      <w:r>
        <w:rPr>
          <w:sz w:val="22"/>
          <w:szCs w:val="22"/>
        </w:rPr>
        <w:t>PAR, etc.)</w:t>
      </w:r>
      <w:r>
        <w:rPr>
          <w:sz w:val="22"/>
          <w:szCs w:val="22"/>
        </w:rPr>
        <w:t xml:space="preserve"> et établira des protocoles d’accord avec le BUNEE, les DRAAH, les DREEVCC et les DRRAH, pour la surveillance et le suivi.</w:t>
      </w:r>
    </w:p>
    <w:p>
      <w:pPr>
        <w:pStyle w:val="style0"/>
        <w:numPr>
          <w:ilvl w:val="0"/>
          <w:numId w:val="122"/>
        </w:numPr>
        <w:jc w:val="both"/>
        <w:rPr>
          <w:color w:val="000000"/>
          <w:sz w:val="22"/>
          <w:szCs w:val="22"/>
        </w:rPr>
      </w:pPr>
      <w:r>
        <w:rPr>
          <w:b/>
          <w:color w:val="000000"/>
          <w:sz w:val="22"/>
          <w:szCs w:val="22"/>
        </w:rPr>
        <w:t>le BUNEE</w:t>
      </w:r>
      <w:r>
        <w:rPr>
          <w:color w:val="000000"/>
          <w:sz w:val="22"/>
          <w:szCs w:val="22"/>
        </w:rPr>
        <w:t xml:space="preserve">, qui est l’institution nationale chargée de la coordination et du suivi des PGES ; le BUNEE effectuera le suivi externe de la mise en œuvre du CGES sur la base d’un protocole de collaboration dont les ressources seront prises en charge par l’UNC par le biais de programmes d’activités sur la durée du Programme ; ce </w:t>
      </w:r>
      <w:r>
        <w:rPr>
          <w:color w:val="000000"/>
          <w:sz w:val="22"/>
          <w:szCs w:val="22"/>
          <w:u w:val="single"/>
        </w:rPr>
        <w:t>protocole d’accord</w:t>
      </w:r>
      <w:r>
        <w:rPr>
          <w:color w:val="000000"/>
          <w:sz w:val="22"/>
          <w:szCs w:val="22"/>
        </w:rPr>
        <w:t xml:space="preserve"> définira les exigences en matière de suivi, les domaines fondamentaux du suivi et leur périodicité, le système de reportage, etc. enfin, dans le cadre de sa mission, </w:t>
      </w:r>
      <w:r>
        <w:rPr>
          <w:color w:val="000000"/>
          <w:sz w:val="22"/>
          <w:szCs w:val="22"/>
        </w:rPr>
        <w:t xml:space="preserve">Le BUNEE devra coordonner </w:t>
      </w:r>
      <w:r>
        <w:rPr>
          <w:color w:val="000000"/>
          <w:sz w:val="22"/>
          <w:szCs w:val="22"/>
          <w:u w:val="single"/>
        </w:rPr>
        <w:t>le suivi externe</w:t>
      </w:r>
      <w:r>
        <w:rPr>
          <w:color w:val="000000"/>
          <w:sz w:val="22"/>
          <w:szCs w:val="22"/>
        </w:rPr>
        <w:t>, en rapport avec d’autres institutions nationales</w:t>
      </w:r>
      <w:r>
        <w:rPr>
          <w:color w:val="000000"/>
          <w:sz w:val="22"/>
          <w:szCs w:val="22"/>
        </w:rPr>
        <w:t>.</w:t>
      </w:r>
      <w:r>
        <w:rPr>
          <w:color w:val="000000"/>
          <w:sz w:val="22"/>
          <w:szCs w:val="22"/>
        </w:rPr>
        <w:t xml:space="preserve"> Le suivi du BUNEE s’exécutera sous forme de contrôle ou vérification et </w:t>
      </w:r>
      <w:r>
        <w:rPr>
          <w:color w:val="000000"/>
          <w:sz w:val="22"/>
          <w:szCs w:val="22"/>
        </w:rPr>
        <w:t>s’appuiera sur l</w:t>
      </w:r>
      <w:r>
        <w:rPr>
          <w:color w:val="000000"/>
          <w:sz w:val="22"/>
          <w:szCs w:val="22"/>
        </w:rPr>
        <w:t xml:space="preserve">es rapports de suivi du </w:t>
      </w:r>
      <w:r>
        <w:rPr>
          <w:color w:val="000000"/>
          <w:sz w:val="22"/>
          <w:szCs w:val="22"/>
        </w:rPr>
        <w:t>Programme</w:t>
      </w:r>
      <w:r>
        <w:rPr>
          <w:color w:val="000000"/>
          <w:sz w:val="22"/>
          <w:szCs w:val="22"/>
        </w:rPr>
        <w:t>.</w:t>
      </w:r>
    </w:p>
    <w:p>
      <w:pPr>
        <w:pStyle w:val="style0"/>
        <w:numPr>
          <w:ilvl w:val="0"/>
          <w:numId w:val="122"/>
        </w:numPr>
        <w:jc w:val="both"/>
        <w:rPr>
          <w:bCs/>
          <w:sz w:val="22"/>
          <w:szCs w:val="22"/>
        </w:rPr>
      </w:pPr>
      <w:r>
        <w:rPr>
          <w:b/>
          <w:sz w:val="22"/>
          <w:szCs w:val="22"/>
        </w:rPr>
        <w:t>l</w:t>
      </w:r>
      <w:r>
        <w:rPr>
          <w:b/>
          <w:sz w:val="22"/>
          <w:szCs w:val="22"/>
        </w:rPr>
        <w:t>es DRAAH, DRRAH, DREEVCC, DRS et DRI</w:t>
      </w:r>
      <w:r>
        <w:rPr>
          <w:b/>
          <w:i/>
          <w:sz w:val="22"/>
          <w:szCs w:val="22"/>
        </w:rPr>
        <w:t xml:space="preserve"> : </w:t>
      </w:r>
      <w:r>
        <w:rPr>
          <w:sz w:val="22"/>
          <w:szCs w:val="22"/>
        </w:rPr>
        <w:t>Ces directions régionales sont tenues de désigner de façon nominative leurs Points Focaux</w:t>
      </w:r>
      <w:r>
        <w:rPr>
          <w:sz w:val="22"/>
          <w:szCs w:val="22"/>
        </w:rPr>
        <w:t xml:space="preserve"> (PF)</w:t>
      </w:r>
      <w:r>
        <w:rPr>
          <w:sz w:val="22"/>
          <w:szCs w:val="22"/>
        </w:rPr>
        <w:t>. Ces PF</w:t>
      </w:r>
      <w:r>
        <w:rPr>
          <w:b/>
          <w:i/>
          <w:sz w:val="22"/>
          <w:szCs w:val="22"/>
        </w:rPr>
        <w:t> </w:t>
      </w:r>
      <w:r>
        <w:rPr>
          <w:sz w:val="22"/>
          <w:szCs w:val="22"/>
        </w:rPr>
        <w:t>devront bénéficier des formations prévues par l’UNC pour assurer la surveillance environnementale et sociale des activités du Programme.</w:t>
      </w:r>
      <w:r>
        <w:rPr>
          <w:bCs/>
          <w:sz w:val="22"/>
          <w:szCs w:val="22"/>
        </w:rPr>
        <w:t xml:space="preserve"> </w:t>
      </w:r>
    </w:p>
    <w:p>
      <w:pPr>
        <w:pStyle w:val="style0"/>
        <w:numPr>
          <w:ilvl w:val="0"/>
          <w:numId w:val="122"/>
        </w:numPr>
        <w:jc w:val="both"/>
        <w:rPr>
          <w:sz w:val="22"/>
          <w:szCs w:val="22"/>
        </w:rPr>
      </w:pPr>
      <w:r>
        <w:rPr>
          <w:b/>
          <w:sz w:val="22"/>
          <w:szCs w:val="22"/>
        </w:rPr>
        <w:t>l</w:t>
      </w:r>
      <w:r>
        <w:rPr>
          <w:b/>
          <w:sz w:val="22"/>
          <w:szCs w:val="22"/>
        </w:rPr>
        <w:t>es collectivités territoriales</w:t>
      </w:r>
      <w:r>
        <w:rPr>
          <w:sz w:val="22"/>
          <w:szCs w:val="22"/>
        </w:rPr>
        <w:t xml:space="preserve"> : En tant qu’acteurs au niveau décentralisé, elles interviendront dans la gestion de leur environnement et le suivi de l’exécution des sous-projets. Outre cet aspect, les collectivités locales assureront le suivi de la mise en œuvre des PGES et participeront à la mise en œuvre des dispositions prévues dans le MGP.</w:t>
      </w:r>
    </w:p>
    <w:p>
      <w:pPr>
        <w:pStyle w:val="style0"/>
        <w:numPr>
          <w:ilvl w:val="0"/>
          <w:numId w:val="122"/>
        </w:numPr>
        <w:jc w:val="both"/>
        <w:rPr>
          <w:sz w:val="22"/>
          <w:szCs w:val="22"/>
        </w:rPr>
      </w:pPr>
      <w:r>
        <w:rPr>
          <w:b/>
          <w:sz w:val="22"/>
          <w:szCs w:val="22"/>
        </w:rPr>
        <w:t>l</w:t>
      </w:r>
      <w:r>
        <w:rPr>
          <w:b/>
          <w:sz w:val="22"/>
          <w:szCs w:val="22"/>
        </w:rPr>
        <w:t>es communautés locales</w:t>
      </w:r>
      <w:r>
        <w:rPr>
          <w:b/>
          <w:i/>
          <w:sz w:val="22"/>
          <w:szCs w:val="22"/>
        </w:rPr>
        <w:t xml:space="preserve"> : </w:t>
      </w:r>
      <w:r>
        <w:rPr>
          <w:sz w:val="22"/>
          <w:szCs w:val="22"/>
        </w:rPr>
        <w:t>Avec la mise en valeur des périmètres irrigués, un rôle important est attendu des communautés à savoir participer à la sensibilisation des populations, aux activités de mobilisation sociale et au suivi de proximité de la mise en œuvre des recommandations du CGES et des mesures contenues dans les évaluations environnementales.</w:t>
      </w:r>
    </w:p>
    <w:p>
      <w:pPr>
        <w:pStyle w:val="style0"/>
        <w:numPr>
          <w:ilvl w:val="0"/>
          <w:numId w:val="122"/>
        </w:numPr>
        <w:jc w:val="both"/>
        <w:rPr>
          <w:sz w:val="22"/>
          <w:szCs w:val="22"/>
        </w:rPr>
      </w:pPr>
      <w:r>
        <w:rPr>
          <w:b/>
          <w:sz w:val="22"/>
          <w:szCs w:val="22"/>
        </w:rPr>
        <w:t>l</w:t>
      </w:r>
      <w:r>
        <w:rPr>
          <w:b/>
          <w:sz w:val="22"/>
          <w:szCs w:val="22"/>
        </w:rPr>
        <w:t>es ONG et la Société civile</w:t>
      </w:r>
      <w:r>
        <w:rPr>
          <w:b/>
          <w:i/>
          <w:sz w:val="22"/>
          <w:szCs w:val="22"/>
        </w:rPr>
        <w:t xml:space="preserve"> : </w:t>
      </w:r>
      <w:r>
        <w:rPr>
          <w:sz w:val="22"/>
          <w:szCs w:val="22"/>
        </w:rPr>
        <w:t xml:space="preserve">Les ONG, OSC et autres organisations environnementales de société civile intervenant dans la zone du Programme ainsi que des structures comme  la CPF, l’UNPCB et le ROPPA, pourront aussi participer à informer, éduquer et conscientiser la population sur les aspects environnementaux et sociaux liés à la mise en œuvre du Programme, mais aussi au suivi de la mise en œuvre des mesures du CGES. </w:t>
      </w:r>
    </w:p>
    <w:p>
      <w:pPr>
        <w:pStyle w:val="style0"/>
        <w:numPr>
          <w:ilvl w:val="0"/>
          <w:numId w:val="122"/>
        </w:numPr>
        <w:jc w:val="both"/>
        <w:rPr>
          <w:sz w:val="22"/>
          <w:szCs w:val="22"/>
        </w:rPr>
      </w:pPr>
      <w:r>
        <w:rPr>
          <w:b/>
          <w:sz w:val="22"/>
          <w:szCs w:val="22"/>
        </w:rPr>
        <w:t>l</w:t>
      </w:r>
      <w:r>
        <w:rPr>
          <w:b/>
          <w:sz w:val="22"/>
          <w:szCs w:val="22"/>
        </w:rPr>
        <w:t>es entreprises et les missions de contrôle</w:t>
      </w:r>
      <w:r>
        <w:rPr>
          <w:b/>
          <w:i/>
          <w:sz w:val="22"/>
          <w:szCs w:val="22"/>
        </w:rPr>
        <w:t xml:space="preserve"> : </w:t>
      </w:r>
      <w:r>
        <w:rPr>
          <w:sz w:val="22"/>
          <w:szCs w:val="22"/>
        </w:rPr>
        <w:t>Les entreprises adjudicataires des travaux seront chargées de la mise en œuvre des PGES tandis que les environnementalistes des missions de contrôle effectueront le suivi/supervision de la mise en œuvre des recommandations environnementales et sociales et rendront compte au Maitre d’Ouvrage.</w:t>
      </w:r>
    </w:p>
    <w:p>
      <w:pPr>
        <w:pStyle w:val="style0"/>
        <w:spacing w:after="200" w:lineRule="auto" w:line="276"/>
        <w:jc w:val="both"/>
        <w:contextualSpacing/>
        <w:rPr>
          <w:sz w:val="22"/>
          <w:szCs w:val="22"/>
        </w:rPr>
      </w:pPr>
    </w:p>
    <w:p>
      <w:pPr>
        <w:pStyle w:val="style0"/>
        <w:rPr>
          <w:sz w:val="22"/>
          <w:szCs w:val="22"/>
        </w:rPr>
      </w:pPr>
      <w:r>
        <w:rPr>
          <w:sz w:val="22"/>
          <w:szCs w:val="22"/>
        </w:rPr>
        <w:br w:type="page"/>
      </w:r>
    </w:p>
    <w:p>
      <w:pPr>
        <w:pStyle w:val="style0"/>
        <w:spacing w:after="200" w:lineRule="auto" w:line="276"/>
        <w:jc w:val="both"/>
        <w:contextualSpacing/>
        <w:rPr>
          <w:sz w:val="22"/>
          <w:szCs w:val="22"/>
          <w:lang w:eastAsia="en-US"/>
        </w:rPr>
      </w:pPr>
      <w:r>
        <w:rPr>
          <w:sz w:val="22"/>
          <w:szCs w:val="22"/>
        </w:rPr>
        <w:t xml:space="preserve">Pour l’exécution des mesures de gestion environnementale et sociale, plusieurs intervenants assureront des rôles et responsabilités. </w:t>
      </w:r>
      <w:r>
        <w:rPr>
          <w:bCs/>
          <w:sz w:val="22"/>
          <w:szCs w:val="22"/>
          <w:lang w:eastAsia="en-US"/>
        </w:rPr>
        <w:t>Le tableau suivant donne un récapitulatif des étapes et des responsabilités institutionnelles</w:t>
      </w:r>
      <w:r>
        <w:rPr>
          <w:sz w:val="22"/>
          <w:szCs w:val="22"/>
          <w:lang w:eastAsia="en-US"/>
        </w:rPr>
        <w:t>.</w:t>
      </w:r>
    </w:p>
    <w:p>
      <w:pPr>
        <w:pStyle w:val="style0"/>
        <w:spacing w:after="200" w:lineRule="auto" w:line="276"/>
        <w:jc w:val="both"/>
        <w:contextualSpacing/>
        <w:rPr>
          <w:sz w:val="23"/>
          <w:szCs w:val="23"/>
          <w:lang w:eastAsia="en-US"/>
        </w:rPr>
      </w:pPr>
    </w:p>
    <w:bookmarkStart w:id="10" w:name="_Hlk218918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050"/>
        <w:gridCol w:w="2211"/>
        <w:gridCol w:w="2191"/>
        <w:gridCol w:w="180"/>
        <w:gridCol w:w="1831"/>
      </w:tblGrid>
      <w:tr>
        <w:trPr>
          <w:tblHeader/>
        </w:trPr>
        <w:tc>
          <w:tcPr>
            <w:tcW w:w="306"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No</w:t>
            </w:r>
            <w:r>
              <w:rPr>
                <w:sz w:val="20"/>
                <w:szCs w:val="20"/>
              </w:rPr>
              <w:t xml:space="preserve"> </w:t>
            </w:r>
          </w:p>
        </w:tc>
        <w:tc>
          <w:tcPr>
            <w:tcW w:w="1136"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Etapes/Activités</w:t>
            </w:r>
          </w:p>
        </w:tc>
        <w:tc>
          <w:tcPr>
            <w:tcW w:w="1234"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Responsables</w:t>
            </w:r>
          </w:p>
        </w:tc>
        <w:tc>
          <w:tcPr>
            <w:tcW w:w="1313" w:type="pct"/>
            <w:gridSpan w:val="2"/>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Appui/Collaboration</w:t>
            </w:r>
          </w:p>
        </w:tc>
        <w:tc>
          <w:tcPr>
            <w:tcW w:w="1012"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Prestataires</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1.</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Identification de la localisation/site et principales caractéristiques techniques du sous-projet (Filtre E&amp;S) </w:t>
            </w:r>
          </w:p>
        </w:tc>
        <w:tc>
          <w:tcPr>
            <w:tcW w:w="1234"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RT/UNC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DGAHDI</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w:t>
            </w:r>
            <w:r>
              <w:rPr>
                <w:rFonts w:eastAsia="MS Mincho"/>
                <w:iCs/>
                <w:kern w:val="2"/>
                <w:sz w:val="20"/>
                <w:szCs w:val="20"/>
                <w:lang w:eastAsia="en-GB"/>
              </w:rPr>
              <w:t>/</w:t>
            </w:r>
            <w:r>
              <w:rPr>
                <w:rFonts w:eastAsia="MS Mincho"/>
                <w:iCs/>
                <w:kern w:val="2"/>
                <w:sz w:val="20"/>
                <w:szCs w:val="20"/>
                <w:lang w:eastAsia="en-GB"/>
              </w:rPr>
              <w:t>PDCA</w:t>
            </w:r>
          </w:p>
        </w:tc>
        <w:tc>
          <w:tcPr>
            <w:tcW w:w="1313"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Maires de communes</w:t>
            </w:r>
          </w:p>
        </w:tc>
        <w:tc>
          <w:tcPr>
            <w:tcW w:w="1012"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Consultant</w:t>
            </w:r>
          </w:p>
        </w:tc>
      </w:tr>
      <w:tr>
        <w:tblPrEx/>
        <w:trPr>
          <w:trHeight w:val="1214" w:hRule="atLeast"/>
        </w:trPr>
        <w:tc>
          <w:tcPr>
            <w:tcW w:w="306"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2.</w:t>
            </w:r>
          </w:p>
        </w:tc>
        <w:tc>
          <w:tcPr>
            <w:tcW w:w="1136" w:type="pct"/>
            <w:tcBorders/>
            <w:shd w:val="clear" w:color="auto" w:fill="auto"/>
          </w:tcPr>
          <w:p>
            <w:pPr>
              <w:pStyle w:val="style0"/>
              <w:tabs>
                <w:tab w:val="left" w:leader="none" w:pos="0"/>
              </w:tabs>
              <w:jc w:val="both"/>
              <w:contextualSpacing/>
              <w:rPr>
                <w:rFonts w:eastAsia="MS Mincho"/>
                <w:iCs/>
                <w:kern w:val="2"/>
                <w:sz w:val="20"/>
                <w:szCs w:val="20"/>
                <w:lang w:eastAsia="en-GB"/>
              </w:rPr>
            </w:pPr>
            <w:r>
              <w:rPr>
                <w:rFonts w:eastAsia="MS Mincho"/>
                <w:iCs/>
                <w:kern w:val="2"/>
                <w:sz w:val="20"/>
                <w:szCs w:val="20"/>
                <w:lang w:eastAsia="en-GB"/>
              </w:rPr>
              <w:t>Sélection environnementale (Screening-remplissage des formulaires), et détermination du type d’instrument spécifique de sauvegarde</w:t>
            </w:r>
          </w:p>
        </w:tc>
        <w:tc>
          <w:tcPr>
            <w:tcW w:w="1234" w:type="pct"/>
            <w:tcBorders/>
            <w:shd w:val="clear" w:color="auto" w:fill="auto"/>
          </w:tcPr>
          <w:p>
            <w:pPr>
              <w:pStyle w:val="style0"/>
              <w:tabs>
                <w:tab w:val="left" w:leader="none" w:pos="0"/>
              </w:tabs>
              <w:jc w:val="both"/>
              <w:contextualSpacing/>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w:t>
            </w:r>
            <w:r>
              <w:rPr>
                <w:rFonts w:eastAsia="MS Mincho"/>
                <w:iCs/>
                <w:kern w:val="2"/>
                <w:sz w:val="20"/>
                <w:szCs w:val="20"/>
                <w:lang w:eastAsia="en-GB"/>
              </w:rPr>
              <w:t>/</w:t>
            </w:r>
            <w:r>
              <w:rPr>
                <w:rFonts w:eastAsia="MS Mincho"/>
                <w:iCs/>
                <w:kern w:val="2"/>
                <w:sz w:val="20"/>
                <w:szCs w:val="20"/>
                <w:lang w:eastAsia="en-GB"/>
              </w:rPr>
              <w:t>PDCA</w:t>
            </w:r>
          </w:p>
          <w:p>
            <w:pPr>
              <w:pStyle w:val="style0"/>
              <w:tabs>
                <w:tab w:val="left" w:leader="none" w:pos="0"/>
              </w:tabs>
              <w:ind w:left="62" w:hanging="10"/>
              <w:jc w:val="both"/>
              <w:contextualSpacing/>
              <w:rPr>
                <w:rFonts w:eastAsia="MS Mincho"/>
                <w:iCs/>
                <w:kern w:val="2"/>
                <w:sz w:val="20"/>
                <w:szCs w:val="20"/>
                <w:lang w:eastAsia="en-GB"/>
              </w:rPr>
            </w:pPr>
          </w:p>
        </w:tc>
        <w:tc>
          <w:tcPr>
            <w:tcW w:w="1313"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tc>
        <w:tc>
          <w:tcPr>
            <w:tcW w:w="1012"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numPr>
                <w:ilvl w:val="0"/>
                <w:numId w:val="69"/>
              </w:numPr>
              <w:tabs>
                <w:tab w:val="left" w:leader="none" w:pos="186"/>
              </w:tabs>
              <w:ind w:left="95" w:hanging="95"/>
              <w:rPr>
                <w:sz w:val="20"/>
                <w:szCs w:val="20"/>
              </w:rPr>
            </w:pPr>
            <w:r>
              <w:rPr>
                <w:sz w:val="20"/>
                <w:szCs w:val="20"/>
              </w:rPr>
              <w:t xml:space="preserve">SSE et SSS/ </w:t>
            </w:r>
            <w:r>
              <w:rPr>
                <w:sz w:val="20"/>
                <w:szCs w:val="20"/>
              </w:rPr>
              <w:t>PDCA</w:t>
            </w:r>
          </w:p>
          <w:p>
            <w:pPr>
              <w:pStyle w:val="style0"/>
              <w:numPr>
                <w:ilvl w:val="0"/>
                <w:numId w:val="69"/>
              </w:numPr>
              <w:tabs>
                <w:tab w:val="left" w:leader="none" w:pos="186"/>
              </w:tabs>
              <w:ind w:left="95" w:hanging="95"/>
              <w:rPr>
                <w:sz w:val="20"/>
                <w:szCs w:val="20"/>
              </w:rPr>
            </w:pPr>
            <w:r>
              <w:rPr>
                <w:sz w:val="20"/>
                <w:szCs w:val="20"/>
              </w:rPr>
              <w:t>Points Focaux</w:t>
            </w:r>
          </w:p>
          <w:p>
            <w:pPr>
              <w:pStyle w:val="style0"/>
              <w:ind w:left="62" w:hanging="10"/>
              <w:jc w:val="both"/>
              <w:rPr>
                <w:rFonts w:eastAsia="MS Mincho"/>
                <w:iCs/>
                <w:kern w:val="2"/>
                <w:sz w:val="20"/>
                <w:szCs w:val="20"/>
                <w:lang w:eastAsia="en-GB"/>
              </w:rPr>
            </w:pPr>
            <w:r>
              <w:rPr>
                <w:sz w:val="20"/>
                <w:szCs w:val="20"/>
              </w:rPr>
              <w:t>Environnementaux et Sociaux (PFES)</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3.</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Approbation de la catégorisation </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Coordonnateur PDCA</w:t>
            </w:r>
          </w:p>
        </w:tc>
        <w:tc>
          <w:tcPr>
            <w:tcW w:w="1313" w:type="pct"/>
            <w:gridSpan w:val="2"/>
            <w:tcBorders/>
            <w:shd w:val="clear" w:color="auto" w:fill="auto"/>
          </w:tcPr>
          <w:p>
            <w:pPr>
              <w:pStyle w:val="style0"/>
              <w:tabs>
                <w:tab w:val="left" w:leader="none" w:pos="186"/>
              </w:tabs>
              <w:ind w:left="95"/>
              <w:jc w:val="both"/>
              <w:rPr>
                <w:rFonts w:eastAsia="MS Mincho"/>
                <w:iCs/>
                <w:kern w:val="2"/>
                <w:sz w:val="20"/>
                <w:szCs w:val="20"/>
                <w:lang w:eastAsia="en-GB"/>
              </w:rPr>
            </w:pP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SSE et SSS/</w:t>
            </w:r>
            <w:r>
              <w:rPr>
                <w:rFonts w:eastAsia="MS Mincho"/>
                <w:iCs/>
                <w:kern w:val="2"/>
                <w:sz w:val="20"/>
                <w:szCs w:val="20"/>
                <w:lang w:eastAsia="en-GB"/>
              </w:rPr>
              <w:t>PDCA</w:t>
            </w:r>
          </w:p>
        </w:tc>
        <w:tc>
          <w:tcPr>
            <w:tcW w:w="1012" w:type="pct"/>
            <w:tcBorders/>
            <w:shd w:val="clear" w:color="auto" w:fill="auto"/>
          </w:tcPr>
          <w:p>
            <w:pPr>
              <w:pStyle w:val="style0"/>
              <w:numPr>
                <w:ilvl w:val="0"/>
                <w:numId w:val="69"/>
              </w:numPr>
              <w:tabs>
                <w:tab w:val="left" w:leader="none" w:pos="151"/>
              </w:tabs>
              <w:ind w:left="61" w:hanging="9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69"/>
              </w:numPr>
              <w:ind w:left="151"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4.1.</w:t>
            </w:r>
          </w:p>
        </w:tc>
        <w:tc>
          <w:tcPr>
            <w:tcW w:w="4694" w:type="pct"/>
            <w:gridSpan w:val="5"/>
            <w:tcBorders/>
            <w:shd w:val="clear" w:color="auto" w:fill="auto"/>
          </w:tcPr>
          <w:p>
            <w:pPr>
              <w:pStyle w:val="style0"/>
              <w:tabs>
                <w:tab w:val="left" w:leader="none" w:pos="151"/>
              </w:tabs>
              <w:ind w:left="62" w:hanging="10"/>
              <w:jc w:val="both"/>
              <w:rPr>
                <w:rFonts w:eastAsia="MS Mincho"/>
                <w:iCs/>
                <w:kern w:val="2"/>
                <w:sz w:val="20"/>
                <w:szCs w:val="20"/>
                <w:lang w:eastAsia="en-GB"/>
              </w:rPr>
            </w:pPr>
            <w:r>
              <w:rPr>
                <w:rFonts w:eastAsia="MS Mincho"/>
                <w:iCs/>
                <w:kern w:val="2"/>
                <w:sz w:val="20"/>
                <w:szCs w:val="20"/>
                <w:lang w:eastAsia="en-GB"/>
              </w:rPr>
              <w:t>Préparation de l’instrument spécifique de sauvegarde E&amp;S de sous-projet de catégorie A</w:t>
            </w:r>
          </w:p>
        </w:tc>
      </w:tr>
      <w:tr>
        <w:tblPrEx/>
        <w:trPr>
          <w:trHeight w:val="242" w:hRule="atLeast"/>
        </w:trPr>
        <w:tc>
          <w:tcPr>
            <w:tcW w:w="306" w:type="pct"/>
            <w:vMerge w:val="restart"/>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Préparation, approbation et publication des TDR</w:t>
            </w:r>
          </w:p>
        </w:tc>
        <w:tc>
          <w:tcPr>
            <w:tcW w:w="1234"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w:t>
            </w:r>
            <w:r>
              <w:rPr>
                <w:rFonts w:eastAsia="MS Mincho"/>
                <w:iCs/>
                <w:kern w:val="2"/>
                <w:sz w:val="20"/>
                <w:szCs w:val="20"/>
                <w:lang w:eastAsia="en-GB"/>
              </w:rPr>
              <w:t>/</w:t>
            </w:r>
            <w:r>
              <w:rPr>
                <w:rFonts w:eastAsia="MS Mincho"/>
                <w:iCs/>
                <w:kern w:val="2"/>
                <w:sz w:val="20"/>
                <w:szCs w:val="20"/>
                <w:lang w:eastAsia="en-GB"/>
              </w:rPr>
              <w:t>PDCA</w:t>
            </w: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c>
          <w:tcPr>
            <w:tcW w:w="1210"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tc>
        <w:tc>
          <w:tcPr>
            <w:tcW w:w="1114" w:type="pct"/>
            <w:gridSpan w:val="2"/>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 xml:space="preserve">Réalisation de l’étude y compris consultation du </w:t>
            </w:r>
            <w:r>
              <w:rPr>
                <w:rFonts w:eastAsia="MS Mincho"/>
                <w:iCs/>
                <w:kern w:val="2"/>
                <w:sz w:val="20"/>
                <w:szCs w:val="20"/>
                <w:lang w:eastAsia="en-GB"/>
              </w:rPr>
              <w:t>public</w:t>
            </w:r>
          </w:p>
          <w:p>
            <w:pPr>
              <w:pStyle w:val="style0"/>
              <w:ind w:left="62" w:hanging="10"/>
              <w:jc w:val="both"/>
              <w:rPr>
                <w:rFonts w:eastAsia="MS Mincho"/>
                <w:iCs/>
                <w:kern w:val="2"/>
                <w:sz w:val="20"/>
                <w:szCs w:val="20"/>
                <w:lang w:eastAsia="en-GB"/>
              </w:rPr>
            </w:pP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210"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Spécialiste Passation de marché (SPM)</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RAF</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BUNEE</w:t>
            </w:r>
          </w:p>
          <w:p>
            <w:pPr>
              <w:pStyle w:val="style0"/>
              <w:tabs>
                <w:tab w:val="left" w:leader="none" w:pos="0"/>
              </w:tabs>
              <w:jc w:val="both"/>
              <w:rPr>
                <w:rFonts w:eastAsia="MS Mincho"/>
                <w:iCs/>
                <w:kern w:val="2"/>
                <w:sz w:val="20"/>
                <w:szCs w:val="20"/>
                <w:lang w:eastAsia="en-GB"/>
              </w:rPr>
            </w:pPr>
          </w:p>
        </w:tc>
        <w:tc>
          <w:tcPr>
            <w:tcW w:w="1114" w:type="pct"/>
            <w:gridSpan w:val="2"/>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Consultant</w:t>
            </w:r>
          </w:p>
          <w:p>
            <w:pPr>
              <w:pStyle w:val="style0"/>
              <w:tabs>
                <w:tab w:val="left" w:leader="none" w:pos="162"/>
              </w:tabs>
              <w:ind w:left="62" w:hanging="10"/>
              <w:jc w:val="both"/>
              <w:rPr>
                <w:rFonts w:eastAsia="MS Mincho"/>
                <w:iCs/>
                <w:kern w:val="2"/>
                <w:sz w:val="20"/>
                <w:szCs w:val="20"/>
                <w:lang w:eastAsia="en-GB"/>
              </w:rPr>
            </w:pP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Validation du document et obtention du certificat environnemental</w:t>
            </w: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210"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SPM</w:t>
            </w:r>
          </w:p>
          <w:p>
            <w:pPr>
              <w:pStyle w:val="style0"/>
              <w:ind w:left="62" w:hanging="10"/>
              <w:jc w:val="both"/>
              <w:rPr>
                <w:rFonts w:eastAsia="MS Mincho"/>
                <w:iCs/>
                <w:kern w:val="2"/>
                <w:sz w:val="20"/>
                <w:szCs w:val="20"/>
                <w:lang w:eastAsia="en-GB"/>
              </w:rPr>
            </w:pPr>
          </w:p>
        </w:tc>
        <w:tc>
          <w:tcPr>
            <w:tcW w:w="1114"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Publication du document</w:t>
            </w: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210"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 Coordonnateur </w:t>
            </w:r>
            <w:r>
              <w:rPr>
                <w:rFonts w:eastAsia="MS Mincho"/>
                <w:iCs/>
                <w:kern w:val="2"/>
                <w:sz w:val="20"/>
                <w:szCs w:val="20"/>
                <w:lang w:eastAsia="en-GB"/>
              </w:rPr>
              <w:t>PDCA</w:t>
            </w:r>
          </w:p>
        </w:tc>
        <w:tc>
          <w:tcPr>
            <w:tcW w:w="1114"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Media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4.2.</w:t>
            </w:r>
          </w:p>
        </w:tc>
        <w:tc>
          <w:tcPr>
            <w:tcW w:w="4694" w:type="pct"/>
            <w:gridSpan w:val="5"/>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Préparation de l’instrument spécifique de sauvegarde E&amp;S de sous-projet de catégorie B ou C</w:t>
            </w:r>
          </w:p>
        </w:tc>
      </w:tr>
      <w:tr>
        <w:tblPrEx/>
        <w:trPr>
          <w:trHeight w:val="233" w:hRule="atLeast"/>
        </w:trPr>
        <w:tc>
          <w:tcPr>
            <w:tcW w:w="306" w:type="pct"/>
            <w:vMerge w:val="restart"/>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Préparation et approbation des TDR</w:t>
            </w:r>
          </w:p>
        </w:tc>
        <w:tc>
          <w:tcPr>
            <w:tcW w:w="1234"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 </w:t>
            </w:r>
            <w:r>
              <w:rPr>
                <w:rFonts w:eastAsia="MS Mincho"/>
                <w:iCs/>
                <w:kern w:val="2"/>
                <w:sz w:val="20"/>
                <w:szCs w:val="20"/>
                <w:lang w:eastAsia="en-GB"/>
              </w:rPr>
              <w:t>/</w:t>
            </w:r>
            <w:r>
              <w:rPr>
                <w:rFonts w:eastAsia="MS Mincho"/>
                <w:iCs/>
                <w:kern w:val="2"/>
                <w:sz w:val="20"/>
                <w:szCs w:val="20"/>
                <w:lang w:eastAsia="en-GB"/>
              </w:rPr>
              <w:t>PDCA</w:t>
            </w:r>
          </w:p>
        </w:tc>
        <w:tc>
          <w:tcPr>
            <w:tcW w:w="1313"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tabs>
                <w:tab w:val="left" w:leader="none" w:pos="186"/>
              </w:tabs>
              <w:jc w:val="both"/>
              <w:rPr>
                <w:rFonts w:eastAsia="MS Mincho"/>
                <w:iCs/>
                <w:kern w:val="2"/>
                <w:sz w:val="20"/>
                <w:szCs w:val="20"/>
                <w:lang w:eastAsia="en-GB"/>
              </w:rPr>
            </w:pPr>
            <w:r>
              <w:rPr>
                <w:rFonts w:eastAsia="MS Mincho"/>
                <w:iCs/>
                <w:kern w:val="2"/>
                <w:sz w:val="20"/>
                <w:szCs w:val="20"/>
                <w:lang w:eastAsia="en-GB"/>
              </w:rPr>
              <w:t>Président CVD</w:t>
            </w:r>
          </w:p>
        </w:tc>
        <w:tc>
          <w:tcPr>
            <w:tcW w:w="1012" w:type="pct"/>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Banque mondiale</w:t>
            </w:r>
          </w:p>
        </w:tc>
      </w:tr>
      <w:tr>
        <w:tblPrEx/>
        <w:trPr>
          <w:trHeight w:val="566" w:hRule="atLeast"/>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Réalisation de l’étude y compris consultation du public </w:t>
            </w:r>
          </w:p>
          <w:p>
            <w:pPr>
              <w:pStyle w:val="style0"/>
              <w:ind w:left="62" w:hanging="10"/>
              <w:jc w:val="both"/>
              <w:rPr>
                <w:rFonts w:eastAsia="MS Mincho"/>
                <w:iCs/>
                <w:kern w:val="2"/>
                <w:sz w:val="20"/>
                <w:szCs w:val="20"/>
                <w:lang w:eastAsia="en-GB"/>
              </w:rPr>
            </w:pP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313"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Spécialiste Passation de marché (SPM)</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RAF</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BUNEE</w:t>
            </w:r>
          </w:p>
          <w:p>
            <w:pPr>
              <w:pStyle w:val="style0"/>
              <w:tabs>
                <w:tab w:val="left" w:leader="none" w:pos="186"/>
              </w:tabs>
              <w:ind w:left="95"/>
              <w:jc w:val="both"/>
              <w:rPr>
                <w:rFonts w:eastAsia="MS Mincho"/>
                <w:iCs/>
                <w:kern w:val="2"/>
                <w:sz w:val="20"/>
                <w:szCs w:val="20"/>
                <w:lang w:eastAsia="en-GB"/>
              </w:rPr>
            </w:pPr>
          </w:p>
        </w:tc>
        <w:tc>
          <w:tcPr>
            <w:tcW w:w="1012" w:type="pct"/>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 xml:space="preserve"> </w:t>
            </w:r>
            <w:r>
              <w:rPr>
                <w:rFonts w:eastAsia="MS Mincho"/>
                <w:iCs/>
                <w:kern w:val="2"/>
                <w:sz w:val="20"/>
                <w:szCs w:val="20"/>
                <w:lang w:eastAsia="en-GB"/>
              </w:rPr>
              <w:t>Banque mondiale</w:t>
            </w: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Validation du document et obtention du certificat environnemental</w:t>
            </w: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313"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SPM</w:t>
            </w:r>
          </w:p>
          <w:p>
            <w:pPr>
              <w:pStyle w:val="style0"/>
              <w:tabs>
                <w:tab w:val="left" w:leader="none" w:pos="186"/>
              </w:tabs>
              <w:ind w:left="95"/>
              <w:jc w:val="both"/>
              <w:rPr>
                <w:rFonts w:eastAsia="MS Mincho"/>
                <w:iCs/>
                <w:kern w:val="2"/>
                <w:sz w:val="20"/>
                <w:szCs w:val="20"/>
                <w:lang w:eastAsia="en-GB"/>
              </w:rPr>
            </w:pPr>
          </w:p>
        </w:tc>
        <w:tc>
          <w:tcPr>
            <w:tcW w:w="1012" w:type="pct"/>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Publication du document</w:t>
            </w:r>
          </w:p>
        </w:tc>
        <w:tc>
          <w:tcPr>
            <w:tcW w:w="1234" w:type="pct"/>
            <w:vMerge w:val="continue"/>
            <w:tcBorders/>
            <w:shd w:val="clear" w:color="auto" w:fill="auto"/>
          </w:tcPr>
          <w:p>
            <w:pPr>
              <w:pStyle w:val="style0"/>
              <w:ind w:left="62" w:hanging="10"/>
              <w:jc w:val="both"/>
              <w:rPr>
                <w:rFonts w:eastAsia="MS Mincho"/>
                <w:iCs/>
                <w:kern w:val="2"/>
                <w:sz w:val="20"/>
                <w:szCs w:val="20"/>
                <w:lang w:eastAsia="en-GB"/>
              </w:rPr>
            </w:pPr>
          </w:p>
        </w:tc>
        <w:tc>
          <w:tcPr>
            <w:tcW w:w="1313"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Coordonnateur PDCA</w:t>
            </w:r>
          </w:p>
          <w:p>
            <w:pPr>
              <w:pStyle w:val="style0"/>
              <w:ind w:left="72"/>
              <w:jc w:val="both"/>
              <w:rPr>
                <w:rFonts w:eastAsia="MS Mincho"/>
                <w:iCs/>
                <w:kern w:val="2"/>
                <w:sz w:val="20"/>
                <w:szCs w:val="20"/>
                <w:lang w:eastAsia="en-GB"/>
              </w:rPr>
            </w:pPr>
          </w:p>
        </w:tc>
        <w:tc>
          <w:tcPr>
            <w:tcW w:w="1012" w:type="pct"/>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Média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5.</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Intégration dans le dossier d’appel d’offres (DAO) du sous-projet, de toutes les mesures de la phase des travaux contractualisables avec l’entreprise</w:t>
            </w:r>
          </w:p>
        </w:tc>
        <w:tc>
          <w:tcPr>
            <w:tcW w:w="123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Responsable Technique de l’</w:t>
            </w:r>
            <w:r>
              <w:rPr>
                <w:rFonts w:eastAsia="MS Mincho"/>
                <w:iCs/>
                <w:kern w:val="2"/>
                <w:sz w:val="20"/>
                <w:szCs w:val="20"/>
                <w:lang w:eastAsia="en-GB"/>
              </w:rPr>
              <w:t>a</w:t>
            </w:r>
            <w:r>
              <w:rPr>
                <w:rFonts w:eastAsia="MS Mincho"/>
                <w:iCs/>
                <w:kern w:val="2"/>
                <w:sz w:val="20"/>
                <w:szCs w:val="20"/>
                <w:lang w:eastAsia="en-GB"/>
              </w:rPr>
              <w:t>ctivité (RT)</w:t>
            </w:r>
          </w:p>
        </w:tc>
        <w:tc>
          <w:tcPr>
            <w:tcW w:w="1313" w:type="pct"/>
            <w:gridSpan w:val="2"/>
            <w:tcBorders/>
            <w:shd w:val="clear" w:color="auto" w:fill="auto"/>
          </w:tcPr>
          <w:p>
            <w:pPr>
              <w:pStyle w:val="style0"/>
              <w:ind w:left="62" w:hanging="10"/>
              <w:jc w:val="both"/>
              <w:rPr>
                <w:rFonts w:eastAsia="MS Mincho"/>
                <w:iCs/>
                <w:kern w:val="2"/>
                <w:sz w:val="20"/>
                <w:szCs w:val="20"/>
                <w:lang w:eastAsia="en-GB"/>
              </w:rPr>
            </w:pP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 SSE et SSS /</w:t>
            </w:r>
            <w:r>
              <w:rPr>
                <w:rFonts w:eastAsia="MS Mincho"/>
                <w:iCs/>
                <w:kern w:val="2"/>
                <w:sz w:val="20"/>
                <w:szCs w:val="20"/>
                <w:lang w:eastAsia="en-GB"/>
              </w:rPr>
              <w:t>PDCA</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RT/</w:t>
            </w:r>
            <w:r>
              <w:rPr>
                <w:rFonts w:eastAsia="MS Mincho"/>
                <w:iCs/>
                <w:kern w:val="2"/>
                <w:sz w:val="20"/>
                <w:szCs w:val="20"/>
                <w:lang w:eastAsia="en-GB"/>
              </w:rPr>
              <w:t>PDCA</w:t>
            </w:r>
          </w:p>
          <w:p>
            <w:pPr>
              <w:pStyle w:val="style0"/>
              <w:ind w:left="-108"/>
              <w:jc w:val="both"/>
              <w:rPr>
                <w:rFonts w:eastAsia="MS Mincho"/>
                <w:iCs/>
                <w:kern w:val="2"/>
                <w:sz w:val="20"/>
                <w:szCs w:val="20"/>
                <w:lang w:eastAsia="en-GB"/>
              </w:rPr>
            </w:pPr>
          </w:p>
        </w:tc>
        <w:tc>
          <w:tcPr>
            <w:tcW w:w="1012" w:type="pct"/>
            <w:tcBorders/>
            <w:shd w:val="clear" w:color="auto" w:fill="auto"/>
          </w:tcPr>
          <w:p>
            <w:pPr>
              <w:pStyle w:val="style0"/>
              <w:ind w:left="62" w:hanging="10"/>
              <w:jc w:val="both"/>
              <w:rPr>
                <w:rFonts w:eastAsia="MS Mincho"/>
                <w:iCs/>
                <w:kern w:val="2"/>
                <w:sz w:val="20"/>
                <w:szCs w:val="20"/>
                <w:lang w:eastAsia="en-GB"/>
              </w:rPr>
            </w:pP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 SSE et SSS /</w:t>
            </w:r>
            <w:r>
              <w:rPr>
                <w:rFonts w:eastAsia="MS Mincho"/>
                <w:iCs/>
                <w:kern w:val="2"/>
                <w:sz w:val="20"/>
                <w:szCs w:val="20"/>
                <w:lang w:eastAsia="en-GB"/>
              </w:rPr>
              <w:t>PDCA</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Consultant</w:t>
            </w:r>
          </w:p>
          <w:p>
            <w:pPr>
              <w:pStyle w:val="style0"/>
              <w:ind w:left="62" w:hanging="10"/>
              <w:jc w:val="both"/>
              <w:rPr>
                <w:rFonts w:eastAsia="MS Mincho"/>
                <w:iCs/>
                <w:kern w:val="2"/>
                <w:sz w:val="20"/>
                <w:szCs w:val="20"/>
                <w:lang w:eastAsia="en-GB"/>
              </w:rPr>
            </w:pP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6.</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Exécution/Mise en œuvre des mesures contractualisées avec l’entreprise de construction</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 /PDCA</w:t>
            </w:r>
          </w:p>
        </w:tc>
        <w:tc>
          <w:tcPr>
            <w:tcW w:w="1313"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Président CVD</w:t>
            </w:r>
          </w:p>
        </w:tc>
        <w:tc>
          <w:tcPr>
            <w:tcW w:w="1012"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Entreprise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consultants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ONG</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Autres </w:t>
            </w:r>
          </w:p>
        </w:tc>
      </w:tr>
      <w:tr>
        <w:tblPrEx/>
        <w:trPr/>
        <w:tc>
          <w:tcPr>
            <w:tcW w:w="306"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7.</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Surveillance interne de la mise en œuvre des mesures environnementales et sociales</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tc>
        <w:tc>
          <w:tcPr>
            <w:tcW w:w="1313"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RSE/</w:t>
            </w:r>
            <w:r>
              <w:rPr>
                <w:rFonts w:eastAsia="MS Mincho"/>
                <w:iCs/>
                <w:kern w:val="2"/>
                <w:sz w:val="20"/>
                <w:szCs w:val="20"/>
                <w:lang w:eastAsia="en-GB"/>
              </w:rPr>
              <w:t>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Points focaux</w:t>
            </w:r>
          </w:p>
        </w:tc>
        <w:tc>
          <w:tcPr>
            <w:tcW w:w="1012"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Bureau de contrôle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C</w:t>
            </w:r>
            <w:r>
              <w:rPr>
                <w:rFonts w:eastAsia="MS Mincho"/>
                <w:iCs/>
                <w:kern w:val="2"/>
                <w:sz w:val="20"/>
                <w:szCs w:val="20"/>
                <w:lang w:eastAsia="en-GB"/>
              </w:rPr>
              <w:t>onsultants</w:t>
            </w:r>
          </w:p>
          <w:p>
            <w:pPr>
              <w:pStyle w:val="style0"/>
              <w:ind w:left="-108"/>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Diffusion du rapport de surveillance interne</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Coordonnateur </w:t>
            </w:r>
            <w:r>
              <w:rPr>
                <w:rFonts w:eastAsia="MS Mincho"/>
                <w:iCs/>
                <w:kern w:val="2"/>
                <w:sz w:val="20"/>
                <w:szCs w:val="20"/>
                <w:lang w:eastAsia="en-GB"/>
              </w:rPr>
              <w:t>PDCA</w:t>
            </w:r>
          </w:p>
        </w:tc>
        <w:tc>
          <w:tcPr>
            <w:tcW w:w="1313" w:type="pct"/>
            <w:gridSpan w:val="2"/>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 </w:t>
            </w:r>
            <w:r>
              <w:rPr>
                <w:rFonts w:eastAsia="MS Mincho"/>
                <w:iCs/>
                <w:kern w:val="2"/>
                <w:sz w:val="20"/>
                <w:szCs w:val="20"/>
                <w:lang w:eastAsia="en-GB"/>
              </w:rPr>
              <w:t>/</w:t>
            </w:r>
            <w:r>
              <w:rPr>
                <w:rFonts w:eastAsia="MS Mincho"/>
                <w:iCs/>
                <w:kern w:val="2"/>
                <w:sz w:val="20"/>
                <w:szCs w:val="20"/>
                <w:lang w:eastAsia="en-GB"/>
              </w:rPr>
              <w:t>PDCA</w:t>
            </w:r>
          </w:p>
        </w:tc>
        <w:tc>
          <w:tcPr>
            <w:tcW w:w="1012"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tc>
      </w:tr>
      <w:tr>
        <w:tblPrEx/>
        <w:trPr/>
        <w:tc>
          <w:tcPr>
            <w:tcW w:w="306" w:type="pct"/>
            <w:vMerge w:val="continue"/>
            <w:tcBorders/>
            <w:shd w:val="clear" w:color="auto" w:fill="auto"/>
          </w:tcPr>
          <w:p>
            <w:pPr>
              <w:pStyle w:val="style0"/>
              <w:ind w:left="62" w:hanging="10"/>
              <w:jc w:val="both"/>
              <w:rPr>
                <w:rFonts w:eastAsia="MS Mincho"/>
                <w:iCs/>
                <w:kern w:val="2"/>
                <w:sz w:val="20"/>
                <w:szCs w:val="20"/>
                <w:lang w:eastAsia="en-GB"/>
              </w:rPr>
            </w:pP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Surveillance externe de la mise en œuvre des mesures environnementales et sociales</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BUNEE</w:t>
            </w:r>
          </w:p>
        </w:tc>
        <w:tc>
          <w:tcPr>
            <w:tcW w:w="1313"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Points focaux </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 </w:t>
            </w:r>
            <w:r>
              <w:rPr>
                <w:rFonts w:eastAsia="MS Mincho"/>
                <w:iCs/>
                <w:kern w:val="2"/>
                <w:sz w:val="20"/>
                <w:szCs w:val="20"/>
                <w:lang w:eastAsia="en-GB"/>
              </w:rPr>
              <w:t>/</w:t>
            </w:r>
            <w:r>
              <w:rPr>
                <w:rFonts w:eastAsia="MS Mincho"/>
                <w:iCs/>
                <w:kern w:val="2"/>
                <w:sz w:val="20"/>
                <w:szCs w:val="20"/>
                <w:lang w:eastAsia="en-GB"/>
              </w:rPr>
              <w:t>PDCA</w:t>
            </w:r>
          </w:p>
        </w:tc>
        <w:tc>
          <w:tcPr>
            <w:tcW w:w="1012"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BUNEE</w:t>
            </w:r>
          </w:p>
          <w:p>
            <w:pPr>
              <w:pStyle w:val="style0"/>
              <w:ind w:left="62" w:hanging="10"/>
              <w:jc w:val="both"/>
              <w:rPr>
                <w:rFonts w:eastAsia="MS Mincho"/>
                <w:iCs/>
                <w:kern w:val="2"/>
                <w:sz w:val="20"/>
                <w:szCs w:val="20"/>
                <w:lang w:eastAsia="en-GB"/>
              </w:rPr>
            </w:pP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8.</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Suivi environnemental et social</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 </w:t>
            </w:r>
            <w:r>
              <w:rPr>
                <w:rFonts w:eastAsia="MS Mincho"/>
                <w:iCs/>
                <w:kern w:val="2"/>
                <w:sz w:val="20"/>
                <w:szCs w:val="20"/>
                <w:lang w:eastAsia="en-GB"/>
              </w:rPr>
              <w:t>/</w:t>
            </w:r>
            <w:r>
              <w:rPr>
                <w:rFonts w:eastAsia="MS Mincho"/>
                <w:iCs/>
                <w:kern w:val="2"/>
                <w:sz w:val="20"/>
                <w:szCs w:val="20"/>
                <w:lang w:eastAsia="en-GB"/>
              </w:rPr>
              <w:t>PDCA</w:t>
            </w:r>
          </w:p>
        </w:tc>
        <w:tc>
          <w:tcPr>
            <w:tcW w:w="1313"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RSE/</w:t>
            </w:r>
            <w:r>
              <w:rPr>
                <w:rFonts w:eastAsia="MS Mincho"/>
                <w:iCs/>
                <w:kern w:val="2"/>
                <w:sz w:val="20"/>
                <w:szCs w:val="20"/>
                <w:lang w:eastAsia="en-GB"/>
              </w:rPr>
              <w:t>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DGESS/Ministères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DREP</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URC</w:t>
            </w:r>
          </w:p>
        </w:tc>
        <w:tc>
          <w:tcPr>
            <w:tcW w:w="1012"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Laboratoires /centres spécialisés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ONG</w:t>
            </w: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9.</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Renforcement des capacités des acteurs de mise en œuvre des mesures environnementales et sociales</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 </w:t>
            </w:r>
            <w:r>
              <w:rPr>
                <w:rFonts w:eastAsia="MS Mincho"/>
                <w:iCs/>
                <w:kern w:val="2"/>
                <w:sz w:val="20"/>
                <w:szCs w:val="20"/>
                <w:lang w:eastAsia="en-GB"/>
              </w:rPr>
              <w:t>/</w:t>
            </w:r>
            <w:r>
              <w:rPr>
                <w:rFonts w:eastAsia="MS Mincho"/>
                <w:iCs/>
                <w:kern w:val="2"/>
                <w:sz w:val="20"/>
                <w:szCs w:val="20"/>
                <w:lang w:eastAsia="en-GB"/>
              </w:rPr>
              <w:t>PDCA</w:t>
            </w:r>
          </w:p>
        </w:tc>
        <w:tc>
          <w:tcPr>
            <w:tcW w:w="1313"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SPM</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RAF</w:t>
            </w:r>
          </w:p>
        </w:tc>
        <w:tc>
          <w:tcPr>
            <w:tcW w:w="1012"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Consultants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Structures publiques compétentes</w:t>
            </w:r>
          </w:p>
          <w:p>
            <w:pPr>
              <w:pStyle w:val="style0"/>
              <w:ind w:left="62" w:hanging="10"/>
              <w:jc w:val="both"/>
              <w:rPr>
                <w:rFonts w:eastAsia="MS Mincho"/>
                <w:iCs/>
                <w:kern w:val="2"/>
                <w:sz w:val="20"/>
                <w:szCs w:val="20"/>
                <w:lang w:eastAsia="en-GB"/>
              </w:rPr>
            </w:pPr>
          </w:p>
        </w:tc>
      </w:tr>
      <w:tr>
        <w:tblPrEx/>
        <w:trPr/>
        <w:tc>
          <w:tcPr>
            <w:tcW w:w="306"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1</w:t>
            </w:r>
            <w:r>
              <w:rPr>
                <w:rFonts w:eastAsia="MS Mincho"/>
                <w:iCs/>
                <w:kern w:val="2"/>
                <w:sz w:val="20"/>
                <w:szCs w:val="20"/>
                <w:lang w:eastAsia="en-GB"/>
              </w:rPr>
              <w:t>0</w:t>
            </w:r>
          </w:p>
        </w:tc>
        <w:tc>
          <w:tcPr>
            <w:tcW w:w="113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Audits (mi-parcours, Clôture) de mise en œuvre des mesures environnementales et sociales</w:t>
            </w:r>
          </w:p>
        </w:tc>
        <w:tc>
          <w:tcPr>
            <w:tcW w:w="123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w:t>
            </w:r>
            <w:r>
              <w:rPr>
                <w:rFonts w:eastAsia="MS Mincho"/>
                <w:iCs/>
                <w:kern w:val="2"/>
                <w:sz w:val="20"/>
                <w:szCs w:val="20"/>
                <w:lang w:eastAsia="en-GB"/>
              </w:rPr>
              <w:t xml:space="preserve"> et SSS</w:t>
            </w:r>
            <w:r>
              <w:rPr>
                <w:rFonts w:eastAsia="MS Mincho"/>
                <w:iCs/>
                <w:kern w:val="2"/>
                <w:sz w:val="20"/>
                <w:szCs w:val="20"/>
                <w:lang w:eastAsia="en-GB"/>
              </w:rPr>
              <w:t>/</w:t>
            </w:r>
            <w:r>
              <w:rPr>
                <w:rFonts w:eastAsia="MS Mincho"/>
                <w:iCs/>
                <w:kern w:val="2"/>
                <w:sz w:val="20"/>
                <w:szCs w:val="20"/>
                <w:lang w:eastAsia="en-GB"/>
              </w:rPr>
              <w:t>PDCA</w:t>
            </w:r>
          </w:p>
        </w:tc>
        <w:tc>
          <w:tcPr>
            <w:tcW w:w="1313"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RSE/</w:t>
            </w:r>
            <w:r>
              <w:rPr>
                <w:rFonts w:eastAsia="MS Mincho"/>
                <w:iCs/>
                <w:kern w:val="2"/>
                <w:sz w:val="20"/>
                <w:szCs w:val="20"/>
                <w:lang w:eastAsia="en-GB"/>
              </w:rPr>
              <w:t>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tc>
        <w:tc>
          <w:tcPr>
            <w:tcW w:w="1012"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Consultants</w:t>
            </w:r>
          </w:p>
          <w:p>
            <w:pPr>
              <w:pStyle w:val="style0"/>
              <w:ind w:left="7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r>
      <w:bookmarkEnd w:id="10"/>
    </w:tbl>
    <w:p>
      <w:pPr>
        <w:pStyle w:val="style0"/>
        <w:spacing w:after="200" w:lineRule="auto" w:line="276"/>
        <w:jc w:val="both"/>
        <w:contextualSpacing/>
        <w:rPr>
          <w:sz w:val="23"/>
          <w:szCs w:val="23"/>
          <w:lang w:val="en-US" w:eastAsia="en-US"/>
        </w:rPr>
      </w:pPr>
    </w:p>
    <w:p>
      <w:pPr>
        <w:pStyle w:val="style0"/>
        <w:spacing w:after="200" w:lineRule="auto" w:line="276"/>
        <w:jc w:val="both"/>
        <w:contextualSpacing/>
        <w:rPr>
          <w:sz w:val="22"/>
          <w:szCs w:val="22"/>
        </w:rPr>
      </w:pPr>
      <w:r>
        <w:rPr>
          <w:sz w:val="22"/>
          <w:szCs w:val="22"/>
        </w:rPr>
        <w:t xml:space="preserve">L’entité de mise en œuvre du projet (UP), ou toute entité participant à la mise en œuvre, ne publiera aucune demande d’appel d’offres (DAO) d’une activité assujettie à étude d’impact environnemental et social (EIES), sans que le plan de gestion environnementale et sociale (PGES) de la phase des travaux n’y ait été inséré et, ne donnera l’ordre de démarrage desdits travaux avant que le </w:t>
      </w:r>
      <w:r>
        <w:rPr>
          <w:sz w:val="22"/>
          <w:szCs w:val="22"/>
        </w:rPr>
        <w:t>PGES de l’entreprise contracté</w:t>
      </w:r>
      <w:r>
        <w:rPr>
          <w:sz w:val="22"/>
          <w:szCs w:val="22"/>
        </w:rPr>
        <w:t>e</w:t>
      </w:r>
      <w:r>
        <w:rPr>
          <w:sz w:val="22"/>
          <w:szCs w:val="22"/>
        </w:rPr>
        <w:t xml:space="preserve"> (PGES chantier) n’ait été approuvé et intégré dans le planning global des travaux.</w:t>
      </w:r>
    </w:p>
    <w:p>
      <w:pPr>
        <w:pStyle w:val="style0"/>
        <w:spacing w:after="200" w:lineRule="auto" w:line="276"/>
        <w:jc w:val="both"/>
        <w:contextualSpacing/>
        <w:rPr>
          <w:b/>
          <w:i/>
          <w:sz w:val="22"/>
          <w:szCs w:val="22"/>
          <w:lang w:val="fr-CA" w:eastAsia="en-US"/>
        </w:rPr>
      </w:pPr>
    </w:p>
    <w:p>
      <w:pPr>
        <w:pStyle w:val="style0"/>
        <w:spacing w:after="200" w:lineRule="auto" w:line="276"/>
        <w:jc w:val="both"/>
        <w:contextualSpacing/>
        <w:rPr>
          <w:b/>
          <w:i/>
          <w:sz w:val="22"/>
          <w:szCs w:val="22"/>
          <w:lang w:eastAsia="en-US"/>
        </w:rPr>
      </w:pPr>
      <w:r>
        <w:rPr>
          <w:sz w:val="22"/>
          <w:szCs w:val="22"/>
          <w:lang w:val="fr-CA" w:eastAsia="en-US"/>
        </w:rPr>
        <w:t xml:space="preserve">Les rôles et responsabilités tels que décrits ci-dessus sont intégrés dans le manuel d’exécution du projet (MEP). </w:t>
      </w:r>
    </w:p>
    <w:p>
      <w:pPr>
        <w:pStyle w:val="style0"/>
        <w:autoSpaceDE w:val="false"/>
        <w:autoSpaceDN w:val="false"/>
        <w:adjustRightInd w:val="false"/>
        <w:spacing w:after="160" w:lineRule="auto" w:line="259"/>
        <w:jc w:val="both"/>
        <w:rPr>
          <w:b/>
          <w:color w:val="000000"/>
          <w:sz w:val="23"/>
          <w:szCs w:val="23"/>
        </w:rPr>
      </w:pPr>
    </w:p>
    <w:p>
      <w:pPr>
        <w:pStyle w:val="style0"/>
        <w:numPr>
          <w:ilvl w:val="1"/>
          <w:numId w:val="2"/>
        </w:numPr>
        <w:autoSpaceDE w:val="false"/>
        <w:autoSpaceDN w:val="false"/>
        <w:adjustRightInd w:val="false"/>
        <w:spacing w:after="160" w:lineRule="auto" w:line="259"/>
        <w:jc w:val="both"/>
        <w:rPr>
          <w:b/>
          <w:color w:val="000000"/>
          <w:sz w:val="23"/>
          <w:szCs w:val="23"/>
        </w:rPr>
      </w:pPr>
      <w:r>
        <w:rPr>
          <w:b/>
          <w:color w:val="000000"/>
          <w:sz w:val="23"/>
          <w:szCs w:val="23"/>
        </w:rPr>
        <w:t xml:space="preserve">Budget global estimatif prévu pour la mise en œuvre des mesures environnementales </w:t>
      </w:r>
    </w:p>
    <w:p>
      <w:pPr>
        <w:pStyle w:val="style0"/>
        <w:jc w:val="both"/>
        <w:rPr>
          <w:sz w:val="22"/>
          <w:szCs w:val="22"/>
          <w:lang w:eastAsia="en-US"/>
        </w:rPr>
      </w:pPr>
      <w:r>
        <w:rPr>
          <w:rFonts w:eastAsia="Calibri"/>
          <w:sz w:val="22"/>
          <w:szCs w:val="22"/>
        </w:rPr>
        <w:t xml:space="preserve">Les coûts des mesures environnementales sont d’un montant global de </w:t>
      </w:r>
      <w:r>
        <w:rPr>
          <w:rFonts w:eastAsia="Calibri"/>
          <w:b/>
          <w:sz w:val="22"/>
          <w:szCs w:val="22"/>
        </w:rPr>
        <w:t>699</w:t>
      </w:r>
      <w:r>
        <w:rPr>
          <w:rFonts w:eastAsia="Calibri"/>
          <w:b/>
          <w:sz w:val="22"/>
          <w:szCs w:val="22"/>
        </w:rPr>
        <w:t xml:space="preserve"> </w:t>
      </w:r>
      <w:r>
        <w:rPr>
          <w:rFonts w:eastAsia="Calibri"/>
          <w:b/>
          <w:sz w:val="22"/>
          <w:szCs w:val="22"/>
        </w:rPr>
        <w:t xml:space="preserve">000 000 FCFA, soit </w:t>
      </w:r>
      <w:r>
        <w:rPr>
          <w:color w:val="000000"/>
          <w:sz w:val="22"/>
          <w:szCs w:val="22"/>
        </w:rPr>
        <w:t xml:space="preserve"> </w:t>
      </w:r>
      <w:r>
        <w:rPr>
          <w:b/>
          <w:color w:val="000000"/>
          <w:sz w:val="22"/>
          <w:szCs w:val="22"/>
        </w:rPr>
        <w:t>1 196 918</w:t>
      </w:r>
      <w:r>
        <w:rPr>
          <w:color w:val="000000"/>
          <w:sz w:val="22"/>
          <w:szCs w:val="22"/>
        </w:rPr>
        <w:t xml:space="preserve"> </w:t>
      </w:r>
      <w:r>
        <w:rPr>
          <w:b/>
          <w:color w:val="000000"/>
          <w:sz w:val="22"/>
          <w:szCs w:val="22"/>
        </w:rPr>
        <w:t>$US</w:t>
      </w:r>
      <w:r>
        <w:rPr>
          <w:color w:val="000000"/>
          <w:sz w:val="22"/>
          <w:szCs w:val="22"/>
        </w:rPr>
        <w:t xml:space="preserve"> </w:t>
      </w:r>
      <w:r>
        <w:rPr>
          <w:rFonts w:eastAsia="Calibri"/>
          <w:sz w:val="22"/>
          <w:szCs w:val="22"/>
        </w:rPr>
        <w:t>pour les cinq (5) années de mise en œuvre du Programme</w:t>
      </w:r>
      <w:r>
        <w:rPr>
          <w:sz w:val="22"/>
          <w:szCs w:val="22"/>
          <w:lang w:eastAsia="en-US"/>
        </w:rPr>
        <w:t xml:space="preserve"> et comprennent</w:t>
      </w:r>
      <w:r>
        <w:rPr>
          <w:sz w:val="22"/>
          <w:szCs w:val="22"/>
          <w:u w:val="single"/>
          <w:lang w:eastAsia="en-US"/>
        </w:rPr>
        <w:t xml:space="preserve"> : (i) </w:t>
      </w:r>
      <w:r>
        <w:rPr>
          <w:sz w:val="22"/>
          <w:szCs w:val="22"/>
          <w:lang w:eastAsia="en-US"/>
        </w:rPr>
        <w:t>Renforcement institutionnel ; ii) Suivi/Evaluation des activités du programme ; iv) Renforcement des capacités en termes de formation et de sensibilisation des acteurs ; v) Réalisation d’un audit, vi) les provisions pour la réalisation des EIES/NIES, vii) la réalisation de reboisements de compensation.</w:t>
      </w:r>
    </w:p>
    <w:p>
      <w:pPr>
        <w:pStyle w:val="style0"/>
        <w:jc w:val="both"/>
        <w:rPr>
          <w:lang w:eastAsia="en-US"/>
        </w:rPr>
      </w:pPr>
    </w:p>
    <w:p>
      <w:pPr>
        <w:pStyle w:val="style0"/>
        <w:spacing w:after="43"/>
        <w:jc w:val="both"/>
        <w:rPr>
          <w:sz w:val="22"/>
        </w:rPr>
      </w:pPr>
      <w:r>
        <w:rPr>
          <w:sz w:val="22"/>
          <w:szCs w:val="22"/>
        </w:rPr>
        <w:t xml:space="preserve">En définitive, la gestion environnementale et sociale du </w:t>
      </w:r>
      <w:r>
        <w:rPr>
          <w:color w:val="222222"/>
          <w:sz w:val="22"/>
          <w:szCs w:val="22"/>
          <w:lang w:eastAsia="en-US"/>
        </w:rPr>
        <w:t xml:space="preserve">Programme de Développement et de Compétitivité Agricole (PDCA) </w:t>
      </w:r>
      <w:r>
        <w:rPr>
          <w:sz w:val="22"/>
          <w:szCs w:val="22"/>
        </w:rPr>
        <w:t>sera basée sur la mise en œuvre des instruments de sauvegarde à savoir le Cadre de Gestion environnementale et Sociale (CGES), le Plan de Gestion des Pestes (PGP) et le Cadre de Politique de Réinstallation (CPR).</w:t>
      </w:r>
    </w:p>
    <w:p>
      <w:pPr>
        <w:pStyle w:val="style0"/>
        <w:spacing w:lineRule="auto" w:line="276"/>
        <w:jc w:val="both"/>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tabs>
          <w:tab w:val="left" w:leader="none" w:pos="1470"/>
        </w:tabs>
        <w:rPr>
          <w:sz w:val="22"/>
          <w:szCs w:val="22"/>
          <w:lang w:eastAsia="en-US"/>
        </w:rPr>
      </w:pPr>
    </w:p>
    <w:p>
      <w:pPr>
        <w:pStyle w:val="style0"/>
        <w:rPr>
          <w:b/>
          <w:bCs/>
          <w:color w:val="000000"/>
          <w:szCs w:val="20"/>
        </w:rPr>
      </w:pPr>
      <w:r>
        <w:br w:type="page"/>
      </w:r>
    </w:p>
    <w:bookmarkStart w:id="11" w:name="_Toc2780458"/>
    <w:p>
      <w:pPr>
        <w:pStyle w:val="style1"/>
        <w:rPr>
          <w:lang w:val="en-US"/>
        </w:rPr>
      </w:pPr>
      <w:r>
        <w:rPr>
          <w:lang w:val="en-US"/>
        </w:rPr>
        <w:t>EXECUTIVE SUMMARY</w:t>
      </w:r>
      <w:bookmarkEnd w:id="11"/>
    </w:p>
    <w:p>
      <w:pPr>
        <w:pStyle w:val="style179"/>
        <w:ind w:left="1440"/>
        <w:rPr>
          <w:sz w:val="23"/>
          <w:szCs w:val="23"/>
          <w:lang w:val="en-US"/>
        </w:rPr>
      </w:pPr>
    </w:p>
    <w:p>
      <w:pPr>
        <w:pStyle w:val="style179"/>
        <w:numPr>
          <w:ilvl w:val="1"/>
          <w:numId w:val="78"/>
        </w:numPr>
        <w:rPr>
          <w:b/>
          <w:bCs/>
          <w:lang w:val="en-US"/>
        </w:rPr>
      </w:pPr>
      <w:r>
        <w:rPr>
          <w:b/>
          <w:sz w:val="22"/>
          <w:szCs w:val="22"/>
          <w:lang w:val="en-CA"/>
        </w:rPr>
        <w:t>B</w:t>
      </w:r>
      <w:r>
        <w:rPr>
          <w:b/>
          <w:bCs/>
          <w:lang w:val="en-US"/>
        </w:rPr>
        <w:t xml:space="preserve">rief description of the </w:t>
      </w:r>
      <w:r>
        <w:rPr>
          <w:b/>
          <w:bCs/>
          <w:lang w:val="en-US"/>
        </w:rPr>
        <w:t>pro</w:t>
      </w:r>
      <w:r>
        <w:rPr>
          <w:b/>
          <w:bCs/>
          <w:lang w:val="en-US"/>
        </w:rPr>
        <w:t>gram</w:t>
      </w:r>
    </w:p>
    <w:p>
      <w:pPr>
        <w:pStyle w:val="style0"/>
        <w:spacing w:after="160" w:lineRule="atLeast" w:line="238"/>
        <w:jc w:val="both"/>
        <w:rPr>
          <w:sz w:val="22"/>
          <w:szCs w:val="22"/>
          <w:lang w:val="en-US"/>
        </w:rPr>
      </w:pPr>
      <w:r>
        <w:rPr>
          <w:sz w:val="22"/>
          <w:szCs w:val="22"/>
          <w:lang w:val="en-US"/>
        </w:rPr>
        <w:t>The overall objective of the Agricultural Development and Competitiveness Program (PDCA) is to contribute to the structural transformation of the agricultural sector in order to boost economic growth, improve the competitiveness of promising sectors and ensure sustainable food and nutritional security.</w:t>
      </w:r>
    </w:p>
    <w:p>
      <w:pPr>
        <w:pStyle w:val="style0"/>
        <w:spacing w:after="160" w:lineRule="atLeast" w:line="238"/>
        <w:jc w:val="both"/>
        <w:rPr>
          <w:sz w:val="22"/>
          <w:szCs w:val="22"/>
          <w:lang w:val="en-US"/>
        </w:rPr>
      </w:pPr>
      <w:r>
        <w:rPr>
          <w:sz w:val="22"/>
          <w:szCs w:val="22"/>
          <w:lang w:val="en-US"/>
        </w:rPr>
        <w:t xml:space="preserve">The program's development objective is to increase agricultural productivity and market access for small producers and small and medium-size enterprises (SMEs) in the targeted value chains in the </w:t>
      </w:r>
      <w:r>
        <w:rPr>
          <w:sz w:val="22"/>
          <w:szCs w:val="22"/>
          <w:lang w:val="en-US"/>
        </w:rPr>
        <w:t>Pro</w:t>
      </w:r>
      <w:r>
        <w:rPr>
          <w:sz w:val="22"/>
          <w:szCs w:val="22"/>
          <w:lang w:val="en-US"/>
        </w:rPr>
        <w:t xml:space="preserve">gram </w:t>
      </w:r>
      <w:r>
        <w:rPr>
          <w:sz w:val="22"/>
          <w:szCs w:val="22"/>
          <w:lang w:val="en-US"/>
        </w:rPr>
        <w:t>intervention area.</w:t>
      </w:r>
    </w:p>
    <w:p>
      <w:pPr>
        <w:pStyle w:val="style0"/>
        <w:spacing w:after="160" w:lineRule="atLeast" w:line="238"/>
        <w:jc w:val="both"/>
        <w:rPr>
          <w:sz w:val="22"/>
          <w:szCs w:val="22"/>
          <w:lang w:val="en-US"/>
        </w:rPr>
      </w:pPr>
      <w:r>
        <w:rPr>
          <w:sz w:val="22"/>
          <w:szCs w:val="22"/>
          <w:lang w:val="en-US"/>
        </w:rPr>
        <w:t>The program will cover four regions with high potential for developable land and water reservoirs with rice, maize, tomato, onion and fruit tree as main target sectors. In addition to these sectors, agricultural diversification crops such as cowpeas, cashews and sesame will benefit from the services and facilities for market access, processing and marketing of agricultural products set up by the Program.</w:t>
      </w:r>
    </w:p>
    <w:p>
      <w:pPr>
        <w:pStyle w:val="style0"/>
        <w:jc w:val="both"/>
        <w:rPr>
          <w:sz w:val="27"/>
          <w:szCs w:val="27"/>
          <w:lang w:val="en-US"/>
        </w:rPr>
      </w:pPr>
      <w:r>
        <w:rPr>
          <w:sz w:val="22"/>
          <w:szCs w:val="22"/>
          <w:lang w:val="en-US"/>
        </w:rPr>
        <w:t>From a component point of view, the</w:t>
      </w:r>
      <w:r>
        <w:rPr>
          <w:sz w:val="27"/>
          <w:szCs w:val="27"/>
          <w:lang w:val="en-US"/>
        </w:rPr>
        <w:t> </w:t>
      </w:r>
      <w:r>
        <w:rPr>
          <w:sz w:val="22"/>
          <w:szCs w:val="22"/>
          <w:lang w:val="en-US"/>
        </w:rPr>
        <w:t>program</w:t>
      </w:r>
      <w:r>
        <w:rPr>
          <w:sz w:val="27"/>
          <w:szCs w:val="27"/>
          <w:lang w:val="en-US"/>
        </w:rPr>
        <w:t> </w:t>
      </w:r>
      <w:r>
        <w:rPr>
          <w:sz w:val="22"/>
          <w:szCs w:val="22"/>
          <w:lang w:val="en-US"/>
        </w:rPr>
        <w:t>is</w:t>
      </w:r>
      <w:r>
        <w:rPr>
          <w:sz w:val="27"/>
          <w:szCs w:val="27"/>
          <w:lang w:val="en-US"/>
        </w:rPr>
        <w:t> </w:t>
      </w:r>
      <w:r>
        <w:rPr>
          <w:sz w:val="22"/>
          <w:szCs w:val="22"/>
          <w:lang w:val="en-US"/>
        </w:rPr>
        <w:t>structured</w:t>
      </w:r>
      <w:r>
        <w:rPr>
          <w:sz w:val="27"/>
          <w:szCs w:val="27"/>
          <w:lang w:val="en-US"/>
        </w:rPr>
        <w:t> </w:t>
      </w:r>
      <w:r>
        <w:rPr>
          <w:sz w:val="22"/>
          <w:szCs w:val="22"/>
          <w:lang w:val="en-US"/>
        </w:rPr>
        <w:t>as follows</w:t>
      </w:r>
      <w:r>
        <w:rPr>
          <w:sz w:val="27"/>
          <w:szCs w:val="27"/>
          <w:lang w:val="en-US"/>
        </w:rPr>
        <w:t>:</w:t>
      </w:r>
    </w:p>
    <w:p>
      <w:pPr>
        <w:pStyle w:val="style0"/>
        <w:numPr>
          <w:ilvl w:val="0"/>
          <w:numId w:val="11"/>
        </w:numPr>
        <w:spacing w:after="160" w:lineRule="auto" w:line="259"/>
        <w:ind w:left="161" w:firstLine="0"/>
        <w:jc w:val="both"/>
        <w:rPr>
          <w:sz w:val="22"/>
          <w:szCs w:val="22"/>
          <w:lang w:val="en-US"/>
        </w:rPr>
      </w:pPr>
      <w:r>
        <w:rPr>
          <w:b/>
          <w:bCs/>
          <w:i/>
          <w:iCs/>
          <w:sz w:val="22"/>
          <w:szCs w:val="22"/>
          <w:lang w:val="en-US"/>
        </w:rPr>
        <w:t>Component</w:t>
      </w:r>
      <w:r>
        <w:rPr>
          <w:sz w:val="22"/>
          <w:szCs w:val="22"/>
          <w:lang w:val="en-US"/>
        </w:rPr>
        <w:t> </w:t>
      </w:r>
      <w:r>
        <w:rPr>
          <w:b/>
          <w:bCs/>
          <w:i/>
          <w:iCs/>
          <w:sz w:val="22"/>
          <w:szCs w:val="22"/>
          <w:lang w:val="en-US"/>
        </w:rPr>
        <w:t>A</w:t>
      </w:r>
      <w:r>
        <w:rPr>
          <w:sz w:val="22"/>
          <w:szCs w:val="22"/>
          <w:lang w:val="en-US"/>
        </w:rPr>
        <w:t>:</w:t>
      </w:r>
      <w:r>
        <w:rPr>
          <w:b/>
          <w:bCs/>
          <w:i/>
          <w:iCs/>
          <w:sz w:val="22"/>
          <w:szCs w:val="22"/>
          <w:lang w:val="en-US"/>
        </w:rPr>
        <w:t xml:space="preserve"> Improving Agricultural Productivity and Production</w:t>
      </w:r>
      <w:r>
        <w:rPr>
          <w:sz w:val="22"/>
          <w:szCs w:val="22"/>
          <w:lang w:val="en-US"/>
        </w:rPr>
        <w:t>;</w:t>
      </w:r>
    </w:p>
    <w:p>
      <w:pPr>
        <w:pStyle w:val="style0"/>
        <w:numPr>
          <w:ilvl w:val="0"/>
          <w:numId w:val="11"/>
        </w:numPr>
        <w:spacing w:after="160" w:lineRule="auto" w:line="259"/>
        <w:ind w:left="161" w:firstLine="0"/>
        <w:jc w:val="both"/>
        <w:rPr>
          <w:sz w:val="22"/>
          <w:szCs w:val="22"/>
          <w:lang w:val="en-US"/>
        </w:rPr>
      </w:pPr>
      <w:r>
        <w:rPr>
          <w:b/>
          <w:bCs/>
          <w:i/>
          <w:iCs/>
          <w:sz w:val="22"/>
          <w:szCs w:val="22"/>
          <w:lang w:val="en-US"/>
        </w:rPr>
        <w:t>Component</w:t>
      </w:r>
      <w:r>
        <w:rPr>
          <w:sz w:val="22"/>
          <w:szCs w:val="22"/>
          <w:lang w:val="en-US"/>
        </w:rPr>
        <w:t> </w:t>
      </w:r>
      <w:r>
        <w:rPr>
          <w:b/>
          <w:bCs/>
          <w:i/>
          <w:iCs/>
          <w:sz w:val="22"/>
          <w:szCs w:val="22"/>
          <w:lang w:val="en-US"/>
        </w:rPr>
        <w:t>B</w:t>
      </w:r>
      <w:r>
        <w:rPr>
          <w:sz w:val="22"/>
          <w:szCs w:val="22"/>
          <w:lang w:val="en-US"/>
        </w:rPr>
        <w:t>:</w:t>
      </w:r>
      <w:r>
        <w:rPr>
          <w:b/>
          <w:bCs/>
          <w:i/>
          <w:iCs/>
          <w:sz w:val="22"/>
          <w:szCs w:val="22"/>
          <w:lang w:val="en-US"/>
        </w:rPr>
        <w:t xml:space="preserve"> Improving Market Access and Supporting Private Investment</w:t>
      </w:r>
      <w:r>
        <w:rPr>
          <w:sz w:val="22"/>
          <w:szCs w:val="22"/>
          <w:lang w:val="en-US"/>
        </w:rPr>
        <w:t>;</w:t>
      </w:r>
    </w:p>
    <w:p>
      <w:pPr>
        <w:pStyle w:val="style0"/>
        <w:numPr>
          <w:ilvl w:val="0"/>
          <w:numId w:val="11"/>
        </w:numPr>
        <w:spacing w:after="160" w:lineRule="auto" w:line="259"/>
        <w:ind w:left="161" w:firstLine="0"/>
        <w:jc w:val="both"/>
        <w:rPr>
          <w:sz w:val="22"/>
          <w:szCs w:val="22"/>
          <w:lang w:val="en-US"/>
        </w:rPr>
      </w:pPr>
      <w:r>
        <w:rPr>
          <w:b/>
          <w:bCs/>
          <w:i/>
          <w:iCs/>
          <w:sz w:val="22"/>
          <w:szCs w:val="22"/>
          <w:lang w:val="en-US"/>
        </w:rPr>
        <w:t>Component C: Crisis Prevention and Management, Project Coordination and Monitoring and Evaluation.</w:t>
      </w:r>
    </w:p>
    <w:p>
      <w:pPr>
        <w:pStyle w:val="style0"/>
        <w:spacing w:after="160" w:lineRule="atLeast" w:line="238"/>
        <w:ind w:left="161"/>
        <w:jc w:val="both"/>
        <w:rPr>
          <w:sz w:val="22"/>
          <w:szCs w:val="22"/>
          <w:lang w:val="en-US"/>
        </w:rPr>
      </w:pPr>
    </w:p>
    <w:p>
      <w:pPr>
        <w:pStyle w:val="style0"/>
        <w:spacing w:after="160" w:lineRule="atLeast" w:line="238"/>
        <w:jc w:val="both"/>
        <w:rPr>
          <w:sz w:val="22"/>
          <w:szCs w:val="22"/>
          <w:lang w:val="en-US"/>
        </w:rPr>
      </w:pPr>
      <w:r>
        <w:rPr>
          <w:sz w:val="22"/>
          <w:szCs w:val="22"/>
          <w:lang w:val="en-US"/>
        </w:rPr>
        <w:t>Several sub-projects will allow the program to be operational. They include the following subprojects   : i) </w:t>
      </w:r>
      <w:r>
        <w:rPr>
          <w:i/>
          <w:iCs/>
          <w:sz w:val="22"/>
          <w:szCs w:val="22"/>
          <w:lang w:val="en-US"/>
        </w:rPr>
        <w:t xml:space="preserve">sub-project </w:t>
      </w:r>
      <w:r>
        <w:rPr>
          <w:sz w:val="22"/>
          <w:szCs w:val="22"/>
          <w:lang w:val="en-US"/>
        </w:rPr>
        <w:t> “</w:t>
      </w:r>
      <w:r>
        <w:rPr>
          <w:i/>
          <w:iCs/>
          <w:sz w:val="22"/>
          <w:szCs w:val="22"/>
          <w:lang w:val="en-US"/>
        </w:rPr>
        <w:t>Creation of orchards"</w:t>
      </w:r>
      <w:r>
        <w:rPr>
          <w:sz w:val="22"/>
          <w:szCs w:val="22"/>
          <w:lang w:val="en-US"/>
        </w:rPr>
        <w:t> </w:t>
      </w:r>
      <w:r>
        <w:rPr>
          <w:i/>
          <w:iCs/>
          <w:sz w:val="22"/>
          <w:szCs w:val="22"/>
          <w:lang w:val="en-US"/>
        </w:rPr>
        <w:t>, ii)</w:t>
      </w:r>
      <w:r>
        <w:rPr>
          <w:sz w:val="22"/>
          <w:szCs w:val="22"/>
          <w:lang w:val="en-US"/>
        </w:rPr>
        <w:t> </w:t>
      </w:r>
      <w:r>
        <w:rPr>
          <w:i/>
          <w:iCs/>
          <w:sz w:val="22"/>
          <w:szCs w:val="22"/>
          <w:lang w:val="en-US"/>
        </w:rPr>
        <w:t>subproject </w:t>
      </w:r>
      <w:r>
        <w:rPr>
          <w:sz w:val="22"/>
          <w:szCs w:val="22"/>
          <w:lang w:val="en-US"/>
        </w:rPr>
        <w:t> “</w:t>
      </w:r>
      <w:r>
        <w:rPr>
          <w:i/>
          <w:iCs/>
          <w:sz w:val="22"/>
          <w:szCs w:val="22"/>
          <w:lang w:val="en-US"/>
        </w:rPr>
        <w:t>Creation and operation of hydro-agricultural developments"</w:t>
      </w:r>
      <w:r>
        <w:rPr>
          <w:sz w:val="22"/>
          <w:szCs w:val="22"/>
          <w:lang w:val="en-US"/>
        </w:rPr>
        <w:t> </w:t>
      </w:r>
      <w:r>
        <w:rPr>
          <w:i/>
          <w:iCs/>
          <w:sz w:val="22"/>
          <w:szCs w:val="22"/>
          <w:lang w:val="en-US"/>
        </w:rPr>
        <w:t>(iii)sub-project </w:t>
      </w:r>
      <w:r>
        <w:rPr>
          <w:sz w:val="22"/>
          <w:szCs w:val="22"/>
          <w:lang w:val="en-US"/>
        </w:rPr>
        <w:t> “</w:t>
      </w:r>
      <w:r>
        <w:rPr>
          <w:i/>
          <w:iCs/>
          <w:sz w:val="22"/>
          <w:szCs w:val="22"/>
          <w:lang w:val="en-US"/>
        </w:rPr>
        <w:t>Creation of conservation and processing units for agricultural products" iv)</w:t>
      </w:r>
      <w:r>
        <w:rPr>
          <w:sz w:val="22"/>
          <w:szCs w:val="22"/>
          <w:lang w:val="en-US"/>
        </w:rPr>
        <w:t> </w:t>
      </w:r>
      <w:r>
        <w:rPr>
          <w:i/>
          <w:iCs/>
          <w:sz w:val="22"/>
          <w:szCs w:val="22"/>
          <w:lang w:val="en-US"/>
        </w:rPr>
        <w:t>Sub-project </w:t>
      </w:r>
      <w:r>
        <w:rPr>
          <w:sz w:val="22"/>
          <w:szCs w:val="22"/>
          <w:lang w:val="en-US"/>
        </w:rPr>
        <w:t> “</w:t>
      </w:r>
      <w:r>
        <w:rPr>
          <w:i/>
          <w:iCs/>
          <w:sz w:val="22"/>
          <w:szCs w:val="22"/>
          <w:lang w:val="en-US"/>
        </w:rPr>
        <w:t>Support to agricultural services"</w:t>
      </w:r>
      <w:r>
        <w:rPr>
          <w:sz w:val="22"/>
          <w:szCs w:val="22"/>
          <w:lang w:val="en-US"/>
        </w:rPr>
        <w:t> </w:t>
      </w:r>
      <w:r>
        <w:rPr>
          <w:i/>
          <w:iCs/>
          <w:sz w:val="22"/>
          <w:szCs w:val="22"/>
          <w:lang w:val="en-US"/>
        </w:rPr>
        <w:t>, v)</w:t>
      </w:r>
      <w:r>
        <w:rPr>
          <w:sz w:val="22"/>
          <w:szCs w:val="22"/>
          <w:lang w:val="en-US"/>
        </w:rPr>
        <w:t> </w:t>
      </w:r>
      <w:r>
        <w:rPr>
          <w:i/>
          <w:iCs/>
          <w:sz w:val="22"/>
          <w:szCs w:val="22"/>
          <w:lang w:val="en-US"/>
        </w:rPr>
        <w:t>subproject   "</w:t>
      </w:r>
      <w:r>
        <w:rPr>
          <w:sz w:val="22"/>
          <w:szCs w:val="22"/>
          <w:lang w:val="en-US"/>
        </w:rPr>
        <w:t> </w:t>
      </w:r>
      <w:r>
        <w:rPr>
          <w:i/>
          <w:iCs/>
          <w:sz w:val="22"/>
          <w:szCs w:val="22"/>
          <w:lang w:val="en-US"/>
        </w:rPr>
        <w:t xml:space="preserve">Strengthening the road network” vi) subproject   </w:t>
      </w:r>
      <w:r>
        <w:rPr>
          <w:sz w:val="22"/>
          <w:szCs w:val="22"/>
          <w:lang w:val="en-US"/>
        </w:rPr>
        <w:t>" Support to private sector financing”.</w:t>
      </w:r>
    </w:p>
    <w:p>
      <w:pPr>
        <w:pStyle w:val="style0"/>
        <w:spacing w:after="160" w:lineRule="atLeast" w:line="248"/>
        <w:jc w:val="both"/>
        <w:rPr>
          <w:sz w:val="23"/>
          <w:szCs w:val="23"/>
          <w:lang w:val="en-US"/>
        </w:rPr>
      </w:pPr>
      <w:r>
        <w:rPr>
          <w:sz w:val="23"/>
          <w:szCs w:val="23"/>
          <w:lang w:val="en-US"/>
        </w:rPr>
        <w:t> </w:t>
      </w:r>
    </w:p>
    <w:p>
      <w:pPr>
        <w:pStyle w:val="style0"/>
        <w:numPr>
          <w:ilvl w:val="0"/>
          <w:numId w:val="40"/>
        </w:numPr>
        <w:spacing w:after="160" w:lineRule="atLeast" w:line="248"/>
        <w:ind w:left="621" w:firstLine="0"/>
        <w:jc w:val="both"/>
        <w:rPr>
          <w:b/>
          <w:bCs/>
          <w:sz w:val="23"/>
          <w:szCs w:val="23"/>
          <w:lang w:val="en-US"/>
        </w:rPr>
      </w:pPr>
      <w:r>
        <w:rPr>
          <w:b/>
          <w:bCs/>
          <w:sz w:val="23"/>
          <w:szCs w:val="23"/>
          <w:lang w:val="en-US"/>
        </w:rPr>
        <w:t>Brief description of the major environmental and social issues and risks in the areas where the sub-projects may be located</w:t>
      </w:r>
    </w:p>
    <w:p>
      <w:pPr>
        <w:pStyle w:val="style0"/>
        <w:spacing w:after="160" w:lineRule="atLeast" w:line="238"/>
        <w:jc w:val="both"/>
        <w:rPr>
          <w:sz w:val="22"/>
          <w:szCs w:val="22"/>
          <w:lang w:val="en-US"/>
        </w:rPr>
      </w:pPr>
      <w:r>
        <w:rPr>
          <w:sz w:val="22"/>
          <w:szCs w:val="22"/>
          <w:lang w:val="en-US"/>
        </w:rPr>
        <w:t>The environmental, social and risk issues in potential areas of implementation of sub-projects are mainly:</w:t>
      </w:r>
    </w:p>
    <w:p>
      <w:pPr>
        <w:pStyle w:val="style0"/>
        <w:spacing w:after="160" w:lineRule="atLeast" w:line="238"/>
        <w:ind w:left="786" w:hanging="360"/>
        <w:jc w:val="both"/>
        <w:rPr>
          <w:sz w:val="22"/>
          <w:szCs w:val="22"/>
          <w:lang w:val="en-US"/>
        </w:rPr>
      </w:pPr>
      <w:r>
        <w:rPr>
          <w:sz w:val="22"/>
          <w:szCs w:val="22"/>
          <w:lang w:val="en-US"/>
        </w:rPr>
        <w:t>- </w:t>
      </w:r>
      <w:r>
        <w:rPr>
          <w:sz w:val="14"/>
          <w:szCs w:val="14"/>
          <w:lang w:val="en-US"/>
        </w:rPr>
        <w:t>          </w:t>
      </w:r>
      <w:r>
        <w:rPr>
          <w:sz w:val="22"/>
          <w:szCs w:val="22"/>
          <w:lang w:val="en-US"/>
        </w:rPr>
        <w:t>demographic evolution;</w:t>
      </w:r>
    </w:p>
    <w:p>
      <w:pPr>
        <w:pStyle w:val="style0"/>
        <w:spacing w:after="160" w:lineRule="atLeast" w:line="238"/>
        <w:ind w:left="786" w:hanging="360"/>
        <w:jc w:val="both"/>
        <w:rPr>
          <w:sz w:val="22"/>
          <w:szCs w:val="22"/>
          <w:lang w:val="en-US"/>
        </w:rPr>
      </w:pPr>
      <w:r>
        <w:rPr>
          <w:sz w:val="22"/>
          <w:szCs w:val="22"/>
          <w:lang w:val="en-US"/>
        </w:rPr>
        <w:t>- </w:t>
      </w:r>
      <w:r>
        <w:rPr>
          <w:sz w:val="14"/>
          <w:szCs w:val="14"/>
          <w:lang w:val="en-US"/>
        </w:rPr>
        <w:t>          </w:t>
      </w:r>
      <w:r>
        <w:rPr>
          <w:sz w:val="22"/>
          <w:szCs w:val="22"/>
          <w:lang w:val="en-US"/>
        </w:rPr>
        <w:t>land issues;</w:t>
      </w:r>
    </w:p>
    <w:p>
      <w:pPr>
        <w:pStyle w:val="style0"/>
        <w:spacing w:after="160" w:lineRule="atLeast" w:line="238"/>
        <w:ind w:left="786" w:hanging="360"/>
        <w:jc w:val="both"/>
        <w:rPr>
          <w:sz w:val="22"/>
          <w:szCs w:val="22"/>
          <w:lang w:val="en-US"/>
        </w:rPr>
      </w:pPr>
      <w:r>
        <w:rPr>
          <w:sz w:val="22"/>
          <w:szCs w:val="22"/>
          <w:lang w:val="en-US"/>
        </w:rPr>
        <w:t>- </w:t>
      </w:r>
      <w:r>
        <w:rPr>
          <w:sz w:val="14"/>
          <w:szCs w:val="14"/>
          <w:lang w:val="en-US"/>
        </w:rPr>
        <w:t>          </w:t>
      </w:r>
      <w:r>
        <w:rPr>
          <w:sz w:val="22"/>
          <w:szCs w:val="22"/>
          <w:lang w:val="en-US"/>
        </w:rPr>
        <w:t>the level of poverty;</w:t>
      </w:r>
    </w:p>
    <w:p>
      <w:pPr>
        <w:pStyle w:val="style0"/>
        <w:spacing w:after="160" w:lineRule="atLeast" w:line="238"/>
        <w:ind w:left="786" w:hanging="360"/>
        <w:jc w:val="both"/>
        <w:rPr>
          <w:sz w:val="22"/>
          <w:szCs w:val="22"/>
          <w:lang w:val="en-US"/>
        </w:rPr>
      </w:pPr>
      <w:r>
        <w:rPr>
          <w:sz w:val="22"/>
          <w:szCs w:val="22"/>
          <w:lang w:val="en-US"/>
        </w:rPr>
        <w:t>- </w:t>
      </w:r>
      <w:r>
        <w:rPr>
          <w:sz w:val="14"/>
          <w:szCs w:val="14"/>
          <w:lang w:val="en-US"/>
        </w:rPr>
        <w:t>          </w:t>
      </w:r>
      <w:r>
        <w:rPr>
          <w:sz w:val="22"/>
          <w:szCs w:val="22"/>
          <w:lang w:val="en-US"/>
        </w:rPr>
        <w:t>the constraints on the state of the road network.</w:t>
      </w:r>
    </w:p>
    <w:p>
      <w:pPr>
        <w:pStyle w:val="style0"/>
        <w:numPr>
          <w:ilvl w:val="0"/>
          <w:numId w:val="104"/>
        </w:numPr>
        <w:spacing w:after="160" w:lineRule="atLeast" w:line="248"/>
        <w:ind w:left="621" w:firstLine="0"/>
        <w:jc w:val="both"/>
        <w:rPr>
          <w:b/>
          <w:bCs/>
          <w:sz w:val="23"/>
          <w:szCs w:val="23"/>
          <w:lang w:val="en-US"/>
        </w:rPr>
      </w:pPr>
      <w:r>
        <w:rPr>
          <w:b/>
          <w:bCs/>
          <w:sz w:val="23"/>
          <w:szCs w:val="23"/>
          <w:lang w:val="en-US"/>
        </w:rPr>
        <w:t>Legal and institutional framework of environmental and social assessments of the country</w:t>
      </w:r>
    </w:p>
    <w:p>
      <w:pPr>
        <w:pStyle w:val="style0"/>
        <w:spacing w:after="160" w:lineRule="atLeast" w:line="238"/>
        <w:jc w:val="both"/>
        <w:rPr>
          <w:sz w:val="22"/>
          <w:szCs w:val="22"/>
          <w:lang w:val="en-US"/>
        </w:rPr>
      </w:pPr>
      <w:r>
        <w:rPr>
          <w:sz w:val="22"/>
          <w:szCs w:val="22"/>
          <w:lang w:val="en-US"/>
        </w:rPr>
        <w:t>Burkina Faso has ratified, at the sub-regional, regional and international levels, numerous conventions and treaties in the context of environmental protection. These different instruments cover almost all areas and range from the fight against desertification to climate change through the management of species and ecosystems of global interest and the fight against pollution and nuisances of all kinds and in particular pollution by pesticides.</w:t>
      </w:r>
    </w:p>
    <w:p>
      <w:pPr>
        <w:pStyle w:val="style0"/>
        <w:spacing w:after="160" w:lineRule="atLeast" w:line="238"/>
        <w:jc w:val="both"/>
        <w:rPr>
          <w:sz w:val="22"/>
          <w:szCs w:val="22"/>
          <w:lang w:val="en-US"/>
        </w:rPr>
      </w:pPr>
      <w:r>
        <w:rPr>
          <w:sz w:val="22"/>
          <w:szCs w:val="22"/>
          <w:lang w:val="en-US"/>
        </w:rPr>
        <w:t>Concomitantly at national level, the country has developed policies, strategic procedures, and legal and regulatory instruments for environmental protection.</w:t>
      </w:r>
    </w:p>
    <w:p>
      <w:pPr>
        <w:pStyle w:val="style0"/>
        <w:jc w:val="both"/>
        <w:rPr>
          <w:sz w:val="27"/>
          <w:szCs w:val="27"/>
          <w:lang w:val="en-US"/>
        </w:rPr>
      </w:pPr>
      <w:r>
        <w:rPr>
          <w:b/>
          <w:bCs/>
          <w:sz w:val="22"/>
          <w:szCs w:val="22"/>
          <w:lang w:val="en-US"/>
        </w:rPr>
        <w:t> </w:t>
      </w:r>
    </w:p>
    <w:p>
      <w:pPr>
        <w:pStyle w:val="style0"/>
        <w:spacing w:after="160" w:lineRule="atLeast" w:line="238"/>
        <w:jc w:val="both"/>
        <w:rPr>
          <w:sz w:val="22"/>
          <w:szCs w:val="22"/>
          <w:lang w:val="en-US"/>
        </w:rPr>
      </w:pPr>
      <w:r>
        <w:rPr>
          <w:sz w:val="22"/>
          <w:szCs w:val="22"/>
          <w:lang w:val="en-US"/>
        </w:rPr>
        <w:t>The country's main reference is the National Economic and Social Development Plan (PNDES) adopted by the Government of Burkina Faso on July 20, 2016, which aims at reforming institutions and modernizing the administration, developing human capital and boosting buoyant sectors for the economy and employment.</w:t>
      </w:r>
    </w:p>
    <w:p>
      <w:pPr>
        <w:pStyle w:val="style0"/>
        <w:spacing w:after="52"/>
        <w:jc w:val="both"/>
        <w:rPr>
          <w:sz w:val="27"/>
          <w:szCs w:val="27"/>
          <w:lang w:val="en-US"/>
        </w:rPr>
      </w:pPr>
      <w:r>
        <w:rPr>
          <w:sz w:val="22"/>
          <w:szCs w:val="22"/>
          <w:lang w:val="en-US"/>
        </w:rPr>
        <w:t> </w:t>
      </w:r>
    </w:p>
    <w:p>
      <w:pPr>
        <w:pStyle w:val="style0"/>
        <w:spacing w:after="52"/>
        <w:jc w:val="both"/>
        <w:rPr>
          <w:sz w:val="27"/>
          <w:szCs w:val="27"/>
          <w:lang w:val="en-US"/>
        </w:rPr>
      </w:pPr>
      <w:r>
        <w:rPr>
          <w:sz w:val="22"/>
          <w:szCs w:val="22"/>
          <w:lang w:val="en-US"/>
        </w:rPr>
        <w:t>By nature, characteristics and scope of work envisaged in the framework of the implementation of the Agricultural Development and Competitiveness Program (PDCA), the program was classified in category  "A”</w:t>
      </w:r>
      <w:r>
        <w:rPr>
          <w:sz w:val="27"/>
          <w:szCs w:val="27"/>
          <w:lang w:val="en-US"/>
        </w:rPr>
        <w:t> </w:t>
      </w:r>
      <w:r>
        <w:rPr>
          <w:sz w:val="22"/>
          <w:szCs w:val="22"/>
          <w:lang w:val="en-US"/>
        </w:rPr>
        <w:t xml:space="preserve"> according to the World Bank's environmental and social categorization criteria and seven (7) </w:t>
      </w:r>
      <w:r>
        <w:rPr>
          <w:sz w:val="22"/>
          <w:szCs w:val="22"/>
          <w:lang w:val="en-US"/>
        </w:rPr>
        <w:t xml:space="preserve">Environmental and Social Safeguards </w:t>
      </w:r>
      <w:r>
        <w:rPr>
          <w:sz w:val="22"/>
          <w:szCs w:val="22"/>
          <w:lang w:val="en-US"/>
        </w:rPr>
        <w:t>are triggered, namely: (i) OP 4.01 "Environmental Assessment"; (ii) OP4.09 " Pest Management"</w:t>
      </w:r>
      <w:r>
        <w:rPr>
          <w:sz w:val="27"/>
          <w:szCs w:val="27"/>
          <w:lang w:val="en-US"/>
        </w:rPr>
        <w:t> </w:t>
      </w:r>
      <w:r>
        <w:rPr>
          <w:sz w:val="22"/>
          <w:szCs w:val="22"/>
          <w:lang w:val="en-US"/>
        </w:rPr>
        <w:t>(iii) OP 4.04  "Natural habitats";</w:t>
      </w:r>
      <w:r>
        <w:rPr>
          <w:sz w:val="27"/>
          <w:szCs w:val="27"/>
          <w:lang w:val="en-US"/>
        </w:rPr>
        <w:t> </w:t>
      </w:r>
      <w:r>
        <w:rPr>
          <w:sz w:val="22"/>
          <w:szCs w:val="22"/>
          <w:lang w:val="en-US"/>
        </w:rPr>
        <w:t xml:space="preserve">(iv) </w:t>
      </w:r>
      <w:r>
        <w:rPr>
          <w:sz w:val="22"/>
          <w:szCs w:val="22"/>
          <w:lang w:val="en-US"/>
        </w:rPr>
        <w:t>OP 4.11</w:t>
      </w:r>
      <w:r>
        <w:rPr>
          <w:sz w:val="27"/>
          <w:szCs w:val="27"/>
          <w:lang w:val="en-US"/>
        </w:rPr>
        <w:t> </w:t>
      </w:r>
      <w:r>
        <w:rPr>
          <w:sz w:val="22"/>
          <w:szCs w:val="22"/>
          <w:lang w:val="en-US"/>
        </w:rPr>
        <w:t>"Physical cultural resources”</w:t>
      </w:r>
      <w:r>
        <w:rPr>
          <w:sz w:val="27"/>
          <w:szCs w:val="27"/>
          <w:lang w:val="en-US"/>
        </w:rPr>
        <w:t> </w:t>
      </w:r>
      <w:r>
        <w:rPr>
          <w:sz w:val="22"/>
          <w:szCs w:val="22"/>
          <w:lang w:val="en-US"/>
        </w:rPr>
        <w:t> </w:t>
      </w:r>
      <w:r>
        <w:rPr>
          <w:sz w:val="27"/>
          <w:szCs w:val="27"/>
          <w:lang w:val="en-US"/>
        </w:rPr>
        <w:t> </w:t>
      </w:r>
      <w:r>
        <w:rPr>
          <w:sz w:val="22"/>
          <w:szCs w:val="22"/>
          <w:lang w:val="en-US"/>
        </w:rPr>
        <w:t>(V) OP 4.37 "Dam safety”</w:t>
      </w:r>
      <w:r>
        <w:rPr>
          <w:sz w:val="27"/>
          <w:szCs w:val="27"/>
          <w:lang w:val="en-US"/>
        </w:rPr>
        <w:t> </w:t>
      </w:r>
      <w:r>
        <w:rPr>
          <w:sz w:val="22"/>
          <w:szCs w:val="22"/>
          <w:lang w:val="en-US"/>
        </w:rPr>
        <w:t> </w:t>
      </w:r>
      <w:r>
        <w:rPr>
          <w:sz w:val="27"/>
          <w:szCs w:val="27"/>
          <w:lang w:val="en-US"/>
        </w:rPr>
        <w:t> </w:t>
      </w:r>
      <w:r>
        <w:rPr>
          <w:sz w:val="22"/>
          <w:szCs w:val="22"/>
          <w:lang w:val="en-US"/>
        </w:rPr>
        <w:t>(Vi) OP 4.12 "Involuntary Resettlement”</w:t>
      </w:r>
      <w:r>
        <w:rPr>
          <w:sz w:val="27"/>
          <w:szCs w:val="27"/>
          <w:lang w:val="en-US"/>
        </w:rPr>
        <w:t> </w:t>
      </w:r>
      <w:r>
        <w:rPr>
          <w:sz w:val="22"/>
          <w:szCs w:val="22"/>
          <w:lang w:val="en-US"/>
        </w:rPr>
        <w:t> </w:t>
      </w:r>
      <w:r>
        <w:rPr>
          <w:sz w:val="27"/>
          <w:szCs w:val="27"/>
          <w:lang w:val="en-US"/>
        </w:rPr>
        <w:t> </w:t>
      </w:r>
      <w:r>
        <w:rPr>
          <w:sz w:val="22"/>
          <w:szCs w:val="22"/>
          <w:lang w:val="en-US"/>
        </w:rPr>
        <w:t>and (vii) OP 7.50  "Projects on international waterways".</w:t>
      </w:r>
    </w:p>
    <w:p>
      <w:pPr>
        <w:pStyle w:val="style0"/>
        <w:spacing w:after="160" w:lineRule="atLeast" w:line="248"/>
        <w:jc w:val="both"/>
        <w:rPr>
          <w:sz w:val="23"/>
          <w:szCs w:val="23"/>
          <w:lang w:val="en-US"/>
        </w:rPr>
      </w:pPr>
      <w:r>
        <w:rPr>
          <w:sz w:val="23"/>
          <w:szCs w:val="23"/>
          <w:lang w:val="en-US"/>
        </w:rPr>
        <w:t> </w:t>
      </w:r>
    </w:p>
    <w:p>
      <w:pPr>
        <w:pStyle w:val="style0"/>
        <w:numPr>
          <w:ilvl w:val="0"/>
          <w:numId w:val="56"/>
        </w:numPr>
        <w:spacing w:after="160" w:lineRule="atLeast" w:line="248"/>
        <w:ind w:left="621" w:firstLine="0"/>
        <w:jc w:val="both"/>
        <w:rPr>
          <w:b/>
          <w:bCs/>
          <w:sz w:val="23"/>
          <w:szCs w:val="23"/>
          <w:lang w:val="en-US"/>
        </w:rPr>
      </w:pPr>
      <w:r>
        <w:rPr>
          <w:b/>
          <w:bCs/>
          <w:sz w:val="23"/>
          <w:szCs w:val="23"/>
          <w:lang w:val="en-US"/>
        </w:rPr>
        <w:t>Main generic impacts/risks by type of sub-projects</w:t>
      </w:r>
    </w:p>
    <w:p>
      <w:pPr>
        <w:pStyle w:val="style0"/>
        <w:jc w:val="both"/>
        <w:rPr>
          <w:sz w:val="27"/>
          <w:szCs w:val="27"/>
          <w:lang w:val="en-US"/>
        </w:rPr>
      </w:pPr>
      <w:r>
        <w:rPr>
          <w:sz w:val="22"/>
          <w:szCs w:val="22"/>
          <w:lang w:val="en-US"/>
        </w:rPr>
        <w:t>The risks associated with the activities of the Program stem from the use of pesticides by agricultural producers who will exploit the irrigated perimeters.</w:t>
      </w:r>
      <w:r>
        <w:rPr>
          <w:sz w:val="27"/>
          <w:szCs w:val="27"/>
          <w:lang w:val="en-US"/>
        </w:rPr>
        <w:t> </w:t>
      </w:r>
      <w:r>
        <w:rPr>
          <w:sz w:val="22"/>
          <w:szCs w:val="22"/>
          <w:lang w:val="en-US"/>
        </w:rPr>
        <w:t>The main risks include:</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intoxication of users and animals;</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contamination of soil and watercourses;</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accidental release of pesticides into the environment through improper handling;</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accidental spilling of pesticides on human body;</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accidental ingestion of pesticides;</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traffic accident when transporting pesticides;</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inhalation of pesticides in the respiratory tract;</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contamination of aquatic fauna;</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contamination of food and food products;</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pollution of the water table;</w:t>
      </w:r>
    </w:p>
    <w:p>
      <w:pPr>
        <w:pStyle w:val="style0"/>
        <w:ind w:left="720" w:hanging="360"/>
        <w:jc w:val="both"/>
        <w:rPr>
          <w:sz w:val="27"/>
          <w:szCs w:val="27"/>
          <w:lang w:val="en-US"/>
        </w:rPr>
      </w:pPr>
      <w:r>
        <w:rPr>
          <w:rFonts w:ascii="Arial" w:cs="Arial" w:hAnsi="Arial"/>
          <w:sz w:val="22"/>
          <w:szCs w:val="22"/>
          <w:lang w:val="en-US"/>
        </w:rPr>
        <w:t>-</w:t>
      </w:r>
      <w:r>
        <w:rPr>
          <w:sz w:val="27"/>
          <w:szCs w:val="27"/>
          <w:lang w:val="en-US"/>
        </w:rPr>
        <w:t> </w:t>
      </w:r>
      <w:r>
        <w:rPr>
          <w:sz w:val="14"/>
          <w:szCs w:val="14"/>
          <w:lang w:val="en-US"/>
        </w:rPr>
        <w:t>          </w:t>
      </w:r>
      <w:r>
        <w:rPr>
          <w:sz w:val="22"/>
          <w:szCs w:val="22"/>
          <w:lang w:val="en-US"/>
        </w:rPr>
        <w:t>mortality of aquatic and wildlife animals.</w:t>
      </w:r>
    </w:p>
    <w:p>
      <w:pPr>
        <w:pStyle w:val="style0"/>
        <w:jc w:val="both"/>
        <w:rPr>
          <w:sz w:val="27"/>
          <w:szCs w:val="27"/>
          <w:lang w:val="en-US"/>
        </w:rPr>
      </w:pPr>
      <w:r>
        <w:rPr>
          <w:sz w:val="22"/>
          <w:szCs w:val="22"/>
          <w:lang w:val="en-US"/>
        </w:rPr>
        <w:t> </w:t>
      </w:r>
    </w:p>
    <w:p>
      <w:pPr>
        <w:pStyle w:val="style0"/>
        <w:jc w:val="both"/>
        <w:rPr>
          <w:sz w:val="27"/>
          <w:szCs w:val="27"/>
          <w:lang w:val="en-US"/>
        </w:rPr>
      </w:pPr>
      <w:r>
        <w:rPr>
          <w:sz w:val="22"/>
          <w:szCs w:val="22"/>
          <w:lang w:val="en-US"/>
        </w:rPr>
        <w:t>As for the potential negative environmental and social impacts, they relate to:</w:t>
      </w:r>
    </w:p>
    <w:p>
      <w:pPr>
        <w:pStyle w:val="style0"/>
        <w:spacing w:after="160" w:lineRule="atLeast" w:line="238"/>
        <w:ind w:left="720" w:hanging="360"/>
        <w:jc w:val="both"/>
        <w:rPr>
          <w:sz w:val="22"/>
          <w:szCs w:val="22"/>
          <w:lang w:val="en-US"/>
        </w:rPr>
      </w:pPr>
      <w:r>
        <w:rPr>
          <w:rFonts w:ascii="Century Gothic" w:hAnsi="Century Gothic"/>
          <w:sz w:val="22"/>
          <w:szCs w:val="22"/>
          <w:lang w:val="en-US"/>
        </w:rPr>
        <w:t>-</w:t>
      </w:r>
      <w:r>
        <w:rPr>
          <w:sz w:val="22"/>
          <w:szCs w:val="22"/>
          <w:lang w:val="en-US"/>
        </w:rPr>
        <w:t> </w:t>
      </w:r>
      <w:r>
        <w:rPr>
          <w:sz w:val="14"/>
          <w:szCs w:val="14"/>
          <w:lang w:val="en-US"/>
        </w:rPr>
        <w:t>          </w:t>
      </w:r>
      <w:r>
        <w:rPr>
          <w:sz w:val="22"/>
          <w:szCs w:val="22"/>
          <w:lang w:val="en-US"/>
        </w:rPr>
        <w:t>water and soil pollution related to the use of fertilizers and pesticides;</w:t>
      </w:r>
    </w:p>
    <w:p>
      <w:pPr>
        <w:pStyle w:val="style0"/>
        <w:spacing w:after="160" w:lineRule="atLeast" w:line="238"/>
        <w:ind w:left="720" w:hanging="360"/>
        <w:jc w:val="both"/>
        <w:rPr>
          <w:sz w:val="22"/>
          <w:szCs w:val="22"/>
          <w:lang w:val="en-US"/>
        </w:rPr>
      </w:pPr>
      <w:r>
        <w:rPr>
          <w:rFonts w:ascii="Century Gothic" w:hAnsi="Century Gothic"/>
          <w:sz w:val="22"/>
          <w:szCs w:val="22"/>
          <w:lang w:val="en-US"/>
        </w:rPr>
        <w:t>-</w:t>
      </w:r>
      <w:r>
        <w:rPr>
          <w:sz w:val="22"/>
          <w:szCs w:val="22"/>
          <w:lang w:val="en-US"/>
        </w:rPr>
        <w:t> </w:t>
      </w:r>
      <w:r>
        <w:rPr>
          <w:sz w:val="14"/>
          <w:szCs w:val="14"/>
          <w:lang w:val="en-US"/>
        </w:rPr>
        <w:t>          </w:t>
      </w:r>
      <w:r>
        <w:rPr>
          <w:sz w:val="22"/>
          <w:szCs w:val="22"/>
          <w:lang w:val="en-US"/>
        </w:rPr>
        <w:t>partial loss of vegetation through unauthorized shoreline deforestation;</w:t>
      </w:r>
    </w:p>
    <w:p>
      <w:pPr>
        <w:pStyle w:val="style0"/>
        <w:spacing w:after="160" w:lineRule="atLeast" w:line="238"/>
        <w:ind w:left="720" w:hanging="360"/>
        <w:jc w:val="both"/>
        <w:rPr>
          <w:sz w:val="22"/>
          <w:szCs w:val="22"/>
          <w:lang w:val="en-US"/>
        </w:rPr>
      </w:pPr>
      <w:r>
        <w:rPr>
          <w:rFonts w:ascii="Century Gothic" w:hAnsi="Century Gothic"/>
          <w:sz w:val="22"/>
          <w:szCs w:val="22"/>
          <w:lang w:val="en-US"/>
        </w:rPr>
        <w:t>-</w:t>
      </w:r>
      <w:r>
        <w:rPr>
          <w:sz w:val="22"/>
          <w:szCs w:val="22"/>
          <w:lang w:val="en-US"/>
        </w:rPr>
        <w:t> </w:t>
      </w:r>
      <w:r>
        <w:rPr>
          <w:sz w:val="14"/>
          <w:szCs w:val="14"/>
          <w:lang w:val="en-US"/>
        </w:rPr>
        <w:t>          </w:t>
      </w:r>
      <w:r>
        <w:rPr>
          <w:sz w:val="22"/>
          <w:szCs w:val="22"/>
          <w:lang w:val="en-US"/>
        </w:rPr>
        <w:t>nuisances to the living environment in the absence of an appropriate management system for waste from processing units;</w:t>
      </w:r>
    </w:p>
    <w:p>
      <w:pPr>
        <w:pStyle w:val="style0"/>
        <w:spacing w:after="160" w:lineRule="atLeast" w:line="238"/>
        <w:ind w:left="720" w:hanging="360"/>
        <w:jc w:val="both"/>
        <w:rPr>
          <w:sz w:val="22"/>
          <w:szCs w:val="22"/>
          <w:lang w:val="en-US"/>
        </w:rPr>
      </w:pPr>
      <w:r>
        <w:rPr>
          <w:rFonts w:ascii="Century Gothic" w:hAnsi="Century Gothic"/>
          <w:sz w:val="22"/>
          <w:szCs w:val="22"/>
          <w:lang w:val="en-US"/>
        </w:rPr>
        <w:t>-</w:t>
      </w:r>
      <w:r>
        <w:rPr>
          <w:sz w:val="22"/>
          <w:szCs w:val="22"/>
          <w:lang w:val="en-US"/>
        </w:rPr>
        <w:t> </w:t>
      </w:r>
      <w:r>
        <w:rPr>
          <w:sz w:val="14"/>
          <w:szCs w:val="14"/>
          <w:lang w:val="en-US"/>
        </w:rPr>
        <w:t>          </w:t>
      </w:r>
      <w:r>
        <w:rPr>
          <w:sz w:val="22"/>
          <w:szCs w:val="22"/>
          <w:lang w:val="en-US"/>
        </w:rPr>
        <w:t>the emergence of conflicts between pastoralists and farmers and with the arrival of new farmers as part of hydro-agricultural schemes;</w:t>
      </w:r>
    </w:p>
    <w:p>
      <w:pPr>
        <w:pStyle w:val="style0"/>
        <w:spacing w:after="160" w:lineRule="atLeast" w:line="238"/>
        <w:ind w:left="720" w:hanging="360"/>
        <w:jc w:val="both"/>
        <w:rPr>
          <w:sz w:val="22"/>
          <w:szCs w:val="22"/>
          <w:lang w:val="en-US"/>
        </w:rPr>
      </w:pPr>
      <w:r>
        <w:rPr>
          <w:rFonts w:ascii="Century Gothic" w:hAnsi="Century Gothic"/>
          <w:sz w:val="22"/>
          <w:szCs w:val="22"/>
          <w:lang w:val="en-US"/>
        </w:rPr>
        <w:t>-</w:t>
      </w:r>
      <w:r>
        <w:rPr>
          <w:sz w:val="22"/>
          <w:szCs w:val="22"/>
          <w:lang w:val="en-US"/>
        </w:rPr>
        <w:t> </w:t>
      </w:r>
      <w:r>
        <w:rPr>
          <w:sz w:val="14"/>
          <w:szCs w:val="14"/>
          <w:lang w:val="en-US"/>
        </w:rPr>
        <w:t>          </w:t>
      </w:r>
      <w:r>
        <w:rPr>
          <w:sz w:val="22"/>
          <w:szCs w:val="22"/>
          <w:lang w:val="en-US"/>
        </w:rPr>
        <w:t>Local air and water/soil pollution during rehabilitation and/or construction of new rural roads, etc.</w:t>
      </w:r>
    </w:p>
    <w:p>
      <w:pPr>
        <w:pStyle w:val="style0"/>
        <w:ind w:left="720"/>
        <w:jc w:val="both"/>
        <w:rPr>
          <w:sz w:val="27"/>
          <w:szCs w:val="27"/>
          <w:lang w:val="en-US"/>
        </w:rPr>
      </w:pPr>
      <w:r>
        <w:rPr>
          <w:sz w:val="23"/>
          <w:szCs w:val="23"/>
          <w:lang w:val="en-US"/>
        </w:rPr>
        <w:t> </w:t>
      </w:r>
    </w:p>
    <w:p>
      <w:pPr>
        <w:pStyle w:val="style0"/>
        <w:numPr>
          <w:ilvl w:val="0"/>
          <w:numId w:val="124"/>
        </w:numPr>
        <w:spacing w:after="160" w:lineRule="atLeast" w:line="248"/>
        <w:ind w:left="621" w:firstLine="0"/>
        <w:jc w:val="both"/>
        <w:rPr>
          <w:b/>
          <w:bCs/>
          <w:sz w:val="23"/>
          <w:szCs w:val="23"/>
          <w:lang w:val="en-US"/>
        </w:rPr>
      </w:pPr>
      <w:r>
        <w:rPr>
          <w:b/>
          <w:bCs/>
          <w:sz w:val="23"/>
          <w:szCs w:val="23"/>
          <w:lang w:val="en-US"/>
        </w:rPr>
        <w:t xml:space="preserve">Public </w:t>
      </w:r>
      <w:r>
        <w:rPr>
          <w:b/>
          <w:bCs/>
          <w:sz w:val="23"/>
          <w:szCs w:val="23"/>
          <w:lang w:val="en-US"/>
        </w:rPr>
        <w:t xml:space="preserve">Consultations </w:t>
      </w:r>
    </w:p>
    <w:p>
      <w:pPr>
        <w:pStyle w:val="style0"/>
        <w:spacing w:after="160" w:lineRule="atLeast" w:line="238"/>
        <w:jc w:val="both"/>
        <w:rPr>
          <w:sz w:val="22"/>
          <w:szCs w:val="22"/>
          <w:lang w:val="en-US"/>
        </w:rPr>
      </w:pPr>
      <w:r>
        <w:rPr>
          <w:sz w:val="22"/>
          <w:szCs w:val="22"/>
          <w:lang w:val="en-US"/>
        </w:rPr>
        <w:t>The starting point of the public consultations was the Ouagadougou framing workshop held on December 04, 2018 with the representatives of the technical structures (MAAH general and central directorates, related projects) involved in the program implementation. Subsequently, consultation sessions continued in the riparian zones of the potential development sites planned by the PDCA from January 07 to 12 2019 with stakeholders (decentralized technical services, local administrative services, heads of municipalities and beneficiary villages, producer organizations, persons potentially affected by the sub-projects, etc.) at the following dates and locations:</w:t>
      </w:r>
    </w:p>
    <w:p>
      <w:pPr>
        <w:pStyle w:val="style179"/>
        <w:numPr>
          <w:ilvl w:val="0"/>
          <w:numId w:val="107"/>
        </w:numPr>
        <w:spacing w:after="160" w:lineRule="atLeast" w:line="238"/>
        <w:jc w:val="both"/>
        <w:rPr>
          <w:sz w:val="22"/>
          <w:szCs w:val="22"/>
          <w:lang w:val="en-US"/>
        </w:rPr>
      </w:pPr>
      <w:r>
        <w:rPr>
          <w:sz w:val="22"/>
          <w:szCs w:val="22"/>
          <w:lang w:val="en-US"/>
        </w:rPr>
        <w:t>site of Dourou ( Kirsi/Passoré / North), January 07 to 08 2019</w:t>
      </w:r>
    </w:p>
    <w:p>
      <w:pPr>
        <w:pStyle w:val="style179"/>
        <w:numPr>
          <w:ilvl w:val="0"/>
          <w:numId w:val="107"/>
        </w:numPr>
        <w:spacing w:after="160" w:lineRule="atLeast" w:line="238"/>
        <w:jc w:val="both"/>
        <w:rPr>
          <w:sz w:val="22"/>
          <w:szCs w:val="22"/>
          <w:lang w:val="en-US"/>
        </w:rPr>
      </w:pPr>
      <w:r>
        <w:rPr>
          <w:sz w:val="22"/>
          <w:szCs w:val="22"/>
          <w:lang w:val="en-US"/>
        </w:rPr>
        <w:t>site Douna / Niofila (Douna / Léraba / waterfalls), January 8, 2019;</w:t>
      </w:r>
    </w:p>
    <w:p>
      <w:pPr>
        <w:pStyle w:val="style179"/>
        <w:numPr>
          <w:ilvl w:val="0"/>
          <w:numId w:val="107"/>
        </w:numPr>
        <w:spacing w:after="160" w:lineRule="atLeast" w:line="238"/>
        <w:jc w:val="both"/>
        <w:rPr>
          <w:sz w:val="22"/>
          <w:szCs w:val="22"/>
          <w:lang w:val="en-US"/>
        </w:rPr>
      </w:pPr>
      <w:r>
        <w:rPr>
          <w:sz w:val="22"/>
          <w:szCs w:val="22"/>
          <w:lang w:val="en-US"/>
        </w:rPr>
        <w:t>Banzon site (Banzon / Kénédougou / waterfalls), January 10, 2019;</w:t>
      </w:r>
    </w:p>
    <w:p>
      <w:pPr>
        <w:pStyle w:val="style179"/>
        <w:numPr>
          <w:ilvl w:val="0"/>
          <w:numId w:val="107"/>
        </w:numPr>
        <w:spacing w:after="160" w:lineRule="atLeast" w:line="238"/>
        <w:jc w:val="both"/>
        <w:rPr>
          <w:sz w:val="22"/>
          <w:szCs w:val="22"/>
          <w:lang w:val="en-US"/>
        </w:rPr>
      </w:pPr>
      <w:r>
        <w:rPr>
          <w:sz w:val="22"/>
          <w:szCs w:val="22"/>
          <w:lang w:val="en-US"/>
        </w:rPr>
        <w:t>Dangoumana sites (</w:t>
      </w:r>
      <w:r>
        <w:rPr>
          <w:rFonts w:eastAsia="Calibri"/>
          <w:sz w:val="22"/>
          <w:szCs w:val="22"/>
          <w:lang w:val="en-US" w:eastAsia="en-US"/>
        </w:rPr>
        <w:t>Sono</w:t>
      </w:r>
      <w:r>
        <w:rPr>
          <w:sz w:val="22"/>
          <w:szCs w:val="22"/>
          <w:lang w:val="en-US"/>
        </w:rPr>
        <w:t>/ Kossi /Mouhoun) and Bissan (Lanfiera Department/Kossi /Mouhoun), January 12, 2019.</w:t>
      </w:r>
    </w:p>
    <w:p>
      <w:pPr>
        <w:pStyle w:val="style0"/>
        <w:spacing w:after="160" w:lineRule="atLeast" w:line="238"/>
        <w:jc w:val="both"/>
        <w:rPr>
          <w:sz w:val="22"/>
          <w:szCs w:val="22"/>
          <w:lang w:val="en-US"/>
        </w:rPr>
      </w:pPr>
    </w:p>
    <w:p>
      <w:pPr>
        <w:pStyle w:val="style0"/>
        <w:spacing w:after="160" w:lineRule="atLeast" w:line="238"/>
        <w:jc w:val="both"/>
        <w:rPr>
          <w:sz w:val="22"/>
          <w:szCs w:val="22"/>
          <w:lang w:val="en-US"/>
        </w:rPr>
      </w:pPr>
      <w:r>
        <w:rPr>
          <w:sz w:val="22"/>
          <w:szCs w:val="22"/>
          <w:lang w:val="en-US"/>
        </w:rPr>
        <w:t>As a result of these consultations, a number of measures were proposed by the stakeholders and accepted by the Government for inclusion in the program. They consist of the following main measures:</w:t>
      </w:r>
    </w:p>
    <w:p>
      <w:pPr>
        <w:pStyle w:val="style0"/>
        <w:spacing w:after="160"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proceed to compensation and indemnification in case expropriation of land;</w:t>
      </w:r>
    </w:p>
    <w:p>
      <w:pPr>
        <w:pStyle w:val="style0"/>
        <w:spacing w:after="160"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protect the banks of water courses operated for irrigation;</w:t>
      </w:r>
    </w:p>
    <w:p>
      <w:pPr>
        <w:pStyle w:val="style0"/>
        <w:spacing w:after="160"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imply all stakeholders in the implementation of the in work program;</w:t>
      </w:r>
    </w:p>
    <w:p>
      <w:pPr>
        <w:pStyle w:val="style0"/>
        <w:spacing w:after="160"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register lands in order to secure production;</w:t>
      </w:r>
    </w:p>
    <w:p>
      <w:pPr>
        <w:pStyle w:val="style0"/>
        <w:spacing w:after="160"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Commit private developers to complying with regulations on the rational use of pesticides and chemical fertilizers for better environmental protection, etc.</w:t>
      </w:r>
    </w:p>
    <w:p>
      <w:pPr>
        <w:pStyle w:val="style0"/>
        <w:spacing w:after="160" w:lineRule="atLeast" w:line="238"/>
        <w:ind w:left="720" w:right="227" w:hanging="360"/>
        <w:jc w:val="both"/>
        <w:rPr>
          <w:sz w:val="22"/>
          <w:szCs w:val="22"/>
          <w:lang w:val="en-US"/>
        </w:rPr>
      </w:pPr>
      <w:r>
        <w:rPr>
          <w:sz w:val="22"/>
          <w:szCs w:val="22"/>
          <w:lang w:val="en-US"/>
        </w:rPr>
        <w:t>-</w:t>
      </w:r>
      <w:r>
        <w:rPr>
          <w:sz w:val="22"/>
          <w:szCs w:val="22"/>
          <w:lang w:val="en-US"/>
        </w:rPr>
        <w:t> </w:t>
      </w:r>
      <w:r>
        <w:rPr>
          <w:sz w:val="22"/>
          <w:szCs w:val="22"/>
          <w:lang w:val="en-US"/>
        </w:rPr>
        <w:t>         </w:t>
      </w:r>
      <w:r>
        <w:rPr>
          <w:sz w:val="22"/>
          <w:szCs w:val="22"/>
          <w:lang w:val="en-US"/>
        </w:rPr>
        <w:t>strengthen the capacities of producers and agents of deconcentrated technical services (sensitization and training on the use of pesticides and chemical fertilizers).</w:t>
      </w:r>
    </w:p>
    <w:p>
      <w:pPr>
        <w:pStyle w:val="style0"/>
        <w:spacing w:after="160" w:lineRule="atLeast" w:line="238"/>
        <w:ind w:left="720" w:hanging="360"/>
        <w:jc w:val="both"/>
        <w:rPr>
          <w:sz w:val="22"/>
          <w:szCs w:val="22"/>
          <w:lang w:val="en-US"/>
        </w:rPr>
      </w:pPr>
    </w:p>
    <w:p>
      <w:pPr>
        <w:pStyle w:val="style0"/>
        <w:numPr>
          <w:ilvl w:val="0"/>
          <w:numId w:val="64"/>
        </w:numPr>
        <w:spacing w:after="160" w:lineRule="atLeast" w:line="248"/>
        <w:ind w:left="621" w:firstLine="0"/>
        <w:jc w:val="both"/>
        <w:rPr>
          <w:b/>
          <w:bCs/>
          <w:sz w:val="23"/>
          <w:szCs w:val="23"/>
          <w:lang w:val="en-US"/>
        </w:rPr>
      </w:pPr>
      <w:r>
        <w:rPr>
          <w:b/>
          <w:bCs/>
          <w:sz w:val="23"/>
          <w:szCs w:val="23"/>
          <w:lang w:val="en-US"/>
        </w:rPr>
        <w:t>Environmental and Social Management Plan</w:t>
      </w:r>
    </w:p>
    <w:p>
      <w:pPr>
        <w:pStyle w:val="style0"/>
        <w:spacing w:after="160" w:lineRule="atLeast" w:line="238"/>
        <w:jc w:val="both"/>
        <w:rPr>
          <w:sz w:val="22"/>
          <w:szCs w:val="22"/>
          <w:lang w:val="en-US"/>
        </w:rPr>
      </w:pPr>
      <w:r>
        <w:rPr>
          <w:sz w:val="22"/>
          <w:szCs w:val="22"/>
          <w:lang w:val="en-US"/>
        </w:rPr>
        <w:t>The environmental and social management framework plan includes several actions and concrete measures to operationalize ESMF on the ground in a sustainable manner.</w:t>
      </w:r>
    </w:p>
    <w:p>
      <w:pPr>
        <w:pStyle w:val="style0"/>
        <w:spacing w:after="160" w:lineRule="atLeast" w:line="248"/>
        <w:ind w:left="720" w:hanging="360"/>
        <w:jc w:val="both"/>
        <w:rPr>
          <w:sz w:val="23"/>
          <w:szCs w:val="23"/>
          <w:lang w:val="en-US"/>
        </w:rPr>
      </w:pPr>
      <w:r>
        <w:rPr>
          <w:b/>
          <w:bCs/>
          <w:sz w:val="23"/>
          <w:szCs w:val="23"/>
          <w:lang w:val="en-US"/>
        </w:rPr>
        <w:t>6.1.</w:t>
      </w:r>
      <w:r>
        <w:rPr>
          <w:sz w:val="23"/>
          <w:szCs w:val="23"/>
          <w:lang w:val="en-US"/>
        </w:rPr>
        <w:t> </w:t>
      </w:r>
      <w:r>
        <w:rPr>
          <w:b/>
          <w:bCs/>
          <w:sz w:val="23"/>
          <w:szCs w:val="23"/>
          <w:lang w:val="en-US"/>
        </w:rPr>
        <w:t>Environmental and social management procedure for subprojects</w:t>
      </w:r>
    </w:p>
    <w:p>
      <w:pPr>
        <w:pStyle w:val="style0"/>
        <w:spacing w:after="160" w:lineRule="atLeast" w:line="238"/>
        <w:jc w:val="both"/>
        <w:rPr>
          <w:sz w:val="22"/>
          <w:szCs w:val="22"/>
          <w:lang w:val="en-US"/>
        </w:rPr>
      </w:pPr>
      <w:r>
        <w:rPr>
          <w:sz w:val="22"/>
          <w:szCs w:val="22"/>
          <w:lang w:val="en-US"/>
        </w:rPr>
        <w:t>The environmental and social management procedure for project activities is described in eight (8) stages   from the screening to the monitoring and reporting of the ESMPs of the sub-projects (depending on the type of project and the risk) including specifically the criteria and this, in accordance with the national administrative procedure and those of the Bank</w:t>
      </w:r>
    </w:p>
    <w:p>
      <w:pPr>
        <w:pStyle w:val="style0"/>
        <w:spacing w:after="160" w:lineRule="atLeast" w:line="248"/>
        <w:ind w:left="720" w:hanging="360"/>
        <w:jc w:val="both"/>
        <w:rPr>
          <w:sz w:val="23"/>
          <w:szCs w:val="23"/>
          <w:lang w:val="en-US"/>
        </w:rPr>
      </w:pPr>
      <w:r>
        <w:rPr>
          <w:b/>
          <w:bCs/>
          <w:sz w:val="23"/>
          <w:szCs w:val="23"/>
          <w:lang w:val="en-US"/>
        </w:rPr>
        <w:t>6.2.</w:t>
      </w:r>
      <w:r>
        <w:rPr>
          <w:sz w:val="23"/>
          <w:szCs w:val="23"/>
          <w:lang w:val="en-US"/>
        </w:rPr>
        <w:t> </w:t>
      </w:r>
      <w:r>
        <w:rPr>
          <w:b/>
          <w:bCs/>
          <w:sz w:val="23"/>
          <w:szCs w:val="23"/>
          <w:lang w:val="en-US"/>
        </w:rPr>
        <w:t>Specific capacity building</w:t>
      </w:r>
    </w:p>
    <w:p>
      <w:pPr>
        <w:pStyle w:val="style0"/>
        <w:spacing w:after="160" w:lineRule="atLeast" w:line="238"/>
        <w:jc w:val="both"/>
        <w:rPr>
          <w:sz w:val="22"/>
          <w:szCs w:val="22"/>
          <w:lang w:val="en-US"/>
        </w:rPr>
      </w:pPr>
      <w:r>
        <w:rPr>
          <w:sz w:val="22"/>
          <w:szCs w:val="22"/>
          <w:lang w:val="en-US"/>
        </w:rPr>
        <w:t>A series of institutional and individual capacity building measures has been proposed. These measures envisage:</w:t>
      </w:r>
    </w:p>
    <w:p>
      <w:pPr>
        <w:pStyle w:val="style0"/>
        <w:spacing w:lineRule="atLeast" w:line="238"/>
        <w:ind w:left="720" w:hanging="360"/>
        <w:jc w:val="both"/>
        <w:rPr>
          <w:sz w:val="22"/>
          <w:szCs w:val="22"/>
          <w:lang w:val="en-US"/>
        </w:rPr>
      </w:pPr>
      <w:r>
        <w:rPr>
          <w:rFonts w:ascii="Garamond" w:hAnsi="Garamond"/>
          <w:sz w:val="28"/>
          <w:szCs w:val="28"/>
          <w:lang w:val="en-US"/>
        </w:rPr>
        <w:t>-</w:t>
      </w:r>
      <w:r>
        <w:rPr>
          <w:sz w:val="22"/>
          <w:szCs w:val="22"/>
          <w:lang w:val="en-US"/>
        </w:rPr>
        <w:t> </w:t>
      </w:r>
      <w:r>
        <w:rPr>
          <w:sz w:val="14"/>
          <w:szCs w:val="14"/>
          <w:lang w:val="en-US"/>
        </w:rPr>
        <w:t>         </w:t>
      </w:r>
      <w:r>
        <w:rPr>
          <w:sz w:val="22"/>
          <w:szCs w:val="22"/>
          <w:lang w:val="en-US"/>
        </w:rPr>
        <w:t>the recruitment of an expert in environmental protection and other social safeguard on the account of the program   ;</w:t>
      </w:r>
    </w:p>
    <w:p>
      <w:pPr>
        <w:pStyle w:val="style0"/>
        <w:ind w:left="720" w:hanging="360"/>
        <w:jc w:val="both"/>
        <w:rPr>
          <w:sz w:val="27"/>
          <w:szCs w:val="27"/>
          <w:lang w:val="en-US"/>
        </w:rPr>
      </w:pPr>
      <w:r>
        <w:rPr>
          <w:rFonts w:ascii="Garamond" w:hAnsi="Garamond"/>
          <w:sz w:val="28"/>
          <w:szCs w:val="28"/>
          <w:lang w:val="en-US"/>
        </w:rPr>
        <w:t>-</w:t>
      </w:r>
      <w:r>
        <w:rPr>
          <w:sz w:val="27"/>
          <w:szCs w:val="27"/>
          <w:lang w:val="en-US"/>
        </w:rPr>
        <w:t> </w:t>
      </w:r>
      <w:r>
        <w:rPr>
          <w:sz w:val="14"/>
          <w:szCs w:val="14"/>
          <w:lang w:val="en-US"/>
        </w:rPr>
        <w:t>         </w:t>
      </w:r>
      <w:r>
        <w:rPr>
          <w:sz w:val="22"/>
          <w:szCs w:val="22"/>
          <w:lang w:val="en-US"/>
        </w:rPr>
        <w:t>the development of a manual of good practices of production and water</w:t>
      </w:r>
      <w:r>
        <w:rPr>
          <w:sz w:val="27"/>
          <w:szCs w:val="27"/>
          <w:lang w:val="en-US"/>
        </w:rPr>
        <w:t> </w:t>
      </w:r>
      <w:r>
        <w:rPr>
          <w:sz w:val="22"/>
          <w:szCs w:val="22"/>
          <w:lang w:val="en-US"/>
        </w:rPr>
        <w:t> </w:t>
      </w:r>
      <w:r>
        <w:rPr>
          <w:sz w:val="27"/>
          <w:szCs w:val="27"/>
          <w:lang w:val="en-US"/>
        </w:rPr>
        <w:t> </w:t>
      </w:r>
      <w:r>
        <w:rPr>
          <w:sz w:val="22"/>
          <w:szCs w:val="22"/>
          <w:lang w:val="en-US"/>
        </w:rPr>
        <w:t xml:space="preserve"> management;</w:t>
      </w:r>
    </w:p>
    <w:p>
      <w:pPr>
        <w:pStyle w:val="style0"/>
        <w:ind w:left="720" w:hanging="360"/>
        <w:jc w:val="both"/>
        <w:rPr>
          <w:sz w:val="27"/>
          <w:szCs w:val="27"/>
          <w:lang w:val="en-US"/>
        </w:rPr>
      </w:pPr>
      <w:r>
        <w:rPr>
          <w:rFonts w:ascii="Garamond" w:hAnsi="Garamond"/>
          <w:sz w:val="28"/>
          <w:szCs w:val="28"/>
          <w:lang w:val="en-US"/>
        </w:rPr>
        <w:t>-</w:t>
      </w:r>
      <w:r>
        <w:rPr>
          <w:sz w:val="27"/>
          <w:szCs w:val="27"/>
          <w:lang w:val="en-US"/>
        </w:rPr>
        <w:t> </w:t>
      </w:r>
      <w:r>
        <w:rPr>
          <w:sz w:val="14"/>
          <w:szCs w:val="14"/>
          <w:lang w:val="en-US"/>
        </w:rPr>
        <w:t>         </w:t>
      </w:r>
      <w:r>
        <w:rPr>
          <w:sz w:val="22"/>
          <w:szCs w:val="22"/>
          <w:lang w:val="en-US"/>
        </w:rPr>
        <w:t>the</w:t>
      </w:r>
      <w:r>
        <w:rPr>
          <w:sz w:val="27"/>
          <w:szCs w:val="27"/>
          <w:lang w:val="en-US"/>
        </w:rPr>
        <w:t> </w:t>
      </w:r>
      <w:r>
        <w:rPr>
          <w:sz w:val="22"/>
          <w:szCs w:val="22"/>
          <w:lang w:val="en-US"/>
        </w:rPr>
        <w:t>setting</w:t>
      </w:r>
      <w:r>
        <w:rPr>
          <w:sz w:val="27"/>
          <w:szCs w:val="27"/>
          <w:lang w:val="en-US"/>
        </w:rPr>
        <w:t> </w:t>
      </w:r>
      <w:r>
        <w:rPr>
          <w:sz w:val="22"/>
          <w:szCs w:val="22"/>
          <w:lang w:val="en-US"/>
        </w:rPr>
        <w:t>up a code of conduct</w:t>
      </w:r>
      <w:r>
        <w:rPr>
          <w:sz w:val="27"/>
          <w:szCs w:val="27"/>
          <w:lang w:val="en-US"/>
        </w:rPr>
        <w:t> </w:t>
      </w:r>
      <w:r>
        <w:rPr>
          <w:sz w:val="22"/>
          <w:szCs w:val="22"/>
          <w:lang w:val="en-US"/>
        </w:rPr>
        <w:t>for</w:t>
      </w:r>
      <w:r>
        <w:rPr>
          <w:sz w:val="27"/>
          <w:szCs w:val="27"/>
          <w:lang w:val="en-US"/>
        </w:rPr>
        <w:t> </w:t>
      </w:r>
      <w:r>
        <w:rPr>
          <w:sz w:val="22"/>
          <w:szCs w:val="22"/>
          <w:lang w:val="en-US"/>
        </w:rPr>
        <w:t>work</w:t>
      </w:r>
      <w:r>
        <w:rPr>
          <w:sz w:val="27"/>
          <w:szCs w:val="27"/>
          <w:lang w:val="en-US"/>
        </w:rPr>
        <w:t> </w:t>
      </w:r>
      <w:r>
        <w:rPr>
          <w:sz w:val="22"/>
          <w:szCs w:val="22"/>
          <w:lang w:val="en-US"/>
        </w:rPr>
        <w:t>and subcontractors’</w:t>
      </w:r>
      <w:r>
        <w:rPr>
          <w:sz w:val="27"/>
          <w:szCs w:val="27"/>
          <w:lang w:val="en-US"/>
        </w:rPr>
        <w:t> </w:t>
      </w:r>
      <w:r>
        <w:rPr>
          <w:sz w:val="22"/>
          <w:szCs w:val="22"/>
          <w:lang w:val="en-US"/>
        </w:rPr>
        <w:t>companies;</w:t>
      </w:r>
    </w:p>
    <w:p>
      <w:pPr>
        <w:pStyle w:val="style0"/>
        <w:ind w:left="720" w:hanging="360"/>
        <w:jc w:val="both"/>
        <w:rPr>
          <w:sz w:val="27"/>
          <w:szCs w:val="27"/>
          <w:lang w:val="en-US"/>
        </w:rPr>
      </w:pPr>
      <w:r>
        <w:rPr>
          <w:rFonts w:ascii="Garamond" w:hAnsi="Garamond"/>
          <w:sz w:val="28"/>
          <w:szCs w:val="28"/>
          <w:lang w:val="en-US"/>
        </w:rPr>
        <w:t>-</w:t>
      </w:r>
      <w:r>
        <w:rPr>
          <w:sz w:val="27"/>
          <w:szCs w:val="27"/>
          <w:lang w:val="en-US"/>
        </w:rPr>
        <w:t> </w:t>
      </w:r>
      <w:r>
        <w:rPr>
          <w:sz w:val="14"/>
          <w:szCs w:val="14"/>
          <w:lang w:val="en-US"/>
        </w:rPr>
        <w:t>         </w:t>
      </w:r>
      <w:r>
        <w:rPr>
          <w:sz w:val="22"/>
          <w:szCs w:val="22"/>
          <w:lang w:val="en-US"/>
        </w:rPr>
        <w:t>training of UNC and RCU members, focal points of the involved regional directorates as well as local Technical Services officers, on the environmental and social management procedures and techniques of the sub-projects;</w:t>
      </w:r>
    </w:p>
    <w:p>
      <w:pPr>
        <w:pStyle w:val="style0"/>
        <w:ind w:left="720" w:hanging="360"/>
        <w:jc w:val="both"/>
        <w:rPr>
          <w:sz w:val="27"/>
          <w:szCs w:val="27"/>
          <w:lang w:val="en-US"/>
        </w:rPr>
      </w:pPr>
      <w:r>
        <w:rPr>
          <w:rFonts w:ascii="Garamond" w:hAnsi="Garamond"/>
          <w:sz w:val="28"/>
          <w:szCs w:val="28"/>
          <w:lang w:val="en-US"/>
        </w:rPr>
        <w:t>-</w:t>
      </w:r>
      <w:r>
        <w:rPr>
          <w:sz w:val="27"/>
          <w:szCs w:val="27"/>
          <w:lang w:val="en-US"/>
        </w:rPr>
        <w:t> </w:t>
      </w:r>
      <w:r>
        <w:rPr>
          <w:sz w:val="14"/>
          <w:szCs w:val="14"/>
          <w:lang w:val="en-US"/>
        </w:rPr>
        <w:t>         </w:t>
      </w:r>
      <w:r>
        <w:rPr>
          <w:sz w:val="22"/>
          <w:szCs w:val="22"/>
          <w:lang w:val="en-US"/>
        </w:rPr>
        <w:t>training on the use and safe management of pesticides, environmental and social monitoring, etc.</w:t>
      </w:r>
    </w:p>
    <w:p>
      <w:pPr>
        <w:pStyle w:val="style0"/>
        <w:spacing w:after="160" w:lineRule="atLeast" w:line="248"/>
        <w:jc w:val="both"/>
        <w:rPr>
          <w:sz w:val="23"/>
          <w:szCs w:val="23"/>
          <w:lang w:val="en-US"/>
        </w:rPr>
      </w:pPr>
      <w:r>
        <w:rPr>
          <w:sz w:val="23"/>
          <w:szCs w:val="23"/>
          <w:lang w:val="en-US"/>
        </w:rPr>
        <w:t> </w:t>
      </w:r>
    </w:p>
    <w:p>
      <w:pPr>
        <w:pStyle w:val="style0"/>
        <w:spacing w:after="160" w:lineRule="atLeast" w:line="248"/>
        <w:ind w:left="720" w:hanging="360"/>
        <w:jc w:val="both"/>
        <w:rPr>
          <w:sz w:val="23"/>
          <w:szCs w:val="23"/>
          <w:lang w:val="en-US"/>
        </w:rPr>
      </w:pPr>
      <w:r>
        <w:rPr>
          <w:b/>
          <w:bCs/>
          <w:sz w:val="23"/>
          <w:szCs w:val="23"/>
          <w:lang w:val="en-US"/>
        </w:rPr>
        <w:t>6.3.</w:t>
      </w:r>
      <w:r>
        <w:rPr>
          <w:sz w:val="23"/>
          <w:szCs w:val="23"/>
          <w:lang w:val="en-US"/>
        </w:rPr>
        <w:t> </w:t>
      </w:r>
      <w:r>
        <w:rPr>
          <w:b/>
          <w:sz w:val="23"/>
          <w:szCs w:val="23"/>
          <w:lang w:val="en-US"/>
        </w:rPr>
        <w:t>Grievance Redress</w:t>
      </w:r>
      <w:r>
        <w:rPr>
          <w:sz w:val="23"/>
          <w:szCs w:val="23"/>
          <w:lang w:val="en-US"/>
        </w:rPr>
        <w:t xml:space="preserve"> </w:t>
      </w:r>
      <w:r>
        <w:rPr>
          <w:b/>
          <w:bCs/>
          <w:sz w:val="23"/>
          <w:szCs w:val="23"/>
          <w:lang w:val="en-US"/>
        </w:rPr>
        <w:t xml:space="preserve">Mechanism </w:t>
      </w:r>
    </w:p>
    <w:p>
      <w:pPr>
        <w:pStyle w:val="style0"/>
        <w:jc w:val="both"/>
        <w:rPr>
          <w:sz w:val="27"/>
          <w:szCs w:val="27"/>
          <w:lang w:val="en-US"/>
        </w:rPr>
      </w:pPr>
      <w:r>
        <w:rPr>
          <w:sz w:val="22"/>
          <w:szCs w:val="22"/>
          <w:lang w:val="en-US"/>
        </w:rPr>
        <w:t>Several types of complaints may appear during the implementation of the</w:t>
      </w:r>
      <w:r>
        <w:rPr>
          <w:sz w:val="27"/>
          <w:szCs w:val="27"/>
          <w:lang w:val="en-US"/>
        </w:rPr>
        <w:t> </w:t>
      </w:r>
      <w:r>
        <w:rPr>
          <w:sz w:val="22"/>
          <w:szCs w:val="22"/>
          <w:lang w:val="en-US"/>
        </w:rPr>
        <w:t>program:</w:t>
      </w:r>
    </w:p>
    <w:p>
      <w:pPr>
        <w:pStyle w:val="style0"/>
        <w:spacing w:lineRule="atLeast" w:line="253"/>
        <w:ind w:left="720" w:hanging="360"/>
        <w:jc w:val="both"/>
        <w:rPr>
          <w:sz w:val="22"/>
          <w:szCs w:val="22"/>
          <w:lang w:val="en-US"/>
        </w:rPr>
      </w:pPr>
      <w:r>
        <w:rPr>
          <w:sz w:val="22"/>
          <w:szCs w:val="22"/>
          <w:lang w:val="en-US"/>
        </w:rPr>
        <w:t>- </w:t>
      </w:r>
      <w:r>
        <w:rPr>
          <w:sz w:val="14"/>
          <w:szCs w:val="14"/>
          <w:lang w:val="en-US"/>
        </w:rPr>
        <w:t>          </w:t>
      </w:r>
      <w:r>
        <w:rPr>
          <w:sz w:val="22"/>
          <w:szCs w:val="22"/>
          <w:lang w:val="en-US"/>
        </w:rPr>
        <w:t>work-related incidents (water pollution, dust &amp; fumes, accidents, noise, etc.);</w:t>
      </w:r>
    </w:p>
    <w:p>
      <w:pPr>
        <w:pStyle w:val="style0"/>
        <w:spacing w:lineRule="atLeast" w:line="253"/>
        <w:ind w:left="720" w:hanging="360"/>
        <w:jc w:val="both"/>
        <w:rPr>
          <w:sz w:val="22"/>
          <w:szCs w:val="22"/>
          <w:lang w:val="en-US"/>
        </w:rPr>
      </w:pPr>
      <w:r>
        <w:rPr>
          <w:sz w:val="22"/>
          <w:szCs w:val="22"/>
          <w:lang w:val="en-US"/>
        </w:rPr>
        <w:t>- </w:t>
      </w:r>
      <w:r>
        <w:rPr>
          <w:sz w:val="14"/>
          <w:szCs w:val="14"/>
          <w:lang w:val="en-US"/>
        </w:rPr>
        <w:t>          </w:t>
      </w:r>
      <w:r>
        <w:rPr>
          <w:sz w:val="22"/>
          <w:szCs w:val="22"/>
          <w:lang w:val="en-US"/>
        </w:rPr>
        <w:t>grievances submitted by the local populations;</w:t>
      </w:r>
    </w:p>
    <w:p>
      <w:pPr>
        <w:pStyle w:val="style0"/>
        <w:spacing w:lineRule="atLeast" w:line="253"/>
        <w:ind w:left="720" w:hanging="360"/>
        <w:jc w:val="both"/>
        <w:rPr>
          <w:sz w:val="22"/>
          <w:szCs w:val="22"/>
          <w:lang w:val="en-US"/>
        </w:rPr>
      </w:pPr>
      <w:r>
        <w:rPr>
          <w:sz w:val="22"/>
          <w:szCs w:val="22"/>
          <w:lang w:val="en-US"/>
        </w:rPr>
        <w:t>- </w:t>
      </w:r>
      <w:r>
        <w:rPr>
          <w:sz w:val="14"/>
          <w:szCs w:val="14"/>
          <w:lang w:val="en-US"/>
        </w:rPr>
        <w:t>          </w:t>
      </w:r>
      <w:r>
        <w:rPr>
          <w:sz w:val="22"/>
          <w:szCs w:val="22"/>
          <w:lang w:val="en-US"/>
        </w:rPr>
        <w:t>requests or claims for clarification on sub-projects;</w:t>
      </w:r>
    </w:p>
    <w:p>
      <w:pPr>
        <w:pStyle w:val="style0"/>
        <w:spacing w:lineRule="atLeast" w:line="253"/>
        <w:ind w:left="720" w:hanging="360"/>
        <w:jc w:val="both"/>
        <w:rPr>
          <w:sz w:val="22"/>
          <w:szCs w:val="22"/>
          <w:lang w:val="en-US"/>
        </w:rPr>
      </w:pPr>
      <w:r>
        <w:rPr>
          <w:sz w:val="22"/>
          <w:szCs w:val="22"/>
          <w:lang w:val="en-US"/>
        </w:rPr>
        <w:t>- </w:t>
      </w:r>
      <w:r>
        <w:rPr>
          <w:sz w:val="14"/>
          <w:szCs w:val="14"/>
          <w:lang w:val="en-US"/>
        </w:rPr>
        <w:t>          </w:t>
      </w:r>
      <w:r>
        <w:rPr>
          <w:sz w:val="22"/>
          <w:szCs w:val="22"/>
          <w:lang w:val="en-US"/>
        </w:rPr>
        <w:t>suggestions and denunciations.</w:t>
      </w:r>
    </w:p>
    <w:p>
      <w:pPr>
        <w:pStyle w:val="style0"/>
        <w:spacing w:after="160" w:lineRule="atLeast" w:line="238"/>
        <w:jc w:val="both"/>
        <w:rPr>
          <w:sz w:val="22"/>
          <w:szCs w:val="22"/>
          <w:lang w:val="en-US"/>
        </w:rPr>
      </w:pPr>
      <w:r>
        <w:rPr>
          <w:sz w:val="22"/>
          <w:szCs w:val="22"/>
          <w:lang w:val="en-US"/>
        </w:rPr>
        <w:t> </w:t>
      </w:r>
    </w:p>
    <w:p>
      <w:pPr>
        <w:pStyle w:val="style0"/>
        <w:spacing w:after="160" w:lineRule="atLeast" w:line="238"/>
        <w:jc w:val="both"/>
        <w:rPr>
          <w:sz w:val="22"/>
          <w:szCs w:val="22"/>
          <w:lang w:val="en-US"/>
        </w:rPr>
      </w:pPr>
      <w:r>
        <w:rPr>
          <w:sz w:val="22"/>
          <w:szCs w:val="22"/>
          <w:lang w:val="en-US"/>
        </w:rPr>
        <w:t xml:space="preserve">To provide solutions, a </w:t>
      </w:r>
      <w:r>
        <w:rPr>
          <w:sz w:val="22"/>
          <w:szCs w:val="22"/>
          <w:lang w:val="en-US"/>
        </w:rPr>
        <w:t>Grievance Redress</w:t>
      </w:r>
      <w:r>
        <w:rPr>
          <w:sz w:val="22"/>
          <w:szCs w:val="22"/>
          <w:lang w:val="en-US"/>
        </w:rPr>
        <w:t xml:space="preserve"> </w:t>
      </w:r>
      <w:r>
        <w:rPr>
          <w:sz w:val="22"/>
          <w:szCs w:val="22"/>
          <w:lang w:val="en-US"/>
        </w:rPr>
        <w:t>M</w:t>
      </w:r>
      <w:r>
        <w:rPr>
          <w:sz w:val="22"/>
          <w:szCs w:val="22"/>
          <w:lang w:val="en-US"/>
        </w:rPr>
        <w:t xml:space="preserve">echanism </w:t>
      </w:r>
      <w:r>
        <w:rPr>
          <w:sz w:val="22"/>
          <w:szCs w:val="22"/>
          <w:lang w:val="en-US"/>
        </w:rPr>
        <w:t>(</w:t>
      </w:r>
      <w:r>
        <w:rPr>
          <w:sz w:val="22"/>
          <w:szCs w:val="22"/>
          <w:lang w:val="en-US"/>
        </w:rPr>
        <w:t>GRM</w:t>
      </w:r>
      <w:r>
        <w:rPr>
          <w:sz w:val="22"/>
          <w:szCs w:val="22"/>
          <w:lang w:val="en-US"/>
        </w:rPr>
        <w:t>) has been proposed under this ESMF. It takes into account the national legal framework for land dispute management and the OP/BP 4.01 of the World Bank. It contains a series of provisions which are more detailed in the Resettlement Policy Framework document prepared separately in the program.</w:t>
      </w:r>
    </w:p>
    <w:p>
      <w:pPr>
        <w:pStyle w:val="style0"/>
        <w:spacing w:after="160" w:lineRule="atLeast" w:line="248"/>
        <w:ind w:left="720" w:hanging="360"/>
        <w:jc w:val="both"/>
        <w:rPr>
          <w:sz w:val="23"/>
          <w:szCs w:val="23"/>
          <w:lang w:val="en-US"/>
        </w:rPr>
      </w:pPr>
      <w:r>
        <w:rPr>
          <w:b/>
          <w:bCs/>
          <w:sz w:val="23"/>
          <w:szCs w:val="23"/>
          <w:lang w:val="en-US"/>
        </w:rPr>
        <w:t xml:space="preserve">6.4. </w:t>
      </w:r>
      <w:r>
        <w:rPr>
          <w:sz w:val="23"/>
          <w:szCs w:val="23"/>
          <w:lang w:val="en-US"/>
        </w:rPr>
        <w:t> </w:t>
      </w:r>
      <w:r>
        <w:rPr>
          <w:b/>
          <w:bCs/>
          <w:sz w:val="23"/>
          <w:szCs w:val="23"/>
          <w:lang w:val="en-US"/>
        </w:rPr>
        <w:t xml:space="preserve">The ESMF implementation key indicators </w:t>
      </w:r>
    </w:p>
    <w:p>
      <w:pPr>
        <w:pStyle w:val="style0"/>
        <w:jc w:val="both"/>
        <w:rPr>
          <w:sz w:val="27"/>
          <w:szCs w:val="27"/>
          <w:lang w:val="en-US"/>
        </w:rPr>
      </w:pPr>
      <w:r>
        <w:rPr>
          <w:sz w:val="22"/>
          <w:szCs w:val="22"/>
          <w:lang w:val="en-US"/>
        </w:rPr>
        <w:t>To monitor the implementation of the ESMF, two types of indicators have been defined</w:t>
      </w:r>
      <w:r>
        <w:rPr>
          <w:sz w:val="27"/>
          <w:szCs w:val="27"/>
          <w:lang w:val="en-US"/>
        </w:rPr>
        <w:t> </w:t>
      </w:r>
      <w:r>
        <w:rPr>
          <w:sz w:val="22"/>
          <w:szCs w:val="22"/>
          <w:lang w:val="en-US"/>
        </w:rPr>
        <w:t>i) strategic indicators to be followed by the Program Review Committee.</w:t>
      </w:r>
    </w:p>
    <w:p>
      <w:pPr>
        <w:pStyle w:val="style0"/>
        <w:jc w:val="both"/>
        <w:rPr>
          <w:sz w:val="27"/>
          <w:szCs w:val="27"/>
          <w:lang w:val="en-US"/>
        </w:rPr>
      </w:pPr>
      <w:r>
        <w:rPr>
          <w:sz w:val="22"/>
          <w:szCs w:val="22"/>
          <w:lang w:val="en-US"/>
        </w:rPr>
        <w:t> </w:t>
      </w:r>
    </w:p>
    <w:p>
      <w:pPr>
        <w:pStyle w:val="style0"/>
        <w:jc w:val="both"/>
        <w:rPr>
          <w:sz w:val="27"/>
          <w:szCs w:val="27"/>
          <w:lang w:val="en-US"/>
        </w:rPr>
      </w:pPr>
      <w:r>
        <w:rPr>
          <w:sz w:val="22"/>
          <w:szCs w:val="22"/>
          <w:lang w:val="en-US"/>
        </w:rPr>
        <w:t>The strategic indicators to be followed by the Program Review Committee are:</w:t>
      </w:r>
    </w:p>
    <w:p>
      <w:pPr>
        <w:pStyle w:val="style179"/>
        <w:numPr>
          <w:ilvl w:val="0"/>
          <w:numId w:val="111"/>
        </w:numPr>
        <w:spacing w:lineRule="atLeast" w:line="253"/>
        <w:jc w:val="both"/>
        <w:rPr>
          <w:sz w:val="22"/>
          <w:szCs w:val="22"/>
          <w:lang w:val="en-US"/>
        </w:rPr>
      </w:pPr>
      <w:r>
        <w:rPr>
          <w:sz w:val="22"/>
          <w:szCs w:val="22"/>
          <w:lang w:val="en-US"/>
        </w:rPr>
        <w:t xml:space="preserve">recruitment of environmental and social safeguards specialists in the </w:t>
      </w:r>
      <w:r>
        <w:rPr>
          <w:sz w:val="22"/>
          <w:szCs w:val="22"/>
          <w:lang w:val="en-US"/>
        </w:rPr>
        <w:t>PDCA</w:t>
      </w:r>
      <w:r>
        <w:rPr>
          <w:sz w:val="22"/>
          <w:szCs w:val="22"/>
          <w:lang w:val="en-US"/>
        </w:rPr>
        <w:t>;</w:t>
      </w:r>
    </w:p>
    <w:p>
      <w:pPr>
        <w:pStyle w:val="style179"/>
        <w:numPr>
          <w:ilvl w:val="0"/>
          <w:numId w:val="111"/>
        </w:numPr>
        <w:spacing w:lineRule="atLeast" w:line="253"/>
        <w:jc w:val="both"/>
        <w:rPr>
          <w:sz w:val="22"/>
          <w:szCs w:val="22"/>
          <w:lang w:val="en-US"/>
        </w:rPr>
      </w:pPr>
      <w:r>
        <w:rPr>
          <w:sz w:val="22"/>
          <w:szCs w:val="22"/>
          <w:lang w:val="en-US"/>
        </w:rPr>
        <w:t>the effectiveness of environmental and social selection and the realization of ESIA/ESIS;</w:t>
      </w:r>
    </w:p>
    <w:p>
      <w:pPr>
        <w:pStyle w:val="style179"/>
        <w:numPr>
          <w:ilvl w:val="0"/>
          <w:numId w:val="111"/>
        </w:numPr>
        <w:spacing w:lineRule="atLeast" w:line="253"/>
        <w:jc w:val="both"/>
        <w:rPr>
          <w:sz w:val="22"/>
          <w:szCs w:val="22"/>
          <w:lang w:val="en-US"/>
        </w:rPr>
      </w:pPr>
      <w:r>
        <w:rPr>
          <w:sz w:val="22"/>
          <w:szCs w:val="22"/>
          <w:lang w:val="en-US"/>
        </w:rPr>
        <w:t>implementation of training/awareness activities;</w:t>
      </w:r>
    </w:p>
    <w:p>
      <w:pPr>
        <w:pStyle w:val="style179"/>
        <w:numPr>
          <w:ilvl w:val="0"/>
          <w:numId w:val="111"/>
        </w:numPr>
        <w:spacing w:lineRule="atLeast" w:line="253"/>
        <w:jc w:val="both"/>
        <w:rPr>
          <w:sz w:val="22"/>
          <w:szCs w:val="22"/>
          <w:lang w:val="en-US"/>
        </w:rPr>
      </w:pPr>
      <w:r>
        <w:rPr>
          <w:sz w:val="22"/>
          <w:szCs w:val="22"/>
          <w:lang w:val="en-US"/>
        </w:rPr>
        <w:t>effective coordination and environmental and social monitoring by the BUNEE.</w:t>
      </w:r>
    </w:p>
    <w:p>
      <w:pPr>
        <w:pStyle w:val="style0"/>
        <w:spacing w:after="160" w:lineRule="atLeast" w:line="238"/>
        <w:jc w:val="both"/>
        <w:rPr>
          <w:sz w:val="22"/>
          <w:szCs w:val="22"/>
          <w:lang w:val="en-US"/>
        </w:rPr>
      </w:pPr>
      <w:r>
        <w:rPr>
          <w:sz w:val="22"/>
          <w:szCs w:val="22"/>
          <w:lang w:val="en-US"/>
        </w:rPr>
        <w:t> </w:t>
      </w:r>
    </w:p>
    <w:p>
      <w:pPr>
        <w:pStyle w:val="style0"/>
        <w:spacing w:after="160" w:lineRule="atLeast" w:line="238"/>
        <w:jc w:val="both"/>
        <w:rPr>
          <w:sz w:val="22"/>
          <w:szCs w:val="22"/>
          <w:lang w:val="en-US"/>
        </w:rPr>
      </w:pPr>
      <w:r>
        <w:rPr>
          <w:sz w:val="22"/>
          <w:szCs w:val="22"/>
          <w:lang w:val="en-US"/>
        </w:rPr>
        <w:t>Other indicators will be monitored by the PCU:</w:t>
      </w:r>
    </w:p>
    <w:p>
      <w:pPr>
        <w:pStyle w:val="style179"/>
        <w:numPr>
          <w:ilvl w:val="0"/>
          <w:numId w:val="111"/>
        </w:numPr>
        <w:spacing w:lineRule="atLeast" w:line="253"/>
        <w:jc w:val="both"/>
        <w:rPr>
          <w:sz w:val="22"/>
          <w:szCs w:val="22"/>
          <w:lang w:val="en-US"/>
        </w:rPr>
      </w:pPr>
      <w:r>
        <w:rPr>
          <w:sz w:val="22"/>
          <w:szCs w:val="22"/>
          <w:lang w:val="en-US"/>
        </w:rPr>
        <w:t>Number of subprojects passed through environmental and social selection;</w:t>
      </w:r>
    </w:p>
    <w:p>
      <w:pPr>
        <w:pStyle w:val="style179"/>
        <w:numPr>
          <w:ilvl w:val="0"/>
          <w:numId w:val="111"/>
        </w:numPr>
        <w:spacing w:lineRule="atLeast" w:line="253"/>
        <w:jc w:val="both"/>
        <w:rPr>
          <w:sz w:val="22"/>
          <w:szCs w:val="22"/>
          <w:lang w:val="en-US"/>
        </w:rPr>
      </w:pPr>
      <w:r>
        <w:rPr>
          <w:sz w:val="22"/>
          <w:szCs w:val="22"/>
          <w:lang w:val="en-US"/>
        </w:rPr>
        <w:t>Number of sub-projects that required the conduct of an ESIA with ESMP implemented   ;</w:t>
      </w:r>
    </w:p>
    <w:p>
      <w:pPr>
        <w:pStyle w:val="style179"/>
        <w:numPr>
          <w:ilvl w:val="0"/>
          <w:numId w:val="111"/>
        </w:numPr>
        <w:spacing w:lineRule="atLeast" w:line="253"/>
        <w:jc w:val="both"/>
        <w:rPr>
          <w:sz w:val="22"/>
          <w:szCs w:val="22"/>
          <w:lang w:val="en-US"/>
        </w:rPr>
      </w:pPr>
      <w:r>
        <w:rPr>
          <w:bCs/>
          <w:sz w:val="22"/>
          <w:szCs w:val="22"/>
          <w:lang w:val="en-US"/>
        </w:rPr>
        <w:t xml:space="preserve">Number of sub-projects with  </w:t>
      </w:r>
      <w:r>
        <w:rPr>
          <w:bCs/>
          <w:sz w:val="22"/>
          <w:szCs w:val="22"/>
          <w:lang w:val="en-US"/>
        </w:rPr>
        <w:t>environmental</w:t>
      </w:r>
      <w:r>
        <w:rPr>
          <w:bCs/>
          <w:sz w:val="22"/>
          <w:szCs w:val="22"/>
          <w:lang w:val="en-US"/>
        </w:rPr>
        <w:t xml:space="preserve"> </w:t>
      </w:r>
      <w:r>
        <w:rPr>
          <w:bCs/>
          <w:sz w:val="22"/>
          <w:szCs w:val="22"/>
          <w:lang w:val="en-US"/>
        </w:rPr>
        <w:t>and social monitoring</w:t>
      </w:r>
      <w:r>
        <w:rPr>
          <w:bCs/>
          <w:sz w:val="22"/>
          <w:szCs w:val="22"/>
          <w:lang w:val="en-US"/>
        </w:rPr>
        <w:t xml:space="preserve"> « reporting » </w:t>
      </w:r>
      <w:r>
        <w:rPr>
          <w:bCs/>
          <w:sz w:val="22"/>
          <w:szCs w:val="22"/>
          <w:lang w:val="en-US"/>
        </w:rPr>
        <w:t>realized;</w:t>
      </w:r>
    </w:p>
    <w:p>
      <w:pPr>
        <w:pStyle w:val="style179"/>
        <w:numPr>
          <w:ilvl w:val="0"/>
          <w:numId w:val="111"/>
        </w:numPr>
        <w:spacing w:lineRule="atLeast" w:line="253"/>
        <w:jc w:val="both"/>
        <w:rPr>
          <w:sz w:val="22"/>
          <w:szCs w:val="22"/>
          <w:lang w:val="en-US"/>
        </w:rPr>
      </w:pPr>
      <w:r>
        <w:rPr>
          <w:sz w:val="22"/>
          <w:szCs w:val="22"/>
          <w:lang w:val="en-US"/>
        </w:rPr>
        <w:t>Number of trees planted after the implementation of s s infrastructure (irrigated agricultural land, conservation unit and processing, etc.)</w:t>
      </w:r>
    </w:p>
    <w:p>
      <w:pPr>
        <w:pStyle w:val="style179"/>
        <w:numPr>
          <w:ilvl w:val="0"/>
          <w:numId w:val="111"/>
        </w:numPr>
        <w:spacing w:lineRule="atLeast" w:line="253"/>
        <w:jc w:val="both"/>
        <w:rPr>
          <w:sz w:val="22"/>
          <w:szCs w:val="22"/>
          <w:lang w:val="en-US"/>
        </w:rPr>
      </w:pPr>
      <w:r>
        <w:rPr>
          <w:sz w:val="22"/>
          <w:szCs w:val="22"/>
          <w:lang w:val="en-US"/>
        </w:rPr>
        <w:t>Number of training / awareness sessions organized for stakeholders</w:t>
      </w:r>
    </w:p>
    <w:p>
      <w:pPr>
        <w:pStyle w:val="style179"/>
        <w:numPr>
          <w:ilvl w:val="0"/>
          <w:numId w:val="111"/>
        </w:numPr>
        <w:spacing w:lineRule="atLeast" w:line="253"/>
        <w:jc w:val="both"/>
        <w:rPr>
          <w:sz w:val="22"/>
          <w:szCs w:val="22"/>
          <w:lang w:val="en-US"/>
        </w:rPr>
      </w:pPr>
      <w:r>
        <w:rPr>
          <w:sz w:val="22"/>
          <w:szCs w:val="22"/>
          <w:lang w:val="en-US"/>
        </w:rPr>
        <w:t>Number and type of claims registered and processed.</w:t>
      </w:r>
    </w:p>
    <w:p>
      <w:pPr>
        <w:pStyle w:val="style0"/>
        <w:ind w:left="720"/>
        <w:jc w:val="both"/>
        <w:rPr>
          <w:sz w:val="27"/>
          <w:szCs w:val="27"/>
          <w:lang w:val="en-US"/>
        </w:rPr>
      </w:pPr>
    </w:p>
    <w:p>
      <w:pPr>
        <w:pStyle w:val="style0"/>
        <w:spacing w:after="160" w:lineRule="atLeast" w:line="248"/>
        <w:ind w:left="720"/>
        <w:jc w:val="both"/>
        <w:rPr>
          <w:sz w:val="23"/>
          <w:szCs w:val="23"/>
          <w:lang w:val="en-US"/>
        </w:rPr>
      </w:pPr>
      <w:r>
        <w:rPr>
          <w:sz w:val="23"/>
          <w:szCs w:val="23"/>
          <w:lang w:val="en-US"/>
        </w:rPr>
        <w:t> </w:t>
      </w:r>
      <w:r>
        <w:rPr>
          <w:b/>
          <w:bCs/>
          <w:sz w:val="23"/>
          <w:szCs w:val="23"/>
          <w:lang w:val="en-US"/>
        </w:rPr>
        <w:t>6.5.</w:t>
      </w:r>
      <w:r>
        <w:rPr>
          <w:sz w:val="23"/>
          <w:szCs w:val="23"/>
          <w:lang w:val="en-US"/>
        </w:rPr>
        <w:t> </w:t>
      </w:r>
      <w:r>
        <w:rPr>
          <w:b/>
          <w:bCs/>
          <w:sz w:val="23"/>
          <w:szCs w:val="23"/>
          <w:lang w:val="en-US"/>
        </w:rPr>
        <w:t>Clear institutional arrangement for the implementation of the environmental and social management procedure for sub-projects</w:t>
      </w:r>
    </w:p>
    <w:p>
      <w:pPr>
        <w:pStyle w:val="style0"/>
        <w:spacing w:after="160" w:lineRule="atLeast" w:line="238"/>
        <w:jc w:val="both"/>
        <w:rPr>
          <w:sz w:val="22"/>
          <w:szCs w:val="22"/>
          <w:lang w:val="en-US"/>
        </w:rPr>
      </w:pPr>
      <w:r>
        <w:rPr>
          <w:sz w:val="22"/>
          <w:szCs w:val="22"/>
          <w:lang w:val="en-US"/>
        </w:rPr>
        <w:t>For the implementation of the ESMF, institutional arrangements will be required. The organizational framework for implementing ESMF measures includes among others:</w:t>
      </w:r>
    </w:p>
    <w:p>
      <w:pPr>
        <w:pStyle w:val="style0"/>
        <w:numPr>
          <w:ilvl w:val="0"/>
          <w:numId w:val="136"/>
        </w:numPr>
        <w:spacing w:after="160" w:lineRule="auto" w:line="259"/>
        <w:ind w:left="562" w:firstLine="0"/>
        <w:jc w:val="both"/>
        <w:rPr>
          <w:sz w:val="22"/>
          <w:szCs w:val="22"/>
          <w:lang w:val="en-US"/>
        </w:rPr>
      </w:pPr>
      <w:r>
        <w:rPr>
          <w:b/>
          <w:bCs/>
          <w:sz w:val="22"/>
          <w:szCs w:val="22"/>
          <w:lang w:val="en-US"/>
        </w:rPr>
        <w:t>Program Review Committee</w:t>
      </w:r>
      <w:r>
        <w:rPr>
          <w:sz w:val="22"/>
          <w:szCs w:val="22"/>
          <w:lang w:val="en-US"/>
        </w:rPr>
        <w:t> for Strategic Coordination: The PDCA being dependent on the budget program “Hydro-agricultural and irrigation schemes” of the MAAH, a ministerial decree will have to be taken to specify its responsibility and its missions as well as its operation mode. It will have to pay particular attention to the proper execution of the Program through the strict respect of the strategic orientations and programs of operational activities, the coherence between the governmental objectives and partners with those pursued by the program. It approves work plans and annual/semi-annual budgets and also ensures overall good governance of the Program. It will also have to make sure that all the actors concerned are well involved and have roles to play); committee member structures will carry out supervision missions;</w:t>
      </w:r>
    </w:p>
    <w:p>
      <w:pPr>
        <w:pStyle w:val="style0"/>
        <w:numPr>
          <w:ilvl w:val="0"/>
          <w:numId w:val="136"/>
        </w:numPr>
        <w:spacing w:after="160" w:lineRule="auto" w:line="259"/>
        <w:ind w:left="562" w:hanging="112"/>
        <w:jc w:val="both"/>
        <w:rPr>
          <w:sz w:val="22"/>
          <w:szCs w:val="22"/>
          <w:lang w:val="en-US"/>
        </w:rPr>
      </w:pPr>
      <w:r>
        <w:rPr>
          <w:b/>
          <w:bCs/>
          <w:sz w:val="22"/>
          <w:szCs w:val="22"/>
          <w:lang w:val="en-US"/>
        </w:rPr>
        <w:t>Program Coordination</w:t>
      </w:r>
      <w:r>
        <w:rPr>
          <w:sz w:val="22"/>
          <w:szCs w:val="22"/>
          <w:lang w:val="en-US"/>
        </w:rPr>
        <w:t> </w:t>
      </w:r>
      <w:r>
        <w:rPr>
          <w:b/>
          <w:bCs/>
          <w:sz w:val="22"/>
          <w:szCs w:val="22"/>
          <w:lang w:val="en-US"/>
        </w:rPr>
        <w:t>(NCU)</w:t>
      </w:r>
      <w:r>
        <w:rPr>
          <w:sz w:val="22"/>
          <w:szCs w:val="22"/>
          <w:lang w:val="en-US"/>
        </w:rPr>
        <w:t> through its environmental and social safeguards specialists will play an interface role with the BUNEE   and ensure the implementation of environmental and social selection, approval, implementation and environmental and social monitoring of activities selected under the Program. In addition, it will also recruit NGOs for awareness raising campaigns, mobilization and social support. It will ensure the training of other actors on environmental and social management.  It will ensure the dissemination of the ESMF, the PMP, the RPF and any specific environmental et social assessments (ESIA, RAP, etc.) and establish memoranda of understanding with BUNEE, DRAAH, DREEVCC and DRRAH for monitoring and follow-up.</w:t>
      </w:r>
    </w:p>
    <w:p>
      <w:pPr>
        <w:pStyle w:val="style0"/>
        <w:numPr>
          <w:ilvl w:val="0"/>
          <w:numId w:val="136"/>
        </w:numPr>
        <w:spacing w:after="160" w:lineRule="auto" w:line="259"/>
        <w:ind w:left="562" w:firstLine="0"/>
        <w:jc w:val="both"/>
        <w:rPr>
          <w:sz w:val="22"/>
          <w:szCs w:val="22"/>
          <w:lang w:val="en-US"/>
        </w:rPr>
      </w:pPr>
      <w:r>
        <w:rPr>
          <w:b/>
          <w:sz w:val="22"/>
          <w:szCs w:val="22"/>
          <w:lang w:val="en-US"/>
        </w:rPr>
        <w:t>BUNEE,</w:t>
      </w:r>
      <w:r>
        <w:rPr>
          <w:sz w:val="22"/>
          <w:szCs w:val="22"/>
          <w:lang w:val="en-US"/>
        </w:rPr>
        <w:t xml:space="preserve"> the national institution responsible for ESMP coordination and monitoring; the BUNEE will externally monitor the implementation of the ESMF based on a collaborative protocol whose resources will be supported by the UNC through program activities over the duration of the Program; this </w:t>
      </w:r>
      <w:r>
        <w:rPr>
          <w:sz w:val="22"/>
          <w:szCs w:val="22"/>
          <w:lang w:val="en-US"/>
        </w:rPr>
        <w:t>MOU will</w:t>
      </w:r>
      <w:r>
        <w:rPr>
          <w:sz w:val="22"/>
          <w:szCs w:val="22"/>
          <w:lang w:val="en-US"/>
        </w:rPr>
        <w:t> define the monitoring requirements, the core areas of monitoring and their periodicity, the reporting system, etc. Finally, as part of its mission, the BUNEE will coordinate </w:t>
      </w:r>
      <w:r>
        <w:rPr>
          <w:sz w:val="22"/>
          <w:szCs w:val="22"/>
          <w:lang w:val="en-US"/>
        </w:rPr>
        <w:t>external monitoring</w:t>
      </w:r>
      <w:r>
        <w:rPr>
          <w:sz w:val="22"/>
          <w:szCs w:val="22"/>
          <w:lang w:val="en-US"/>
        </w:rPr>
        <w:t>, in connection with other national institutions. Monitoring of BUNEE will run as a control or verification and will build on the program monitoring reports.</w:t>
      </w:r>
    </w:p>
    <w:p>
      <w:pPr>
        <w:pStyle w:val="style0"/>
        <w:numPr>
          <w:ilvl w:val="0"/>
          <w:numId w:val="136"/>
        </w:numPr>
        <w:spacing w:after="160" w:lineRule="auto" w:line="259"/>
        <w:ind w:left="562" w:firstLine="0"/>
        <w:jc w:val="both"/>
        <w:rPr>
          <w:sz w:val="22"/>
          <w:szCs w:val="22"/>
          <w:lang w:val="en-US"/>
        </w:rPr>
      </w:pPr>
      <w:r>
        <w:rPr>
          <w:b/>
          <w:bCs/>
          <w:iCs/>
          <w:sz w:val="22"/>
          <w:szCs w:val="22"/>
          <w:lang w:val="en-US"/>
        </w:rPr>
        <w:t>DRAAH, DRRAH, DREEVCC, DRS and DRI</w:t>
      </w:r>
      <w:r>
        <w:rPr>
          <w:b/>
          <w:bCs/>
          <w:i/>
          <w:iCs/>
          <w:sz w:val="22"/>
          <w:szCs w:val="22"/>
          <w:lang w:val="en-US"/>
        </w:rPr>
        <w:t>:</w:t>
      </w:r>
      <w:r>
        <w:rPr>
          <w:sz w:val="22"/>
          <w:szCs w:val="22"/>
          <w:lang w:val="en-US"/>
        </w:rPr>
        <w:t xml:space="preserve"> These </w:t>
      </w:r>
      <w:r>
        <w:rPr>
          <w:sz w:val="22"/>
          <w:szCs w:val="22"/>
          <w:lang w:val="en-US"/>
        </w:rPr>
        <w:t>deconcentrated technical services</w:t>
      </w:r>
      <w:r>
        <w:rPr>
          <w:sz w:val="22"/>
          <w:szCs w:val="22"/>
          <w:lang w:val="en-US"/>
        </w:rPr>
        <w:t xml:space="preserve"> are required to nominate their Focal Points</w:t>
      </w:r>
      <w:r>
        <w:rPr>
          <w:sz w:val="22"/>
          <w:szCs w:val="22"/>
          <w:lang w:val="en-US"/>
        </w:rPr>
        <w:t xml:space="preserve"> </w:t>
      </w:r>
      <w:r>
        <w:rPr>
          <w:sz w:val="22"/>
          <w:szCs w:val="22"/>
          <w:lang w:val="en-US"/>
        </w:rPr>
        <w:t>(FP)</w:t>
      </w:r>
      <w:r>
        <w:rPr>
          <w:sz w:val="22"/>
          <w:szCs w:val="22"/>
          <w:lang w:val="en-US"/>
        </w:rPr>
        <w:t>. These FPs </w:t>
      </w:r>
      <w:r>
        <w:rPr>
          <w:b/>
          <w:bCs/>
          <w:i/>
          <w:iCs/>
          <w:sz w:val="22"/>
          <w:szCs w:val="22"/>
          <w:lang w:val="en-US"/>
        </w:rPr>
        <w:t> </w:t>
      </w:r>
      <w:r>
        <w:rPr>
          <w:sz w:val="22"/>
          <w:szCs w:val="22"/>
          <w:lang w:val="en-US"/>
        </w:rPr>
        <w:t> will have to benefit from the training provided by the NCU to ensure the environmental and social monitoring of the Program activities.</w:t>
      </w:r>
    </w:p>
    <w:p>
      <w:pPr>
        <w:pStyle w:val="style0"/>
        <w:numPr>
          <w:ilvl w:val="0"/>
          <w:numId w:val="136"/>
        </w:numPr>
        <w:spacing w:after="160" w:lineRule="auto" w:line="259"/>
        <w:ind w:left="562" w:firstLine="0"/>
        <w:jc w:val="both"/>
        <w:rPr>
          <w:sz w:val="22"/>
          <w:szCs w:val="22"/>
          <w:lang w:val="en-US"/>
        </w:rPr>
      </w:pPr>
      <w:r>
        <w:rPr>
          <w:b/>
          <w:bCs/>
          <w:iCs/>
          <w:sz w:val="22"/>
          <w:szCs w:val="22"/>
          <w:lang w:val="en-US"/>
        </w:rPr>
        <w:t>Local authorities</w:t>
      </w:r>
      <w:r>
        <w:rPr>
          <w:sz w:val="22"/>
          <w:szCs w:val="22"/>
          <w:lang w:val="en-US"/>
        </w:rPr>
        <w:t xml:space="preserve">: As actors at the decentralized level, they will intervene in the management of their environment and the monitoring of the implementation of sub-projects. In addition to this aspect, local authorities will monitor the ESMPs implementation and participate in the implementation of the provisions of the </w:t>
      </w:r>
      <w:r>
        <w:rPr>
          <w:sz w:val="22"/>
          <w:szCs w:val="22"/>
          <w:lang w:val="en-US"/>
        </w:rPr>
        <w:t>GRM</w:t>
      </w:r>
      <w:r>
        <w:rPr>
          <w:sz w:val="22"/>
          <w:szCs w:val="22"/>
          <w:lang w:val="en-US"/>
        </w:rPr>
        <w:t xml:space="preserve">. </w:t>
      </w:r>
    </w:p>
    <w:p>
      <w:pPr>
        <w:pStyle w:val="style0"/>
        <w:numPr>
          <w:ilvl w:val="0"/>
          <w:numId w:val="136"/>
        </w:numPr>
        <w:spacing w:after="160" w:lineRule="auto" w:line="259"/>
        <w:ind w:left="562" w:firstLine="0"/>
        <w:jc w:val="both"/>
        <w:rPr>
          <w:sz w:val="22"/>
          <w:szCs w:val="22"/>
          <w:lang w:val="en-US"/>
        </w:rPr>
      </w:pPr>
      <w:r>
        <w:rPr>
          <w:b/>
          <w:bCs/>
          <w:iCs/>
          <w:sz w:val="22"/>
          <w:szCs w:val="22"/>
          <w:lang w:val="en-US"/>
        </w:rPr>
        <w:t>Local communities</w:t>
      </w:r>
      <w:r>
        <w:rPr>
          <w:b/>
          <w:bCs/>
          <w:i/>
          <w:iCs/>
          <w:sz w:val="22"/>
          <w:szCs w:val="22"/>
          <w:lang w:val="en-US"/>
        </w:rPr>
        <w:t>:</w:t>
      </w:r>
      <w:r>
        <w:rPr>
          <w:sz w:val="22"/>
          <w:szCs w:val="22"/>
          <w:lang w:val="en-US"/>
        </w:rPr>
        <w:t xml:space="preserve"> With the development of irrigated perimeters, an important role is expected from the communities to know how to participate in the sensitization of the populations, social mobilization activities and the proximity monitoring of the implementation of the recommendations of the </w:t>
      </w:r>
      <w:r>
        <w:rPr>
          <w:sz w:val="22"/>
          <w:szCs w:val="22"/>
          <w:lang w:val="en-US"/>
        </w:rPr>
        <w:t>ESMF</w:t>
      </w:r>
      <w:r>
        <w:rPr>
          <w:sz w:val="22"/>
          <w:szCs w:val="22"/>
          <w:lang w:val="en-US"/>
        </w:rPr>
        <w:t xml:space="preserve"> </w:t>
      </w:r>
      <w:r>
        <w:rPr>
          <w:sz w:val="22"/>
          <w:szCs w:val="22"/>
          <w:lang w:val="en-US"/>
        </w:rPr>
        <w:t xml:space="preserve">and the measures </w:t>
      </w:r>
      <w:r>
        <w:rPr>
          <w:sz w:val="22"/>
          <w:szCs w:val="22"/>
          <w:lang w:val="en-US"/>
        </w:rPr>
        <w:t>of</w:t>
      </w:r>
      <w:r>
        <w:rPr>
          <w:sz w:val="22"/>
          <w:szCs w:val="22"/>
          <w:lang w:val="en-US"/>
        </w:rPr>
        <w:t xml:space="preserve"> environmental assessments.</w:t>
      </w:r>
    </w:p>
    <w:p>
      <w:pPr>
        <w:pStyle w:val="style0"/>
        <w:numPr>
          <w:ilvl w:val="0"/>
          <w:numId w:val="136"/>
        </w:numPr>
        <w:spacing w:after="160" w:lineRule="auto" w:line="259"/>
        <w:ind w:left="562" w:firstLine="0"/>
        <w:jc w:val="both"/>
        <w:rPr>
          <w:sz w:val="22"/>
          <w:szCs w:val="22"/>
          <w:lang w:val="en-US"/>
        </w:rPr>
      </w:pPr>
      <w:r>
        <w:rPr>
          <w:b/>
          <w:bCs/>
          <w:iCs/>
          <w:sz w:val="22"/>
          <w:szCs w:val="22"/>
          <w:lang w:val="en-US"/>
        </w:rPr>
        <w:t>NGOs and civil society</w:t>
      </w:r>
      <w:r>
        <w:rPr>
          <w:b/>
          <w:bCs/>
          <w:i/>
          <w:iCs/>
          <w:sz w:val="22"/>
          <w:szCs w:val="22"/>
          <w:lang w:val="en-US"/>
        </w:rPr>
        <w:t>:</w:t>
      </w:r>
      <w:r>
        <w:rPr>
          <w:sz w:val="22"/>
          <w:szCs w:val="22"/>
          <w:lang w:val="en-US"/>
        </w:rPr>
        <w:t> NGOs, CSOs and other environmental civil society organizations operating in the Program Area, as well as structures such as CPF, UNPCB and ROPPA, may also participate in informing, educating and raising awareness on the environmental and social aspects related to the implementation of the Program, but also to monitoring the implementation of ESMF measures.</w:t>
      </w:r>
    </w:p>
    <w:p>
      <w:pPr>
        <w:pStyle w:val="style0"/>
        <w:numPr>
          <w:ilvl w:val="0"/>
          <w:numId w:val="136"/>
        </w:numPr>
        <w:spacing w:after="160" w:lineRule="auto" w:line="259"/>
        <w:ind w:left="562" w:firstLine="0"/>
        <w:jc w:val="both"/>
        <w:rPr>
          <w:sz w:val="22"/>
          <w:szCs w:val="22"/>
          <w:lang w:val="en-US"/>
        </w:rPr>
      </w:pPr>
      <w:r>
        <w:rPr>
          <w:b/>
          <w:bCs/>
          <w:iCs/>
          <w:sz w:val="22"/>
          <w:szCs w:val="22"/>
          <w:lang w:val="en-US"/>
        </w:rPr>
        <w:t xml:space="preserve">Companies and </w:t>
      </w:r>
      <w:r>
        <w:rPr>
          <w:b/>
          <w:bCs/>
          <w:iCs/>
          <w:sz w:val="22"/>
          <w:szCs w:val="22"/>
          <w:lang w:val="en-US"/>
        </w:rPr>
        <w:t>Owner’s Engineer</w:t>
      </w:r>
      <w:r>
        <w:rPr>
          <w:b/>
          <w:bCs/>
          <w:i/>
          <w:iCs/>
          <w:sz w:val="22"/>
          <w:szCs w:val="22"/>
          <w:lang w:val="en-US"/>
        </w:rPr>
        <w:t>:</w:t>
      </w:r>
      <w:r>
        <w:rPr>
          <w:sz w:val="22"/>
          <w:szCs w:val="22"/>
          <w:lang w:val="en-US"/>
        </w:rPr>
        <w:t xml:space="preserve"> The contractors' work will be responsible for implementation of ESMP while environmentalists </w:t>
      </w:r>
      <w:r>
        <w:rPr>
          <w:sz w:val="22"/>
          <w:szCs w:val="22"/>
          <w:lang w:val="en-US"/>
        </w:rPr>
        <w:t>of Owner’s Engineers</w:t>
      </w:r>
      <w:r>
        <w:rPr>
          <w:sz w:val="22"/>
          <w:szCs w:val="22"/>
          <w:lang w:val="en-US"/>
        </w:rPr>
        <w:t xml:space="preserve"> will conduct the monitoring / supervision of the implementation of environmental and social recommendations by business and will report to the Project Owner.</w:t>
      </w:r>
    </w:p>
    <w:p>
      <w:pPr>
        <w:pStyle w:val="style0"/>
        <w:spacing w:lineRule="atLeast" w:line="253"/>
        <w:jc w:val="both"/>
        <w:rPr>
          <w:sz w:val="22"/>
          <w:szCs w:val="22"/>
          <w:lang w:val="en-US"/>
        </w:rPr>
      </w:pPr>
      <w:r>
        <w:rPr>
          <w:sz w:val="22"/>
          <w:szCs w:val="22"/>
          <w:lang w:val="en-US"/>
        </w:rPr>
        <w:t> </w:t>
      </w:r>
    </w:p>
    <w:p>
      <w:pPr>
        <w:pStyle w:val="style0"/>
        <w:spacing w:lineRule="atLeast" w:line="253"/>
        <w:jc w:val="both"/>
        <w:rPr>
          <w:sz w:val="22"/>
          <w:szCs w:val="22"/>
          <w:lang w:val="en-US"/>
        </w:rPr>
      </w:pPr>
      <w:r>
        <w:rPr>
          <w:sz w:val="22"/>
          <w:szCs w:val="22"/>
          <w:lang w:val="en-US"/>
        </w:rPr>
        <w:t>For the implementation of environmental and social management measures, several stakeholders will assume roles and responsibilities. The following table provides a summary of the steps and institutional responsibilities.</w:t>
      </w:r>
    </w:p>
    <w:p>
      <w:pPr>
        <w:pStyle w:val="style0"/>
        <w:spacing w:after="200" w:lineRule="auto" w:line="276"/>
        <w:jc w:val="both"/>
        <w:contextualSpacing/>
        <w:rPr>
          <w:sz w:val="23"/>
          <w:szCs w:val="23"/>
          <w:lang w:val="en-US" w:eastAsia="en-US"/>
        </w:rPr>
      </w:pPr>
    </w:p>
    <w:tbl>
      <w:tblPr>
        <w:tblW w:w="40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1556"/>
        <w:gridCol w:w="1336"/>
        <w:gridCol w:w="2156"/>
        <w:gridCol w:w="1955"/>
      </w:tblGrid>
      <w:tr>
        <w:trPr>
          <w:tblHeader/>
        </w:trPr>
        <w:tc>
          <w:tcPr>
            <w:tcW w:w="384" w:type="pct"/>
            <w:tcBorders/>
            <w:shd w:val="clear" w:color="auto" w:fill="bfbfbf"/>
          </w:tcPr>
          <w:p>
            <w:pPr>
              <w:pStyle w:val="style0"/>
              <w:ind w:left="62" w:hanging="10"/>
              <w:jc w:val="both"/>
              <w:rPr>
                <w:rFonts w:eastAsia="MS Mincho"/>
                <w:b/>
                <w:iCs/>
                <w:kern w:val="2"/>
                <w:sz w:val="20"/>
                <w:szCs w:val="20"/>
                <w:lang w:val="en-US" w:eastAsia="en-GB"/>
              </w:rPr>
            </w:pPr>
            <w:r>
              <w:rPr>
                <w:rFonts w:eastAsia="MS Mincho"/>
                <w:b/>
                <w:iCs/>
                <w:kern w:val="2"/>
                <w:sz w:val="20"/>
                <w:szCs w:val="20"/>
                <w:lang w:val="en-US" w:eastAsia="en-GB"/>
              </w:rPr>
              <w:t>No</w:t>
            </w:r>
            <w:r>
              <w:rPr>
                <w:sz w:val="20"/>
                <w:szCs w:val="20"/>
                <w:lang w:val="en-US"/>
              </w:rPr>
              <w:t xml:space="preserve"> </w:t>
            </w:r>
          </w:p>
        </w:tc>
        <w:tc>
          <w:tcPr>
            <w:tcW w:w="1064" w:type="pct"/>
            <w:tcBorders/>
            <w:shd w:val="clear" w:color="auto" w:fill="bfbfbf"/>
          </w:tcPr>
          <w:p>
            <w:pPr>
              <w:pStyle w:val="style0"/>
              <w:ind w:left="62" w:hanging="10"/>
              <w:jc w:val="both"/>
              <w:rPr>
                <w:rFonts w:eastAsia="MS Mincho"/>
                <w:b/>
                <w:iCs/>
                <w:kern w:val="2"/>
                <w:sz w:val="20"/>
                <w:szCs w:val="20"/>
                <w:lang w:val="en-US" w:eastAsia="en-GB"/>
              </w:rPr>
            </w:pPr>
            <w:r>
              <w:rPr>
                <w:rFonts w:eastAsia="MS Mincho"/>
                <w:b/>
                <w:iCs/>
                <w:kern w:val="2"/>
                <w:sz w:val="20"/>
                <w:szCs w:val="20"/>
                <w:lang w:val="en-US" w:eastAsia="en-GB"/>
              </w:rPr>
              <w:t>Steps/Activities</w:t>
            </w:r>
          </w:p>
        </w:tc>
        <w:tc>
          <w:tcPr>
            <w:tcW w:w="870" w:type="pct"/>
            <w:tcBorders/>
            <w:shd w:val="clear" w:color="auto" w:fill="bfbfbf"/>
          </w:tcPr>
          <w:p>
            <w:pPr>
              <w:pStyle w:val="style0"/>
              <w:ind w:left="62" w:hanging="10"/>
              <w:jc w:val="both"/>
              <w:rPr>
                <w:rFonts w:eastAsia="MS Mincho"/>
                <w:b/>
                <w:iCs/>
                <w:kern w:val="2"/>
                <w:sz w:val="20"/>
                <w:szCs w:val="20"/>
                <w:lang w:val="en-US" w:eastAsia="en-GB"/>
              </w:rPr>
            </w:pPr>
            <w:r>
              <w:rPr>
                <w:rFonts w:eastAsia="MS Mincho"/>
                <w:b/>
                <w:iCs/>
                <w:kern w:val="2"/>
                <w:sz w:val="20"/>
                <w:szCs w:val="20"/>
                <w:lang w:val="en-US" w:eastAsia="en-GB"/>
              </w:rPr>
              <w:t>Responsible</w:t>
            </w:r>
          </w:p>
        </w:tc>
        <w:tc>
          <w:tcPr>
            <w:tcW w:w="1492" w:type="pct"/>
            <w:tcBorders/>
            <w:shd w:val="clear" w:color="auto" w:fill="bfbfbf"/>
          </w:tcPr>
          <w:p>
            <w:pPr>
              <w:pStyle w:val="style0"/>
              <w:ind w:left="62" w:hanging="10"/>
              <w:jc w:val="both"/>
              <w:rPr>
                <w:rFonts w:eastAsia="MS Mincho"/>
                <w:b/>
                <w:iCs/>
                <w:kern w:val="2"/>
                <w:sz w:val="20"/>
                <w:szCs w:val="20"/>
                <w:lang w:val="en-US" w:eastAsia="en-GB"/>
              </w:rPr>
            </w:pPr>
            <w:r>
              <w:rPr>
                <w:rFonts w:eastAsia="MS Mincho"/>
                <w:b/>
                <w:iCs/>
                <w:kern w:val="2"/>
                <w:sz w:val="20"/>
                <w:szCs w:val="20"/>
                <w:lang w:val="en-US" w:eastAsia="en-GB"/>
              </w:rPr>
              <w:t>Support/Collaboration</w:t>
            </w:r>
          </w:p>
        </w:tc>
        <w:tc>
          <w:tcPr>
            <w:tcW w:w="1190" w:type="pct"/>
            <w:tcBorders/>
            <w:shd w:val="clear" w:color="auto" w:fill="bfbfbf"/>
          </w:tcPr>
          <w:p>
            <w:pPr>
              <w:pStyle w:val="style0"/>
              <w:ind w:left="62" w:hanging="10"/>
              <w:jc w:val="both"/>
              <w:rPr>
                <w:rFonts w:eastAsia="MS Mincho"/>
                <w:b/>
                <w:iCs/>
                <w:kern w:val="2"/>
                <w:sz w:val="20"/>
                <w:szCs w:val="20"/>
                <w:lang w:val="en-US" w:eastAsia="en-GB"/>
              </w:rPr>
            </w:pPr>
            <w:r>
              <w:rPr>
                <w:rFonts w:eastAsia="MS Mincho"/>
                <w:b/>
                <w:iCs/>
                <w:kern w:val="2"/>
                <w:sz w:val="20"/>
                <w:szCs w:val="20"/>
                <w:lang w:val="en-US" w:eastAsia="en-GB"/>
              </w:rPr>
              <w:t>Service Providers</w:t>
            </w: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1.</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sz w:val="20"/>
                <w:szCs w:val="20"/>
                <w:lang w:val="en-US"/>
              </w:rPr>
              <w:t xml:space="preserve">Identification of the location / site and main technical characteristics of the </w:t>
            </w:r>
            <w:r>
              <w:rPr>
                <w:sz w:val="20"/>
                <w:szCs w:val="20"/>
                <w:lang w:val="en-US"/>
              </w:rPr>
              <w:t>sub-project (E &amp; S Filter)</w:t>
            </w:r>
          </w:p>
        </w:tc>
        <w:tc>
          <w:tcPr>
            <w:tcW w:w="870"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RT/UNC</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DGAHDI</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E</w:t>
            </w:r>
            <w:r>
              <w:rPr>
                <w:rFonts w:eastAsia="MS Mincho"/>
                <w:iCs/>
                <w:kern w:val="2"/>
                <w:sz w:val="20"/>
                <w:szCs w:val="20"/>
                <w:lang w:val="en-US" w:eastAsia="en-GB"/>
              </w:rPr>
              <w:t>SS</w:t>
            </w:r>
            <w:r>
              <w:rPr>
                <w:rFonts w:eastAsia="MS Mincho"/>
                <w:iCs/>
                <w:kern w:val="2"/>
                <w:sz w:val="20"/>
                <w:szCs w:val="20"/>
                <w:lang w:val="en-US" w:eastAsia="en-GB"/>
              </w:rPr>
              <w:t xml:space="preserve"> and SSS/PDCA</w:t>
            </w:r>
          </w:p>
        </w:tc>
        <w:tc>
          <w:tcPr>
            <w:tcW w:w="1492"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DRAAH/DPAAH</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 xml:space="preserve"> President </w:t>
            </w:r>
            <w:r>
              <w:rPr>
                <w:rFonts w:eastAsia="MS Mincho"/>
                <w:iCs/>
                <w:kern w:val="2"/>
                <w:sz w:val="20"/>
                <w:szCs w:val="20"/>
                <w:lang w:val="en-US" w:eastAsia="en-GB"/>
              </w:rPr>
              <w:t>of CVD</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Mayors of communes</w:t>
            </w:r>
          </w:p>
        </w:tc>
        <w:tc>
          <w:tcPr>
            <w:tcW w:w="119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Consultant</w:t>
            </w:r>
            <w:r>
              <w:rPr>
                <w:rFonts w:eastAsia="MS Mincho"/>
                <w:iCs/>
                <w:kern w:val="2"/>
                <w:sz w:val="20"/>
                <w:szCs w:val="20"/>
                <w:lang w:val="en-US" w:eastAsia="en-GB"/>
              </w:rPr>
              <w:t>s</w:t>
            </w:r>
          </w:p>
        </w:tc>
      </w:tr>
      <w:tr>
        <w:tblPrEx/>
        <w:trPr>
          <w:trHeight w:val="1214" w:hRule="atLeast"/>
        </w:trPr>
        <w:tc>
          <w:tcPr>
            <w:tcW w:w="384" w:type="pc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2.</w:t>
            </w:r>
          </w:p>
        </w:tc>
        <w:tc>
          <w:tcPr>
            <w:tcW w:w="1064" w:type="pct"/>
            <w:tcBorders/>
            <w:shd w:val="clear" w:color="auto" w:fill="auto"/>
          </w:tcPr>
          <w:p>
            <w:pPr>
              <w:pStyle w:val="style0"/>
              <w:tabs>
                <w:tab w:val="left" w:leader="none" w:pos="0"/>
              </w:tabs>
              <w:jc w:val="both"/>
              <w:contextualSpacing/>
              <w:rPr>
                <w:rFonts w:eastAsia="MS Mincho"/>
                <w:iCs/>
                <w:kern w:val="2"/>
                <w:sz w:val="20"/>
                <w:szCs w:val="20"/>
                <w:lang w:val="en-US" w:eastAsia="en-GB"/>
              </w:rPr>
            </w:pPr>
            <w:r>
              <w:rPr>
                <w:sz w:val="20"/>
                <w:szCs w:val="20"/>
                <w:lang w:val="en-US"/>
              </w:rPr>
              <w:t>Environmental selection (Screening-filling of forms), and determination of the type of specific safeguard</w:t>
            </w:r>
            <w:r>
              <w:rPr>
                <w:sz w:val="20"/>
                <w:szCs w:val="20"/>
                <w:lang w:val="en-US"/>
              </w:rPr>
              <w:t>s</w:t>
            </w:r>
            <w:r>
              <w:rPr>
                <w:sz w:val="20"/>
                <w:szCs w:val="20"/>
                <w:lang w:val="en-US"/>
              </w:rPr>
              <w:t xml:space="preserve"> instrument</w:t>
            </w:r>
          </w:p>
        </w:tc>
        <w:tc>
          <w:tcPr>
            <w:tcW w:w="870" w:type="pct"/>
            <w:tcBorders/>
            <w:shd w:val="clear" w:color="auto" w:fill="auto"/>
          </w:tcPr>
          <w:p>
            <w:pPr>
              <w:pStyle w:val="style0"/>
              <w:tabs>
                <w:tab w:val="left" w:leader="none" w:pos="0"/>
              </w:tabs>
              <w:jc w:val="both"/>
              <w:contextualSpacing/>
              <w:rPr>
                <w:rFonts w:eastAsia="MS Mincho"/>
                <w:iCs/>
                <w:kern w:val="2"/>
                <w:sz w:val="20"/>
                <w:szCs w:val="20"/>
                <w:lang w:val="en-US" w:eastAsia="en-GB"/>
              </w:rPr>
            </w:pPr>
            <w:r>
              <w:rPr>
                <w:rFonts w:eastAsia="MS Mincho"/>
                <w:iCs/>
                <w:kern w:val="2"/>
                <w:sz w:val="20"/>
                <w:szCs w:val="20"/>
                <w:lang w:val="en-US" w:eastAsia="en-GB"/>
              </w:rPr>
              <w:t>E</w:t>
            </w:r>
            <w:r>
              <w:rPr>
                <w:rFonts w:eastAsia="MS Mincho"/>
                <w:iCs/>
                <w:kern w:val="2"/>
                <w:sz w:val="20"/>
                <w:szCs w:val="20"/>
                <w:lang w:val="en-US" w:eastAsia="en-GB"/>
              </w:rPr>
              <w:t>SS</w:t>
            </w:r>
            <w:r>
              <w:rPr>
                <w:rFonts w:eastAsia="MS Mincho"/>
                <w:iCs/>
                <w:kern w:val="2"/>
                <w:sz w:val="20"/>
                <w:szCs w:val="20"/>
                <w:lang w:val="en-US" w:eastAsia="en-GB"/>
              </w:rPr>
              <w:t xml:space="preserve"> and SSS/PDCA</w:t>
            </w:r>
          </w:p>
          <w:p>
            <w:pPr>
              <w:pStyle w:val="style0"/>
              <w:tabs>
                <w:tab w:val="left" w:leader="none" w:pos="0"/>
              </w:tabs>
              <w:ind w:left="62" w:hanging="10"/>
              <w:jc w:val="both"/>
              <w:contextualSpacing/>
              <w:rPr>
                <w:rFonts w:eastAsia="MS Mincho"/>
                <w:iCs/>
                <w:kern w:val="2"/>
                <w:sz w:val="20"/>
                <w:szCs w:val="20"/>
                <w:lang w:val="en-US" w:eastAsia="en-GB"/>
              </w:rPr>
            </w:pPr>
          </w:p>
        </w:tc>
        <w:tc>
          <w:tcPr>
            <w:tcW w:w="1492"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DRAAH/</w:t>
            </w:r>
            <w:r>
              <w:rPr>
                <w:rFonts w:eastAsia="MS Mincho"/>
                <w:iCs/>
                <w:kern w:val="2"/>
                <w:sz w:val="20"/>
                <w:szCs w:val="20"/>
                <w:lang w:val="en-US" w:eastAsia="en-GB"/>
              </w:rPr>
              <w:t>DPAAH</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DRRAH/DREEVCC/</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DRS</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RCU</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 xml:space="preserve">Director of the  plain </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 xml:space="preserve"> President </w:t>
            </w:r>
            <w:r>
              <w:rPr>
                <w:rFonts w:eastAsia="MS Mincho"/>
                <w:iCs/>
                <w:kern w:val="2"/>
                <w:sz w:val="20"/>
                <w:szCs w:val="20"/>
                <w:lang w:val="en-US" w:eastAsia="en-GB"/>
              </w:rPr>
              <w:t xml:space="preserve"> of CVD</w:t>
            </w:r>
          </w:p>
        </w:tc>
        <w:tc>
          <w:tcPr>
            <w:tcW w:w="1190" w:type="pc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p>
          <w:p>
            <w:pPr>
              <w:pStyle w:val="style0"/>
              <w:numPr>
                <w:ilvl w:val="0"/>
                <w:numId w:val="69"/>
              </w:numPr>
              <w:tabs>
                <w:tab w:val="left" w:leader="none" w:pos="186"/>
              </w:tabs>
              <w:spacing w:after="160" w:lineRule="auto" w:line="259"/>
              <w:ind w:left="95" w:hanging="95"/>
              <w:jc w:val="both"/>
              <w:rPr>
                <w:sz w:val="20"/>
                <w:szCs w:val="20"/>
                <w:lang w:val="en-US"/>
              </w:rPr>
            </w:pPr>
            <w:r>
              <w:rPr>
                <w:sz w:val="20"/>
                <w:szCs w:val="20"/>
                <w:lang w:val="en-US"/>
              </w:rPr>
              <w:t>ESS</w:t>
            </w:r>
            <w:r>
              <w:rPr>
                <w:sz w:val="20"/>
                <w:szCs w:val="20"/>
                <w:lang w:val="en-US"/>
              </w:rPr>
              <w:t xml:space="preserve"> </w:t>
            </w:r>
            <w:r>
              <w:rPr>
                <w:sz w:val="20"/>
                <w:szCs w:val="20"/>
                <w:lang w:val="en-US"/>
              </w:rPr>
              <w:t>and</w:t>
            </w:r>
            <w:r>
              <w:rPr>
                <w:sz w:val="20"/>
                <w:szCs w:val="20"/>
                <w:lang w:val="en-US"/>
              </w:rPr>
              <w:t xml:space="preserve"> </w:t>
            </w:r>
            <w:r>
              <w:rPr>
                <w:sz w:val="20"/>
                <w:szCs w:val="20"/>
                <w:lang w:val="en-US"/>
              </w:rPr>
              <w:t>SSS/ PDCA</w:t>
            </w:r>
          </w:p>
          <w:p>
            <w:pPr>
              <w:pStyle w:val="style0"/>
              <w:numPr>
                <w:ilvl w:val="0"/>
                <w:numId w:val="69"/>
              </w:numPr>
              <w:tabs>
                <w:tab w:val="left" w:leader="none" w:pos="186"/>
              </w:tabs>
              <w:spacing w:after="160" w:lineRule="auto" w:line="259"/>
              <w:jc w:val="both"/>
              <w:rPr>
                <w:sz w:val="20"/>
                <w:szCs w:val="20"/>
                <w:lang w:val="en-US"/>
              </w:rPr>
            </w:pPr>
            <w:r>
              <w:rPr>
                <w:sz w:val="20"/>
                <w:szCs w:val="20"/>
                <w:lang w:val="en-US"/>
              </w:rPr>
              <w:t xml:space="preserve"> Environmental and Social Focal Points</w:t>
            </w:r>
          </w:p>
          <w:p>
            <w:pPr>
              <w:pStyle w:val="style0"/>
              <w:ind w:left="360"/>
              <w:jc w:val="both"/>
              <w:rPr>
                <w:rFonts w:eastAsia="MS Mincho"/>
                <w:iCs/>
                <w:kern w:val="2"/>
                <w:sz w:val="20"/>
                <w:szCs w:val="20"/>
                <w:lang w:val="en-US" w:eastAsia="en-GB"/>
              </w:rPr>
            </w:pPr>
            <w:r>
              <w:rPr>
                <w:sz w:val="20"/>
                <w:szCs w:val="20"/>
                <w:lang w:val="en-US"/>
              </w:rPr>
              <w:t xml:space="preserve"> (ES</w:t>
            </w:r>
            <w:r>
              <w:rPr>
                <w:sz w:val="20"/>
                <w:szCs w:val="20"/>
                <w:lang w:val="en-US"/>
              </w:rPr>
              <w:t>FP</w:t>
            </w:r>
            <w:r>
              <w:rPr>
                <w:sz w:val="20"/>
                <w:szCs w:val="20"/>
                <w:lang w:val="en-US"/>
              </w:rPr>
              <w:t>)</w:t>
            </w:r>
          </w:p>
        </w:tc>
      </w:tr>
      <w:tr>
        <w:tblPrEx/>
        <w:trPr>
          <w:trHeight w:val="941" w:hRule="atLeast"/>
        </w:trPr>
        <w:tc>
          <w:tcPr>
            <w:tcW w:w="38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3.</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sz w:val="20"/>
                <w:szCs w:val="20"/>
                <w:lang w:val="en-US"/>
              </w:rPr>
              <w:t xml:space="preserve">Approval of categorization </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Coordinator</w:t>
            </w:r>
            <w:r>
              <w:rPr>
                <w:rFonts w:eastAsia="MS Mincho"/>
                <w:iCs/>
                <w:kern w:val="2"/>
                <w:sz w:val="20"/>
                <w:szCs w:val="20"/>
                <w:lang w:val="en-US" w:eastAsia="en-GB"/>
              </w:rPr>
              <w:t xml:space="preserve"> of PDCA</w:t>
            </w:r>
            <w:r>
              <w:rPr>
                <w:rFonts w:eastAsia="MS Mincho"/>
                <w:iCs/>
                <w:kern w:val="2"/>
                <w:sz w:val="20"/>
                <w:szCs w:val="20"/>
                <w:lang w:val="en-US" w:eastAsia="en-GB"/>
              </w:rPr>
              <w:t xml:space="preserve"> </w:t>
            </w:r>
          </w:p>
        </w:tc>
        <w:tc>
          <w:tcPr>
            <w:tcW w:w="1492" w:type="pct"/>
            <w:tcBorders/>
            <w:shd w:val="clear" w:color="auto" w:fill="auto"/>
          </w:tcPr>
          <w:p>
            <w:pPr>
              <w:pStyle w:val="style0"/>
              <w:tabs>
                <w:tab w:val="left" w:leader="none" w:pos="186"/>
              </w:tabs>
              <w:ind w:left="95"/>
              <w:jc w:val="both"/>
              <w:rPr>
                <w:rFonts w:eastAsia="MS Mincho"/>
                <w:iCs/>
                <w:kern w:val="2"/>
                <w:sz w:val="20"/>
                <w:szCs w:val="20"/>
                <w:lang w:val="en-US" w:eastAsia="en-GB"/>
              </w:rPr>
            </w:pP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SSS/PDCA</w:t>
            </w:r>
          </w:p>
        </w:tc>
        <w:tc>
          <w:tcPr>
            <w:tcW w:w="1190" w:type="pct"/>
            <w:tcBorders/>
            <w:shd w:val="clear" w:color="auto" w:fill="auto"/>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69"/>
              </w:numPr>
              <w:spacing w:after="160" w:lineRule="auto" w:line="259"/>
              <w:ind w:left="151" w:hanging="180"/>
              <w:jc w:val="both"/>
              <w:rPr>
                <w:rFonts w:eastAsia="MS Mincho"/>
                <w:iCs/>
                <w:kern w:val="2"/>
                <w:sz w:val="20"/>
                <w:szCs w:val="20"/>
                <w:lang w:val="en-US" w:eastAsia="en-GB"/>
              </w:rPr>
            </w:pPr>
            <w:r>
              <w:rPr>
                <w:rFonts w:eastAsia="MS Mincho"/>
                <w:iCs/>
                <w:kern w:val="2"/>
                <w:sz w:val="20"/>
                <w:szCs w:val="20"/>
                <w:lang w:val="en-US" w:eastAsia="en-GB"/>
              </w:rPr>
              <w:t>World Bank</w:t>
            </w:r>
          </w:p>
        </w:tc>
      </w:tr>
      <w:tr>
        <w:tblPrEx/>
        <w:trPr>
          <w:trHeight w:val="506" w:hRule="atLeast"/>
        </w:trPr>
        <w:tc>
          <w:tcPr>
            <w:tcW w:w="384" w:type="pct"/>
            <w:tcBorders>
              <w:top w:val="single" w:sz="6" w:space="0" w:color="000000"/>
              <w:left w:val="single" w:sz="6" w:space="0" w:color="000000"/>
              <w:bottom w:val="single" w:sz="6" w:space="0" w:color="000000"/>
              <w:right w:val="single" w:sz="6" w:space="0" w:color="000000"/>
            </w:tcBorders>
            <w:shd w:val="clear" w:color="auto" w:fill="auto"/>
          </w:tcPr>
          <w:p>
            <w:pPr>
              <w:pStyle w:val="style0"/>
              <w:ind w:left="62" w:hanging="10"/>
              <w:jc w:val="both"/>
              <w:rPr>
                <w:rFonts w:eastAsia="MS Mincho"/>
                <w:iCs/>
                <w:kern w:val="2"/>
                <w:sz w:val="20"/>
                <w:szCs w:val="20"/>
                <w:lang w:val="en-US" w:eastAsia="en-GB"/>
              </w:rPr>
            </w:pPr>
            <w:r>
              <w:rPr>
                <w:sz w:val="20"/>
                <w:szCs w:val="20"/>
                <w:lang w:val="en-US"/>
              </w:rPr>
              <w:t>4.1.</w:t>
            </w:r>
          </w:p>
        </w:tc>
        <w:tc>
          <w:tcPr>
            <w:tcW w:w="4616" w:type="pct"/>
            <w:gridSpan w:val="4"/>
            <w:tcBorders>
              <w:top w:val="single" w:sz="6" w:space="0" w:color="000000"/>
              <w:left w:val="single" w:sz="6" w:space="0" w:color="000000"/>
              <w:bottom w:val="single" w:sz="6" w:space="0" w:color="000000"/>
              <w:right w:val="single" w:sz="6" w:space="0" w:color="000000"/>
            </w:tcBorders>
            <w:shd w:val="clear" w:color="auto" w:fill="auto"/>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sz w:val="20"/>
                <w:szCs w:val="20"/>
                <w:lang w:val="en-US"/>
              </w:rPr>
              <w:t xml:space="preserve">Preparation of the specific E &amp; S </w:t>
            </w:r>
            <w:r>
              <w:rPr>
                <w:sz w:val="20"/>
                <w:szCs w:val="20"/>
                <w:lang w:val="en-US"/>
              </w:rPr>
              <w:t>Safeguards</w:t>
            </w:r>
            <w:r>
              <w:rPr>
                <w:sz w:val="20"/>
                <w:szCs w:val="20"/>
                <w:lang w:val="en-US"/>
              </w:rPr>
              <w:t xml:space="preserve"> </w:t>
            </w:r>
            <w:r>
              <w:rPr>
                <w:sz w:val="20"/>
                <w:szCs w:val="20"/>
                <w:lang w:val="en-US"/>
              </w:rPr>
              <w:t>instrument for Category A subproject</w:t>
            </w:r>
            <w:r>
              <w:rPr>
                <w:sz w:val="20"/>
                <w:szCs w:val="20"/>
                <w:lang w:val="en-US"/>
              </w:rPr>
              <w:t>s</w:t>
            </w:r>
          </w:p>
        </w:tc>
      </w:tr>
      <w:tr>
        <w:tblPrEx/>
        <w:trPr>
          <w:trHeight w:val="941" w:hRule="atLeast"/>
        </w:trPr>
        <w:tc>
          <w:tcPr>
            <w:tcW w:w="384" w:type="pct"/>
            <w:vMerge w:val="restart"/>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top w:val="single" w:sz="6" w:space="0" w:color="000000"/>
              <w:left w:val="single" w:sz="6" w:space="0" w:color="000000"/>
              <w:bottom w:val="single" w:sz="6" w:space="0" w:color="000000"/>
              <w:right w:val="single" w:sz="6" w:space="0" w:color="000000"/>
            </w:tcBorders>
          </w:tcPr>
          <w:p>
            <w:pPr>
              <w:pStyle w:val="style0"/>
              <w:ind w:left="62" w:hanging="10"/>
              <w:jc w:val="both"/>
              <w:rPr>
                <w:sz w:val="20"/>
                <w:szCs w:val="20"/>
                <w:lang w:val="en-US"/>
              </w:rPr>
            </w:pPr>
            <w:r>
              <w:rPr>
                <w:sz w:val="20"/>
                <w:szCs w:val="20"/>
                <w:lang w:val="en-US"/>
              </w:rPr>
              <w:t xml:space="preserve">Preparation, approval and publication of </w:t>
            </w:r>
            <w:r>
              <w:rPr>
                <w:sz w:val="20"/>
                <w:szCs w:val="20"/>
                <w:lang w:val="en-US"/>
              </w:rPr>
              <w:t>ToR</w:t>
            </w:r>
            <w:r>
              <w:rPr>
                <w:sz w:val="20"/>
                <w:szCs w:val="20"/>
                <w:lang w:val="en-US"/>
              </w:rPr>
              <w:t>s</w:t>
            </w:r>
          </w:p>
        </w:tc>
        <w:tc>
          <w:tcPr>
            <w:tcW w:w="870" w:type="pct"/>
            <w:tcBorders/>
            <w:shd w:val="clear" w:color="auto" w:fill="auto"/>
          </w:tcPr>
          <w:p>
            <w:pPr>
              <w:pStyle w:val="style0"/>
              <w:ind w:left="52" w:hanging="10"/>
              <w:jc w:val="both"/>
              <w:rPr>
                <w:lang w:val="en-US"/>
              </w:rPr>
            </w:pPr>
            <w:r>
              <w:rPr>
                <w:sz w:val="20"/>
                <w:szCs w:val="20"/>
                <w:lang w:val="en-US"/>
              </w:rPr>
              <w:t>ESS and SS</w:t>
            </w:r>
            <w:r>
              <w:rPr>
                <w:sz w:val="20"/>
                <w:szCs w:val="20"/>
                <w:lang w:val="en-US"/>
              </w:rPr>
              <w:t>S</w:t>
            </w:r>
            <w:r>
              <w:rPr>
                <w:sz w:val="20"/>
                <w:szCs w:val="20"/>
                <w:lang w:val="en-US"/>
              </w:rPr>
              <w:t xml:space="preserve"> </w:t>
            </w:r>
            <w:r>
              <w:rPr>
                <w:sz w:val="20"/>
                <w:szCs w:val="20"/>
                <w:lang w:val="en-US"/>
              </w:rPr>
              <w:t xml:space="preserve">/ </w:t>
            </w:r>
            <w:r>
              <w:rPr>
                <w:sz w:val="20"/>
                <w:szCs w:val="20"/>
                <w:lang w:val="en-US"/>
              </w:rPr>
              <w:t>PDCA</w:t>
            </w:r>
          </w:p>
          <w:p>
            <w:pPr>
              <w:pStyle w:val="style0"/>
              <w:ind w:left="62" w:hanging="10"/>
              <w:jc w:val="both"/>
              <w:rPr>
                <w:rFonts w:eastAsia="MS Mincho"/>
                <w:iCs/>
                <w:kern w:val="2"/>
                <w:sz w:val="20"/>
                <w:szCs w:val="20"/>
                <w:lang w:val="en-US" w:eastAsia="en-GB"/>
              </w:rPr>
            </w:pPr>
          </w:p>
        </w:tc>
        <w:tc>
          <w:tcPr>
            <w:tcW w:w="1492" w:type="pct"/>
            <w:tcBorders>
              <w:top w:val="single" w:sz="6" w:space="0" w:color="000000"/>
              <w:left w:val="single" w:sz="6" w:space="0" w:color="000000"/>
              <w:bottom w:val="single" w:sz="6" w:space="0" w:color="000000"/>
              <w:right w:val="single" w:sz="6" w:space="0" w:color="000000"/>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 xml:space="preserve">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RC</w:t>
            </w:r>
            <w:r>
              <w:rPr>
                <w:sz w:val="20"/>
                <w:szCs w:val="20"/>
                <w:lang w:val="en-US"/>
              </w:rPr>
              <w:t>U</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w:t>
            </w:r>
            <w:r>
              <w:rPr>
                <w:rFonts w:eastAsia="MS Mincho"/>
                <w:iCs/>
                <w:kern w:val="2"/>
                <w:sz w:val="20"/>
                <w:szCs w:val="20"/>
                <w:lang w:eastAsia="en-GB"/>
              </w:rPr>
              <w:t>tor of the plain</w:t>
            </w:r>
            <w:r>
              <w:rPr>
                <w:rFonts w:eastAsia="MS Mincho"/>
                <w:iCs/>
                <w:kern w:val="2"/>
                <w:sz w:val="20"/>
                <w:szCs w:val="20"/>
                <w:lang w:eastAsia="en-GB"/>
              </w:rPr>
              <w:t xml:space="preserve"> </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w:t>
            </w:r>
            <w:r>
              <w:rPr>
                <w:rFonts w:eastAsia="MS Mincho"/>
                <w:iCs/>
                <w:kern w:val="2"/>
                <w:sz w:val="20"/>
                <w:szCs w:val="20"/>
                <w:lang w:eastAsia="en-GB"/>
              </w:rPr>
              <w:t>yor</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w:t>
            </w:r>
            <w:r>
              <w:rPr>
                <w:rFonts w:eastAsia="MS Mincho"/>
                <w:iCs/>
                <w:kern w:val="2"/>
                <w:sz w:val="20"/>
                <w:szCs w:val="20"/>
                <w:lang w:eastAsia="en-GB"/>
              </w:rPr>
              <w:t>e</w:t>
            </w:r>
            <w:r>
              <w:rPr>
                <w:rFonts w:eastAsia="MS Mincho"/>
                <w:iCs/>
                <w:kern w:val="2"/>
                <w:sz w:val="20"/>
                <w:szCs w:val="20"/>
                <w:lang w:eastAsia="en-GB"/>
              </w:rPr>
              <w:t xml:space="preserve">sident </w:t>
            </w:r>
            <w:r>
              <w:rPr>
                <w:rFonts w:eastAsia="MS Mincho"/>
                <w:iCs/>
                <w:kern w:val="2"/>
                <w:sz w:val="20"/>
                <w:szCs w:val="20"/>
                <w:lang w:eastAsia="en-GB"/>
              </w:rPr>
              <w:t xml:space="preserve">of </w:t>
            </w:r>
            <w:r>
              <w:rPr>
                <w:rFonts w:eastAsia="MS Mincho"/>
                <w:iCs/>
                <w:kern w:val="2"/>
                <w:sz w:val="20"/>
                <w:szCs w:val="20"/>
                <w:lang w:eastAsia="en-GB"/>
              </w:rPr>
              <w:t>CVD</w:t>
            </w:r>
          </w:p>
        </w:tc>
        <w:tc>
          <w:tcPr>
            <w:tcW w:w="1190" w:type="pct"/>
            <w:tcBorders>
              <w:top w:val="single" w:sz="6" w:space="0" w:color="000000"/>
              <w:left w:val="single" w:sz="6" w:space="0" w:color="000000"/>
              <w:bottom w:val="single" w:sz="6" w:space="0" w:color="000000"/>
              <w:right w:val="single" w:sz="6" w:space="0" w:color="000000"/>
            </w:tcBorders>
            <w:shd w:val="clear" w:color="auto" w:fill="auto"/>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sz w:val="20"/>
                <w:szCs w:val="20"/>
                <w:lang w:val="en-US"/>
              </w:rPr>
              <w:t>W</w:t>
            </w:r>
            <w:r>
              <w:rPr>
                <w:sz w:val="20"/>
                <w:szCs w:val="20"/>
                <w:lang w:val="en-US"/>
              </w:rPr>
              <w:t>orld Bank</w:t>
            </w:r>
          </w:p>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BUNEE</w:t>
            </w:r>
          </w:p>
        </w:tc>
      </w:tr>
      <w:tr>
        <w:tblPrEx/>
        <w:trPr>
          <w:trHeight w:val="941" w:hRule="atLeast"/>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top w:val="single" w:sz="6" w:space="0" w:color="000000"/>
              <w:left w:val="single" w:sz="6" w:space="0" w:color="000000"/>
              <w:bottom w:val="single" w:sz="6" w:space="0" w:color="000000"/>
              <w:right w:val="single" w:sz="6" w:space="0" w:color="000000"/>
            </w:tcBorders>
          </w:tcPr>
          <w:p>
            <w:pPr>
              <w:pStyle w:val="style0"/>
              <w:ind w:left="52" w:hanging="10"/>
              <w:jc w:val="both"/>
              <w:rPr>
                <w:lang w:val="en-US"/>
              </w:rPr>
            </w:pPr>
            <w:r>
              <w:rPr>
                <w:sz w:val="20"/>
                <w:szCs w:val="20"/>
                <w:lang w:val="en-US"/>
              </w:rPr>
              <w:t>Realization of the study including public consultation</w:t>
            </w:r>
            <w:r>
              <w:rPr>
                <w:sz w:val="20"/>
                <w:szCs w:val="20"/>
                <w:lang w:val="en-US"/>
              </w:rPr>
              <w:t>s</w:t>
            </w:r>
          </w:p>
        </w:tc>
        <w:tc>
          <w:tcPr>
            <w:tcW w:w="870" w:type="pct"/>
            <w:vMerge w:val="restart"/>
            <w:tcBorders/>
            <w:shd w:val="clear" w:color="auto" w:fill="auto"/>
          </w:tcPr>
          <w:p>
            <w:pPr>
              <w:pStyle w:val="style0"/>
              <w:ind w:left="62" w:hanging="10"/>
              <w:jc w:val="both"/>
              <w:rPr>
                <w:rFonts w:eastAsia="MS Mincho"/>
                <w:iCs/>
                <w:kern w:val="2"/>
                <w:sz w:val="20"/>
                <w:szCs w:val="20"/>
                <w:lang w:val="en-US" w:eastAsia="en-GB"/>
              </w:rPr>
            </w:pPr>
          </w:p>
        </w:tc>
        <w:tc>
          <w:tcPr>
            <w:tcW w:w="1492" w:type="pct"/>
            <w:tcBorders>
              <w:top w:val="single" w:sz="6" w:space="0" w:color="000000"/>
              <w:left w:val="single" w:sz="6" w:space="0" w:color="000000"/>
              <w:bottom w:val="single" w:sz="6" w:space="0" w:color="000000"/>
              <w:right w:val="single" w:sz="6" w:space="0" w:color="000000"/>
            </w:tcBorders>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w:t>
            </w:r>
            <w:r>
              <w:rPr>
                <w:rFonts w:eastAsia="MS Mincho"/>
                <w:iCs/>
                <w:kern w:val="2"/>
                <w:sz w:val="20"/>
                <w:szCs w:val="20"/>
                <w:lang w:eastAsia="en-GB"/>
              </w:rPr>
              <w:t>or of the plain</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Procurement Specialist</w:t>
            </w:r>
            <w:r>
              <w:rPr>
                <w:rFonts w:eastAsia="MS Mincho"/>
                <w:iCs/>
                <w:kern w:val="2"/>
                <w:sz w:val="20"/>
                <w:szCs w:val="20"/>
                <w:lang w:eastAsia="en-GB"/>
              </w:rPr>
              <w:t xml:space="preserve"> (</w:t>
            </w:r>
            <w:r>
              <w:rPr>
                <w:rFonts w:eastAsia="MS Mincho"/>
                <w:iCs/>
                <w:kern w:val="2"/>
                <w:sz w:val="20"/>
                <w:szCs w:val="20"/>
                <w:lang w:eastAsia="en-GB"/>
              </w:rPr>
              <w:t>PS</w:t>
            </w:r>
            <w:r>
              <w:rPr>
                <w:rFonts w:eastAsia="MS Mincho"/>
                <w:iCs/>
                <w:kern w:val="2"/>
                <w:sz w:val="20"/>
                <w:szCs w:val="20"/>
                <w:lang w:eastAsia="en-GB"/>
              </w:rPr>
              <w:t>)</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F</w:t>
            </w:r>
            <w:r>
              <w:rPr>
                <w:rFonts w:eastAsia="MS Mincho"/>
                <w:iCs/>
                <w:kern w:val="2"/>
                <w:sz w:val="20"/>
                <w:szCs w:val="20"/>
                <w:lang w:eastAsia="en-GB"/>
              </w:rPr>
              <w:t>M</w:t>
            </w:r>
            <w:r>
              <w:rPr>
                <w:rFonts w:eastAsia="MS Mincho"/>
                <w:iCs/>
                <w:kern w:val="2"/>
                <w:sz w:val="20"/>
                <w:szCs w:val="20"/>
                <w:lang w:eastAsia="en-GB"/>
              </w:rPr>
              <w:t>S</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BUNEE</w:t>
            </w:r>
          </w:p>
          <w:p>
            <w:pPr>
              <w:pStyle w:val="style0"/>
              <w:tabs>
                <w:tab w:val="left" w:leader="none" w:pos="186"/>
              </w:tabs>
              <w:ind w:left="95"/>
              <w:jc w:val="both"/>
              <w:rPr>
                <w:rFonts w:eastAsia="MS Mincho"/>
                <w:iCs/>
                <w:kern w:val="2"/>
                <w:sz w:val="20"/>
                <w:szCs w:val="20"/>
                <w:lang w:val="en-US" w:eastAsia="en-GB"/>
              </w:rPr>
            </w:pPr>
          </w:p>
        </w:tc>
        <w:tc>
          <w:tcPr>
            <w:tcW w:w="1190" w:type="pct"/>
            <w:tcBorders>
              <w:top w:val="single" w:sz="6" w:space="0" w:color="000000"/>
              <w:left w:val="single" w:sz="6" w:space="0" w:color="000000"/>
              <w:bottom w:val="single" w:sz="6" w:space="0" w:color="000000"/>
              <w:right w:val="single" w:sz="6" w:space="0" w:color="000000"/>
            </w:tcBorders>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Consultant</w:t>
            </w:r>
          </w:p>
          <w:p>
            <w:pPr>
              <w:pStyle w:val="style0"/>
              <w:tabs>
                <w:tab w:val="left" w:leader="none" w:pos="151"/>
              </w:tabs>
              <w:spacing w:after="160" w:lineRule="auto" w:line="259"/>
              <w:ind w:left="61"/>
              <w:jc w:val="both"/>
              <w:rPr>
                <w:rFonts w:eastAsia="MS Mincho"/>
                <w:iCs/>
                <w:kern w:val="2"/>
                <w:sz w:val="20"/>
                <w:szCs w:val="20"/>
                <w:lang w:val="en-US" w:eastAsia="en-GB"/>
              </w:rPr>
            </w:pPr>
          </w:p>
        </w:tc>
      </w:tr>
      <w:tr>
        <w:tblPrEx/>
        <w:trPr>
          <w:trHeight w:val="941" w:hRule="atLeast"/>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top w:val="single" w:sz="6" w:space="0" w:color="000000"/>
              <w:left w:val="single" w:sz="6" w:space="0" w:color="000000"/>
              <w:bottom w:val="single" w:sz="6" w:space="0" w:color="000000"/>
              <w:right w:val="single" w:sz="6" w:space="0" w:color="000000"/>
            </w:tcBorders>
          </w:tcPr>
          <w:p>
            <w:pPr>
              <w:pStyle w:val="style0"/>
              <w:ind w:left="62" w:hanging="10"/>
              <w:jc w:val="both"/>
              <w:rPr>
                <w:sz w:val="20"/>
                <w:szCs w:val="20"/>
                <w:lang w:val="en-US"/>
              </w:rPr>
            </w:pPr>
            <w:r>
              <w:rPr>
                <w:sz w:val="20"/>
                <w:szCs w:val="20"/>
                <w:lang w:val="en-US"/>
              </w:rPr>
              <w:t>Validation of the document and obtaining the environmental certificate</w:t>
            </w:r>
          </w:p>
        </w:tc>
        <w:tc>
          <w:tcPr>
            <w:tcW w:w="870"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492" w:type="pct"/>
            <w:tcBorders>
              <w:top w:val="single" w:sz="6" w:space="0" w:color="000000"/>
              <w:left w:val="single" w:sz="6" w:space="0" w:color="000000"/>
              <w:bottom w:val="single" w:sz="6" w:space="0" w:color="000000"/>
              <w:right w:val="single" w:sz="6" w:space="0" w:color="000000"/>
            </w:tcBorders>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w:t>
            </w:r>
            <w:r>
              <w:rPr>
                <w:rFonts w:eastAsia="MS Mincho"/>
                <w:iCs/>
                <w:kern w:val="2"/>
                <w:sz w:val="20"/>
                <w:szCs w:val="20"/>
                <w:lang w:eastAsia="en-GB"/>
              </w:rPr>
              <w:t>yor</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PS</w:t>
            </w:r>
          </w:p>
          <w:p>
            <w:pPr>
              <w:pStyle w:val="style0"/>
              <w:tabs>
                <w:tab w:val="left" w:leader="none" w:pos="186"/>
              </w:tabs>
              <w:ind w:left="95"/>
              <w:jc w:val="both"/>
              <w:rPr>
                <w:rFonts w:eastAsia="MS Mincho"/>
                <w:iCs/>
                <w:kern w:val="2"/>
                <w:sz w:val="20"/>
                <w:szCs w:val="20"/>
                <w:lang w:val="en-US" w:eastAsia="en-GB"/>
              </w:rPr>
            </w:pPr>
            <w:r>
              <w:rPr>
                <w:sz w:val="20"/>
                <w:szCs w:val="20"/>
                <w:lang w:val="en-US"/>
              </w:rPr>
              <w:t> </w:t>
            </w:r>
          </w:p>
        </w:tc>
        <w:tc>
          <w:tcPr>
            <w:tcW w:w="1190" w:type="pct"/>
            <w:tcBorders>
              <w:top w:val="single" w:sz="6" w:space="0" w:color="000000"/>
              <w:left w:val="single" w:sz="6" w:space="0" w:color="000000"/>
              <w:bottom w:val="single" w:sz="6" w:space="0" w:color="000000"/>
              <w:right w:val="single" w:sz="6" w:space="0" w:color="000000"/>
            </w:tcBorders>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W</w:t>
            </w:r>
            <w:r>
              <w:rPr>
                <w:rFonts w:eastAsia="MS Mincho"/>
                <w:iCs/>
                <w:kern w:val="2"/>
                <w:sz w:val="20"/>
                <w:szCs w:val="20"/>
                <w:lang w:val="en-US" w:eastAsia="en-GB"/>
              </w:rPr>
              <w:t xml:space="preserve">orld </w:t>
            </w:r>
            <w:r>
              <w:rPr>
                <w:rFonts w:eastAsia="MS Mincho"/>
                <w:iCs/>
                <w:kern w:val="2"/>
                <w:sz w:val="20"/>
                <w:szCs w:val="20"/>
                <w:lang w:val="en-US" w:eastAsia="en-GB"/>
              </w:rPr>
              <w:t>Bank</w:t>
            </w:r>
          </w:p>
        </w:tc>
      </w:tr>
      <w:tr>
        <w:tblPrEx/>
        <w:trPr>
          <w:trHeight w:val="705" w:hRule="atLeast"/>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top w:val="single" w:sz="6" w:space="0" w:color="000000"/>
              <w:left w:val="single" w:sz="6" w:space="0" w:color="000000"/>
              <w:bottom w:val="single" w:sz="6" w:space="0" w:color="000000"/>
              <w:right w:val="single" w:sz="6" w:space="0" w:color="000000"/>
            </w:tcBorders>
          </w:tcPr>
          <w:p>
            <w:pPr>
              <w:pStyle w:val="style0"/>
              <w:ind w:left="62" w:hanging="10"/>
              <w:jc w:val="both"/>
              <w:rPr>
                <w:sz w:val="20"/>
                <w:szCs w:val="20"/>
                <w:lang w:val="en-US"/>
              </w:rPr>
            </w:pPr>
            <w:r>
              <w:rPr>
                <w:sz w:val="20"/>
                <w:szCs w:val="20"/>
                <w:lang w:val="en-US"/>
              </w:rPr>
              <w:t>Disclosure</w:t>
            </w:r>
            <w:r>
              <w:rPr>
                <w:sz w:val="20"/>
                <w:szCs w:val="20"/>
                <w:lang w:val="en-US"/>
              </w:rPr>
              <w:t xml:space="preserve"> </w:t>
            </w:r>
            <w:r>
              <w:rPr>
                <w:sz w:val="20"/>
                <w:szCs w:val="20"/>
                <w:lang w:val="en-US"/>
              </w:rPr>
              <w:t>of the document</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sz w:val="20"/>
                <w:szCs w:val="20"/>
                <w:lang w:val="en-US"/>
              </w:rPr>
              <w:t xml:space="preserve"> </w:t>
            </w:r>
            <w:r>
              <w:rPr>
                <w:sz w:val="20"/>
                <w:szCs w:val="20"/>
                <w:lang w:val="en-US"/>
              </w:rPr>
              <w:t>Coordinator</w:t>
            </w:r>
            <w:r>
              <w:rPr>
                <w:sz w:val="20"/>
                <w:szCs w:val="20"/>
                <w:lang w:val="en-US"/>
              </w:rPr>
              <w:t xml:space="preserve"> of PDCA</w:t>
            </w:r>
          </w:p>
        </w:tc>
        <w:tc>
          <w:tcPr>
            <w:tcW w:w="1492" w:type="pct"/>
            <w:tcBorders>
              <w:top w:val="single" w:sz="6" w:space="0" w:color="000000"/>
              <w:left w:val="single" w:sz="6" w:space="0" w:color="000000"/>
              <w:bottom w:val="single" w:sz="6" w:space="0" w:color="000000"/>
              <w:right w:val="single" w:sz="6" w:space="0" w:color="000000"/>
            </w:tcBorders>
            <w:shd w:val="clear" w:color="auto" w:fill="auto"/>
          </w:tcPr>
          <w:p>
            <w:pPr>
              <w:pStyle w:val="style0"/>
              <w:tabs>
                <w:tab w:val="left" w:leader="none" w:pos="186"/>
              </w:tabs>
              <w:ind w:left="95"/>
              <w:jc w:val="both"/>
              <w:rPr>
                <w:rFonts w:eastAsia="MS Mincho"/>
                <w:iCs/>
                <w:kern w:val="2"/>
                <w:sz w:val="20"/>
                <w:szCs w:val="20"/>
                <w:lang w:val="en-US" w:eastAsia="en-GB"/>
              </w:rPr>
            </w:pPr>
            <w:r>
              <w:rPr>
                <w:sz w:val="20"/>
                <w:szCs w:val="20"/>
                <w:lang w:val="en-US"/>
              </w:rPr>
              <w:t>ESS and SSS</w:t>
            </w:r>
            <w:r>
              <w:rPr>
                <w:sz w:val="20"/>
                <w:szCs w:val="20"/>
                <w:lang w:val="en-US"/>
              </w:rPr>
              <w:t xml:space="preserve"> </w:t>
            </w:r>
            <w:r>
              <w:rPr>
                <w:sz w:val="20"/>
                <w:szCs w:val="20"/>
                <w:lang w:val="en-US"/>
              </w:rPr>
              <w:t xml:space="preserve">/ </w:t>
            </w:r>
            <w:r>
              <w:rPr>
                <w:sz w:val="20"/>
                <w:szCs w:val="20"/>
                <w:lang w:val="en-US"/>
              </w:rPr>
              <w:t>PDCA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Pr>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Media   </w:t>
            </w:r>
          </w:p>
          <w:p>
            <w:pPr>
              <w:pStyle w:val="style0"/>
              <w:numPr>
                <w:ilvl w:val="0"/>
                <w:numId w:val="69"/>
              </w:numPr>
              <w:tabs>
                <w:tab w:val="left" w:leader="none" w:pos="151"/>
              </w:tabs>
              <w:spacing w:after="160" w:lineRule="auto" w:line="259"/>
              <w:ind w:left="61" w:hanging="90"/>
              <w:jc w:val="both"/>
              <w:rPr>
                <w:rFonts w:eastAsia="MS Mincho"/>
                <w:iCs/>
                <w:kern w:val="2"/>
                <w:sz w:val="20"/>
                <w:szCs w:val="20"/>
                <w:lang w:val="en-US" w:eastAsia="en-GB"/>
              </w:rPr>
            </w:pPr>
            <w:r>
              <w:rPr>
                <w:rFonts w:eastAsia="MS Mincho"/>
                <w:iCs/>
                <w:kern w:val="2"/>
                <w:sz w:val="20"/>
                <w:szCs w:val="20"/>
                <w:lang w:val="en-US" w:eastAsia="en-GB"/>
              </w:rPr>
              <w:t>W</w:t>
            </w:r>
            <w:r>
              <w:rPr>
                <w:rFonts w:eastAsia="MS Mincho"/>
                <w:iCs/>
                <w:kern w:val="2"/>
                <w:sz w:val="20"/>
                <w:szCs w:val="20"/>
                <w:lang w:val="en-US" w:eastAsia="en-GB"/>
              </w:rPr>
              <w:t xml:space="preserve">orld </w:t>
            </w:r>
            <w:r>
              <w:rPr>
                <w:rFonts w:eastAsia="MS Mincho"/>
                <w:iCs/>
                <w:kern w:val="2"/>
                <w:sz w:val="20"/>
                <w:szCs w:val="20"/>
                <w:lang w:val="en-US" w:eastAsia="en-GB"/>
              </w:rPr>
              <w:t>Bank</w:t>
            </w: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4.2.</w:t>
            </w:r>
          </w:p>
        </w:tc>
        <w:tc>
          <w:tcPr>
            <w:tcW w:w="4616" w:type="pct"/>
            <w:gridSpan w:val="4"/>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 Preparation of the specific E &amp; S safeguard instrument for Category B or C subproject</w:t>
            </w:r>
            <w:r>
              <w:rPr>
                <w:rFonts w:eastAsia="MS Mincho"/>
                <w:iCs/>
                <w:kern w:val="2"/>
                <w:sz w:val="20"/>
                <w:szCs w:val="20"/>
                <w:lang w:val="en-US" w:eastAsia="en-GB"/>
              </w:rPr>
              <w:t>s</w:t>
            </w:r>
          </w:p>
        </w:tc>
      </w:tr>
      <w:tr>
        <w:tblPrEx/>
        <w:trPr>
          <w:trHeight w:val="233" w:hRule="atLeast"/>
        </w:trPr>
        <w:tc>
          <w:tcPr>
            <w:tcW w:w="384" w:type="pct"/>
            <w:vMerge w:val="restart"/>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tabs>
                <w:tab w:val="left" w:leader="none" w:pos="0"/>
              </w:tabs>
              <w:ind w:left="62" w:hanging="10"/>
              <w:jc w:val="both"/>
              <w:rPr>
                <w:rFonts w:eastAsia="MS Mincho"/>
                <w:iCs/>
                <w:kern w:val="2"/>
                <w:sz w:val="20"/>
                <w:szCs w:val="20"/>
                <w:lang w:val="en-US" w:eastAsia="en-GB"/>
              </w:rPr>
            </w:pPr>
            <w:r>
              <w:rPr>
                <w:rFonts w:eastAsia="MS Mincho"/>
                <w:iCs/>
                <w:kern w:val="2"/>
                <w:sz w:val="20"/>
                <w:szCs w:val="20"/>
                <w:lang w:val="en-US" w:eastAsia="en-GB"/>
              </w:rPr>
              <w:t>TORs preparation</w:t>
            </w:r>
            <w:r>
              <w:rPr>
                <w:rFonts w:eastAsia="MS Mincho"/>
                <w:iCs/>
                <w:kern w:val="2"/>
                <w:sz w:val="20"/>
                <w:szCs w:val="20"/>
                <w:lang w:val="en-US" w:eastAsia="en-GB"/>
              </w:rPr>
              <w:t xml:space="preserve"> and</w:t>
            </w:r>
            <w:r>
              <w:rPr>
                <w:rFonts w:eastAsia="MS Mincho"/>
                <w:iCs/>
                <w:kern w:val="2"/>
                <w:sz w:val="20"/>
                <w:szCs w:val="20"/>
                <w:lang w:val="en-US" w:eastAsia="en-GB"/>
              </w:rPr>
              <w:t xml:space="preserve"> </w:t>
            </w:r>
            <w:r>
              <w:rPr>
                <w:rFonts w:eastAsia="MS Mincho"/>
                <w:iCs/>
                <w:kern w:val="2"/>
                <w:sz w:val="20"/>
                <w:szCs w:val="20"/>
                <w:lang w:val="en-US" w:eastAsia="en-GB"/>
              </w:rPr>
              <w:t xml:space="preserve">approval </w:t>
            </w:r>
          </w:p>
        </w:tc>
        <w:tc>
          <w:tcPr>
            <w:tcW w:w="870" w:type="pct"/>
            <w:vMerge w:val="restar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 and SSS</w:t>
            </w:r>
            <w:r>
              <w:rPr>
                <w:rFonts w:eastAsia="MS Mincho"/>
                <w:iCs/>
                <w:kern w:val="2"/>
                <w:sz w:val="20"/>
                <w:szCs w:val="20"/>
                <w:lang w:val="en-US" w:eastAsia="en-GB"/>
              </w:rPr>
              <w:t>/</w:t>
            </w:r>
            <w:r>
              <w:rPr>
                <w:rFonts w:eastAsia="MS Mincho"/>
                <w:iCs/>
                <w:kern w:val="2"/>
                <w:sz w:val="20"/>
                <w:szCs w:val="20"/>
                <w:lang w:val="en-US" w:eastAsia="en-GB"/>
              </w:rPr>
              <w:t>PDCA</w:t>
            </w:r>
          </w:p>
        </w:tc>
        <w:tc>
          <w:tcPr>
            <w:tcW w:w="1492"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DRAAH/</w:t>
            </w:r>
            <w:r>
              <w:rPr>
                <w:rFonts w:eastAsia="MS Mincho"/>
                <w:iCs/>
                <w:kern w:val="2"/>
                <w:sz w:val="20"/>
                <w:szCs w:val="20"/>
                <w:lang w:val="en-US" w:eastAsia="en-GB"/>
              </w:rPr>
              <w:t>DPAAH</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DRRAH/DREEVCC/ DRS</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sz w:val="20"/>
                <w:szCs w:val="20"/>
                <w:lang w:val="en-US"/>
              </w:rPr>
              <w:t>RCU</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 xml:space="preserve"> President</w:t>
            </w:r>
            <w:r>
              <w:rPr>
                <w:rFonts w:eastAsia="MS Mincho"/>
                <w:iCs/>
                <w:kern w:val="2"/>
                <w:sz w:val="20"/>
                <w:szCs w:val="20"/>
                <w:lang w:val="en-US" w:eastAsia="en-GB"/>
              </w:rPr>
              <w:t xml:space="preserve"> of CVD</w:t>
            </w:r>
            <w:r>
              <w:rPr>
                <w:rFonts w:eastAsia="MS Mincho"/>
                <w:iCs/>
                <w:kern w:val="2"/>
                <w:sz w:val="20"/>
                <w:szCs w:val="20"/>
                <w:lang w:val="en-US" w:eastAsia="en-GB"/>
              </w:rPr>
              <w:t xml:space="preserve"> </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Director of the plain</w:t>
            </w:r>
          </w:p>
          <w:p>
            <w:pPr>
              <w:pStyle w:val="style0"/>
              <w:tabs>
                <w:tab w:val="left" w:leader="none" w:pos="186"/>
              </w:tabs>
              <w:jc w:val="both"/>
              <w:rPr>
                <w:rFonts w:eastAsia="MS Mincho"/>
                <w:iCs/>
                <w:kern w:val="2"/>
                <w:sz w:val="20"/>
                <w:szCs w:val="20"/>
                <w:lang w:val="en-US" w:eastAsia="en-GB"/>
              </w:rPr>
            </w:pPr>
          </w:p>
        </w:tc>
        <w:tc>
          <w:tcPr>
            <w:tcW w:w="1190" w:type="pct"/>
            <w:tcBorders/>
            <w:shd w:val="clear" w:color="auto" w:fill="auto"/>
          </w:tcPr>
          <w:p>
            <w:pPr>
              <w:pStyle w:val="style0"/>
              <w:numPr>
                <w:ilvl w:val="0"/>
                <w:numId w:val="69"/>
              </w:numPr>
              <w:spacing w:after="160" w:lineRule="auto" w:line="259"/>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69"/>
              </w:numPr>
              <w:spacing w:after="160" w:lineRule="auto" w:line="259"/>
              <w:jc w:val="both"/>
              <w:rPr>
                <w:rFonts w:eastAsia="MS Mincho"/>
                <w:iCs/>
                <w:kern w:val="2"/>
                <w:sz w:val="20"/>
                <w:szCs w:val="20"/>
                <w:lang w:val="en-US" w:eastAsia="en-GB"/>
              </w:rPr>
            </w:pPr>
            <w:r>
              <w:rPr>
                <w:rFonts w:eastAsia="MS Mincho"/>
                <w:iCs/>
                <w:kern w:val="2"/>
                <w:sz w:val="20"/>
                <w:szCs w:val="20"/>
                <w:lang w:val="en-US" w:eastAsia="en-GB"/>
              </w:rPr>
              <w:t>World Bank</w:t>
            </w:r>
          </w:p>
        </w:tc>
      </w:tr>
      <w:tr>
        <w:tblPrEx/>
        <w:trPr>
          <w:trHeight w:val="566" w:hRule="atLeast"/>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Realization of the study including public consultation </w:t>
            </w:r>
          </w:p>
        </w:tc>
        <w:tc>
          <w:tcPr>
            <w:tcW w:w="870"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492"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Director of the  plain</w:t>
            </w:r>
          </w:p>
          <w:p>
            <w:pPr>
              <w:pStyle w:val="style0"/>
              <w:numPr>
                <w:ilvl w:val="0"/>
                <w:numId w:val="69"/>
              </w:numPr>
              <w:tabs>
                <w:tab w:val="left" w:leader="none" w:pos="186"/>
              </w:tabs>
              <w:spacing w:after="160" w:lineRule="auto" w:line="259"/>
              <w:jc w:val="both"/>
              <w:rPr>
                <w:rFonts w:eastAsia="MS Mincho"/>
                <w:iCs/>
                <w:kern w:val="2"/>
                <w:sz w:val="20"/>
                <w:szCs w:val="20"/>
                <w:lang w:val="en-US" w:eastAsia="en-GB"/>
              </w:rPr>
            </w:pPr>
            <w:r>
              <w:rPr>
                <w:rFonts w:eastAsia="MS Mincho"/>
                <w:iCs/>
                <w:kern w:val="2"/>
                <w:sz w:val="20"/>
                <w:szCs w:val="20"/>
                <w:lang w:eastAsia="en-GB"/>
              </w:rPr>
              <w:t>PS</w:t>
            </w:r>
            <w:r>
              <w:rPr>
                <w:rFonts w:eastAsia="MS Mincho"/>
                <w:iCs/>
                <w:kern w:val="2"/>
                <w:sz w:val="20"/>
                <w:szCs w:val="20"/>
                <w:lang w:eastAsia="en-GB"/>
              </w:rPr>
              <w:t xml:space="preserve"> </w:t>
            </w:r>
          </w:p>
          <w:p>
            <w:pPr>
              <w:pStyle w:val="style0"/>
              <w:numPr>
                <w:ilvl w:val="0"/>
                <w:numId w:val="69"/>
              </w:numPr>
              <w:tabs>
                <w:tab w:val="left" w:leader="none" w:pos="186"/>
              </w:tabs>
              <w:spacing w:after="160" w:lineRule="auto" w:line="259"/>
              <w:jc w:val="both"/>
              <w:rPr>
                <w:rFonts w:eastAsia="MS Mincho"/>
                <w:iCs/>
                <w:kern w:val="2"/>
                <w:sz w:val="20"/>
                <w:szCs w:val="20"/>
                <w:lang w:val="en-US" w:eastAsia="en-GB"/>
              </w:rPr>
            </w:pPr>
            <w:r>
              <w:rPr>
                <w:rFonts w:eastAsia="MS Mincho"/>
                <w:iCs/>
                <w:kern w:val="2"/>
                <w:sz w:val="20"/>
                <w:szCs w:val="20"/>
                <w:lang w:val="en-US" w:eastAsia="en-GB"/>
              </w:rPr>
              <w:t>F</w:t>
            </w:r>
            <w:r>
              <w:rPr>
                <w:rFonts w:eastAsia="MS Mincho"/>
                <w:iCs/>
                <w:kern w:val="2"/>
                <w:sz w:val="20"/>
                <w:szCs w:val="20"/>
                <w:lang w:val="en-US" w:eastAsia="en-GB"/>
              </w:rPr>
              <w:t>MS</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BUNEE</w:t>
            </w:r>
          </w:p>
        </w:tc>
        <w:tc>
          <w:tcPr>
            <w:tcW w:w="1190" w:type="pct"/>
            <w:tcBorders/>
            <w:shd w:val="clear" w:color="auto" w:fill="auto"/>
          </w:tcPr>
          <w:p>
            <w:pPr>
              <w:pStyle w:val="style0"/>
              <w:numPr>
                <w:ilvl w:val="0"/>
                <w:numId w:val="69"/>
              </w:numPr>
              <w:spacing w:after="160" w:lineRule="auto" w:line="259"/>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69"/>
              </w:numPr>
              <w:spacing w:after="160" w:lineRule="auto" w:line="259"/>
              <w:jc w:val="both"/>
              <w:rPr>
                <w:rFonts w:eastAsia="MS Mincho"/>
                <w:iCs/>
                <w:kern w:val="2"/>
                <w:sz w:val="20"/>
                <w:szCs w:val="20"/>
                <w:lang w:val="en-US" w:eastAsia="en-GB"/>
              </w:rPr>
            </w:pPr>
            <w:r>
              <w:rPr>
                <w:rFonts w:eastAsia="MS Mincho"/>
                <w:iCs/>
                <w:kern w:val="2"/>
                <w:sz w:val="20"/>
                <w:szCs w:val="20"/>
                <w:lang w:val="en-US" w:eastAsia="en-GB"/>
              </w:rPr>
              <w:t>World Bank</w:t>
            </w:r>
            <w:r>
              <w:rPr>
                <w:rFonts w:eastAsia="MS Mincho"/>
                <w:iCs/>
                <w:kern w:val="2"/>
                <w:sz w:val="20"/>
                <w:szCs w:val="20"/>
                <w:lang w:val="en-US" w:eastAsia="en-GB"/>
              </w:rPr>
              <w:t xml:space="preserve">, </w:t>
            </w:r>
          </w:p>
          <w:p>
            <w:pPr>
              <w:pStyle w:val="style0"/>
              <w:jc w:val="both"/>
              <w:rPr>
                <w:rFonts w:eastAsia="MS Mincho"/>
                <w:iCs/>
                <w:kern w:val="2"/>
                <w:sz w:val="20"/>
                <w:szCs w:val="20"/>
                <w:lang w:val="en-US" w:eastAsia="en-GB"/>
              </w:rPr>
            </w:pPr>
          </w:p>
        </w:tc>
      </w:tr>
      <w:tr>
        <w:tblPrEx/>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Validation of the document and obtaining the environmental certificate</w:t>
            </w:r>
          </w:p>
        </w:tc>
        <w:tc>
          <w:tcPr>
            <w:tcW w:w="870"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492" w:type="pct"/>
            <w:tcBorders/>
            <w:shd w:val="clear" w:color="auto" w:fill="auto"/>
          </w:tcPr>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DPAAH</w:t>
            </w:r>
          </w:p>
          <w:p>
            <w:pPr>
              <w:pStyle w:val="style0"/>
              <w:numPr>
                <w:ilvl w:val="0"/>
                <w:numId w:val="69"/>
              </w:numPr>
              <w:tabs>
                <w:tab w:val="left" w:leader="none" w:pos="186"/>
              </w:tabs>
              <w:spacing w:after="160" w:lineRule="auto" w:line="259"/>
              <w:ind w:left="95" w:hanging="95"/>
              <w:jc w:val="both"/>
              <w:rPr>
                <w:rFonts w:eastAsia="MS Mincho"/>
                <w:iCs/>
                <w:kern w:val="2"/>
                <w:sz w:val="20"/>
                <w:szCs w:val="20"/>
                <w:lang w:val="en-US" w:eastAsia="en-GB"/>
              </w:rPr>
            </w:pPr>
            <w:r>
              <w:rPr>
                <w:rFonts w:eastAsia="MS Mincho"/>
                <w:iCs/>
                <w:kern w:val="2"/>
                <w:sz w:val="20"/>
                <w:szCs w:val="20"/>
                <w:lang w:val="en-US" w:eastAsia="en-GB"/>
              </w:rPr>
              <w:t>PS</w:t>
            </w:r>
          </w:p>
          <w:p>
            <w:pPr>
              <w:pStyle w:val="style0"/>
              <w:tabs>
                <w:tab w:val="left" w:leader="none" w:pos="186"/>
              </w:tabs>
              <w:ind w:left="95"/>
              <w:jc w:val="both"/>
              <w:rPr>
                <w:rFonts w:eastAsia="MS Mincho"/>
                <w:iCs/>
                <w:kern w:val="2"/>
                <w:sz w:val="20"/>
                <w:szCs w:val="20"/>
                <w:lang w:val="en-US" w:eastAsia="en-GB"/>
              </w:rPr>
            </w:pPr>
          </w:p>
        </w:tc>
        <w:tc>
          <w:tcPr>
            <w:tcW w:w="1190" w:type="pct"/>
            <w:tcBorders/>
            <w:shd w:val="clear" w:color="auto" w:fill="auto"/>
          </w:tcPr>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BUNEE, </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World Bank </w:t>
            </w:r>
          </w:p>
        </w:tc>
      </w:tr>
      <w:tr>
        <w:tblPrEx/>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Document  </w:t>
            </w:r>
            <w:r>
              <w:rPr>
                <w:rFonts w:eastAsia="MS Mincho"/>
                <w:iCs/>
                <w:kern w:val="2"/>
                <w:sz w:val="20"/>
                <w:szCs w:val="20"/>
                <w:lang w:val="en-US" w:eastAsia="en-GB"/>
              </w:rPr>
              <w:t>Disclosure</w:t>
            </w:r>
          </w:p>
        </w:tc>
        <w:tc>
          <w:tcPr>
            <w:tcW w:w="870"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492" w:type="pct"/>
            <w:tcBorders/>
            <w:shd w:val="clear" w:color="auto" w:fill="auto"/>
          </w:tcPr>
          <w:p>
            <w:pPr>
              <w:pStyle w:val="style0"/>
              <w:ind w:left="72"/>
              <w:jc w:val="both"/>
              <w:rPr>
                <w:rFonts w:eastAsia="MS Mincho"/>
                <w:iCs/>
                <w:kern w:val="2"/>
                <w:sz w:val="20"/>
                <w:szCs w:val="20"/>
                <w:lang w:val="en-US" w:eastAsia="en-GB"/>
              </w:rPr>
            </w:pPr>
            <w:r>
              <w:rPr>
                <w:rFonts w:eastAsia="MS Mincho"/>
                <w:iCs/>
                <w:kern w:val="2"/>
                <w:sz w:val="20"/>
                <w:szCs w:val="20"/>
                <w:lang w:val="en-US" w:eastAsia="en-GB"/>
              </w:rPr>
              <w:t xml:space="preserve"> Coordinator </w:t>
            </w:r>
            <w:r>
              <w:rPr>
                <w:rFonts w:eastAsia="MS Mincho"/>
                <w:iCs/>
                <w:kern w:val="2"/>
                <w:sz w:val="20"/>
                <w:szCs w:val="20"/>
                <w:lang w:val="en-US" w:eastAsia="en-GB"/>
              </w:rPr>
              <w:t>of the PDCA</w:t>
            </w:r>
          </w:p>
        </w:tc>
        <w:tc>
          <w:tcPr>
            <w:tcW w:w="1190" w:type="pct"/>
            <w:tcBorders/>
            <w:shd w:val="clear" w:color="auto" w:fill="auto"/>
          </w:tcPr>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Media;</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World Bank</w:t>
            </w: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5.</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Integration in the tender document (DAO) of the subproject </w:t>
            </w:r>
            <w:r>
              <w:rPr>
                <w:rFonts w:eastAsia="MS Mincho"/>
                <w:iCs/>
                <w:kern w:val="2"/>
                <w:sz w:val="20"/>
                <w:szCs w:val="20"/>
                <w:lang w:val="en-US" w:eastAsia="en-GB"/>
              </w:rPr>
              <w:t>E&amp;S clauses</w:t>
            </w:r>
            <w:r>
              <w:rPr>
                <w:rFonts w:eastAsia="MS Mincho"/>
                <w:iCs/>
                <w:kern w:val="2"/>
                <w:sz w:val="20"/>
                <w:szCs w:val="20"/>
                <w:lang w:val="en-US" w:eastAsia="en-GB"/>
              </w:rPr>
              <w:t xml:space="preserve"> </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 </w:t>
            </w: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Technical Manager of the activity (TM)</w:t>
            </w:r>
          </w:p>
        </w:tc>
        <w:tc>
          <w:tcPr>
            <w:tcW w:w="1492" w:type="pct"/>
            <w:tcBorders/>
            <w:shd w:val="clear" w:color="auto" w:fill="auto"/>
          </w:tcPr>
          <w:p>
            <w:pPr>
              <w:pStyle w:val="style0"/>
              <w:ind w:left="62" w:hanging="10"/>
              <w:jc w:val="both"/>
              <w:rPr>
                <w:rFonts w:eastAsia="MS Mincho"/>
                <w:iCs/>
                <w:kern w:val="2"/>
                <w:sz w:val="20"/>
                <w:szCs w:val="20"/>
                <w:lang w:val="en-US" w:eastAsia="en-GB"/>
              </w:rPr>
            </w:pP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w:t>
            </w: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w:t>
            </w:r>
            <w:r>
              <w:rPr>
                <w:rFonts w:eastAsia="MS Mincho"/>
                <w:iCs/>
                <w:kern w:val="2"/>
                <w:sz w:val="20"/>
                <w:szCs w:val="20"/>
                <w:lang w:val="en-US" w:eastAsia="en-GB"/>
              </w:rPr>
              <w:t>PDCA</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TM</w:t>
            </w:r>
            <w:r>
              <w:rPr>
                <w:rFonts w:eastAsia="MS Mincho"/>
                <w:iCs/>
                <w:kern w:val="2"/>
                <w:sz w:val="20"/>
                <w:szCs w:val="20"/>
                <w:lang w:val="en-US" w:eastAsia="en-GB"/>
              </w:rPr>
              <w:t>/PDCA</w:t>
            </w:r>
          </w:p>
          <w:p>
            <w:pPr>
              <w:pStyle w:val="style0"/>
              <w:ind w:left="-108"/>
              <w:jc w:val="both"/>
              <w:rPr>
                <w:rFonts w:eastAsia="MS Mincho"/>
                <w:iCs/>
                <w:kern w:val="2"/>
                <w:sz w:val="20"/>
                <w:szCs w:val="20"/>
                <w:lang w:val="en-US" w:eastAsia="en-GB"/>
              </w:rPr>
            </w:pPr>
          </w:p>
        </w:tc>
        <w:tc>
          <w:tcPr>
            <w:tcW w:w="1190" w:type="pct"/>
            <w:tcBorders/>
            <w:shd w:val="clear" w:color="auto" w:fill="auto"/>
          </w:tcPr>
          <w:p>
            <w:pPr>
              <w:pStyle w:val="style0"/>
              <w:ind w:left="62" w:hanging="10"/>
              <w:jc w:val="both"/>
              <w:rPr>
                <w:rFonts w:eastAsia="MS Mincho"/>
                <w:iCs/>
                <w:kern w:val="2"/>
                <w:sz w:val="20"/>
                <w:szCs w:val="20"/>
                <w:lang w:val="en-US" w:eastAsia="en-GB"/>
              </w:rPr>
            </w:pP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w:t>
            </w: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/PDCA</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Consultant</w:t>
            </w:r>
          </w:p>
          <w:p>
            <w:pPr>
              <w:pStyle w:val="style0"/>
              <w:ind w:left="62" w:hanging="10"/>
              <w:jc w:val="both"/>
              <w:rPr>
                <w:rFonts w:eastAsia="MS Mincho"/>
                <w:iCs/>
                <w:kern w:val="2"/>
                <w:sz w:val="20"/>
                <w:szCs w:val="20"/>
                <w:lang w:val="en-US" w:eastAsia="en-GB"/>
              </w:rPr>
            </w:pP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6.</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Execution / implementation of the measures </w:t>
            </w:r>
            <w:r>
              <w:rPr>
                <w:rFonts w:eastAsia="MS Mincho"/>
                <w:iCs/>
                <w:kern w:val="2"/>
                <w:sz w:val="20"/>
                <w:szCs w:val="20"/>
                <w:lang w:val="en-US" w:eastAsia="en-GB"/>
              </w:rPr>
              <w:t>included in</w:t>
            </w:r>
            <w:r>
              <w:rPr>
                <w:rFonts w:eastAsia="MS Mincho"/>
                <w:iCs/>
                <w:kern w:val="2"/>
                <w:sz w:val="20"/>
                <w:szCs w:val="20"/>
                <w:lang w:val="en-US" w:eastAsia="en-GB"/>
              </w:rPr>
              <w:t xml:space="preserve"> the construction company</w:t>
            </w:r>
            <w:r>
              <w:rPr>
                <w:rFonts w:eastAsia="MS Mincho"/>
                <w:iCs/>
                <w:kern w:val="2"/>
                <w:sz w:val="20"/>
                <w:szCs w:val="20"/>
                <w:lang w:val="en-US" w:eastAsia="en-GB"/>
              </w:rPr>
              <w:t>’s contract</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/PDCA</w:t>
            </w:r>
          </w:p>
        </w:tc>
        <w:tc>
          <w:tcPr>
            <w:tcW w:w="1492" w:type="pct"/>
            <w:tcBorders/>
            <w:shd w:val="clear" w:color="auto" w:fill="auto"/>
          </w:tcPr>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DPAAH</w:t>
            </w:r>
          </w:p>
          <w:p>
            <w:pPr>
              <w:pStyle w:val="style0"/>
              <w:numPr>
                <w:ilvl w:val="0"/>
                <w:numId w:val="30"/>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President </w:t>
            </w:r>
            <w:r>
              <w:rPr>
                <w:rFonts w:eastAsia="MS Mincho"/>
                <w:iCs/>
                <w:kern w:val="2"/>
                <w:sz w:val="20"/>
                <w:szCs w:val="20"/>
                <w:lang w:val="en-US" w:eastAsia="en-GB"/>
              </w:rPr>
              <w:t>of CVD</w:t>
            </w:r>
          </w:p>
        </w:tc>
        <w:tc>
          <w:tcPr>
            <w:tcW w:w="1190"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Companies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consultants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NGOs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other </w:t>
            </w:r>
          </w:p>
        </w:tc>
      </w:tr>
      <w:tr>
        <w:tblPrEx/>
        <w:trPr/>
        <w:tc>
          <w:tcPr>
            <w:tcW w:w="384" w:type="pct"/>
            <w:vMerge w:val="restar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7.</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Internal monitoring of the implementation of environmental and social measures</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SSS/PDCA</w:t>
            </w:r>
          </w:p>
        </w:tc>
        <w:tc>
          <w:tcPr>
            <w:tcW w:w="1492"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w:t>
            </w:r>
            <w:r>
              <w:rPr>
                <w:rFonts w:eastAsia="MS Mincho"/>
                <w:iCs/>
                <w:kern w:val="2"/>
                <w:sz w:val="20"/>
                <w:szCs w:val="20"/>
                <w:lang w:val="en-US" w:eastAsia="en-GB"/>
              </w:rPr>
              <w:t>MS</w:t>
            </w:r>
            <w:r>
              <w:rPr>
                <w:rFonts w:eastAsia="MS Mincho"/>
                <w:iCs/>
                <w:kern w:val="2"/>
                <w:sz w:val="20"/>
                <w:szCs w:val="20"/>
                <w:lang w:val="en-US" w:eastAsia="en-GB"/>
              </w:rPr>
              <w:t>/PDCA</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DRAAH/DPAAH</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Focal Points </w:t>
            </w:r>
          </w:p>
        </w:tc>
        <w:tc>
          <w:tcPr>
            <w:tcW w:w="1190"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Owner’s Engineer</w:t>
            </w:r>
            <w:r>
              <w:rPr>
                <w:rFonts w:eastAsia="MS Mincho"/>
                <w:iCs/>
                <w:kern w:val="2"/>
                <w:sz w:val="20"/>
                <w:szCs w:val="20"/>
                <w:lang w:val="en-US" w:eastAsia="en-GB"/>
              </w:rPr>
              <w:t xml:space="preserve"> </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Consultants</w:t>
            </w:r>
          </w:p>
          <w:p>
            <w:pPr>
              <w:pStyle w:val="style0"/>
              <w:ind w:left="-108"/>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p>
        </w:tc>
      </w:tr>
      <w:tr>
        <w:tblPrEx/>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Dissemination of the internal monitoring report</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Coordinator</w:t>
            </w:r>
            <w:r>
              <w:rPr>
                <w:rFonts w:eastAsia="MS Mincho"/>
                <w:iCs/>
                <w:kern w:val="2"/>
                <w:sz w:val="20"/>
                <w:szCs w:val="20"/>
                <w:lang w:val="en-US" w:eastAsia="en-GB"/>
              </w:rPr>
              <w:t xml:space="preserve"> of PDCA</w:t>
            </w:r>
          </w:p>
        </w:tc>
        <w:tc>
          <w:tcPr>
            <w:tcW w:w="1492"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/PDCA</w:t>
            </w:r>
          </w:p>
        </w:tc>
        <w:tc>
          <w:tcPr>
            <w:tcW w:w="119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SSS/PDCA</w:t>
            </w:r>
          </w:p>
        </w:tc>
      </w:tr>
      <w:tr>
        <w:tblPrEx/>
        <w:trPr/>
        <w:tc>
          <w:tcPr>
            <w:tcW w:w="384" w:type="pct"/>
            <w:vMerge w:val="continue"/>
            <w:tcBorders/>
            <w:shd w:val="clear" w:color="auto" w:fill="auto"/>
          </w:tcPr>
          <w:p>
            <w:pPr>
              <w:pStyle w:val="style0"/>
              <w:ind w:left="62" w:hanging="10"/>
              <w:jc w:val="both"/>
              <w:rPr>
                <w:rFonts w:eastAsia="MS Mincho"/>
                <w:iCs/>
                <w:kern w:val="2"/>
                <w:sz w:val="20"/>
                <w:szCs w:val="20"/>
                <w:lang w:val="en-US" w:eastAsia="en-GB"/>
              </w:rPr>
            </w:pP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External monitoring of the implementation of environmental and social measures</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BUNEE</w:t>
            </w:r>
          </w:p>
        </w:tc>
        <w:tc>
          <w:tcPr>
            <w:tcW w:w="1492"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DRAAH/DPAAH</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48"/>
              </w:numPr>
              <w:spacing w:after="160" w:lineRule="auto" w:line="259"/>
              <w:ind w:left="72" w:hanging="180"/>
              <w:jc w:val="both"/>
              <w:rPr>
                <w:rFonts w:eastAsia="MS Mincho"/>
                <w:iCs/>
                <w:kern w:val="2"/>
                <w:sz w:val="20"/>
                <w:szCs w:val="20"/>
                <w:lang w:eastAsia="en-GB"/>
              </w:rPr>
            </w:pPr>
            <w:r>
              <w:rPr>
                <w:rFonts w:eastAsia="MS Mincho"/>
                <w:iCs/>
                <w:kern w:val="2"/>
                <w:sz w:val="20"/>
                <w:szCs w:val="20"/>
                <w:lang w:eastAsia="en-GB"/>
              </w:rPr>
              <w:t xml:space="preserve">Focal Points </w:t>
            </w:r>
          </w:p>
          <w:p>
            <w:pPr>
              <w:pStyle w:val="style0"/>
              <w:numPr>
                <w:ilvl w:val="0"/>
                <w:numId w:val="48"/>
              </w:numPr>
              <w:spacing w:after="160" w:lineRule="auto" w:line="259"/>
              <w:ind w:left="72" w:hanging="180"/>
              <w:jc w:val="both"/>
              <w:rPr>
                <w:rFonts w:eastAsia="MS Mincho"/>
                <w:iCs/>
                <w:kern w:val="2"/>
                <w:sz w:val="20"/>
                <w:szCs w:val="20"/>
                <w:lang w:eastAsia="en-GB"/>
              </w:rPr>
            </w:pPr>
            <w:r>
              <w:rPr>
                <w:rFonts w:eastAsia="MS Mincho"/>
                <w:iCs/>
                <w:kern w:val="2"/>
                <w:sz w:val="20"/>
                <w:szCs w:val="20"/>
                <w:lang w:eastAsia="en-GB"/>
              </w:rPr>
              <w:t>ESS</w:t>
            </w:r>
            <w:r>
              <w:rPr>
                <w:rFonts w:eastAsia="MS Mincho"/>
                <w:iCs/>
                <w:kern w:val="2"/>
                <w:sz w:val="20"/>
                <w:szCs w:val="20"/>
                <w:lang w:eastAsia="en-GB"/>
              </w:rPr>
              <w:t xml:space="preserve"> </w:t>
            </w:r>
            <w:r>
              <w:rPr>
                <w:rFonts w:eastAsia="MS Mincho"/>
                <w:iCs/>
                <w:kern w:val="2"/>
                <w:sz w:val="20"/>
                <w:szCs w:val="20"/>
                <w:lang w:eastAsia="en-GB"/>
              </w:rPr>
              <w:t>et SSS /PDCA</w:t>
            </w:r>
          </w:p>
        </w:tc>
        <w:tc>
          <w:tcPr>
            <w:tcW w:w="119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ind w:left="62" w:hanging="10"/>
              <w:jc w:val="both"/>
              <w:rPr>
                <w:rFonts w:eastAsia="MS Mincho"/>
                <w:iCs/>
                <w:kern w:val="2"/>
                <w:sz w:val="20"/>
                <w:szCs w:val="20"/>
                <w:lang w:val="en-US" w:eastAsia="en-GB"/>
              </w:rPr>
            </w:pP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8.</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Environmental and social monitoring</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/PDCA</w:t>
            </w:r>
          </w:p>
        </w:tc>
        <w:tc>
          <w:tcPr>
            <w:tcW w:w="1492"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MS</w:t>
            </w:r>
            <w:r>
              <w:rPr>
                <w:rFonts w:eastAsia="MS Mincho"/>
                <w:iCs/>
                <w:kern w:val="2"/>
                <w:sz w:val="20"/>
                <w:szCs w:val="20"/>
                <w:lang w:val="en-US" w:eastAsia="en-GB"/>
              </w:rPr>
              <w:t>/PDCA</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DGESS/Ministries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DREP</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DPAAH</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RCU</w:t>
            </w:r>
          </w:p>
        </w:tc>
        <w:tc>
          <w:tcPr>
            <w:tcW w:w="1190"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Laboratories/ specialized centers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NGOs</w:t>
            </w: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9.</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Capacity building of actors implementing environmental and social measures</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 /PDCA</w:t>
            </w:r>
          </w:p>
        </w:tc>
        <w:tc>
          <w:tcPr>
            <w:tcW w:w="1492"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PS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FMS</w:t>
            </w:r>
          </w:p>
        </w:tc>
        <w:tc>
          <w:tcPr>
            <w:tcW w:w="1190"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Consultants</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Relevant public structures</w:t>
            </w:r>
          </w:p>
          <w:p>
            <w:pPr>
              <w:pStyle w:val="style0"/>
              <w:ind w:left="62" w:hanging="10"/>
              <w:jc w:val="both"/>
              <w:rPr>
                <w:rFonts w:eastAsia="MS Mincho"/>
                <w:iCs/>
                <w:kern w:val="2"/>
                <w:sz w:val="20"/>
                <w:szCs w:val="20"/>
                <w:lang w:val="en-US" w:eastAsia="en-GB"/>
              </w:rPr>
            </w:pPr>
          </w:p>
        </w:tc>
      </w:tr>
      <w:tr>
        <w:tblPrEx/>
        <w:trPr/>
        <w:tc>
          <w:tcPr>
            <w:tcW w:w="384" w:type="pct"/>
            <w:tcBorders/>
            <w:shd w:val="clear" w:color="auto" w:fill="auto"/>
          </w:tcPr>
          <w:p>
            <w:pPr>
              <w:pStyle w:val="style0"/>
              <w:ind w:left="6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1</w:t>
            </w:r>
            <w:r>
              <w:rPr>
                <w:rFonts w:eastAsia="MS Mincho"/>
                <w:iCs/>
                <w:kern w:val="2"/>
                <w:sz w:val="20"/>
                <w:szCs w:val="20"/>
                <w:lang w:val="en-US" w:eastAsia="en-GB"/>
              </w:rPr>
              <w:t>0</w:t>
            </w:r>
          </w:p>
        </w:tc>
        <w:tc>
          <w:tcPr>
            <w:tcW w:w="1064"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 xml:space="preserve">Audits (mid-term, closing) of environmental and social measures implementation </w:t>
            </w:r>
          </w:p>
        </w:tc>
        <w:tc>
          <w:tcPr>
            <w:tcW w:w="870" w:type="pct"/>
            <w:tcBorders/>
            <w:shd w:val="clear" w:color="auto" w:fill="auto"/>
          </w:tcPr>
          <w:p>
            <w:pPr>
              <w:pStyle w:val="style0"/>
              <w:ind w:left="62" w:hanging="10"/>
              <w:jc w:val="both"/>
              <w:rPr>
                <w:rFonts w:eastAsia="MS Mincho"/>
                <w:iCs/>
                <w:kern w:val="2"/>
                <w:sz w:val="20"/>
                <w:szCs w:val="20"/>
                <w:lang w:val="en-US" w:eastAsia="en-GB"/>
              </w:rPr>
            </w:pPr>
            <w:r>
              <w:rPr>
                <w:rFonts w:eastAsia="MS Mincho"/>
                <w:iCs/>
                <w:kern w:val="2"/>
                <w:sz w:val="20"/>
                <w:szCs w:val="20"/>
                <w:lang w:val="en-US" w:eastAsia="en-GB"/>
              </w:rPr>
              <w:t>ESS</w:t>
            </w:r>
            <w:r>
              <w:rPr>
                <w:rFonts w:eastAsia="MS Mincho"/>
                <w:iCs/>
                <w:kern w:val="2"/>
                <w:sz w:val="20"/>
                <w:szCs w:val="20"/>
                <w:lang w:val="en-US" w:eastAsia="en-GB"/>
              </w:rPr>
              <w:t xml:space="preserve"> </w:t>
            </w:r>
            <w:r>
              <w:rPr>
                <w:rFonts w:eastAsia="MS Mincho"/>
                <w:iCs/>
                <w:kern w:val="2"/>
                <w:sz w:val="20"/>
                <w:szCs w:val="20"/>
                <w:lang w:val="en-US" w:eastAsia="en-GB"/>
              </w:rPr>
              <w:t>and SSS/PDCA</w:t>
            </w:r>
          </w:p>
        </w:tc>
        <w:tc>
          <w:tcPr>
            <w:tcW w:w="1492"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MS</w:t>
            </w:r>
            <w:r>
              <w:rPr>
                <w:rFonts w:eastAsia="MS Mincho"/>
                <w:iCs/>
                <w:kern w:val="2"/>
                <w:sz w:val="20"/>
                <w:szCs w:val="20"/>
                <w:lang w:val="en-US" w:eastAsia="en-GB"/>
              </w:rPr>
              <w:t>/PDCA</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BUNEE</w:t>
            </w:r>
          </w:p>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Mayor</w:t>
            </w:r>
          </w:p>
          <w:p>
            <w:pPr>
              <w:pStyle w:val="style0"/>
              <w:spacing w:after="160" w:lineRule="auto" w:line="259"/>
              <w:ind w:left="72"/>
              <w:jc w:val="both"/>
              <w:rPr>
                <w:rFonts w:eastAsia="MS Mincho"/>
                <w:iCs/>
                <w:kern w:val="2"/>
                <w:sz w:val="20"/>
                <w:szCs w:val="20"/>
                <w:lang w:val="en-US" w:eastAsia="en-GB"/>
              </w:rPr>
            </w:pPr>
          </w:p>
        </w:tc>
        <w:tc>
          <w:tcPr>
            <w:tcW w:w="1190" w:type="pct"/>
            <w:tcBorders/>
            <w:shd w:val="clear" w:color="auto" w:fill="auto"/>
          </w:tcPr>
          <w:p>
            <w:pPr>
              <w:pStyle w:val="style0"/>
              <w:numPr>
                <w:ilvl w:val="0"/>
                <w:numId w:val="48"/>
              </w:numPr>
              <w:spacing w:after="160" w:lineRule="auto" w:line="259"/>
              <w:ind w:left="72" w:hanging="180"/>
              <w:jc w:val="both"/>
              <w:rPr>
                <w:rFonts w:eastAsia="MS Mincho"/>
                <w:iCs/>
                <w:kern w:val="2"/>
                <w:sz w:val="20"/>
                <w:szCs w:val="20"/>
                <w:lang w:val="en-US" w:eastAsia="en-GB"/>
              </w:rPr>
            </w:pPr>
            <w:r>
              <w:rPr>
                <w:rFonts w:eastAsia="MS Mincho"/>
                <w:iCs/>
                <w:kern w:val="2"/>
                <w:sz w:val="20"/>
                <w:szCs w:val="20"/>
                <w:lang w:val="en-US" w:eastAsia="en-GB"/>
              </w:rPr>
              <w:t xml:space="preserve"> Consultants</w:t>
            </w:r>
          </w:p>
          <w:p>
            <w:pPr>
              <w:pStyle w:val="style0"/>
              <w:ind w:left="72" w:hanging="10"/>
              <w:jc w:val="both"/>
              <w:rPr>
                <w:rFonts w:eastAsia="MS Mincho"/>
                <w:iCs/>
                <w:kern w:val="2"/>
                <w:sz w:val="20"/>
                <w:szCs w:val="20"/>
                <w:lang w:val="en-US" w:eastAsia="en-GB"/>
              </w:rPr>
            </w:pPr>
          </w:p>
          <w:p>
            <w:pPr>
              <w:pStyle w:val="style0"/>
              <w:ind w:left="62" w:hanging="10"/>
              <w:jc w:val="both"/>
              <w:rPr>
                <w:rFonts w:eastAsia="MS Mincho"/>
                <w:iCs/>
                <w:kern w:val="2"/>
                <w:sz w:val="20"/>
                <w:szCs w:val="20"/>
                <w:lang w:val="en-US" w:eastAsia="en-GB"/>
              </w:rPr>
            </w:pPr>
          </w:p>
        </w:tc>
      </w:tr>
    </w:tbl>
    <w:p>
      <w:pPr>
        <w:pStyle w:val="style0"/>
        <w:spacing w:after="200" w:lineRule="auto" w:line="276"/>
        <w:jc w:val="both"/>
        <w:contextualSpacing/>
        <w:rPr>
          <w:sz w:val="23"/>
          <w:szCs w:val="23"/>
          <w:lang w:val="en-US" w:eastAsia="en-US"/>
        </w:rPr>
      </w:pPr>
    </w:p>
    <w:p>
      <w:pPr>
        <w:pStyle w:val="style0"/>
        <w:spacing w:lineRule="atLeast" w:line="253"/>
        <w:jc w:val="both"/>
        <w:rPr>
          <w:sz w:val="22"/>
          <w:szCs w:val="22"/>
          <w:lang w:val="en-US"/>
        </w:rPr>
      </w:pPr>
      <w:r>
        <w:rPr>
          <w:sz w:val="22"/>
          <w:szCs w:val="22"/>
          <w:lang w:val="en-US"/>
        </w:rPr>
        <w:t xml:space="preserve">The Project Implementing Entity (PU), or any entity involved in the implementation, will not issue any Request for Proposal (RFP) for an activity subject to an environmental and social impact assessment (EIES), without the environmental and social management plan (ESMP) of the work phase being inserted there, and will not give the order of starting of the work before the ESMP of the contracted company (building site ESMP) has been approved and integrated into the overall schedule of work. </w:t>
      </w:r>
    </w:p>
    <w:p>
      <w:pPr>
        <w:pStyle w:val="style0"/>
        <w:spacing w:lineRule="atLeast" w:line="253"/>
        <w:jc w:val="both"/>
        <w:rPr>
          <w:sz w:val="22"/>
          <w:szCs w:val="22"/>
          <w:lang w:val="en-US"/>
        </w:rPr>
      </w:pPr>
    </w:p>
    <w:p>
      <w:pPr>
        <w:pStyle w:val="style0"/>
        <w:spacing w:lineRule="atLeast" w:line="253"/>
        <w:jc w:val="both"/>
        <w:rPr>
          <w:sz w:val="22"/>
          <w:szCs w:val="22"/>
          <w:lang w:val="en-US"/>
        </w:rPr>
      </w:pPr>
    </w:p>
    <w:p>
      <w:pPr>
        <w:pStyle w:val="style0"/>
        <w:spacing w:lineRule="atLeast" w:line="253"/>
        <w:jc w:val="both"/>
        <w:rPr>
          <w:sz w:val="22"/>
          <w:szCs w:val="22"/>
          <w:lang w:val="en-US"/>
        </w:rPr>
      </w:pPr>
      <w:r>
        <w:rPr>
          <w:sz w:val="22"/>
          <w:szCs w:val="22"/>
          <w:lang w:val="en-US"/>
        </w:rPr>
        <w:t>Roles and responsibilities as described above are integrated into the Project Implementation Manual (PIM).</w:t>
      </w:r>
    </w:p>
    <w:p>
      <w:pPr>
        <w:pStyle w:val="style0"/>
        <w:spacing w:after="200" w:lineRule="auto" w:line="276"/>
        <w:jc w:val="both"/>
        <w:contextualSpacing/>
        <w:rPr>
          <w:b/>
          <w:i/>
          <w:sz w:val="22"/>
          <w:szCs w:val="22"/>
          <w:lang w:val="en-US" w:eastAsia="en-US"/>
        </w:rPr>
      </w:pPr>
    </w:p>
    <w:p>
      <w:pPr>
        <w:pStyle w:val="style0"/>
        <w:numPr>
          <w:ilvl w:val="1"/>
          <w:numId w:val="139"/>
        </w:numPr>
        <w:autoSpaceDE w:val="false"/>
        <w:autoSpaceDN w:val="false"/>
        <w:adjustRightInd w:val="false"/>
        <w:spacing w:after="160" w:lineRule="auto" w:line="259"/>
        <w:jc w:val="both"/>
        <w:rPr>
          <w:b/>
          <w:color w:val="000000"/>
          <w:sz w:val="23"/>
          <w:szCs w:val="23"/>
          <w:lang w:val="en-US"/>
        </w:rPr>
      </w:pPr>
      <w:r>
        <w:rPr>
          <w:b/>
          <w:bCs/>
          <w:sz w:val="23"/>
          <w:szCs w:val="23"/>
          <w:lang w:val="en-US"/>
        </w:rPr>
        <w:t>Estimated overall budget for the implementation of environmental measures</w:t>
      </w:r>
      <w:r>
        <w:rPr>
          <w:b/>
          <w:color w:val="000000"/>
          <w:sz w:val="23"/>
          <w:szCs w:val="23"/>
          <w:lang w:val="en-US"/>
        </w:rPr>
        <w:t xml:space="preserve"> </w:t>
      </w:r>
    </w:p>
    <w:p>
      <w:pPr>
        <w:pStyle w:val="style0"/>
        <w:autoSpaceDE w:val="false"/>
        <w:autoSpaceDN w:val="false"/>
        <w:adjustRightInd w:val="false"/>
        <w:ind w:left="720"/>
        <w:jc w:val="both"/>
        <w:rPr>
          <w:b/>
          <w:color w:val="000000"/>
          <w:sz w:val="23"/>
          <w:szCs w:val="23"/>
          <w:lang w:val="en-US"/>
        </w:rPr>
      </w:pPr>
    </w:p>
    <w:p>
      <w:pPr>
        <w:pStyle w:val="style0"/>
        <w:spacing w:after="160" w:lineRule="auto" w:line="259"/>
        <w:jc w:val="both"/>
        <w:rPr>
          <w:rFonts w:eastAsia="Calibri"/>
          <w:sz w:val="22"/>
          <w:szCs w:val="22"/>
          <w:lang w:val="en-US" w:eastAsia="en-US"/>
        </w:rPr>
      </w:pPr>
      <w:r>
        <w:rPr>
          <w:rFonts w:eastAsia="Calibri"/>
          <w:sz w:val="22"/>
          <w:szCs w:val="22"/>
          <w:lang w:val="en-US" w:eastAsia="en-US"/>
        </w:rPr>
        <w:t xml:space="preserve">The costs of environmental measures are an overall amount of CFAF </w:t>
      </w:r>
      <w:r>
        <w:rPr>
          <w:rFonts w:eastAsia="Calibri"/>
          <w:b/>
          <w:sz w:val="22"/>
          <w:szCs w:val="22"/>
          <w:lang w:val="en-US"/>
        </w:rPr>
        <w:t xml:space="preserve">699 000 000 </w:t>
      </w:r>
      <w:r>
        <w:rPr>
          <w:rFonts w:eastAsia="Calibri"/>
          <w:b/>
          <w:sz w:val="22"/>
          <w:szCs w:val="22"/>
          <w:lang w:val="en-US"/>
        </w:rPr>
        <w:t>or</w:t>
      </w:r>
      <w:r>
        <w:rPr>
          <w:rFonts w:eastAsia="Calibri"/>
          <w:b/>
          <w:sz w:val="22"/>
          <w:szCs w:val="22"/>
          <w:lang w:val="en-US"/>
        </w:rPr>
        <w:t xml:space="preserve"> </w:t>
      </w:r>
      <w:r>
        <w:rPr>
          <w:b/>
          <w:color w:val="000000"/>
          <w:sz w:val="22"/>
          <w:szCs w:val="22"/>
          <w:lang w:val="en-US"/>
        </w:rPr>
        <w:t>1 196 918</w:t>
      </w:r>
      <w:r>
        <w:rPr>
          <w:color w:val="000000"/>
          <w:sz w:val="22"/>
          <w:szCs w:val="22"/>
          <w:lang w:val="en-US"/>
        </w:rPr>
        <w:t xml:space="preserve"> </w:t>
      </w:r>
      <w:r>
        <w:rPr>
          <w:b/>
          <w:color w:val="000000"/>
          <w:sz w:val="22"/>
          <w:szCs w:val="22"/>
          <w:lang w:val="en-US"/>
        </w:rPr>
        <w:t>$US</w:t>
      </w:r>
      <w:r>
        <w:rPr>
          <w:rFonts w:eastAsia="Calibri"/>
          <w:sz w:val="22"/>
          <w:szCs w:val="22"/>
          <w:lang w:val="en-US" w:eastAsia="en-US"/>
        </w:rPr>
        <w:t xml:space="preserve"> </w:t>
      </w:r>
      <w:r>
        <w:rPr>
          <w:rFonts w:eastAsia="Calibri"/>
          <w:sz w:val="22"/>
          <w:szCs w:val="22"/>
          <w:lang w:val="en-US" w:eastAsia="en-US"/>
        </w:rPr>
        <w:t>for the five (5) years of the Program implementation and include: (i) Institutional strengthening; ii) Monitoring/Evaluation of program activities; (iv) Capacity building in terms of actors training and sensitization; v) Carrying out an audit, vi) Provisions for carrying out ESIA, vii) Carrying out compensation reforestation.</w:t>
      </w:r>
    </w:p>
    <w:p>
      <w:pPr>
        <w:pStyle w:val="style0"/>
        <w:spacing w:after="160" w:lineRule="auto" w:line="259"/>
        <w:jc w:val="both"/>
        <w:rPr>
          <w:rFonts w:eastAsia="Calibri"/>
          <w:sz w:val="22"/>
          <w:szCs w:val="22"/>
          <w:lang w:val="en-US" w:eastAsia="en-US"/>
        </w:rPr>
      </w:pPr>
      <w:r>
        <w:rPr>
          <w:rFonts w:eastAsia="Calibri"/>
          <w:sz w:val="22"/>
          <w:szCs w:val="22"/>
          <w:lang w:val="en-US" w:eastAsia="en-US"/>
        </w:rPr>
        <w:t>Ultimately, the environmental and social management of the Agricultural Development and Competitiveness Program (PDCA) will be based on the implementation of the safeguard</w:t>
      </w:r>
      <w:r>
        <w:rPr>
          <w:rFonts w:eastAsia="Calibri"/>
          <w:sz w:val="22"/>
          <w:szCs w:val="22"/>
          <w:lang w:val="en-US" w:eastAsia="en-US"/>
        </w:rPr>
        <w:t>s</w:t>
      </w:r>
      <w:r>
        <w:rPr>
          <w:rFonts w:eastAsia="Calibri"/>
          <w:sz w:val="22"/>
          <w:szCs w:val="22"/>
          <w:lang w:val="en-US" w:eastAsia="en-US"/>
        </w:rPr>
        <w:t xml:space="preserve"> instruments namely the Environmental and Social Management Framework (ESMF), the Pest Management Plan (PMP) and the Resettlement Policy Framework (RPF).</w:t>
      </w:r>
    </w:p>
    <w:p>
      <w:pPr>
        <w:pStyle w:val="style0"/>
        <w:tabs>
          <w:tab w:val="left" w:leader="none" w:pos="1470"/>
        </w:tabs>
        <w:jc w:val="both"/>
        <w:rPr>
          <w:lang w:val="en-US"/>
        </w:rPr>
      </w:pPr>
      <w:r>
        <w:rPr>
          <w:sz w:val="22"/>
          <w:szCs w:val="22"/>
          <w:lang w:val="en-CA"/>
        </w:rPr>
        <w:t xml:space="preserve"> </w:t>
      </w:r>
      <w:r>
        <w:rPr>
          <w:lang w:val="en-US"/>
        </w:rPr>
        <w:br w:type="page"/>
      </w:r>
    </w:p>
    <w:bookmarkStart w:id="12" w:name="_Toc329159018"/>
    <w:bookmarkStart w:id="13" w:name="_Toc686072"/>
    <w:bookmarkStart w:id="14" w:name="_Toc2780459"/>
    <w:p>
      <w:pPr>
        <w:pStyle w:val="style1"/>
        <w:rPr/>
      </w:pPr>
      <w:r>
        <w:t xml:space="preserve">I. </w:t>
      </w:r>
      <w:r>
        <w:t>INTRODUCTION</w:t>
      </w:r>
      <w:bookmarkEnd w:id="12"/>
      <w:bookmarkEnd w:id="13"/>
      <w:bookmarkEnd w:id="14"/>
      <w:r>
        <w:t xml:space="preserve"> </w:t>
      </w:r>
    </w:p>
    <w:p>
      <w:pPr>
        <w:pStyle w:val="style0"/>
        <w:rPr/>
      </w:pPr>
    </w:p>
    <w:p>
      <w:pPr>
        <w:pStyle w:val="style0"/>
        <w:jc w:val="both"/>
        <w:rPr>
          <w:sz w:val="22"/>
          <w:szCs w:val="22"/>
        </w:rPr>
      </w:pPr>
      <w:r>
        <w:rPr>
          <w:sz w:val="22"/>
          <w:szCs w:val="22"/>
        </w:rPr>
        <w:t>Dans ce chapitre, est présenté : (i) le contexte et la justification de l’étude, (ii) les objectifs poursuivis par le CGES, (iii) la méthodologie d’élaboration du CGES, (iv) la structuration du rapport du CGES.</w:t>
      </w:r>
    </w:p>
    <w:p>
      <w:pPr>
        <w:pStyle w:val="style0"/>
        <w:jc w:val="both"/>
        <w:rPr>
          <w:sz w:val="23"/>
          <w:szCs w:val="23"/>
        </w:rPr>
      </w:pPr>
    </w:p>
    <w:bookmarkStart w:id="15" w:name="_Toc329159019"/>
    <w:bookmarkStart w:id="16" w:name="_Toc686073"/>
    <w:bookmarkStart w:id="17" w:name="_Toc2780460"/>
    <w:p>
      <w:pPr>
        <w:pStyle w:val="style4307"/>
        <w:numPr>
          <w:ilvl w:val="0"/>
          <w:numId w:val="0"/>
        </w:numPr>
        <w:ind w:left="390"/>
        <w:rPr/>
      </w:pPr>
      <w:r>
        <w:t xml:space="preserve">1.1. </w:t>
      </w:r>
      <w:r>
        <w:t>C</w:t>
      </w:r>
      <w:r>
        <w:t>on</w:t>
      </w:r>
      <w:r>
        <w:t>texte</w:t>
      </w:r>
      <w:r>
        <w:t xml:space="preserve"> et justification </w:t>
      </w:r>
      <w:r>
        <w:t>de l’étude</w:t>
      </w:r>
      <w:bookmarkEnd w:id="15"/>
      <w:bookmarkEnd w:id="16"/>
      <w:bookmarkEnd w:id="17"/>
    </w:p>
    <w:p>
      <w:pPr>
        <w:pStyle w:val="style0"/>
        <w:autoSpaceDE w:val="false"/>
        <w:autoSpaceDN w:val="false"/>
        <w:adjustRightInd w:val="false"/>
        <w:jc w:val="both"/>
        <w:rPr>
          <w:i/>
          <w:sz w:val="22"/>
          <w:szCs w:val="22"/>
        </w:rPr>
      </w:pPr>
    </w:p>
    <w:p>
      <w:pPr>
        <w:pStyle w:val="style0"/>
        <w:jc w:val="both"/>
        <w:rPr>
          <w:sz w:val="22"/>
          <w:szCs w:val="22"/>
        </w:rPr>
      </w:pPr>
      <w:r>
        <w:rPr>
          <w:sz w:val="22"/>
          <w:szCs w:val="22"/>
        </w:rPr>
        <w:t xml:space="preserve">Le </w:t>
      </w:r>
      <w:r>
        <w:rPr>
          <w:sz w:val="22"/>
          <w:szCs w:val="22"/>
        </w:rPr>
        <w:t xml:space="preserve">Burkina Faso, dans la cadre de la mise en œuvre du Plan national de développement économique et social (PNDES), </w:t>
      </w:r>
      <w:r>
        <w:rPr>
          <w:sz w:val="22"/>
          <w:szCs w:val="22"/>
        </w:rPr>
        <w:t xml:space="preserve">va bénéficier </w:t>
      </w:r>
      <w:r>
        <w:rPr>
          <w:sz w:val="22"/>
          <w:szCs w:val="22"/>
        </w:rPr>
        <w:t>d’un accompagnement de la Ban</w:t>
      </w:r>
      <w:r>
        <w:rPr>
          <w:sz w:val="22"/>
          <w:szCs w:val="22"/>
        </w:rPr>
        <w:t xml:space="preserve">que </w:t>
      </w:r>
      <w:r>
        <w:rPr>
          <w:sz w:val="22"/>
          <w:szCs w:val="22"/>
        </w:rPr>
        <w:t>m</w:t>
      </w:r>
      <w:r>
        <w:rPr>
          <w:sz w:val="22"/>
          <w:szCs w:val="22"/>
        </w:rPr>
        <w:t>ondiale</w:t>
      </w:r>
      <w:r>
        <w:rPr>
          <w:sz w:val="22"/>
          <w:szCs w:val="22"/>
        </w:rPr>
        <w:t xml:space="preserve"> </w:t>
      </w:r>
      <w:r>
        <w:rPr>
          <w:sz w:val="22"/>
          <w:szCs w:val="22"/>
        </w:rPr>
        <w:t>avec une enveloppe globale de 3,8 milliards de dollars sur la période 2016-2020. Cette enveloppe financière est destinée à financer la mise en œuvre d’un</w:t>
      </w:r>
      <w:r>
        <w:rPr>
          <w:sz w:val="22"/>
          <w:szCs w:val="22"/>
        </w:rPr>
        <w:t xml:space="preserve"> ensemble d’actions dans les secteurs prioritaires du pays dont celui de l’agriculture. L’agriculture au Burkina Faso emploie plus de 80% de la main d’œuvre et la plupart de ceux qui y travaillent vivent en milieu rural.</w:t>
      </w:r>
    </w:p>
    <w:p>
      <w:pPr>
        <w:pStyle w:val="style0"/>
        <w:jc w:val="both"/>
        <w:rPr>
          <w:color w:val="0070c0"/>
          <w:sz w:val="22"/>
          <w:szCs w:val="22"/>
        </w:rPr>
      </w:pPr>
    </w:p>
    <w:p>
      <w:pPr>
        <w:pStyle w:val="style0"/>
        <w:jc w:val="both"/>
        <w:rPr>
          <w:sz w:val="22"/>
          <w:szCs w:val="22"/>
        </w:rPr>
      </w:pPr>
      <w:r>
        <w:rPr>
          <w:sz w:val="22"/>
          <w:szCs w:val="22"/>
        </w:rPr>
        <w:t xml:space="preserve">Selon le PNDES (2016), </w:t>
      </w:r>
      <w:r>
        <w:rPr>
          <w:sz w:val="22"/>
          <w:szCs w:val="22"/>
        </w:rPr>
        <w:t>l</w:t>
      </w:r>
      <w:r>
        <w:rPr>
          <w:sz w:val="22"/>
          <w:szCs w:val="22"/>
        </w:rPr>
        <w:t xml:space="preserve">’analyse des indicateurs de la pauvreté </w:t>
      </w:r>
      <w:r>
        <w:rPr>
          <w:sz w:val="22"/>
          <w:szCs w:val="22"/>
        </w:rPr>
        <w:t>suiva</w:t>
      </w:r>
      <w:r>
        <w:rPr>
          <w:sz w:val="22"/>
          <w:szCs w:val="22"/>
        </w:rPr>
        <w:t xml:space="preserve">nt </w:t>
      </w:r>
      <w:r>
        <w:rPr>
          <w:sz w:val="22"/>
          <w:szCs w:val="22"/>
        </w:rPr>
        <w:t>la branche d’activité du chef de ménage révèle que c’est dans les ménages dirigés par des agriculteurs vivriers que l’incidence de la pauvreté est la plus élevée. Il en est de même pour la profondeur et la sévérité de la pauvreté. En effet, dans ce grou</w:t>
      </w:r>
      <w:r>
        <w:rPr>
          <w:sz w:val="22"/>
          <w:szCs w:val="22"/>
        </w:rPr>
        <w:t>pe de ménages, l’incidence de pauvreté est de 50,1% (une personne sur deux est pauvre), soit dix points de pourcentage au-dessus du taux national. La profondeur et la sévérité de la pauvreté sont respectivement de 12,1% et de 4,1% pour ce même groupe. Près</w:t>
      </w:r>
      <w:r>
        <w:rPr>
          <w:sz w:val="22"/>
          <w:szCs w:val="22"/>
        </w:rPr>
        <w:t xml:space="preserve"> de huit pauvres sur dix (78%) vivent dans des ménages dont les chefs sont des agriculteurs vivriers. </w:t>
      </w:r>
    </w:p>
    <w:p>
      <w:pPr>
        <w:pStyle w:val="style0"/>
        <w:jc w:val="both"/>
        <w:rPr>
          <w:sz w:val="22"/>
          <w:szCs w:val="22"/>
        </w:rPr>
      </w:pPr>
    </w:p>
    <w:p>
      <w:pPr>
        <w:pStyle w:val="style0"/>
        <w:jc w:val="both"/>
        <w:rPr>
          <w:sz w:val="22"/>
          <w:szCs w:val="22"/>
        </w:rPr>
      </w:pPr>
      <w:r>
        <w:rPr>
          <w:sz w:val="22"/>
          <w:szCs w:val="22"/>
        </w:rPr>
        <w:t xml:space="preserve">Cependant, le pays regorge d’énormes potentialités et offre d’énormes potentialités atouts pour l’amélioration de la performance de l’agriculture afin </w:t>
      </w:r>
      <w:r>
        <w:rPr>
          <w:sz w:val="22"/>
          <w:szCs w:val="22"/>
        </w:rPr>
        <w:t xml:space="preserve">qu’elle soit un levier pour la croissance économique et un moyen de réduction de la pauvreté. En effet, </w:t>
      </w:r>
      <w:r>
        <w:rPr>
          <w:sz w:val="22"/>
          <w:szCs w:val="22"/>
        </w:rPr>
        <w:t>selon le Ministère en charge de l’agriculture au Burki</w:t>
      </w:r>
      <w:r>
        <w:rPr>
          <w:sz w:val="22"/>
          <w:szCs w:val="22"/>
        </w:rPr>
        <w:t>na Faso</w:t>
      </w:r>
      <w:r>
        <w:rPr>
          <w:sz w:val="22"/>
          <w:szCs w:val="22"/>
        </w:rPr>
        <w:t xml:space="preserve"> (MAAH, 2018)</w:t>
      </w:r>
      <w:r>
        <w:rPr>
          <w:sz w:val="22"/>
          <w:szCs w:val="22"/>
        </w:rPr>
        <w:t xml:space="preserve">, </w:t>
      </w:r>
      <w:r>
        <w:rPr>
          <w:sz w:val="22"/>
          <w:szCs w:val="22"/>
        </w:rPr>
        <w:t>le potentiel en terres cultivables est estimé à environ 233 500 ha de terres</w:t>
      </w:r>
      <w:r>
        <w:rPr>
          <w:sz w:val="22"/>
          <w:szCs w:val="22"/>
        </w:rPr>
        <w:t xml:space="preserve"> irrigables et 500 000 ha de bas-fonds. En plus de cela, le pays dispose d’environ 1200 plans d’eau d’une capacité cumulée de 5 milliards de </w:t>
      </w:r>
      <w:r>
        <w:rPr>
          <w:sz w:val="22"/>
          <w:szCs w:val="22"/>
        </w:rPr>
        <w:t>m3 par an pour le développement de l’irrigation et d’une demande en produits alimentaires non</w:t>
      </w:r>
      <w:r>
        <w:rPr>
          <w:sz w:val="22"/>
          <w:szCs w:val="22"/>
        </w:rPr>
        <w:t xml:space="preserve"> satisfaite. La valorisation de ces potentialités contribuera sans doute à la transformation structurelle de l’agriculture burkinabé telle que déclinée dans le PNDES.</w:t>
      </w:r>
    </w:p>
    <w:p>
      <w:pPr>
        <w:pStyle w:val="style0"/>
        <w:jc w:val="both"/>
        <w:rPr>
          <w:sz w:val="22"/>
          <w:szCs w:val="22"/>
        </w:rPr>
      </w:pPr>
    </w:p>
    <w:p>
      <w:pPr>
        <w:pStyle w:val="style0"/>
        <w:jc w:val="both"/>
        <w:rPr>
          <w:sz w:val="22"/>
          <w:szCs w:val="22"/>
        </w:rPr>
      </w:pPr>
      <w:r>
        <w:rPr>
          <w:sz w:val="22"/>
          <w:szCs w:val="22"/>
        </w:rPr>
        <w:t>C’est dans ce contexte et afin de mobiliser les ressources financières annoncées, que des échanges ont été en</w:t>
      </w:r>
      <w:r>
        <w:rPr>
          <w:sz w:val="22"/>
          <w:szCs w:val="22"/>
        </w:rPr>
        <w:t xml:space="preserve">clenchés entre la Banque </w:t>
      </w:r>
      <w:r>
        <w:rPr>
          <w:sz w:val="22"/>
          <w:szCs w:val="22"/>
        </w:rPr>
        <w:t>m</w:t>
      </w:r>
      <w:r>
        <w:rPr>
          <w:sz w:val="22"/>
          <w:szCs w:val="22"/>
        </w:rPr>
        <w:t xml:space="preserve">ondiale </w:t>
      </w:r>
      <w:r>
        <w:rPr>
          <w:sz w:val="22"/>
          <w:szCs w:val="22"/>
        </w:rPr>
        <w:t xml:space="preserve">et le Gouvernement sur les priorités du secteur agricole, afin d’orienter les choix possibles pour la définition d’un nouveau programme intégré de soutien à la production agricole. </w:t>
      </w:r>
      <w:r>
        <w:rPr>
          <w:sz w:val="22"/>
          <w:szCs w:val="22"/>
        </w:rPr>
        <w:t xml:space="preserve">Ce </w:t>
      </w:r>
      <w:r>
        <w:rPr>
          <w:sz w:val="22"/>
          <w:szCs w:val="22"/>
        </w:rPr>
        <w:t>programme qui</w:t>
      </w:r>
      <w:r>
        <w:rPr>
          <w:sz w:val="22"/>
          <w:szCs w:val="22"/>
        </w:rPr>
        <w:t xml:space="preserve"> se veut ambitieux, s’inscrit dans une approche intégrée en cohérence avec les ambitions déclinées dans le PNDES. Les domaines prioritaires d’interventions du programme sont les </w:t>
      </w:r>
      <w:r>
        <w:rPr>
          <w:b/>
          <w:sz w:val="22"/>
          <w:szCs w:val="22"/>
        </w:rPr>
        <w:t>aménagements hydroagricoles</w:t>
      </w:r>
      <w:r>
        <w:rPr>
          <w:sz w:val="22"/>
          <w:szCs w:val="22"/>
        </w:rPr>
        <w:t xml:space="preserve">, le </w:t>
      </w:r>
      <w:r>
        <w:rPr>
          <w:b/>
          <w:sz w:val="22"/>
          <w:szCs w:val="22"/>
        </w:rPr>
        <w:t>soutien à la production</w:t>
      </w:r>
      <w:r>
        <w:rPr>
          <w:sz w:val="22"/>
          <w:szCs w:val="22"/>
        </w:rPr>
        <w:t xml:space="preserve">, l’entreprenariat agricole et le </w:t>
      </w:r>
      <w:r>
        <w:rPr>
          <w:b/>
          <w:sz w:val="22"/>
          <w:szCs w:val="22"/>
        </w:rPr>
        <w:t>désenclavement des grandes zones de production</w:t>
      </w:r>
      <w:r>
        <w:rPr>
          <w:sz w:val="22"/>
          <w:szCs w:val="22"/>
        </w:rPr>
        <w:t>.</w:t>
      </w:r>
    </w:p>
    <w:p>
      <w:pPr>
        <w:pStyle w:val="style0"/>
        <w:jc w:val="both"/>
        <w:rPr>
          <w:b/>
          <w:color w:val="0070c0"/>
          <w:sz w:val="22"/>
          <w:szCs w:val="22"/>
        </w:rPr>
      </w:pPr>
    </w:p>
    <w:p>
      <w:pPr>
        <w:pStyle w:val="style0"/>
        <w:jc w:val="both"/>
        <w:rPr>
          <w:color w:val="0070c0"/>
          <w:sz w:val="22"/>
          <w:szCs w:val="22"/>
        </w:rPr>
      </w:pPr>
    </w:p>
    <w:p>
      <w:pPr>
        <w:pStyle w:val="style0"/>
        <w:jc w:val="both"/>
        <w:rPr>
          <w:b/>
          <w:bCs/>
          <w:sz w:val="22"/>
          <w:szCs w:val="22"/>
        </w:rPr>
      </w:pPr>
      <w:r>
        <w:rPr>
          <w:sz w:val="22"/>
          <w:szCs w:val="22"/>
        </w:rPr>
        <w:t>Ce pro</w:t>
      </w:r>
      <w:r>
        <w:rPr>
          <w:sz w:val="22"/>
          <w:szCs w:val="22"/>
        </w:rPr>
        <w:t>gramme</w:t>
      </w:r>
      <w:r>
        <w:rPr>
          <w:sz w:val="22"/>
          <w:szCs w:val="22"/>
        </w:rPr>
        <w:t xml:space="preserve"> </w:t>
      </w:r>
      <w:r>
        <w:rPr>
          <w:sz w:val="22"/>
          <w:szCs w:val="22"/>
        </w:rPr>
        <w:t>à travers ses composantes (</w:t>
      </w:r>
      <w:r>
        <w:rPr>
          <w:sz w:val="22"/>
          <w:szCs w:val="22"/>
        </w:rPr>
        <w:t xml:space="preserve">Composante </w:t>
      </w:r>
      <w:r>
        <w:rPr>
          <w:sz w:val="22"/>
          <w:szCs w:val="22"/>
        </w:rPr>
        <w:t>1</w:t>
      </w:r>
      <w:r>
        <w:rPr>
          <w:sz w:val="22"/>
          <w:szCs w:val="22"/>
        </w:rPr>
        <w:t xml:space="preserve"> : amélioration de la productivité et de la production agricole ;</w:t>
      </w:r>
      <w:r>
        <w:rPr>
          <w:sz w:val="22"/>
          <w:szCs w:val="22"/>
        </w:rPr>
        <w:t xml:space="preserve"> </w:t>
      </w:r>
      <w:r>
        <w:rPr>
          <w:sz w:val="22"/>
          <w:szCs w:val="22"/>
        </w:rPr>
        <w:t xml:space="preserve">Composante </w:t>
      </w:r>
      <w:r>
        <w:rPr>
          <w:sz w:val="22"/>
          <w:szCs w:val="22"/>
        </w:rPr>
        <w:t>2</w:t>
      </w:r>
      <w:r>
        <w:rPr>
          <w:sz w:val="22"/>
          <w:szCs w:val="22"/>
        </w:rPr>
        <w:t xml:space="preserve"> : amélioration de l’accès au marché</w:t>
      </w:r>
      <w:r>
        <w:rPr>
          <w:sz w:val="22"/>
          <w:szCs w:val="22"/>
        </w:rPr>
        <w:t> ; Composante</w:t>
      </w:r>
      <w:r>
        <w:rPr>
          <w:sz w:val="22"/>
          <w:szCs w:val="22"/>
        </w:rPr>
        <w:t xml:space="preserve"> 3 :</w:t>
      </w:r>
      <w:r>
        <w:rPr>
          <w:sz w:val="22"/>
          <w:szCs w:val="22"/>
        </w:rPr>
        <w:t xml:space="preserve"> appui aux investissements privés</w:t>
      </w:r>
      <w:r>
        <w:rPr>
          <w:sz w:val="22"/>
          <w:szCs w:val="22"/>
        </w:rPr>
        <w:t xml:space="preserve"> et Composante </w:t>
      </w:r>
      <w:r>
        <w:rPr>
          <w:sz w:val="22"/>
          <w:szCs w:val="22"/>
        </w:rPr>
        <w:t>3</w:t>
      </w:r>
      <w:r>
        <w:rPr>
          <w:sz w:val="22"/>
          <w:szCs w:val="22"/>
        </w:rPr>
        <w:t xml:space="preserve"> </w:t>
      </w:r>
      <w:r>
        <w:rPr>
          <w:sz w:val="22"/>
          <w:szCs w:val="22"/>
        </w:rPr>
        <w:t xml:space="preserve">: </w:t>
      </w:r>
      <w:r>
        <w:rPr>
          <w:sz w:val="22"/>
          <w:szCs w:val="22"/>
        </w:rPr>
        <w:t xml:space="preserve">prévention et gestion des </w:t>
      </w:r>
      <w:r>
        <w:rPr>
          <w:sz w:val="22"/>
          <w:szCs w:val="22"/>
        </w:rPr>
        <w:t>crises, coordination</w:t>
      </w:r>
      <w:r>
        <w:rPr>
          <w:sz w:val="22"/>
          <w:szCs w:val="22"/>
        </w:rPr>
        <w:t xml:space="preserve"> du Projet et suivi et évaluation</w:t>
      </w:r>
      <w:r>
        <w:rPr>
          <w:sz w:val="22"/>
          <w:szCs w:val="22"/>
        </w:rPr>
        <w:t>)</w:t>
      </w:r>
      <w:r>
        <w:rPr>
          <w:sz w:val="22"/>
          <w:szCs w:val="22"/>
        </w:rPr>
        <w:t xml:space="preserve"> </w:t>
      </w:r>
      <w:r>
        <w:rPr>
          <w:sz w:val="22"/>
          <w:szCs w:val="22"/>
        </w:rPr>
        <w:t xml:space="preserve">intègre parfaitement les objectifs du </w:t>
      </w:r>
      <w:r>
        <w:rPr>
          <w:b/>
          <w:sz w:val="22"/>
          <w:szCs w:val="22"/>
        </w:rPr>
        <w:t>P</w:t>
      </w:r>
      <w:r>
        <w:rPr>
          <w:b/>
          <w:sz w:val="22"/>
          <w:szCs w:val="22"/>
        </w:rPr>
        <w:t>NDES</w:t>
      </w:r>
      <w:r>
        <w:rPr>
          <w:b/>
          <w:bCs/>
          <w:sz w:val="22"/>
          <w:szCs w:val="22"/>
        </w:rPr>
        <w:t>.</w:t>
      </w:r>
    </w:p>
    <w:p>
      <w:pPr>
        <w:pStyle w:val="style0"/>
        <w:jc w:val="both"/>
        <w:rPr>
          <w:bCs/>
          <w:color w:val="0070c0"/>
          <w:sz w:val="22"/>
          <w:szCs w:val="22"/>
        </w:rPr>
      </w:pPr>
    </w:p>
    <w:p>
      <w:pPr>
        <w:pStyle w:val="style0"/>
        <w:jc w:val="both"/>
        <w:rPr>
          <w:bCs/>
          <w:sz w:val="22"/>
          <w:szCs w:val="22"/>
        </w:rPr>
      </w:pPr>
      <w:r>
        <w:rPr>
          <w:bCs/>
          <w:sz w:val="22"/>
          <w:szCs w:val="22"/>
        </w:rPr>
        <w:t xml:space="preserve">Le </w:t>
      </w:r>
      <w:r>
        <w:rPr>
          <w:bCs/>
          <w:sz w:val="22"/>
          <w:szCs w:val="22"/>
        </w:rPr>
        <w:t>programme</w:t>
      </w:r>
      <w:r>
        <w:rPr>
          <w:sz w:val="22"/>
          <w:szCs w:val="22"/>
        </w:rPr>
        <w:t xml:space="preserve"> </w:t>
      </w:r>
      <w:r>
        <w:rPr>
          <w:sz w:val="22"/>
          <w:szCs w:val="22"/>
        </w:rPr>
        <w:t xml:space="preserve">va donc permettre </w:t>
      </w:r>
      <w:r>
        <w:rPr>
          <w:sz w:val="22"/>
          <w:szCs w:val="22"/>
        </w:rPr>
        <w:t xml:space="preserve">de contribuer à la transformation structurelle du secteur agricole pour booster la croissance économique, </w:t>
      </w:r>
      <w:r>
        <w:rPr>
          <w:sz w:val="22"/>
          <w:szCs w:val="22"/>
        </w:rPr>
        <w:t>d’</w:t>
      </w:r>
      <w:r>
        <w:rPr>
          <w:sz w:val="22"/>
          <w:szCs w:val="22"/>
        </w:rPr>
        <w:t>améliorer la compétitivité des filières porteuses et</w:t>
      </w:r>
      <w:r>
        <w:rPr>
          <w:sz w:val="22"/>
          <w:szCs w:val="22"/>
        </w:rPr>
        <w:t xml:space="preserve"> d’</w:t>
      </w:r>
      <w:r>
        <w:rPr>
          <w:sz w:val="22"/>
          <w:szCs w:val="22"/>
        </w:rPr>
        <w:t>assurer de façon durable la sécurité alimentaire et nutritionnelle.</w:t>
      </w:r>
    </w:p>
    <w:p>
      <w:pPr>
        <w:pStyle w:val="style4132"/>
        <w:jc w:val="both"/>
        <w:rPr>
          <w:b/>
          <w:color w:val="0070c0"/>
          <w:sz w:val="23"/>
          <w:szCs w:val="23"/>
        </w:rPr>
      </w:pPr>
    </w:p>
    <w:p>
      <w:pPr>
        <w:pStyle w:val="style0"/>
        <w:autoSpaceDE w:val="false"/>
        <w:autoSpaceDN w:val="false"/>
        <w:adjustRightInd w:val="false"/>
        <w:jc w:val="both"/>
        <w:rPr>
          <w:sz w:val="22"/>
          <w:szCs w:val="22"/>
        </w:rPr>
      </w:pPr>
      <w:r>
        <w:rPr>
          <w:sz w:val="22"/>
          <w:szCs w:val="22"/>
        </w:rPr>
        <w:t>Dans l'optique de prévenir et d'atténuer les éventuelles incidences négatives qui pourraient découler de la mise en œuvre du Programme sur les matrices de l’environnement et les communautés, il s’avère opportun de conduire des évaluations environnementales et sociales en vue de l’élaboration d’un Cadre de Gestion Environnementale et Sociale (CGES) pour l</w:t>
      </w:r>
      <w:r>
        <w:rPr>
          <w:sz w:val="22"/>
          <w:szCs w:val="22"/>
        </w:rPr>
        <w:t>es investissements dont les sites ne sont connus à ce jour  et ce, conformément à la législation burkinabè en matière de protection de l’environnement et à la politique opérationnelle PO 4.01 de la Banque mondiale, relative à l’Evaluation Environnementale.</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Le présent CGES) établi pour le</w:t>
      </w:r>
      <w:r>
        <w:rPr>
          <w:sz w:val="22"/>
          <w:szCs w:val="22"/>
        </w:rPr>
        <w:t xml:space="preserve"> </w:t>
      </w:r>
      <w:r>
        <w:rPr>
          <w:sz w:val="22"/>
          <w:szCs w:val="22"/>
        </w:rPr>
        <w:t>Programme a</w:t>
      </w:r>
      <w:r>
        <w:rPr>
          <w:sz w:val="22"/>
          <w:szCs w:val="22"/>
        </w:rPr>
        <w:t xml:space="preserve"> pour but de définir l</w:t>
      </w:r>
      <w:r>
        <w:rPr>
          <w:sz w:val="22"/>
          <w:szCs w:val="22"/>
        </w:rPr>
        <w:t>es directives visant à s’assurer que la sélection, l’évaluation et l’approbation des sous-</w:t>
      </w:r>
      <w:r>
        <w:rPr>
          <w:sz w:val="22"/>
          <w:szCs w:val="22"/>
        </w:rPr>
        <w:t xml:space="preserve">composantes </w:t>
      </w:r>
      <w:r>
        <w:rPr>
          <w:sz w:val="22"/>
          <w:szCs w:val="22"/>
        </w:rPr>
        <w:t>et leur mise en œuvre soi</w:t>
      </w:r>
      <w:r>
        <w:rPr>
          <w:sz w:val="22"/>
          <w:szCs w:val="22"/>
        </w:rPr>
        <w:t>en</w:t>
      </w:r>
      <w:r>
        <w:rPr>
          <w:sz w:val="22"/>
          <w:szCs w:val="22"/>
        </w:rPr>
        <w:t>t conforme</w:t>
      </w:r>
      <w:r>
        <w:rPr>
          <w:sz w:val="22"/>
          <w:szCs w:val="22"/>
        </w:rPr>
        <w:t>s</w:t>
      </w:r>
      <w:r>
        <w:rPr>
          <w:sz w:val="22"/>
          <w:szCs w:val="22"/>
        </w:rPr>
        <w:t xml:space="preserve"> tant aux politiques, lois et réglementations environnementales d</w:t>
      </w:r>
      <w:r>
        <w:rPr>
          <w:sz w:val="22"/>
          <w:szCs w:val="22"/>
        </w:rPr>
        <w:t>u Burkina Faso</w:t>
      </w:r>
      <w:r>
        <w:rPr>
          <w:sz w:val="22"/>
          <w:szCs w:val="22"/>
        </w:rPr>
        <w:t xml:space="preserve">, aux autres exigences </w:t>
      </w:r>
      <w:r>
        <w:rPr>
          <w:sz w:val="22"/>
          <w:szCs w:val="22"/>
        </w:rPr>
        <w:t>légales sous-régionales auxquelles le BF a souscrit, ainsi</w:t>
      </w:r>
      <w:r>
        <w:rPr>
          <w:sz w:val="22"/>
          <w:szCs w:val="22"/>
        </w:rPr>
        <w:t xml:space="preserve"> </w:t>
      </w:r>
      <w:r>
        <w:rPr>
          <w:sz w:val="22"/>
          <w:szCs w:val="22"/>
        </w:rPr>
        <w:t>qu’aux politiques de sauvegarde</w:t>
      </w:r>
      <w:r>
        <w:rPr>
          <w:sz w:val="22"/>
          <w:szCs w:val="22"/>
        </w:rPr>
        <w:t>s</w:t>
      </w:r>
      <w:r>
        <w:rPr>
          <w:sz w:val="22"/>
          <w:szCs w:val="22"/>
        </w:rPr>
        <w:t xml:space="preserve"> environnementale de la Banque </w:t>
      </w:r>
      <w:r>
        <w:rPr>
          <w:sz w:val="22"/>
          <w:szCs w:val="22"/>
        </w:rPr>
        <w:t>mondiale</w:t>
      </w:r>
      <w:r>
        <w:rPr>
          <w:sz w:val="22"/>
          <w:szCs w:val="22"/>
        </w:rPr>
        <w:t xml:space="preserve"> déclenchées par le programme</w:t>
      </w:r>
      <w:r>
        <w:rPr>
          <w:sz w:val="22"/>
          <w:szCs w:val="22"/>
        </w:rPr>
        <w:t>.</w:t>
      </w:r>
      <w:r>
        <w:rPr>
          <w:sz w:val="22"/>
          <w:szCs w:val="22"/>
        </w:rPr>
        <w:t xml:space="preserve"> </w:t>
      </w:r>
    </w:p>
    <w:p>
      <w:pPr>
        <w:pStyle w:val="style0"/>
        <w:autoSpaceDE w:val="false"/>
        <w:autoSpaceDN w:val="false"/>
        <w:adjustRightInd w:val="false"/>
        <w:jc w:val="both"/>
        <w:rPr>
          <w:szCs w:val="22"/>
        </w:rPr>
      </w:pPr>
    </w:p>
    <w:p>
      <w:pPr>
        <w:pStyle w:val="style0"/>
        <w:autoSpaceDE w:val="false"/>
        <w:autoSpaceDN w:val="false"/>
        <w:adjustRightInd w:val="false"/>
        <w:jc w:val="both"/>
        <w:rPr>
          <w:szCs w:val="22"/>
        </w:rPr>
      </w:pPr>
    </w:p>
    <w:bookmarkStart w:id="18" w:name="_Toc686074"/>
    <w:bookmarkStart w:id="19" w:name="_Toc2780461"/>
    <w:p>
      <w:pPr>
        <w:pStyle w:val="style4307"/>
        <w:numPr>
          <w:ilvl w:val="0"/>
          <w:numId w:val="0"/>
        </w:numPr>
        <w:ind w:left="390"/>
        <w:rPr/>
      </w:pPr>
      <w:r>
        <w:t xml:space="preserve">1.2. </w:t>
      </w:r>
      <w:r>
        <w:t>Objectif</w:t>
      </w:r>
      <w:r>
        <w:t>s</w:t>
      </w:r>
      <w:r>
        <w:t xml:space="preserve"> du CGES</w:t>
      </w:r>
      <w:bookmarkEnd w:id="18"/>
      <w:bookmarkEnd w:id="19"/>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 xml:space="preserve">L’objectif global du Cadre de Gestion Environnementale et Sociale (CGES) est d’assurer l’encadrement de la mise en œuvre du présent Programme et ce, conformément à la politique nationale en matière de préservation environnementale et celle de la Banque mondiale notamment </w:t>
      </w:r>
      <w:r>
        <w:rPr>
          <w:sz w:val="22"/>
          <w:szCs w:val="22"/>
        </w:rPr>
        <w:t xml:space="preserve">la </w:t>
      </w:r>
      <w:r>
        <w:rPr>
          <w:sz w:val="22"/>
          <w:szCs w:val="22"/>
        </w:rPr>
        <w:t>PO</w:t>
      </w:r>
      <w:r>
        <w:rPr>
          <w:sz w:val="22"/>
          <w:szCs w:val="22"/>
        </w:rPr>
        <w:t>/BP</w:t>
      </w:r>
      <w:r>
        <w:rPr>
          <w:sz w:val="22"/>
          <w:szCs w:val="22"/>
        </w:rPr>
        <w:t xml:space="preserve"> 4.01 portant sur l’Evaluation Environnementale. Ainsi, l’élaboration du CGES permet d’</w:t>
      </w:r>
      <w:r>
        <w:rPr>
          <w:sz w:val="22"/>
          <w:szCs w:val="22"/>
        </w:rPr>
        <w:t>encadrer</w:t>
      </w:r>
      <w:r>
        <w:rPr>
          <w:sz w:val="22"/>
          <w:szCs w:val="22"/>
        </w:rPr>
        <w:t xml:space="preserve"> </w:t>
      </w:r>
      <w:r>
        <w:rPr>
          <w:sz w:val="22"/>
          <w:szCs w:val="22"/>
        </w:rPr>
        <w:t xml:space="preserve">les activités du projet de manière à ce que les </w:t>
      </w:r>
      <w:r>
        <w:rPr>
          <w:sz w:val="22"/>
          <w:szCs w:val="22"/>
        </w:rPr>
        <w:t xml:space="preserve">risques et impacts </w:t>
      </w:r>
      <w:r>
        <w:rPr>
          <w:sz w:val="22"/>
          <w:szCs w:val="22"/>
        </w:rPr>
        <w:t xml:space="preserve">environnementales et sociales </w:t>
      </w:r>
      <w:r>
        <w:rPr>
          <w:sz w:val="22"/>
          <w:szCs w:val="22"/>
        </w:rPr>
        <w:t>négatifs</w:t>
      </w:r>
      <w:r>
        <w:rPr>
          <w:sz w:val="22"/>
          <w:szCs w:val="22"/>
        </w:rPr>
        <w:t xml:space="preserve"> </w:t>
      </w:r>
      <w:r>
        <w:rPr>
          <w:sz w:val="22"/>
          <w:szCs w:val="22"/>
        </w:rPr>
        <w:t xml:space="preserve">potentiels </w:t>
      </w:r>
      <w:r>
        <w:rPr>
          <w:sz w:val="22"/>
          <w:szCs w:val="22"/>
        </w:rPr>
        <w:t xml:space="preserve">soient </w:t>
      </w:r>
      <w:r>
        <w:rPr>
          <w:sz w:val="22"/>
          <w:szCs w:val="22"/>
        </w:rPr>
        <w:t xml:space="preserve">identifiés </w:t>
      </w:r>
      <w:r>
        <w:rPr>
          <w:sz w:val="22"/>
          <w:szCs w:val="22"/>
        </w:rPr>
        <w:t xml:space="preserve"> </w:t>
      </w:r>
      <w:r>
        <w:rPr>
          <w:sz w:val="22"/>
          <w:szCs w:val="22"/>
        </w:rPr>
        <w:t xml:space="preserve">le plutôt possible </w:t>
      </w:r>
      <w:r>
        <w:rPr>
          <w:sz w:val="22"/>
          <w:szCs w:val="22"/>
        </w:rPr>
        <w:t xml:space="preserve">et gérés </w:t>
      </w:r>
      <w:r>
        <w:rPr>
          <w:sz w:val="22"/>
          <w:szCs w:val="22"/>
        </w:rPr>
        <w:t xml:space="preserve">de manière appropriée </w:t>
      </w:r>
      <w:r>
        <w:rPr>
          <w:sz w:val="22"/>
          <w:szCs w:val="22"/>
        </w:rPr>
        <w:t>dans toutes les activités mises en œuvre.</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A</w:t>
      </w:r>
      <w:r>
        <w:rPr>
          <w:sz w:val="22"/>
          <w:szCs w:val="22"/>
        </w:rPr>
        <w:t xml:space="preserve"> </w:t>
      </w:r>
      <w:r>
        <w:rPr>
          <w:sz w:val="22"/>
          <w:szCs w:val="22"/>
        </w:rPr>
        <w:t xml:space="preserve">ce titre, il s’agira d’identifier les </w:t>
      </w:r>
      <w:r>
        <w:rPr>
          <w:sz w:val="22"/>
          <w:szCs w:val="22"/>
        </w:rPr>
        <w:t xml:space="preserve">impacts et </w:t>
      </w:r>
      <w:r>
        <w:rPr>
          <w:sz w:val="22"/>
          <w:szCs w:val="22"/>
        </w:rPr>
        <w:t xml:space="preserve">risques </w:t>
      </w:r>
      <w:r>
        <w:rPr>
          <w:sz w:val="22"/>
          <w:szCs w:val="22"/>
        </w:rPr>
        <w:t xml:space="preserve">génériques </w:t>
      </w:r>
      <w:r>
        <w:rPr>
          <w:sz w:val="22"/>
          <w:szCs w:val="22"/>
        </w:rPr>
        <w:t xml:space="preserve">associés aux différentes interventions du </w:t>
      </w:r>
      <w:r>
        <w:rPr>
          <w:sz w:val="22"/>
          <w:szCs w:val="22"/>
        </w:rPr>
        <w:t>pro</w:t>
      </w:r>
      <w:r>
        <w:rPr>
          <w:sz w:val="22"/>
          <w:szCs w:val="22"/>
        </w:rPr>
        <w:t>gramme</w:t>
      </w:r>
      <w:r>
        <w:rPr>
          <w:sz w:val="22"/>
          <w:szCs w:val="22"/>
        </w:rPr>
        <w:t xml:space="preserve"> </w:t>
      </w:r>
      <w:r>
        <w:rPr>
          <w:sz w:val="22"/>
          <w:szCs w:val="22"/>
        </w:rPr>
        <w:t>et de définir les procédures et les mesures d’atténuation et de gestion qui devront être mises en œuvr</w:t>
      </w:r>
      <w:r>
        <w:rPr>
          <w:sz w:val="22"/>
          <w:szCs w:val="22"/>
        </w:rPr>
        <w:t xml:space="preserve">e au cours de l’exécution du </w:t>
      </w:r>
      <w:r>
        <w:rPr>
          <w:sz w:val="22"/>
          <w:szCs w:val="22"/>
        </w:rPr>
        <w:t>Programme</w:t>
      </w:r>
      <w:r>
        <w:rPr>
          <w:sz w:val="22"/>
          <w:szCs w:val="22"/>
        </w:rPr>
        <w:t xml:space="preserve">. </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Plus spécifiquement, les objectifs du présent CGES sont de :</w:t>
      </w:r>
    </w:p>
    <w:p>
      <w:pPr>
        <w:pStyle w:val="style0"/>
        <w:numPr>
          <w:ilvl w:val="0"/>
          <w:numId w:val="127"/>
        </w:numPr>
        <w:autoSpaceDE w:val="false"/>
        <w:autoSpaceDN w:val="false"/>
        <w:adjustRightInd w:val="false"/>
        <w:ind w:left="360"/>
        <w:jc w:val="both"/>
        <w:rPr>
          <w:sz w:val="22"/>
          <w:szCs w:val="22"/>
        </w:rPr>
      </w:pPr>
      <w:r>
        <w:rPr>
          <w:sz w:val="22"/>
          <w:szCs w:val="22"/>
        </w:rPr>
        <w:t xml:space="preserve">élaborer la procédure de screening et d’approbation des sous-projets du </w:t>
      </w:r>
      <w:r>
        <w:rPr>
          <w:sz w:val="22"/>
          <w:szCs w:val="22"/>
        </w:rPr>
        <w:t>PDCA</w:t>
      </w:r>
      <w:r>
        <w:rPr>
          <w:sz w:val="22"/>
          <w:szCs w:val="22"/>
        </w:rPr>
        <w:t xml:space="preserve"> au Burkina Faso</w:t>
      </w:r>
    </w:p>
    <w:p>
      <w:pPr>
        <w:pStyle w:val="style0"/>
        <w:numPr>
          <w:ilvl w:val="0"/>
          <w:numId w:val="127"/>
        </w:numPr>
        <w:autoSpaceDE w:val="false"/>
        <w:autoSpaceDN w:val="false"/>
        <w:adjustRightInd w:val="false"/>
        <w:ind w:left="360"/>
        <w:jc w:val="both"/>
        <w:rPr>
          <w:sz w:val="22"/>
          <w:szCs w:val="22"/>
        </w:rPr>
      </w:pPr>
      <w:r>
        <w:rPr>
          <w:sz w:val="22"/>
          <w:szCs w:val="22"/>
        </w:rPr>
        <w:t xml:space="preserve">identifier, </w:t>
      </w:r>
      <w:r>
        <w:rPr>
          <w:sz w:val="22"/>
          <w:szCs w:val="22"/>
        </w:rPr>
        <w:t xml:space="preserve">évaluer </w:t>
      </w:r>
      <w:r>
        <w:rPr>
          <w:sz w:val="22"/>
          <w:szCs w:val="22"/>
        </w:rPr>
        <w:t xml:space="preserve">et analyser </w:t>
      </w:r>
      <w:r>
        <w:rPr>
          <w:sz w:val="22"/>
          <w:szCs w:val="22"/>
        </w:rPr>
        <w:t xml:space="preserve">les risques/impacts environnementaux et sociaux potentiels du </w:t>
      </w:r>
      <w:r>
        <w:rPr>
          <w:sz w:val="22"/>
          <w:szCs w:val="22"/>
        </w:rPr>
        <w:t>pro</w:t>
      </w:r>
      <w:r>
        <w:rPr>
          <w:sz w:val="22"/>
          <w:szCs w:val="22"/>
        </w:rPr>
        <w:t xml:space="preserve">gramme </w:t>
      </w:r>
      <w:r>
        <w:rPr>
          <w:sz w:val="22"/>
          <w:szCs w:val="22"/>
        </w:rPr>
        <w:t xml:space="preserve">et proposer des mesures </w:t>
      </w:r>
      <w:r>
        <w:rPr>
          <w:sz w:val="22"/>
          <w:szCs w:val="22"/>
        </w:rPr>
        <w:t xml:space="preserve">de suppression, </w:t>
      </w:r>
      <w:r>
        <w:rPr>
          <w:sz w:val="22"/>
          <w:szCs w:val="22"/>
        </w:rPr>
        <w:t>d’atténuation</w:t>
      </w:r>
      <w:r>
        <w:rPr>
          <w:sz w:val="22"/>
          <w:szCs w:val="22"/>
        </w:rPr>
        <w:t>, de compensation</w:t>
      </w:r>
      <w:r>
        <w:rPr>
          <w:sz w:val="22"/>
          <w:szCs w:val="22"/>
        </w:rPr>
        <w:t xml:space="preserve"> ou de </w:t>
      </w:r>
      <w:r>
        <w:rPr>
          <w:sz w:val="22"/>
          <w:szCs w:val="22"/>
        </w:rPr>
        <w:t xml:space="preserve">bonification </w:t>
      </w:r>
      <w:r>
        <w:rPr>
          <w:sz w:val="22"/>
          <w:szCs w:val="22"/>
        </w:rPr>
        <w:t>suivant chaque sous-projet ;</w:t>
      </w:r>
    </w:p>
    <w:p>
      <w:pPr>
        <w:pStyle w:val="style0"/>
        <w:numPr>
          <w:ilvl w:val="0"/>
          <w:numId w:val="127"/>
        </w:numPr>
        <w:autoSpaceDE w:val="false"/>
        <w:autoSpaceDN w:val="false"/>
        <w:adjustRightInd w:val="false"/>
        <w:ind w:left="360"/>
        <w:jc w:val="both"/>
        <w:rPr>
          <w:sz w:val="22"/>
          <w:szCs w:val="22"/>
        </w:rPr>
      </w:pPr>
      <w:r>
        <w:rPr>
          <w:sz w:val="22"/>
          <w:szCs w:val="22"/>
        </w:rPr>
        <w:t>préciser les rôles et responsabilités pour la mise en œuvre et le suivi des PGES des sous-projets ;</w:t>
      </w:r>
    </w:p>
    <w:p>
      <w:pPr>
        <w:pStyle w:val="style0"/>
        <w:numPr>
          <w:ilvl w:val="0"/>
          <w:numId w:val="127"/>
        </w:numPr>
        <w:autoSpaceDE w:val="false"/>
        <w:autoSpaceDN w:val="false"/>
        <w:adjustRightInd w:val="false"/>
        <w:ind w:left="360"/>
        <w:jc w:val="both"/>
        <w:rPr>
          <w:sz w:val="22"/>
          <w:szCs w:val="22"/>
        </w:rPr>
      </w:pPr>
      <w:r>
        <w:rPr>
          <w:sz w:val="22"/>
          <w:szCs w:val="22"/>
        </w:rPr>
        <w:t xml:space="preserve">évaluer la capacité des acteurs de mise en œuvre du </w:t>
      </w:r>
      <w:r>
        <w:rPr>
          <w:sz w:val="22"/>
          <w:szCs w:val="22"/>
        </w:rPr>
        <w:t>pro</w:t>
      </w:r>
      <w:r>
        <w:rPr>
          <w:sz w:val="22"/>
          <w:szCs w:val="22"/>
        </w:rPr>
        <w:t>gramme</w:t>
      </w:r>
      <w:r>
        <w:rPr>
          <w:sz w:val="22"/>
          <w:szCs w:val="22"/>
        </w:rPr>
        <w:t xml:space="preserve"> </w:t>
      </w:r>
      <w:r>
        <w:rPr>
          <w:sz w:val="22"/>
          <w:szCs w:val="22"/>
        </w:rPr>
        <w:t>;</w:t>
      </w:r>
    </w:p>
    <w:p>
      <w:pPr>
        <w:pStyle w:val="style0"/>
        <w:numPr>
          <w:ilvl w:val="0"/>
          <w:numId w:val="127"/>
        </w:numPr>
        <w:autoSpaceDE w:val="false"/>
        <w:autoSpaceDN w:val="false"/>
        <w:adjustRightInd w:val="false"/>
        <w:ind w:left="360"/>
        <w:jc w:val="both"/>
        <w:rPr>
          <w:sz w:val="22"/>
          <w:szCs w:val="22"/>
        </w:rPr>
      </w:pPr>
      <w:r>
        <w:rPr>
          <w:sz w:val="22"/>
          <w:szCs w:val="22"/>
        </w:rPr>
        <w:t>déterminer les besoins en renforcement de capacités et autre assistance technique pour la mise en œuvre  adéquate des recommandations du CGES ;</w:t>
      </w:r>
    </w:p>
    <w:p>
      <w:pPr>
        <w:pStyle w:val="style0"/>
        <w:numPr>
          <w:ilvl w:val="0"/>
          <w:numId w:val="127"/>
        </w:numPr>
        <w:autoSpaceDE w:val="false"/>
        <w:autoSpaceDN w:val="false"/>
        <w:adjustRightInd w:val="false"/>
        <w:ind w:left="360"/>
        <w:jc w:val="both"/>
        <w:rPr>
          <w:sz w:val="22"/>
          <w:szCs w:val="22"/>
        </w:rPr>
      </w:pPr>
      <w:r>
        <w:rPr>
          <w:sz w:val="22"/>
          <w:szCs w:val="22"/>
        </w:rPr>
        <w:t xml:space="preserve">proposer un </w:t>
      </w:r>
      <w:r>
        <w:rPr>
          <w:sz w:val="22"/>
          <w:szCs w:val="22"/>
        </w:rPr>
        <w:t>M</w:t>
      </w:r>
      <w:r>
        <w:rPr>
          <w:sz w:val="22"/>
          <w:szCs w:val="22"/>
        </w:rPr>
        <w:t>écanisme de Gestion des Plaintes (</w:t>
      </w:r>
      <w:r>
        <w:rPr>
          <w:sz w:val="22"/>
          <w:szCs w:val="22"/>
        </w:rPr>
        <w:t>MGP</w:t>
      </w:r>
      <w:r>
        <w:rPr>
          <w:sz w:val="22"/>
          <w:szCs w:val="22"/>
        </w:rPr>
        <w:t>)</w:t>
      </w:r>
      <w:r>
        <w:rPr>
          <w:sz w:val="22"/>
          <w:szCs w:val="22"/>
        </w:rPr>
        <w:t> ;</w:t>
      </w:r>
    </w:p>
    <w:p>
      <w:pPr>
        <w:pStyle w:val="style0"/>
        <w:numPr>
          <w:ilvl w:val="0"/>
          <w:numId w:val="127"/>
        </w:numPr>
        <w:autoSpaceDE w:val="false"/>
        <w:autoSpaceDN w:val="false"/>
        <w:adjustRightInd w:val="false"/>
        <w:ind w:left="360"/>
        <w:jc w:val="both"/>
        <w:rPr>
          <w:sz w:val="22"/>
          <w:szCs w:val="22"/>
        </w:rPr>
      </w:pPr>
      <w:r>
        <w:rPr>
          <w:sz w:val="22"/>
          <w:szCs w:val="22"/>
        </w:rPr>
        <w:t>élaborer un mécanisme de suivi ;</w:t>
      </w:r>
    </w:p>
    <w:p>
      <w:pPr>
        <w:pStyle w:val="style0"/>
        <w:numPr>
          <w:ilvl w:val="0"/>
          <w:numId w:val="127"/>
        </w:numPr>
        <w:autoSpaceDE w:val="false"/>
        <w:autoSpaceDN w:val="false"/>
        <w:adjustRightInd w:val="false"/>
        <w:ind w:left="360"/>
        <w:jc w:val="both"/>
        <w:rPr>
          <w:sz w:val="22"/>
          <w:szCs w:val="22"/>
        </w:rPr>
      </w:pPr>
      <w:r>
        <w:rPr>
          <w:sz w:val="22"/>
          <w:szCs w:val="22"/>
        </w:rPr>
        <w:t xml:space="preserve">clarifier les arrangements institutionnels des </w:t>
      </w:r>
      <w:r>
        <w:rPr>
          <w:sz w:val="22"/>
          <w:szCs w:val="22"/>
        </w:rPr>
        <w:t>parties prenantes</w:t>
      </w:r>
    </w:p>
    <w:p>
      <w:pPr>
        <w:pStyle w:val="style0"/>
        <w:numPr>
          <w:ilvl w:val="0"/>
          <w:numId w:val="127"/>
        </w:numPr>
        <w:autoSpaceDE w:val="false"/>
        <w:autoSpaceDN w:val="false"/>
        <w:adjustRightInd w:val="false"/>
        <w:ind w:left="360"/>
        <w:jc w:val="both"/>
        <w:rPr>
          <w:sz w:val="22"/>
          <w:szCs w:val="22"/>
        </w:rPr>
      </w:pPr>
      <w:r>
        <w:rPr>
          <w:sz w:val="22"/>
          <w:szCs w:val="22"/>
        </w:rPr>
        <w:t>fournir enfin les moyens d’information</w:t>
      </w:r>
      <w:r>
        <w:rPr>
          <w:sz w:val="22"/>
          <w:szCs w:val="22"/>
        </w:rPr>
        <w:t>/sensibilisation/communication</w:t>
      </w:r>
      <w:r>
        <w:rPr>
          <w:sz w:val="22"/>
          <w:szCs w:val="22"/>
        </w:rPr>
        <w:t xml:space="preserve"> adaptés à l’endroit des populations po</w:t>
      </w:r>
      <w:r>
        <w:rPr>
          <w:sz w:val="22"/>
          <w:szCs w:val="22"/>
        </w:rPr>
        <w:t>ur exécuter et suivre les recommandations du CGES.</w:t>
      </w:r>
    </w:p>
    <w:p>
      <w:pPr>
        <w:pStyle w:val="style0"/>
        <w:jc w:val="both"/>
        <w:rPr>
          <w:sz w:val="22"/>
          <w:szCs w:val="22"/>
        </w:rPr>
      </w:pPr>
    </w:p>
    <w:p>
      <w:pPr>
        <w:pStyle w:val="style66"/>
        <w:rPr>
          <w:szCs w:val="22"/>
          <w:lang w:val="fr-FR"/>
        </w:rPr>
      </w:pPr>
      <w:r>
        <w:rPr>
          <w:szCs w:val="22"/>
        </w:rPr>
        <w:t>En résumé, l</w:t>
      </w:r>
      <w:r>
        <w:rPr>
          <w:szCs w:val="22"/>
        </w:rPr>
        <w:t xml:space="preserve">e CGES va évaluer, de façon large et prospective, pour chaque sous-projet, les </w:t>
      </w:r>
      <w:r>
        <w:rPr>
          <w:szCs w:val="22"/>
          <w:lang w:val="fr-FR"/>
        </w:rPr>
        <w:t xml:space="preserve">risques et les </w:t>
      </w:r>
      <w:r>
        <w:rPr>
          <w:szCs w:val="22"/>
        </w:rPr>
        <w:t>impacts environnementaux et sociaux des activités projet</w:t>
      </w:r>
      <w:r>
        <w:rPr>
          <w:szCs w:val="22"/>
        </w:rPr>
        <w:t xml:space="preserve">ées, </w:t>
      </w:r>
      <w:r>
        <w:rPr>
          <w:szCs w:val="22"/>
        </w:rPr>
        <w:t xml:space="preserve">prévoir une grille d’évaluation des </w:t>
      </w:r>
      <w:r>
        <w:rPr>
          <w:szCs w:val="22"/>
          <w:lang w:val="fr-FR"/>
        </w:rPr>
        <w:t>so</w:t>
      </w:r>
      <w:r>
        <w:rPr>
          <w:szCs w:val="22"/>
          <w:lang w:val="fr-FR"/>
        </w:rPr>
        <w:t>us-</w:t>
      </w:r>
      <w:r>
        <w:rPr>
          <w:szCs w:val="22"/>
        </w:rPr>
        <w:t>projets ainsi qu</w:t>
      </w:r>
      <w:r>
        <w:rPr>
          <w:szCs w:val="22"/>
        </w:rPr>
        <w:t>e des mesures d’atténuation</w:t>
      </w:r>
      <w:r>
        <w:rPr>
          <w:szCs w:val="22"/>
        </w:rPr>
        <w:t>,</w:t>
      </w:r>
      <w:r>
        <w:rPr>
          <w:szCs w:val="22"/>
        </w:rPr>
        <w:t xml:space="preserve"> de compensation</w:t>
      </w:r>
      <w:r>
        <w:rPr>
          <w:szCs w:val="22"/>
        </w:rPr>
        <w:t>, d’accompagnement et de renforcement des capacités</w:t>
      </w:r>
      <w:r>
        <w:rPr>
          <w:szCs w:val="22"/>
        </w:rPr>
        <w:t>.</w:t>
      </w:r>
      <w:r>
        <w:rPr>
          <w:szCs w:val="22"/>
        </w:rPr>
        <w:t xml:space="preserve"> </w:t>
      </w:r>
      <w:r>
        <w:rPr>
          <w:szCs w:val="22"/>
          <w:lang w:val="fr-FR"/>
        </w:rPr>
        <w:t xml:space="preserve">Aussi, </w:t>
      </w:r>
      <w:r>
        <w:rPr>
          <w:szCs w:val="22"/>
          <w:lang w:val="fr-FR"/>
        </w:rPr>
        <w:t xml:space="preserve">des </w:t>
      </w:r>
      <w:r>
        <w:rPr>
          <w:szCs w:val="22"/>
          <w:lang w:val="fr-FR"/>
        </w:rPr>
        <w:t>instruments spécifiques (EIES, NIES, Prescriptions environnementales et sociales)</w:t>
      </w:r>
      <w:r>
        <w:rPr>
          <w:szCs w:val="22"/>
          <w:lang w:val="fr-FR"/>
        </w:rPr>
        <w:t xml:space="preserve"> ser</w:t>
      </w:r>
      <w:r>
        <w:rPr>
          <w:szCs w:val="22"/>
          <w:lang w:val="fr-FR"/>
        </w:rPr>
        <w:t>ont</w:t>
      </w:r>
      <w:r>
        <w:rPr>
          <w:szCs w:val="22"/>
          <w:lang w:val="fr-FR"/>
        </w:rPr>
        <w:t xml:space="preserve"> également préparé</w:t>
      </w:r>
      <w:r>
        <w:rPr>
          <w:szCs w:val="22"/>
          <w:lang w:val="fr-FR"/>
        </w:rPr>
        <w:t>s</w:t>
      </w:r>
      <w:r>
        <w:rPr>
          <w:szCs w:val="22"/>
          <w:lang w:val="fr-FR"/>
        </w:rPr>
        <w:t xml:space="preserve"> pour assurer une mise en œuvre efficace des activités des sous</w:t>
      </w:r>
      <w:r>
        <w:rPr>
          <w:szCs w:val="22"/>
          <w:lang w:val="fr-FR"/>
        </w:rPr>
        <w:t>-</w:t>
      </w:r>
      <w:r>
        <w:rPr>
          <w:szCs w:val="22"/>
          <w:lang w:val="fr-FR"/>
        </w:rPr>
        <w:t xml:space="preserve">projets </w:t>
      </w:r>
      <w:r>
        <w:rPr>
          <w:szCs w:val="22"/>
          <w:lang w:val="fr-FR"/>
        </w:rPr>
        <w:t xml:space="preserve">futurs </w:t>
      </w:r>
      <w:r>
        <w:rPr>
          <w:szCs w:val="22"/>
          <w:lang w:val="fr-FR"/>
        </w:rPr>
        <w:t xml:space="preserve">dont on disposerait </w:t>
      </w:r>
      <w:r>
        <w:rPr>
          <w:szCs w:val="22"/>
          <w:lang w:val="fr-FR"/>
        </w:rPr>
        <w:t xml:space="preserve">de </w:t>
      </w:r>
      <w:r>
        <w:rPr>
          <w:szCs w:val="22"/>
          <w:lang w:val="fr-FR"/>
        </w:rPr>
        <w:t xml:space="preserve">plus d’informations (activités connues et </w:t>
      </w:r>
      <w:r>
        <w:rPr>
          <w:szCs w:val="22"/>
          <w:lang w:val="fr-FR"/>
        </w:rPr>
        <w:t xml:space="preserve">sites identifiés). Ces </w:t>
      </w:r>
      <w:r>
        <w:rPr>
          <w:szCs w:val="22"/>
          <w:lang w:val="fr-FR"/>
        </w:rPr>
        <w:t xml:space="preserve">instruments </w:t>
      </w:r>
      <w:r>
        <w:rPr>
          <w:szCs w:val="22"/>
          <w:lang w:val="fr-FR"/>
        </w:rPr>
        <w:t xml:space="preserve">décriront notamment les impacts environnementaux et sociaux de chacune de ces activités et les mesures spécifiques à mettre en place pour atténuer ces impacts. </w:t>
      </w:r>
    </w:p>
    <w:p>
      <w:pPr>
        <w:pStyle w:val="style0"/>
        <w:jc w:val="both"/>
        <w:rPr>
          <w:color w:val="0070c0"/>
          <w:sz w:val="22"/>
          <w:szCs w:val="22"/>
        </w:rPr>
      </w:pPr>
    </w:p>
    <w:bookmarkStart w:id="20" w:name="_Toc686075"/>
    <w:bookmarkStart w:id="21" w:name="_Toc2780462"/>
    <w:p>
      <w:pPr>
        <w:pStyle w:val="style4307"/>
        <w:numPr>
          <w:ilvl w:val="0"/>
          <w:numId w:val="0"/>
        </w:numPr>
        <w:ind w:left="390"/>
        <w:rPr/>
      </w:pPr>
      <w:r>
        <w:t xml:space="preserve">1.3. </w:t>
      </w:r>
      <w:r>
        <w:t>Méthodologie d’élaboration du CGES</w:t>
      </w:r>
      <w:bookmarkEnd w:id="20"/>
      <w:bookmarkEnd w:id="21"/>
    </w:p>
    <w:p>
      <w:pPr>
        <w:pStyle w:val="style0"/>
        <w:jc w:val="both"/>
        <w:rPr>
          <w:sz w:val="22"/>
        </w:rPr>
      </w:pPr>
    </w:p>
    <w:p>
      <w:pPr>
        <w:pStyle w:val="style0"/>
        <w:jc w:val="both"/>
        <w:rPr>
          <w:sz w:val="22"/>
          <w:szCs w:val="22"/>
        </w:rPr>
      </w:pPr>
      <w:r>
        <w:rPr>
          <w:sz w:val="22"/>
          <w:szCs w:val="22"/>
        </w:rPr>
        <w:t xml:space="preserve">La méthodologie utilisée pour l’élaboration du présent CGES a été structurée autour de quatre </w:t>
      </w:r>
      <w:r>
        <w:rPr>
          <w:sz w:val="22"/>
          <w:szCs w:val="22"/>
        </w:rPr>
        <w:t xml:space="preserve">(4) </w:t>
      </w:r>
      <w:r>
        <w:rPr>
          <w:sz w:val="22"/>
          <w:szCs w:val="22"/>
        </w:rPr>
        <w:t xml:space="preserve">étapes complémentaires : </w:t>
      </w:r>
    </w:p>
    <w:p>
      <w:pPr>
        <w:pStyle w:val="style0"/>
        <w:numPr>
          <w:ilvl w:val="0"/>
          <w:numId w:val="36"/>
        </w:numPr>
        <w:jc w:val="both"/>
        <w:rPr>
          <w:sz w:val="22"/>
          <w:szCs w:val="22"/>
        </w:rPr>
      </w:pPr>
      <w:r>
        <w:rPr>
          <w:b/>
          <w:sz w:val="22"/>
          <w:szCs w:val="22"/>
        </w:rPr>
        <w:t>une rencontre de cadrage</w:t>
      </w:r>
      <w:r>
        <w:rPr>
          <w:sz w:val="22"/>
          <w:szCs w:val="22"/>
        </w:rPr>
        <w:t xml:space="preserve"> </w:t>
      </w:r>
      <w:r>
        <w:rPr>
          <w:sz w:val="22"/>
          <w:szCs w:val="22"/>
        </w:rPr>
        <w:t xml:space="preserve">tenue le 04 décembre 2018 </w:t>
      </w:r>
      <w:r>
        <w:rPr>
          <w:sz w:val="22"/>
          <w:szCs w:val="22"/>
        </w:rPr>
        <w:t xml:space="preserve">qui a permis d’harmoniser la compréhension des TDRs, de disposer des documents de base (note conceptuelle, </w:t>
      </w:r>
      <w:r>
        <w:rPr>
          <w:sz w:val="22"/>
          <w:szCs w:val="22"/>
        </w:rPr>
        <w:t>…</w:t>
      </w:r>
      <w:r>
        <w:rPr>
          <w:sz w:val="22"/>
          <w:szCs w:val="22"/>
        </w:rPr>
        <w:t>etc.) ;</w:t>
      </w:r>
    </w:p>
    <w:p>
      <w:pPr>
        <w:pStyle w:val="style0"/>
        <w:numPr>
          <w:ilvl w:val="0"/>
          <w:numId w:val="36"/>
        </w:numPr>
        <w:jc w:val="both"/>
        <w:rPr>
          <w:sz w:val="22"/>
          <w:szCs w:val="22"/>
        </w:rPr>
      </w:pPr>
      <w:r>
        <w:rPr>
          <w:b/>
          <w:sz w:val="22"/>
          <w:szCs w:val="22"/>
        </w:rPr>
        <w:t>une revue documentaire</w:t>
      </w:r>
      <w:r>
        <w:rPr>
          <w:sz w:val="22"/>
          <w:szCs w:val="22"/>
        </w:rPr>
        <w:t xml:space="preserve"> </w:t>
      </w:r>
      <w:r>
        <w:rPr>
          <w:sz w:val="22"/>
          <w:szCs w:val="22"/>
        </w:rPr>
        <w:t>à travers la collecte et l’exploitation des documents du projet, les politiques et stratégies nationales et les p</w:t>
      </w:r>
      <w:r>
        <w:rPr>
          <w:sz w:val="22"/>
          <w:szCs w:val="22"/>
        </w:rPr>
        <w:t>olitiques opérationnelles de la Banque mondiale en matière environnementale et sociale, et autres documents</w:t>
      </w:r>
      <w:r>
        <w:rPr>
          <w:sz w:val="22"/>
          <w:szCs w:val="22"/>
        </w:rPr>
        <w:t xml:space="preserve"> tels que le Cadre de Gestion Environnementale et Sociale </w:t>
      </w:r>
      <w:r>
        <w:rPr>
          <w:sz w:val="22"/>
          <w:szCs w:val="22"/>
        </w:rPr>
        <w:t>du Programme de Productivité agricole en Afrique de l’Ouest, les études d’impact environne</w:t>
      </w:r>
      <w:r>
        <w:rPr>
          <w:sz w:val="22"/>
          <w:szCs w:val="22"/>
        </w:rPr>
        <w:t>mental du Projet d’appui aux filières agro-sylvo-pastorales (PAFASP), etc….</w:t>
      </w:r>
      <w:r>
        <w:rPr>
          <w:sz w:val="22"/>
          <w:szCs w:val="22"/>
        </w:rPr>
        <w:t>. Les aspects socio-économiques et environnementaux ont aussi été passé</w:t>
      </w:r>
      <w:r>
        <w:rPr>
          <w:sz w:val="22"/>
          <w:szCs w:val="22"/>
        </w:rPr>
        <w:t>s</w:t>
      </w:r>
      <w:r>
        <w:rPr>
          <w:sz w:val="22"/>
          <w:szCs w:val="22"/>
        </w:rPr>
        <w:t xml:space="preserve"> </w:t>
      </w:r>
      <w:r>
        <w:rPr>
          <w:sz w:val="22"/>
          <w:szCs w:val="22"/>
        </w:rPr>
        <w:t xml:space="preserve">en </w:t>
      </w:r>
      <w:r>
        <w:rPr>
          <w:sz w:val="22"/>
          <w:szCs w:val="22"/>
        </w:rPr>
        <w:t xml:space="preserve">revue pour l’analyse des </w:t>
      </w:r>
      <w:r>
        <w:rPr>
          <w:sz w:val="22"/>
          <w:szCs w:val="22"/>
        </w:rPr>
        <w:t>variantes/</w:t>
      </w:r>
      <w:r>
        <w:rPr>
          <w:sz w:val="22"/>
          <w:szCs w:val="22"/>
        </w:rPr>
        <w:t xml:space="preserve">options stratégiques du programme. </w:t>
      </w:r>
      <w:r>
        <w:rPr>
          <w:sz w:val="22"/>
          <w:szCs w:val="22"/>
        </w:rPr>
        <w:t>Aussi, une recherch</w:t>
      </w:r>
      <w:r>
        <w:rPr>
          <w:sz w:val="22"/>
          <w:szCs w:val="22"/>
        </w:rPr>
        <w:t>e cartographique et webographique a</w:t>
      </w:r>
      <w:r>
        <w:rPr>
          <w:sz w:val="22"/>
          <w:szCs w:val="22"/>
        </w:rPr>
        <w:t>-t-elle</w:t>
      </w:r>
      <w:r>
        <w:rPr>
          <w:sz w:val="22"/>
          <w:szCs w:val="22"/>
        </w:rPr>
        <w:t xml:space="preserve"> été effectuée</w:t>
      </w:r>
      <w:r>
        <w:rPr>
          <w:sz w:val="22"/>
          <w:szCs w:val="22"/>
        </w:rPr>
        <w:t> ;</w:t>
      </w:r>
    </w:p>
    <w:p>
      <w:pPr>
        <w:pStyle w:val="style0"/>
        <w:numPr>
          <w:ilvl w:val="0"/>
          <w:numId w:val="36"/>
        </w:numPr>
        <w:jc w:val="both"/>
        <w:rPr>
          <w:sz w:val="22"/>
          <w:szCs w:val="22"/>
        </w:rPr>
      </w:pPr>
      <w:r>
        <w:rPr>
          <w:b/>
          <w:sz w:val="22"/>
          <w:szCs w:val="22"/>
        </w:rPr>
        <w:t>rencontres/consultations</w:t>
      </w:r>
      <w:r>
        <w:rPr>
          <w:sz w:val="22"/>
          <w:szCs w:val="22"/>
        </w:rPr>
        <w:t xml:space="preserve"> des acteurs des filières cibles du </w:t>
      </w:r>
      <w:r>
        <w:rPr>
          <w:sz w:val="22"/>
          <w:szCs w:val="22"/>
        </w:rPr>
        <w:t xml:space="preserve">Programme </w:t>
      </w:r>
      <w:r>
        <w:rPr>
          <w:sz w:val="22"/>
          <w:szCs w:val="22"/>
        </w:rPr>
        <w:t>et les services techniques au</w:t>
      </w:r>
      <w:r>
        <w:rPr>
          <w:sz w:val="22"/>
          <w:szCs w:val="22"/>
        </w:rPr>
        <w:t>x</w:t>
      </w:r>
      <w:r>
        <w:rPr>
          <w:sz w:val="22"/>
          <w:szCs w:val="22"/>
        </w:rPr>
        <w:t xml:space="preserve"> niveau</w:t>
      </w:r>
      <w:r>
        <w:rPr>
          <w:sz w:val="22"/>
          <w:szCs w:val="22"/>
        </w:rPr>
        <w:t>x</w:t>
      </w:r>
      <w:r>
        <w:rPr>
          <w:sz w:val="22"/>
          <w:szCs w:val="22"/>
        </w:rPr>
        <w:t xml:space="preserve"> régional</w:t>
      </w:r>
      <w:r>
        <w:rPr>
          <w:sz w:val="22"/>
          <w:szCs w:val="22"/>
        </w:rPr>
        <w:t xml:space="preserve"> et local</w:t>
      </w:r>
      <w:r>
        <w:rPr>
          <w:sz w:val="22"/>
          <w:szCs w:val="22"/>
        </w:rPr>
        <w:t xml:space="preserve">. Pour ce faire, des entretiens individuels ont été réalisés avec les responsables des services </w:t>
      </w:r>
      <w:r>
        <w:rPr>
          <w:sz w:val="22"/>
          <w:szCs w:val="22"/>
        </w:rPr>
        <w:t>administratifs</w:t>
      </w:r>
      <w:r>
        <w:rPr>
          <w:sz w:val="22"/>
          <w:szCs w:val="22"/>
        </w:rPr>
        <w:t xml:space="preserve"> et politiques</w:t>
      </w:r>
      <w:r>
        <w:rPr>
          <w:sz w:val="22"/>
          <w:szCs w:val="22"/>
        </w:rPr>
        <w:t xml:space="preserve"> (Hauts Commissaires, </w:t>
      </w:r>
      <w:r>
        <w:rPr>
          <w:sz w:val="22"/>
          <w:szCs w:val="22"/>
        </w:rPr>
        <w:t xml:space="preserve">Préfets, </w:t>
      </w:r>
      <w:r>
        <w:rPr>
          <w:sz w:val="22"/>
          <w:szCs w:val="22"/>
        </w:rPr>
        <w:t xml:space="preserve">Maires, </w:t>
      </w:r>
      <w:r>
        <w:rPr>
          <w:sz w:val="22"/>
          <w:szCs w:val="22"/>
        </w:rPr>
        <w:t xml:space="preserve">Conseillers, Comité Villageois de Développement (CVD), </w:t>
      </w:r>
      <w:r>
        <w:rPr>
          <w:sz w:val="22"/>
          <w:szCs w:val="22"/>
        </w:rPr>
        <w:t xml:space="preserve">etc.), </w:t>
      </w:r>
      <w:r>
        <w:rPr>
          <w:sz w:val="22"/>
          <w:szCs w:val="22"/>
        </w:rPr>
        <w:t>des autorités coutumières (Chef de village,…..), des services</w:t>
      </w:r>
      <w:r>
        <w:rPr>
          <w:sz w:val="22"/>
          <w:szCs w:val="22"/>
        </w:rPr>
        <w:t xml:space="preserve"> </w:t>
      </w:r>
      <w:r>
        <w:rPr>
          <w:sz w:val="22"/>
          <w:szCs w:val="22"/>
        </w:rPr>
        <w:t>techniques déconcentrés de</w:t>
      </w:r>
      <w:r>
        <w:rPr>
          <w:sz w:val="22"/>
          <w:szCs w:val="22"/>
        </w:rPr>
        <w:t xml:space="preserve"> l’agriculture</w:t>
      </w:r>
      <w:r>
        <w:rPr>
          <w:sz w:val="22"/>
          <w:szCs w:val="22"/>
        </w:rPr>
        <w:t>, des res</w:t>
      </w:r>
      <w:r>
        <w:rPr>
          <w:sz w:val="22"/>
          <w:szCs w:val="22"/>
        </w:rPr>
        <w:t>sources animales, des ressources en eau</w:t>
      </w:r>
      <w:r>
        <w:rPr>
          <w:sz w:val="22"/>
          <w:szCs w:val="22"/>
        </w:rPr>
        <w:t xml:space="preserve">, </w:t>
      </w:r>
      <w:r>
        <w:rPr>
          <w:sz w:val="22"/>
          <w:szCs w:val="22"/>
        </w:rPr>
        <w:t>(Producteurs de plaine)</w:t>
      </w:r>
      <w:r>
        <w:rPr>
          <w:sz w:val="22"/>
          <w:szCs w:val="22"/>
        </w:rPr>
        <w:t xml:space="preserve">, de la santé </w:t>
      </w:r>
      <w:r>
        <w:rPr>
          <w:sz w:val="22"/>
          <w:szCs w:val="22"/>
        </w:rPr>
        <w:t>et de l’environnement</w:t>
      </w:r>
      <w:r>
        <w:rPr>
          <w:sz w:val="22"/>
          <w:szCs w:val="22"/>
        </w:rPr>
        <w:t xml:space="preserve"> et des Vendeurs agréés</w:t>
      </w:r>
      <w:r>
        <w:rPr>
          <w:sz w:val="22"/>
          <w:szCs w:val="22"/>
        </w:rPr>
        <w:t xml:space="preserve">, Unité d’Animation Technique </w:t>
      </w:r>
      <w:r>
        <w:rPr>
          <w:sz w:val="22"/>
          <w:szCs w:val="22"/>
        </w:rPr>
        <w:t>(UAT)</w:t>
      </w:r>
      <w:r>
        <w:rPr>
          <w:sz w:val="22"/>
          <w:szCs w:val="22"/>
        </w:rPr>
        <w:t> ; et des focus</w:t>
      </w:r>
      <w:r>
        <w:rPr>
          <w:sz w:val="22"/>
          <w:szCs w:val="22"/>
        </w:rPr>
        <w:t>-</w:t>
      </w:r>
      <w:r>
        <w:rPr>
          <w:sz w:val="22"/>
          <w:szCs w:val="22"/>
        </w:rPr>
        <w:t xml:space="preserve">group ont été organisés avec la participation des acteurs des filières cibles au </w:t>
      </w:r>
      <w:r>
        <w:rPr>
          <w:sz w:val="22"/>
          <w:szCs w:val="22"/>
        </w:rPr>
        <w:t>Programme</w:t>
      </w:r>
      <w:r>
        <w:rPr>
          <w:sz w:val="22"/>
          <w:szCs w:val="22"/>
        </w:rPr>
        <w:t>. L’objectif a été d’une part</w:t>
      </w:r>
      <w:r>
        <w:rPr>
          <w:sz w:val="22"/>
          <w:szCs w:val="22"/>
        </w:rPr>
        <w:t>,</w:t>
      </w:r>
      <w:r>
        <w:rPr>
          <w:sz w:val="22"/>
          <w:szCs w:val="22"/>
        </w:rPr>
        <w:t xml:space="preserve"> d’informer les acteurs du </w:t>
      </w:r>
      <w:r>
        <w:rPr>
          <w:sz w:val="22"/>
          <w:szCs w:val="22"/>
        </w:rPr>
        <w:t>P</w:t>
      </w:r>
      <w:r>
        <w:rPr>
          <w:sz w:val="22"/>
          <w:szCs w:val="22"/>
        </w:rPr>
        <w:t>rogramme, des différents projets</w:t>
      </w:r>
      <w:r>
        <w:rPr>
          <w:sz w:val="22"/>
          <w:szCs w:val="22"/>
        </w:rPr>
        <w:t xml:space="preserve"> et sous-projets</w:t>
      </w:r>
      <w:r>
        <w:rPr>
          <w:sz w:val="22"/>
          <w:szCs w:val="22"/>
        </w:rPr>
        <w:t xml:space="preserve"> pouvant être considérés dans le cadre du présent </w:t>
      </w:r>
      <w:r>
        <w:rPr>
          <w:sz w:val="22"/>
          <w:szCs w:val="22"/>
        </w:rPr>
        <w:t>P</w:t>
      </w:r>
      <w:r>
        <w:rPr>
          <w:sz w:val="22"/>
          <w:szCs w:val="22"/>
        </w:rPr>
        <w:t>rogramme et d’autre part</w:t>
      </w:r>
      <w:r>
        <w:rPr>
          <w:sz w:val="22"/>
          <w:szCs w:val="22"/>
        </w:rPr>
        <w:t>,</w:t>
      </w:r>
      <w:r>
        <w:rPr>
          <w:sz w:val="22"/>
          <w:szCs w:val="22"/>
        </w:rPr>
        <w:t xml:space="preserve"> </w:t>
      </w:r>
      <w:r>
        <w:rPr>
          <w:sz w:val="22"/>
          <w:szCs w:val="22"/>
        </w:rPr>
        <w:t xml:space="preserve">de </w:t>
      </w:r>
      <w:r>
        <w:rPr>
          <w:sz w:val="22"/>
          <w:szCs w:val="22"/>
        </w:rPr>
        <w:t xml:space="preserve">recueillir les suggestions et les préoccupations de ces derniers. Ce processus de communication auprès des acteurs vise également à faciliter l’exécution du programme. </w:t>
      </w:r>
    </w:p>
    <w:p>
      <w:pPr>
        <w:pStyle w:val="style0"/>
        <w:numPr>
          <w:ilvl w:val="0"/>
          <w:numId w:val="36"/>
        </w:numPr>
        <w:jc w:val="both"/>
        <w:rPr>
          <w:sz w:val="22"/>
          <w:szCs w:val="22"/>
        </w:rPr>
      </w:pPr>
      <w:r>
        <w:rPr>
          <w:b/>
          <w:sz w:val="22"/>
          <w:szCs w:val="22"/>
        </w:rPr>
        <w:t>une synthèse des données</w:t>
      </w:r>
      <w:r>
        <w:rPr>
          <w:sz w:val="22"/>
          <w:szCs w:val="22"/>
        </w:rPr>
        <w:t xml:space="preserve"> pour la rédaction du présent rapport. Cette étape a consisté à faire la synthèse et l’analyse des données obtenues à partir de la recherche documentaire et des investigations sur le terrain. Ce qui a permis l’élaboration de la présente étude conformément </w:t>
      </w:r>
      <w:r>
        <w:rPr>
          <w:sz w:val="22"/>
          <w:szCs w:val="22"/>
        </w:rPr>
        <w:t>aux dispositions</w:t>
      </w:r>
      <w:r>
        <w:rPr>
          <w:sz w:val="22"/>
          <w:szCs w:val="22"/>
        </w:rPr>
        <w:t xml:space="preserve"> du décret N°2015-1187/PRES-</w:t>
      </w:r>
      <w:r>
        <w:rPr>
          <w:sz w:val="22"/>
          <w:szCs w:val="22"/>
        </w:rPr>
        <w:t>TRANS/PM/MERH/MATD/MME/MS/MARHASA/MRA/MICA/MHU/MIDT/MCT du 22 octobre 2015 portant procédure de réalisation et de validation d’</w:t>
      </w:r>
      <w:r>
        <w:rPr>
          <w:sz w:val="22"/>
          <w:szCs w:val="22"/>
        </w:rPr>
        <w:t>EES</w:t>
      </w:r>
      <w:r>
        <w:rPr>
          <w:sz w:val="22"/>
          <w:szCs w:val="22"/>
        </w:rPr>
        <w:t>, EIES et de la NIES</w:t>
      </w:r>
      <w:r>
        <w:rPr>
          <w:sz w:val="22"/>
          <w:szCs w:val="22"/>
        </w:rPr>
        <w:t>.</w:t>
      </w:r>
      <w:r>
        <w:rPr>
          <w:sz w:val="22"/>
          <w:szCs w:val="22"/>
        </w:rPr>
        <w:t xml:space="preserve"> </w:t>
      </w:r>
    </w:p>
    <w:p>
      <w:pPr>
        <w:pStyle w:val="style0"/>
        <w:jc w:val="both"/>
        <w:rPr/>
      </w:pPr>
    </w:p>
    <w:bookmarkStart w:id="22" w:name="_Toc686076"/>
    <w:bookmarkStart w:id="23" w:name="_Toc2780463"/>
    <w:p>
      <w:pPr>
        <w:pStyle w:val="style4307"/>
        <w:numPr>
          <w:ilvl w:val="0"/>
          <w:numId w:val="0"/>
        </w:numPr>
        <w:ind w:left="390"/>
        <w:rPr/>
      </w:pPr>
      <w:r>
        <w:t xml:space="preserve">1.4. </w:t>
      </w:r>
      <w:r>
        <w:t>Structuration du rapport</w:t>
      </w:r>
      <w:bookmarkEnd w:id="22"/>
      <w:bookmarkEnd w:id="23"/>
    </w:p>
    <w:p>
      <w:pPr>
        <w:pStyle w:val="style0"/>
        <w:jc w:val="both"/>
        <w:rPr>
          <w:sz w:val="22"/>
          <w:szCs w:val="22"/>
        </w:rPr>
      </w:pPr>
    </w:p>
    <w:p>
      <w:pPr>
        <w:pStyle w:val="style4214"/>
        <w:rPr>
          <w:sz w:val="22"/>
          <w:szCs w:val="22"/>
          <w:lang w:val="fr-FR" w:eastAsia="fr-FR"/>
        </w:rPr>
      </w:pPr>
      <w:r>
        <w:rPr>
          <w:sz w:val="22"/>
          <w:szCs w:val="22"/>
          <w:lang w:val="fr-FR" w:eastAsia="fr-FR"/>
        </w:rPr>
        <w:t>Le présent rapport</w:t>
      </w:r>
      <w:r>
        <w:rPr>
          <w:sz w:val="22"/>
          <w:szCs w:val="22"/>
          <w:lang w:val="fr-FR" w:eastAsia="fr-FR"/>
        </w:rPr>
        <w:t>, dans le fonds,</w:t>
      </w:r>
      <w:r>
        <w:rPr>
          <w:sz w:val="22"/>
          <w:szCs w:val="22"/>
          <w:lang w:val="fr-FR" w:eastAsia="fr-FR"/>
        </w:rPr>
        <w:t xml:space="preserve"> est structuré comme suit :</w:t>
      </w:r>
    </w:p>
    <w:p>
      <w:pPr>
        <w:pStyle w:val="style0"/>
        <w:numPr>
          <w:ilvl w:val="0"/>
          <w:numId w:val="36"/>
        </w:numPr>
        <w:ind w:left="360"/>
        <w:jc w:val="both"/>
        <w:rPr>
          <w:sz w:val="22"/>
          <w:szCs w:val="22"/>
        </w:rPr>
      </w:pPr>
      <w:r>
        <w:rPr>
          <w:sz w:val="22"/>
          <w:szCs w:val="22"/>
        </w:rPr>
        <w:t>Introduction</w:t>
      </w:r>
      <w:r>
        <w:rPr>
          <w:sz w:val="22"/>
          <w:szCs w:val="22"/>
        </w:rPr>
        <w:t> ;</w:t>
      </w:r>
    </w:p>
    <w:p>
      <w:pPr>
        <w:pStyle w:val="style0"/>
        <w:numPr>
          <w:ilvl w:val="0"/>
          <w:numId w:val="36"/>
        </w:numPr>
        <w:ind w:left="360"/>
        <w:jc w:val="both"/>
        <w:rPr>
          <w:sz w:val="22"/>
          <w:szCs w:val="22"/>
        </w:rPr>
      </w:pPr>
      <w:r>
        <w:rPr>
          <w:sz w:val="22"/>
          <w:szCs w:val="22"/>
        </w:rPr>
        <w:t xml:space="preserve">Description du </w:t>
      </w:r>
      <w:r>
        <w:rPr>
          <w:sz w:val="22"/>
          <w:szCs w:val="22"/>
        </w:rPr>
        <w:t>Programme ;</w:t>
      </w:r>
    </w:p>
    <w:p>
      <w:pPr>
        <w:pStyle w:val="style0"/>
        <w:numPr>
          <w:ilvl w:val="0"/>
          <w:numId w:val="36"/>
        </w:numPr>
        <w:ind w:left="360"/>
        <w:jc w:val="both"/>
        <w:rPr>
          <w:sz w:val="22"/>
          <w:szCs w:val="22"/>
        </w:rPr>
      </w:pPr>
      <w:r>
        <w:rPr>
          <w:rFonts w:cs="Calibri" w:eastAsia="MS Mincho"/>
          <w:iCs/>
          <w:kern w:val="2"/>
          <w:sz w:val="22"/>
          <w:szCs w:val="22"/>
          <w:lang w:eastAsia="en-GB"/>
        </w:rPr>
        <w:t xml:space="preserve">Enjeux </w:t>
      </w:r>
      <w:r>
        <w:rPr>
          <w:rFonts w:cs="Calibri" w:eastAsia="MS Mincho"/>
          <w:iCs/>
          <w:kern w:val="2"/>
          <w:sz w:val="22"/>
          <w:szCs w:val="22"/>
          <w:lang w:eastAsia="en-GB"/>
        </w:rPr>
        <w:t>et risques environnementaux et sociaux majeurs dans les zones d’implantation potentielle des sous-projets </w:t>
      </w:r>
      <w:r>
        <w:rPr>
          <w:rFonts w:cs="Calibri" w:eastAsia="MS Mincho"/>
          <w:iCs/>
          <w:kern w:val="2"/>
          <w:sz w:val="22"/>
          <w:szCs w:val="22"/>
          <w:lang w:eastAsia="en-GB"/>
        </w:rPr>
        <w:t>;</w:t>
      </w:r>
    </w:p>
    <w:p>
      <w:pPr>
        <w:pStyle w:val="style0"/>
        <w:numPr>
          <w:ilvl w:val="0"/>
          <w:numId w:val="36"/>
        </w:numPr>
        <w:ind w:left="360"/>
        <w:jc w:val="both"/>
        <w:rPr>
          <w:sz w:val="22"/>
          <w:szCs w:val="22"/>
        </w:rPr>
      </w:pPr>
      <w:r>
        <w:rPr>
          <w:sz w:val="22"/>
          <w:szCs w:val="22"/>
        </w:rPr>
        <w:t>Cadre politique, juridique et administratif en matière environnementale</w:t>
      </w:r>
      <w:r>
        <w:rPr>
          <w:sz w:val="22"/>
          <w:szCs w:val="22"/>
        </w:rPr>
        <w:t> ;</w:t>
      </w:r>
    </w:p>
    <w:p>
      <w:pPr>
        <w:pStyle w:val="style0"/>
        <w:numPr>
          <w:ilvl w:val="0"/>
          <w:numId w:val="36"/>
        </w:numPr>
        <w:ind w:left="360"/>
        <w:jc w:val="both"/>
        <w:rPr>
          <w:sz w:val="22"/>
          <w:szCs w:val="22"/>
        </w:rPr>
      </w:pPr>
      <w:r>
        <w:rPr>
          <w:sz w:val="22"/>
          <w:szCs w:val="22"/>
        </w:rPr>
        <w:t>Identification impacts et des risques environnementaux et sociaux, et mesures de gestion</w:t>
      </w:r>
      <w:r>
        <w:rPr>
          <w:sz w:val="22"/>
          <w:szCs w:val="22"/>
        </w:rPr>
        <w:t> ;</w:t>
      </w:r>
    </w:p>
    <w:p>
      <w:pPr>
        <w:pStyle w:val="style0"/>
        <w:numPr>
          <w:ilvl w:val="0"/>
          <w:numId w:val="36"/>
        </w:numPr>
        <w:ind w:left="360"/>
        <w:jc w:val="both"/>
        <w:rPr>
          <w:sz w:val="22"/>
          <w:szCs w:val="22"/>
        </w:rPr>
      </w:pPr>
      <w:r>
        <w:rPr>
          <w:sz w:val="22"/>
          <w:szCs w:val="22"/>
        </w:rPr>
        <w:t>Résumé des consultations publiques menées ;</w:t>
      </w:r>
    </w:p>
    <w:p>
      <w:pPr>
        <w:pStyle w:val="style0"/>
        <w:numPr>
          <w:ilvl w:val="0"/>
          <w:numId w:val="36"/>
        </w:numPr>
        <w:ind w:left="360"/>
        <w:jc w:val="both"/>
        <w:rPr>
          <w:sz w:val="22"/>
          <w:szCs w:val="22"/>
        </w:rPr>
      </w:pPr>
      <w:r>
        <w:rPr>
          <w:sz w:val="22"/>
          <w:szCs w:val="22"/>
        </w:rPr>
        <w:t xml:space="preserve">Plan-Cadre </w:t>
      </w:r>
      <w:r>
        <w:rPr>
          <w:sz w:val="22"/>
          <w:szCs w:val="22"/>
        </w:rPr>
        <w:t>de gestion environnementale et sociale</w:t>
      </w:r>
      <w:r>
        <w:rPr>
          <w:sz w:val="22"/>
          <w:szCs w:val="22"/>
        </w:rPr>
        <w:t> ;</w:t>
      </w:r>
    </w:p>
    <w:p>
      <w:pPr>
        <w:pStyle w:val="style0"/>
        <w:numPr>
          <w:ilvl w:val="0"/>
          <w:numId w:val="36"/>
        </w:numPr>
        <w:ind w:left="360"/>
        <w:jc w:val="both"/>
        <w:rPr>
          <w:sz w:val="22"/>
          <w:szCs w:val="22"/>
        </w:rPr>
      </w:pPr>
      <w:r>
        <w:rPr>
          <w:sz w:val="22"/>
          <w:szCs w:val="22"/>
        </w:rPr>
        <w:t>Conclusion</w:t>
      </w:r>
    </w:p>
    <w:p>
      <w:pPr>
        <w:pStyle w:val="style0"/>
        <w:rPr>
          <w:b/>
          <w:bCs/>
          <w:i/>
          <w:color w:val="0070c0"/>
          <w:sz w:val="22"/>
          <w:szCs w:val="22"/>
        </w:rPr>
      </w:pPr>
    </w:p>
    <w:p>
      <w:pPr>
        <w:pStyle w:val="style0"/>
        <w:rPr>
          <w:b/>
          <w:bCs/>
          <w:i/>
          <w:color w:val="0070c0"/>
          <w:sz w:val="20"/>
          <w:szCs w:val="20"/>
        </w:rPr>
      </w:pPr>
      <w:r>
        <w:rPr>
          <w:b/>
          <w:bCs/>
          <w:i/>
          <w:color w:val="0070c0"/>
          <w:sz w:val="20"/>
          <w:szCs w:val="20"/>
        </w:rPr>
        <w:t xml:space="preserve"> </w:t>
      </w:r>
    </w:p>
    <w:p>
      <w:pPr>
        <w:pStyle w:val="style0"/>
        <w:rPr/>
      </w:pPr>
    </w:p>
    <w:p>
      <w:pPr>
        <w:pStyle w:val="style1"/>
        <w:rPr>
          <w:color w:val="0070c0"/>
          <w:sz w:val="20"/>
        </w:rPr>
      </w:pPr>
      <w:r>
        <w:rPr>
          <w:i/>
          <w:color w:val="0070c0"/>
          <w:sz w:val="20"/>
        </w:rPr>
        <w:br w:type="page"/>
      </w:r>
      <w:bookmarkStart w:id="24" w:name="_Toc2780464"/>
      <w:r>
        <w:t xml:space="preserve">II. </w:t>
      </w:r>
      <w:bookmarkStart w:id="25" w:name="_Toc686077"/>
      <w:r>
        <w:t>D</w:t>
      </w:r>
      <w:r>
        <w:t>ESCRIP</w:t>
      </w:r>
      <w:r>
        <w:t xml:space="preserve">TION </w:t>
      </w:r>
      <w:r>
        <w:t>DU PROGRAMME</w:t>
      </w:r>
      <w:bookmarkEnd w:id="24"/>
      <w:bookmarkEnd w:id="25"/>
    </w:p>
    <w:p>
      <w:pPr>
        <w:pStyle w:val="style0"/>
        <w:jc w:val="both"/>
        <w:rPr>
          <w:sz w:val="23"/>
          <w:szCs w:val="23"/>
        </w:rPr>
      </w:pPr>
      <w:r>
        <w:rPr>
          <w:sz w:val="23"/>
          <w:szCs w:val="23"/>
        </w:rPr>
        <w:t>La présentation du Programme comprend un résumé ainsi que la description des composantes.</w:t>
      </w:r>
    </w:p>
    <w:p>
      <w:pPr>
        <w:pStyle w:val="style0"/>
        <w:jc w:val="both"/>
        <w:rPr>
          <w:i/>
          <w:sz w:val="22"/>
          <w:szCs w:val="22"/>
        </w:rPr>
      </w:pPr>
    </w:p>
    <w:bookmarkStart w:id="26" w:name="_Toc347618"/>
    <w:bookmarkStart w:id="27" w:name="_Toc466843"/>
    <w:bookmarkStart w:id="28" w:name="_Toc478068"/>
    <w:bookmarkStart w:id="29" w:name="_Toc500428"/>
    <w:bookmarkStart w:id="30" w:name="_Toc501395"/>
    <w:bookmarkStart w:id="31" w:name="_Toc685987"/>
    <w:bookmarkStart w:id="32" w:name="_Toc686078"/>
    <w:bookmarkStart w:id="33" w:name="_Toc1189464"/>
    <w:bookmarkStart w:id="34" w:name="_Toc1189553"/>
    <w:bookmarkStart w:id="35" w:name="_Toc1954191"/>
    <w:bookmarkStart w:id="36" w:name="_Toc1958673"/>
    <w:bookmarkStart w:id="37" w:name="_Toc1959606"/>
    <w:bookmarkStart w:id="38" w:name="_Toc2140792"/>
    <w:bookmarkStart w:id="39" w:name="_Toc2141189"/>
    <w:bookmarkStart w:id="40" w:name="_Toc2150176"/>
    <w:bookmarkStart w:id="41" w:name="_Toc278046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Pr>
        <w:pStyle w:val="style179"/>
        <w:keepNext/>
        <w:numPr>
          <w:ilvl w:val="0"/>
          <w:numId w:val="71"/>
        </w:numPr>
        <w:autoSpaceDE w:val="false"/>
        <w:autoSpaceDN w:val="false"/>
        <w:adjustRightInd w:val="false"/>
        <w:spacing w:lineRule="atLeast" w:line="240"/>
        <w:outlineLvl w:val="1"/>
        <w:rPr>
          <w:bCs/>
          <w:i/>
          <w:vanish/>
          <w:color w:val="000000"/>
          <w:szCs w:val="20"/>
        </w:rPr>
      </w:pPr>
    </w:p>
    <w:bookmarkStart w:id="42" w:name="_Toc686079"/>
    <w:bookmarkStart w:id="43" w:name="_Toc2780466"/>
    <w:p>
      <w:pPr>
        <w:pStyle w:val="style4307"/>
        <w:numPr>
          <w:ilvl w:val="0"/>
          <w:numId w:val="0"/>
        </w:numPr>
        <w:ind w:left="390"/>
        <w:rPr/>
      </w:pPr>
      <w:r>
        <w:t>2.1.</w:t>
      </w:r>
      <w:r>
        <w:t xml:space="preserve"> Résumé</w:t>
      </w:r>
      <w:r>
        <w:t xml:space="preserve"> du Programme</w:t>
      </w:r>
      <w:bookmarkEnd w:id="42"/>
      <w:bookmarkEnd w:id="43"/>
    </w:p>
    <w:p>
      <w:pPr>
        <w:pStyle w:val="style0"/>
        <w:rPr/>
      </w:pPr>
    </w:p>
    <w:tbl>
      <w:tblPr>
        <w:tblW w:w="5037" w:type="pct"/>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574"/>
        <w:gridCol w:w="6553"/>
      </w:tblGrid>
      <w:tr>
        <w:trPr/>
        <w:tc>
          <w:tcPr>
            <w:tcW w:w="5000" w:type="pct"/>
            <w:gridSpan w:val="2"/>
            <w:tcBorders/>
          </w:tcPr>
          <w:p>
            <w:pPr>
              <w:pStyle w:val="style0"/>
              <w:jc w:val="both"/>
              <w:rPr>
                <w:b/>
                <w:i/>
                <w:sz w:val="22"/>
                <w:szCs w:val="22"/>
              </w:rPr>
            </w:pPr>
            <w:r>
              <w:rPr>
                <w:i/>
                <w:color w:val="0070c0"/>
                <w:sz w:val="22"/>
                <w:szCs w:val="22"/>
              </w:rPr>
              <w:br w:type="page"/>
            </w:r>
            <w:r>
              <w:rPr>
                <w:b/>
                <w:i/>
                <w:sz w:val="22"/>
                <w:szCs w:val="22"/>
              </w:rPr>
              <w:t>Titre du programme</w:t>
            </w:r>
            <w:r>
              <w:rPr>
                <w:i/>
                <w:sz w:val="22"/>
                <w:szCs w:val="22"/>
              </w:rPr>
              <w:t xml:space="preserve"> : PROGRAMME DE DEVELOPPEMENT ET DE COMPETITIVITE AGRICOLE (PDCA)</w:t>
            </w:r>
          </w:p>
        </w:tc>
      </w:tr>
      <w:tr>
        <w:tblPrEx/>
        <w:trPr/>
        <w:tc>
          <w:tcPr>
            <w:tcW w:w="1410" w:type="pct"/>
            <w:tcBorders/>
          </w:tcPr>
          <w:p>
            <w:pPr>
              <w:pStyle w:val="style0"/>
              <w:keepNext/>
              <w:spacing w:before="120" w:after="240" w:lineRule="atLeast" w:line="240"/>
              <w:jc w:val="both"/>
              <w:rPr>
                <w:b/>
                <w:bCs/>
                <w:i/>
                <w:sz w:val="22"/>
                <w:szCs w:val="22"/>
              </w:rPr>
            </w:pPr>
            <w:r>
              <w:rPr>
                <w:b/>
                <w:bCs/>
                <w:i/>
                <w:sz w:val="22"/>
                <w:szCs w:val="22"/>
              </w:rPr>
              <w:t>Secteur d’intervention</w:t>
            </w:r>
          </w:p>
        </w:tc>
        <w:tc>
          <w:tcPr>
            <w:tcW w:w="3590" w:type="pct"/>
            <w:tcBorders/>
          </w:tcPr>
          <w:p>
            <w:pPr>
              <w:pStyle w:val="style0"/>
              <w:spacing w:before="120"/>
              <w:jc w:val="both"/>
              <w:rPr>
                <w:i/>
                <w:sz w:val="22"/>
                <w:szCs w:val="22"/>
              </w:rPr>
            </w:pPr>
            <w:r>
              <w:rPr>
                <w:i/>
                <w:sz w:val="22"/>
                <w:szCs w:val="22"/>
              </w:rPr>
              <w:t>Agriculture</w:t>
            </w:r>
          </w:p>
        </w:tc>
      </w:tr>
      <w:tr>
        <w:tblPrEx/>
        <w:trPr/>
        <w:tc>
          <w:tcPr>
            <w:tcW w:w="1410" w:type="pct"/>
            <w:tcBorders/>
          </w:tcPr>
          <w:p>
            <w:pPr>
              <w:pStyle w:val="style0"/>
              <w:keepNext/>
              <w:spacing w:before="120" w:after="240" w:lineRule="atLeast" w:line="240"/>
              <w:jc w:val="both"/>
              <w:rPr>
                <w:b/>
                <w:bCs/>
                <w:i/>
                <w:sz w:val="22"/>
                <w:szCs w:val="22"/>
              </w:rPr>
            </w:pPr>
            <w:r>
              <w:rPr>
                <w:b/>
                <w:bCs/>
                <w:i/>
                <w:sz w:val="22"/>
                <w:szCs w:val="22"/>
              </w:rPr>
              <w:t>Objectif global</w:t>
            </w:r>
          </w:p>
        </w:tc>
        <w:tc>
          <w:tcPr>
            <w:tcW w:w="3590" w:type="pct"/>
            <w:tcBorders/>
          </w:tcPr>
          <w:p>
            <w:pPr>
              <w:pStyle w:val="style0"/>
              <w:jc w:val="both"/>
              <w:rPr>
                <w:i/>
                <w:sz w:val="22"/>
                <w:szCs w:val="22"/>
              </w:rPr>
            </w:pPr>
            <w:r>
              <w:rPr>
                <w:i/>
                <w:sz w:val="22"/>
                <w:szCs w:val="22"/>
              </w:rPr>
              <w:t>Contribuer à la transformation structurelle du secteur agricole pour booster la croissance économique, améliorer la compétitivité des filières porteuses et assurer de façon durable la sécurité alimentaire et nutritionnelle.</w:t>
            </w:r>
          </w:p>
        </w:tc>
      </w:tr>
      <w:tr>
        <w:tblPrEx/>
        <w:trPr/>
        <w:tc>
          <w:tcPr>
            <w:tcW w:w="1410" w:type="pct"/>
            <w:tcBorders/>
          </w:tcPr>
          <w:p>
            <w:pPr>
              <w:pStyle w:val="style0"/>
              <w:spacing w:before="120"/>
              <w:jc w:val="both"/>
              <w:rPr>
                <w:b/>
                <w:bCs/>
                <w:i/>
                <w:sz w:val="22"/>
                <w:szCs w:val="22"/>
              </w:rPr>
            </w:pPr>
            <w:r>
              <w:rPr>
                <w:b/>
                <w:bCs/>
                <w:i/>
                <w:sz w:val="22"/>
                <w:szCs w:val="22"/>
              </w:rPr>
              <w:t>Objectif de développement</w:t>
            </w:r>
          </w:p>
        </w:tc>
        <w:tc>
          <w:tcPr>
            <w:tcW w:w="3590" w:type="pct"/>
            <w:tcBorders/>
          </w:tcPr>
          <w:p>
            <w:pPr>
              <w:pStyle w:val="style0"/>
              <w:tabs>
                <w:tab w:val="left" w:leader="none" w:pos="4680"/>
              </w:tabs>
              <w:jc w:val="both"/>
              <w:rPr>
                <w:i/>
                <w:sz w:val="22"/>
                <w:szCs w:val="22"/>
              </w:rPr>
            </w:pPr>
            <w:r>
              <w:rPr>
                <w:i/>
                <w:sz w:val="22"/>
                <w:szCs w:val="22"/>
              </w:rPr>
              <w:t xml:space="preserve">Accroître la productivité agricole et l’accès au marché pour les petits producteurs et les petites et moyennes entreprises (PME) dans les chaines de valeur ciblées dans la zone d’intervention du Projet. </w:t>
            </w:r>
          </w:p>
          <w:p>
            <w:pPr>
              <w:pStyle w:val="style0"/>
              <w:tabs>
                <w:tab w:val="left" w:leader="none" w:pos="4680"/>
              </w:tabs>
              <w:jc w:val="both"/>
              <w:rPr>
                <w:i/>
                <w:sz w:val="22"/>
                <w:szCs w:val="22"/>
              </w:rPr>
            </w:pPr>
            <w:r>
              <w:rPr>
                <w:i/>
                <w:sz w:val="22"/>
                <w:szCs w:val="22"/>
              </w:rPr>
              <w:t>Le programme couvrira quatre régions ayant des fortes potentialités en terres aménageables et des retenues d’eau avec pour principales filières ciblées le riz, le maïs, la tomate, l’oignon, et l’arboriculture fruitière. En plus de ces filières, les cultures de diversification agricole notamment le niébé, l’anacarde et le sésame bénéficieront des services et facilités d’accès au marché, de transformation et de commercialisation des produits agricoles mis en place par le Programme.</w:t>
            </w:r>
          </w:p>
        </w:tc>
      </w:tr>
      <w:tr>
        <w:tblPrEx/>
        <w:trPr/>
        <w:tc>
          <w:tcPr>
            <w:tcW w:w="1410" w:type="pct"/>
            <w:tcBorders/>
          </w:tcPr>
          <w:p>
            <w:pPr>
              <w:pStyle w:val="style0"/>
              <w:spacing w:before="120"/>
              <w:jc w:val="both"/>
              <w:rPr>
                <w:b/>
                <w:bCs/>
                <w:i/>
                <w:sz w:val="22"/>
                <w:szCs w:val="22"/>
              </w:rPr>
            </w:pPr>
            <w:r>
              <w:rPr>
                <w:b/>
                <w:bCs/>
                <w:i/>
                <w:sz w:val="22"/>
                <w:szCs w:val="22"/>
              </w:rPr>
              <w:t>Régions d’intervention</w:t>
            </w:r>
          </w:p>
        </w:tc>
        <w:tc>
          <w:tcPr>
            <w:tcW w:w="3590" w:type="pct"/>
            <w:tcBorders>
              <w:bottom w:val="single" w:sz="4" w:space="0" w:color="auto"/>
            </w:tcBorders>
          </w:tcPr>
          <w:p>
            <w:pPr>
              <w:pStyle w:val="style0"/>
              <w:tabs>
                <w:tab w:val="left" w:leader="none" w:pos="4680"/>
              </w:tabs>
              <w:jc w:val="both"/>
              <w:rPr>
                <w:i/>
                <w:sz w:val="22"/>
                <w:szCs w:val="22"/>
              </w:rPr>
            </w:pPr>
            <w:r>
              <w:rPr>
                <w:i/>
                <w:sz w:val="22"/>
                <w:szCs w:val="22"/>
              </w:rPr>
              <w:t xml:space="preserve">Le programme couvrira </w:t>
            </w:r>
            <w:r>
              <w:rPr>
                <w:i/>
                <w:sz w:val="22"/>
                <w:szCs w:val="22"/>
              </w:rPr>
              <w:t xml:space="preserve">les </w:t>
            </w:r>
            <w:r>
              <w:rPr>
                <w:i/>
                <w:sz w:val="22"/>
                <w:szCs w:val="22"/>
              </w:rPr>
              <w:t>régions</w:t>
            </w:r>
            <w:r>
              <w:rPr>
                <w:i/>
                <w:sz w:val="22"/>
                <w:szCs w:val="22"/>
              </w:rPr>
              <w:t xml:space="preserve"> des </w:t>
            </w:r>
            <w:r>
              <w:rPr>
                <w:b/>
                <w:i/>
                <w:sz w:val="22"/>
                <w:szCs w:val="22"/>
              </w:rPr>
              <w:t>Hauts Bassins</w:t>
            </w:r>
            <w:r>
              <w:rPr>
                <w:i/>
                <w:sz w:val="22"/>
                <w:szCs w:val="22"/>
              </w:rPr>
              <w:t xml:space="preserve">, des </w:t>
            </w:r>
            <w:r>
              <w:rPr>
                <w:b/>
                <w:i/>
                <w:sz w:val="22"/>
                <w:szCs w:val="22"/>
              </w:rPr>
              <w:t>Cascades</w:t>
            </w:r>
            <w:r>
              <w:rPr>
                <w:i/>
                <w:sz w:val="22"/>
                <w:szCs w:val="22"/>
              </w:rPr>
              <w:t xml:space="preserve">, de la </w:t>
            </w:r>
            <w:r>
              <w:rPr>
                <w:b/>
                <w:i/>
                <w:sz w:val="22"/>
                <w:szCs w:val="22"/>
              </w:rPr>
              <w:t>Boucle du Mouhoun</w:t>
            </w:r>
            <w:r>
              <w:rPr>
                <w:i/>
                <w:sz w:val="22"/>
                <w:szCs w:val="22"/>
              </w:rPr>
              <w:t xml:space="preserve"> et du </w:t>
            </w:r>
            <w:r>
              <w:rPr>
                <w:b/>
                <w:i/>
                <w:sz w:val="22"/>
                <w:szCs w:val="22"/>
              </w:rPr>
              <w:t>Nord</w:t>
            </w:r>
            <w:r>
              <w:rPr>
                <w:i/>
                <w:sz w:val="22"/>
                <w:szCs w:val="22"/>
              </w:rPr>
              <w:t xml:space="preserve"> ayant des fortes potentialités en terres aménageables et des retenues d’eau avec pour principales filières ciblées le riz, le maïs, la tomate, l’oignon, et l’arboriculture fruitière.</w:t>
            </w:r>
            <w:r>
              <w:rPr>
                <w:i/>
                <w:sz w:val="22"/>
                <w:szCs w:val="22"/>
              </w:rPr>
              <w:t xml:space="preserve"> Aussi, il couvrira </w:t>
            </w:r>
            <w:r>
              <w:rPr>
                <w:i/>
                <w:sz w:val="22"/>
                <w:szCs w:val="22"/>
              </w:rPr>
              <w:t>toute l'étendue du territoire (à la demande) pour le volet irrigation goutte à goutte 1000 ha</w:t>
            </w:r>
            <w:r>
              <w:rPr>
                <w:i/>
                <w:sz w:val="22"/>
                <w:szCs w:val="22"/>
              </w:rPr>
              <w:t>.</w:t>
            </w:r>
            <w:r>
              <w:rPr>
                <w:i/>
                <w:sz w:val="22"/>
                <w:szCs w:val="22"/>
              </w:rPr>
              <w:t xml:space="preserve"> </w:t>
            </w:r>
          </w:p>
        </w:tc>
      </w:tr>
    </w:tbl>
    <w:p>
      <w:pPr>
        <w:pStyle w:val="style0"/>
        <w:rPr/>
      </w:pPr>
    </w:p>
    <w:bookmarkStart w:id="44" w:name="_Toc686080"/>
    <w:bookmarkStart w:id="45" w:name="_Toc2780467"/>
    <w:p>
      <w:pPr>
        <w:pStyle w:val="style4307"/>
        <w:numPr>
          <w:ilvl w:val="0"/>
          <w:numId w:val="0"/>
        </w:numPr>
        <w:ind w:left="390"/>
        <w:rPr/>
      </w:pPr>
      <w:r>
        <w:t xml:space="preserve">2.2. </w:t>
      </w:r>
      <w:r>
        <w:t>Description du Programme et de ses composantes</w:t>
      </w:r>
      <w:bookmarkEnd w:id="44"/>
      <w:bookmarkEnd w:id="45"/>
    </w:p>
    <w:p>
      <w:pPr>
        <w:pStyle w:val="style0"/>
        <w:keepLines/>
        <w:suppressAutoHyphens/>
        <w:spacing w:before="120" w:after="120"/>
        <w:jc w:val="both"/>
        <w:rPr>
          <w:sz w:val="22"/>
          <w:szCs w:val="22"/>
        </w:rPr>
      </w:pPr>
      <w:r>
        <w:rPr>
          <w:sz w:val="22"/>
          <w:szCs w:val="22"/>
        </w:rPr>
        <w:t>Le Programme comprend trois</w:t>
      </w:r>
      <w:r>
        <w:rPr>
          <w:sz w:val="22"/>
          <w:szCs w:val="22"/>
        </w:rPr>
        <w:t xml:space="preserve"> (03)</w:t>
      </w:r>
      <w:r>
        <w:rPr>
          <w:sz w:val="22"/>
          <w:szCs w:val="22"/>
        </w:rPr>
        <w:t xml:space="preserve"> composantes : Composante 1 - appui à l’amélioration de la productivité agricole ; Composante 2 -</w:t>
      </w:r>
      <w:r>
        <w:rPr>
          <w:sz w:val="22"/>
          <w:szCs w:val="22"/>
        </w:rPr>
        <w:t xml:space="preserve"> amélioration de l’accès au marché</w:t>
      </w:r>
      <w:r>
        <w:rPr>
          <w:sz w:val="22"/>
          <w:szCs w:val="22"/>
        </w:rPr>
        <w:t> ; Composante 3</w:t>
      </w:r>
      <w:r>
        <w:rPr>
          <w:sz w:val="22"/>
          <w:szCs w:val="22"/>
        </w:rPr>
        <w:t> :</w:t>
      </w:r>
      <w:r>
        <w:rPr>
          <w:sz w:val="22"/>
          <w:szCs w:val="22"/>
        </w:rPr>
        <w:t xml:space="preserve"> appui aux investissements privés et Composante </w:t>
      </w:r>
      <w:r>
        <w:rPr>
          <w:sz w:val="22"/>
          <w:szCs w:val="22"/>
        </w:rPr>
        <w:t>4</w:t>
      </w:r>
      <w:r>
        <w:rPr>
          <w:sz w:val="22"/>
          <w:szCs w:val="22"/>
        </w:rPr>
        <w:t> - prévention et gestion des crises</w:t>
      </w:r>
      <w:r>
        <w:rPr>
          <w:sz w:val="22"/>
          <w:szCs w:val="22"/>
        </w:rPr>
        <w:t>,</w:t>
      </w:r>
      <w:r>
        <w:rPr>
          <w:sz w:val="22"/>
          <w:szCs w:val="22"/>
        </w:rPr>
        <w:t xml:space="preserve"> coordination du Programme.</w:t>
      </w:r>
    </w:p>
    <w:bookmarkStart w:id="46" w:name="_Toc686081"/>
    <w:bookmarkStart w:id="47" w:name="_Toc2780468"/>
    <w:p>
      <w:pPr>
        <w:pStyle w:val="style3"/>
        <w:numPr>
          <w:ilvl w:val="0"/>
          <w:numId w:val="0"/>
        </w:numPr>
        <w:ind w:left="644" w:hanging="360"/>
        <w:rPr>
          <w:b/>
          <w:sz w:val="23"/>
          <w:szCs w:val="23"/>
          <w:u w:val="none"/>
        </w:rPr>
      </w:pPr>
      <w:r>
        <w:rPr>
          <w:b/>
          <w:sz w:val="23"/>
          <w:szCs w:val="23"/>
          <w:u w:val="none"/>
        </w:rPr>
        <w:t>2.2.1. Composante</w:t>
      </w:r>
      <w:r>
        <w:rPr>
          <w:b/>
          <w:sz w:val="23"/>
          <w:szCs w:val="23"/>
          <w:u w:val="none"/>
        </w:rPr>
        <w:t xml:space="preserve"> 1 : appui à l’amélioration de la productivité agricole</w:t>
      </w:r>
      <w:bookmarkEnd w:id="46"/>
      <w:bookmarkEnd w:id="47"/>
    </w:p>
    <w:p>
      <w:pPr>
        <w:pStyle w:val="style0"/>
        <w:jc w:val="both"/>
        <w:rPr>
          <w:sz w:val="22"/>
          <w:szCs w:val="22"/>
        </w:rPr>
      </w:pPr>
      <w:r>
        <w:rPr>
          <w:sz w:val="22"/>
          <w:szCs w:val="22"/>
        </w:rPr>
        <w:t>L’objectif de cette composante est d’effectuer la transformation structurelle du secteur agricole en levant les contraintes en amont qui entravent l’augmentation de la production et des valeurs ajoutées des filières concernées. Elle comprend trois sous-composantes</w:t>
      </w:r>
      <w:r>
        <w:rPr>
          <w:sz w:val="22"/>
          <w:szCs w:val="22"/>
        </w:rPr>
        <w:t>.</w:t>
      </w:r>
    </w:p>
    <w:p>
      <w:pPr>
        <w:pStyle w:val="style0"/>
        <w:jc w:val="both"/>
        <w:rPr>
          <w:sz w:val="23"/>
          <w:szCs w:val="23"/>
        </w:rPr>
      </w:pPr>
    </w:p>
    <w:p>
      <w:pPr>
        <w:pStyle w:val="style0"/>
        <w:spacing w:after="120"/>
        <w:jc w:val="both"/>
        <w:rPr>
          <w:b/>
          <w:sz w:val="22"/>
          <w:szCs w:val="22"/>
        </w:rPr>
      </w:pPr>
      <w:r>
        <w:rPr>
          <w:b/>
          <w:sz w:val="22"/>
          <w:szCs w:val="22"/>
        </w:rPr>
        <w:t xml:space="preserve">Sous composante 1.1 : Appui aux services d’appui conseil agricole et à la vulgarisation </w:t>
      </w:r>
    </w:p>
    <w:p>
      <w:pPr>
        <w:pStyle w:val="style0"/>
        <w:spacing w:after="120"/>
        <w:jc w:val="both"/>
        <w:rPr>
          <w:sz w:val="22"/>
          <w:szCs w:val="22"/>
        </w:rPr>
      </w:pPr>
      <w:r>
        <w:rPr>
          <w:sz w:val="22"/>
          <w:szCs w:val="22"/>
        </w:rPr>
        <w:t>Cette sous composante vise à assurer un service d’appui conseil performant et soutenu aux producteurs ciblés afin de leur permettre d’adopter les meilleurs techniques et les innovations nécessaires pour la pratique d’une agriculture intensive à haut rendement, résiliente aux aléas climatiques et respectueuse des principes de développement durable. Cette sous composante sera mise en œuvre à travers les deux volets suivants :</w:t>
      </w:r>
    </w:p>
    <w:p>
      <w:pPr>
        <w:pStyle w:val="style0"/>
        <w:spacing w:after="120"/>
        <w:jc w:val="both"/>
        <w:rPr>
          <w:b/>
          <w:sz w:val="22"/>
          <w:szCs w:val="22"/>
        </w:rPr>
      </w:pPr>
      <w:r>
        <w:rPr>
          <w:b/>
          <w:sz w:val="22"/>
          <w:szCs w:val="22"/>
        </w:rPr>
        <w:t>Volet 1 : Appui conseil et vulgarisation des pratiques innovantes</w:t>
      </w:r>
    </w:p>
    <w:p>
      <w:pPr>
        <w:pStyle w:val="style0"/>
        <w:spacing w:after="120"/>
        <w:jc w:val="both"/>
        <w:rPr>
          <w:rFonts w:eastAsia="Calibri"/>
          <w:sz w:val="22"/>
          <w:szCs w:val="22"/>
        </w:rPr>
      </w:pPr>
      <w:r>
        <w:rPr>
          <w:sz w:val="22"/>
          <w:szCs w:val="22"/>
        </w:rPr>
        <w:t>Le Programme favorisera la mise à échelle des résultats obtenus et tirera les leçons des expériences d’autres projets comme le PPAAO pour promouvoir l’adoption</w:t>
      </w:r>
      <w:r>
        <w:rPr>
          <w:sz w:val="22"/>
          <w:szCs w:val="22"/>
        </w:rPr>
        <w:t xml:space="preserve"> de systèmes de production plus productifs, adaptés et résilients aux conditions environnementales et sociales locales. A travers cette sous-composante, le Programme financera entre autres : (i) la multiplication des semences améliorées par les coopérative</w:t>
      </w:r>
      <w:r>
        <w:rPr>
          <w:sz w:val="22"/>
          <w:szCs w:val="22"/>
        </w:rPr>
        <w:t xml:space="preserve">s et/ou des privés ; (ii) l’assistance technique, la formation et l’équipement des services d’appui conseil publics et privés pour renforcer l’adoption de nouvelles technologies et (iii) le développement et la vulgarisation d’une plateforme de vulgarisation digitale. Ces activités seront mises en œuvre avec la collaboration étroite et en synergie avec le PTAAO en cours de préparation pour éviter des dédoublements. </w:t>
      </w:r>
      <w:r>
        <w:rPr>
          <w:rFonts w:eastAsia="Calibri"/>
          <w:sz w:val="22"/>
          <w:szCs w:val="22"/>
        </w:rPr>
        <w:t xml:space="preserve">Le PDCA accompagnera la DGPV dans la mise en œuvre de l’e-vulgarisation. </w:t>
      </w:r>
    </w:p>
    <w:p>
      <w:pPr>
        <w:pStyle w:val="style0"/>
        <w:jc w:val="both"/>
        <w:rPr>
          <w:b/>
          <w:sz w:val="22"/>
          <w:szCs w:val="22"/>
        </w:rPr>
      </w:pPr>
      <w:r>
        <w:rPr>
          <w:b/>
          <w:sz w:val="22"/>
          <w:szCs w:val="22"/>
        </w:rPr>
        <w:t>Volet 2 : Appui à l’</w:t>
      </w:r>
      <w:r>
        <w:rPr>
          <w:b/>
          <w:sz w:val="22"/>
          <w:szCs w:val="22"/>
        </w:rPr>
        <w:t>organisation des acteurs et la structuration des filières</w:t>
      </w:r>
    </w:p>
    <w:p>
      <w:pPr>
        <w:pStyle w:val="style0"/>
        <w:jc w:val="both"/>
        <w:rPr>
          <w:sz w:val="22"/>
          <w:szCs w:val="22"/>
        </w:rPr>
      </w:pPr>
      <w:r>
        <w:rPr>
          <w:sz w:val="22"/>
          <w:szCs w:val="22"/>
        </w:rPr>
        <w:t>La bonne appropriation du Programme par les bénéficiaires, l’implication des exploitants dans la gestion des infrastructures et des équipements hydroagricoles, la participation effective de l’ensemb</w:t>
      </w:r>
      <w:r>
        <w:rPr>
          <w:sz w:val="22"/>
          <w:szCs w:val="22"/>
        </w:rPr>
        <w:t>le des acteurs à l’application des cahiers spécifiques constituent des facteurs de réussite des activités de mise en valeur et la pérennisation des investissements.</w:t>
      </w:r>
    </w:p>
    <w:p>
      <w:pPr>
        <w:pStyle w:val="style0"/>
        <w:jc w:val="both"/>
        <w:rPr>
          <w:sz w:val="22"/>
          <w:szCs w:val="22"/>
        </w:rPr>
      </w:pPr>
    </w:p>
    <w:p>
      <w:pPr>
        <w:pStyle w:val="style0"/>
        <w:spacing w:after="120"/>
        <w:jc w:val="both"/>
        <w:rPr>
          <w:sz w:val="22"/>
          <w:szCs w:val="22"/>
        </w:rPr>
      </w:pPr>
      <w:r>
        <w:rPr>
          <w:sz w:val="22"/>
          <w:szCs w:val="22"/>
        </w:rPr>
        <w:t xml:space="preserve">Il sera organisé des campagnes d’information et sensibilisation des populations dans les localités de la zone d’influence directe des différents sites pour recruter les futurs exploitants à installer dans les périmètres aménagés.   </w:t>
      </w:r>
    </w:p>
    <w:p>
      <w:pPr>
        <w:pStyle w:val="style0"/>
        <w:spacing w:after="120"/>
        <w:jc w:val="both"/>
        <w:rPr>
          <w:sz w:val="22"/>
          <w:szCs w:val="22"/>
        </w:rPr>
      </w:pPr>
    </w:p>
    <w:p>
      <w:pPr>
        <w:pStyle w:val="style0"/>
        <w:spacing w:after="120"/>
        <w:jc w:val="both"/>
        <w:rPr>
          <w:sz w:val="22"/>
          <w:szCs w:val="22"/>
        </w:rPr>
      </w:pPr>
      <w:r>
        <w:rPr>
          <w:sz w:val="22"/>
          <w:szCs w:val="22"/>
        </w:rPr>
        <w:t xml:space="preserve">Le Programme se focalisera également sur l’amélioration et le renforcement de la structuration, l’organisation, le fonctionnement et l’environnement des organisations paysannes, </w:t>
      </w:r>
      <w:r>
        <w:rPr>
          <w:sz w:val="22"/>
          <w:szCs w:val="22"/>
        </w:rPr>
        <w:t>conditions fondamentales</w:t>
      </w:r>
      <w:r>
        <w:rPr>
          <w:sz w:val="22"/>
          <w:szCs w:val="22"/>
        </w:rPr>
        <w:t xml:space="preserve"> au succès et à la durabilité des acquis du Programme. La</w:t>
      </w:r>
      <w:r>
        <w:rPr>
          <w:sz w:val="22"/>
          <w:szCs w:val="22"/>
        </w:rPr>
        <w:t xml:space="preserve"> législation</w:t>
      </w:r>
      <w:r>
        <w:rPr>
          <w:sz w:val="22"/>
          <w:szCs w:val="22"/>
        </w:rPr>
        <w:t xml:space="preserve"> repose sur les textes en vigueur que sont essentiellement l’acte uniforme de l’OHADA relatif au droit des sociétés </w:t>
      </w:r>
      <w:r>
        <w:rPr>
          <w:sz w:val="22"/>
          <w:szCs w:val="22"/>
        </w:rPr>
        <w:t>coopératives et la loi n°050-2012/AN du 30 octobre 2012 portant règlementation des organisations interprofessionnelles des filières agricoles, sylvicoles, pastorales, halieutiques et fauniques au Burkina Faso.</w:t>
      </w:r>
    </w:p>
    <w:p>
      <w:pPr>
        <w:pStyle w:val="style0"/>
        <w:spacing w:after="120"/>
        <w:jc w:val="both"/>
        <w:rPr>
          <w:sz w:val="22"/>
          <w:szCs w:val="22"/>
        </w:rPr>
      </w:pPr>
    </w:p>
    <w:p>
      <w:pPr>
        <w:pStyle w:val="style0"/>
        <w:spacing w:after="120"/>
        <w:jc w:val="both"/>
        <w:rPr>
          <w:b/>
          <w:sz w:val="22"/>
          <w:szCs w:val="22"/>
        </w:rPr>
      </w:pPr>
      <w:r>
        <w:rPr>
          <w:b/>
          <w:sz w:val="22"/>
          <w:szCs w:val="22"/>
        </w:rPr>
        <w:t>Sous-composante 1.2 Développement des ressources en eau - Aménagements hydroagricoles</w:t>
      </w:r>
    </w:p>
    <w:p>
      <w:pPr>
        <w:pStyle w:val="style0"/>
        <w:spacing w:after="120"/>
        <w:jc w:val="both"/>
        <w:rPr>
          <w:sz w:val="22"/>
          <w:szCs w:val="22"/>
        </w:rPr>
      </w:pPr>
      <w:r>
        <w:rPr>
          <w:sz w:val="22"/>
          <w:szCs w:val="22"/>
        </w:rPr>
        <w:t>Cette sous-composante portera aussi bien sur les réhabilitations que la réalisation de nouveaux périmètres agricoles. La mise en œuvre de cette composante se fera en col</w:t>
      </w:r>
      <w:r>
        <w:rPr>
          <w:sz w:val="22"/>
          <w:szCs w:val="22"/>
        </w:rPr>
        <w:t>laboration avec le Projet PARIIS en particulier pour développer des synergies et éviter des doublons au niveau du site de Dourou. Elle comprend cinq volets :</w:t>
      </w:r>
    </w:p>
    <w:p>
      <w:pPr>
        <w:pStyle w:val="style179"/>
        <w:numPr>
          <w:ilvl w:val="0"/>
          <w:numId w:val="125"/>
        </w:numPr>
        <w:spacing w:after="120"/>
        <w:jc w:val="both"/>
        <w:contextualSpacing/>
        <w:rPr>
          <w:sz w:val="22"/>
          <w:szCs w:val="22"/>
        </w:rPr>
      </w:pPr>
      <w:r>
        <w:rPr>
          <w:b/>
          <w:sz w:val="22"/>
          <w:szCs w:val="22"/>
        </w:rPr>
        <w:t>Volet 1 : Aménagement de périmètres irrigués.</w:t>
      </w:r>
      <w:r>
        <w:rPr>
          <w:sz w:val="22"/>
          <w:szCs w:val="22"/>
        </w:rPr>
        <w:t xml:space="preserve"> </w:t>
      </w:r>
    </w:p>
    <w:p>
      <w:pPr>
        <w:pStyle w:val="style0"/>
        <w:spacing w:before="120" w:after="120"/>
        <w:jc w:val="both"/>
        <w:rPr>
          <w:sz w:val="22"/>
          <w:szCs w:val="22"/>
        </w:rPr>
      </w:pPr>
      <w:r>
        <w:rPr>
          <w:sz w:val="22"/>
          <w:szCs w:val="22"/>
        </w:rPr>
        <w:t xml:space="preserve">Ce volet vise à accroitre à terme, les superficies aménagées et assurer la mise en valeur efficiente des terres irriguées par la pratique d’une agriculture intensive, respectueuse de l’environnement et résiliente aux changements climatiques. Ce volet est mis en œuvre à travers </w:t>
      </w:r>
      <w:r>
        <w:rPr>
          <w:sz w:val="22"/>
          <w:szCs w:val="22"/>
        </w:rPr>
        <w:t>trois</w:t>
      </w:r>
      <w:r>
        <w:rPr>
          <w:sz w:val="22"/>
          <w:szCs w:val="22"/>
        </w:rPr>
        <w:t xml:space="preserve"> </w:t>
      </w:r>
      <w:r>
        <w:rPr>
          <w:sz w:val="22"/>
          <w:szCs w:val="22"/>
        </w:rPr>
        <w:t>(</w:t>
      </w:r>
      <w:r>
        <w:rPr>
          <w:sz w:val="22"/>
          <w:szCs w:val="22"/>
        </w:rPr>
        <w:t>0</w:t>
      </w:r>
      <w:r>
        <w:rPr>
          <w:sz w:val="22"/>
          <w:szCs w:val="22"/>
        </w:rPr>
        <w:t>3</w:t>
      </w:r>
      <w:r>
        <w:rPr>
          <w:sz w:val="22"/>
          <w:szCs w:val="22"/>
        </w:rPr>
        <w:t>) actions : i) réha</w:t>
      </w:r>
      <w:r>
        <w:rPr>
          <w:sz w:val="22"/>
          <w:szCs w:val="22"/>
        </w:rPr>
        <w:t>bilitation et gestion pérenne des systèmes irrigués existants, ii) développement de nouveaux systèmes irrigués de grande taille destinés à l’entreprenariat et à l’exploitation de type familiale et iii) développement de vergers irrigués pour la production d</w:t>
      </w:r>
      <w:r>
        <w:rPr>
          <w:sz w:val="22"/>
          <w:szCs w:val="22"/>
        </w:rPr>
        <w:t>e mangue et d’anacarde.</w:t>
      </w:r>
    </w:p>
    <w:p>
      <w:pPr>
        <w:pStyle w:val="style179"/>
        <w:numPr>
          <w:ilvl w:val="0"/>
          <w:numId w:val="125"/>
        </w:numPr>
        <w:spacing w:after="120"/>
        <w:jc w:val="both"/>
        <w:contextualSpacing/>
        <w:rPr>
          <w:b/>
          <w:sz w:val="22"/>
          <w:szCs w:val="22"/>
        </w:rPr>
      </w:pPr>
      <w:r>
        <w:rPr>
          <w:b/>
          <w:sz w:val="22"/>
          <w:szCs w:val="22"/>
        </w:rPr>
        <w:t xml:space="preserve">Volet 2 : appui à la gouvernance des périmètres aménagés </w:t>
      </w:r>
    </w:p>
    <w:p>
      <w:pPr>
        <w:pStyle w:val="style0"/>
        <w:spacing w:after="240"/>
        <w:jc w:val="both"/>
        <w:rPr>
          <w:sz w:val="22"/>
          <w:szCs w:val="22"/>
        </w:rPr>
      </w:pPr>
      <w:r>
        <w:rPr>
          <w:sz w:val="22"/>
          <w:szCs w:val="22"/>
        </w:rPr>
        <w:t xml:space="preserve">Ce volet concerne le développement de services de qualité aux producteurs en vue de garantir une meilleure gestion des aménagements. Cette action traitera de l’application effective du respect des principes de gestion des périmètres irrigués conformément aux dispositions des cahiers de charge. Elle veillera à la maintenance et à l’utilisation efficiente des infrastructures hydrauliques par la mise en place des organes chargés de la gestion de l’eau agricole. </w:t>
      </w:r>
      <w:r>
        <w:rPr>
          <w:bCs/>
          <w:sz w:val="22"/>
          <w:szCs w:val="22"/>
        </w:rPr>
        <w:t xml:space="preserve">Elle </w:t>
      </w:r>
      <w:r>
        <w:rPr>
          <w:sz w:val="22"/>
          <w:szCs w:val="22"/>
        </w:rPr>
        <w:t>comporte deux actions : (i) appui à l’organisation des producteurs</w:t>
      </w:r>
      <w:r>
        <w:rPr>
          <w:sz w:val="22"/>
          <w:szCs w:val="22"/>
        </w:rPr>
        <w:t xml:space="preserve"> et</w:t>
      </w:r>
      <w:r>
        <w:rPr>
          <w:sz w:val="22"/>
          <w:szCs w:val="22"/>
        </w:rPr>
        <w:t xml:space="preserve"> (ii) renforcement des capacités des acteurs en matière de gouvernance.</w:t>
      </w:r>
    </w:p>
    <w:p>
      <w:pPr>
        <w:pStyle w:val="style179"/>
        <w:numPr>
          <w:ilvl w:val="0"/>
          <w:numId w:val="125"/>
        </w:numPr>
        <w:spacing w:after="120"/>
        <w:jc w:val="both"/>
        <w:contextualSpacing/>
        <w:rPr>
          <w:b/>
          <w:sz w:val="22"/>
          <w:szCs w:val="22"/>
        </w:rPr>
      </w:pPr>
      <w:r>
        <w:rPr>
          <w:b/>
          <w:sz w:val="22"/>
          <w:szCs w:val="22"/>
        </w:rPr>
        <w:t>Volet 3 : Sécurisation foncière</w:t>
      </w:r>
    </w:p>
    <w:p>
      <w:pPr>
        <w:pStyle w:val="style0"/>
        <w:spacing w:after="120"/>
        <w:jc w:val="both"/>
        <w:rPr>
          <w:sz w:val="22"/>
          <w:szCs w:val="22"/>
        </w:rPr>
      </w:pPr>
      <w:r>
        <w:rPr>
          <w:sz w:val="22"/>
          <w:szCs w:val="22"/>
        </w:rPr>
        <w:t xml:space="preserve">Ce volet vise à assurer la sécurisation foncière et l’immatriculation des aménagements à travers deux actions que sont : </w:t>
      </w:r>
    </w:p>
    <w:p>
      <w:pPr>
        <w:pStyle w:val="style179"/>
        <w:numPr>
          <w:ilvl w:val="0"/>
          <w:numId w:val="118"/>
        </w:numPr>
        <w:spacing w:after="120"/>
        <w:jc w:val="both"/>
        <w:contextualSpacing/>
        <w:rPr>
          <w:sz w:val="22"/>
          <w:szCs w:val="22"/>
        </w:rPr>
      </w:pPr>
      <w:r>
        <w:rPr>
          <w:sz w:val="22"/>
          <w:szCs w:val="22"/>
        </w:rPr>
        <w:t xml:space="preserve">Régularisation de la sécurisation foncière des aménagements déjà réalisés et la Sécurisation foncière des aménagements à réaliser </w:t>
      </w:r>
    </w:p>
    <w:p>
      <w:pPr>
        <w:pStyle w:val="style179"/>
        <w:numPr>
          <w:ilvl w:val="0"/>
          <w:numId w:val="118"/>
        </w:numPr>
        <w:spacing w:after="120"/>
        <w:jc w:val="both"/>
        <w:contextualSpacing/>
        <w:rPr>
          <w:sz w:val="22"/>
          <w:szCs w:val="22"/>
        </w:rPr>
      </w:pPr>
      <w:r>
        <w:rPr>
          <w:sz w:val="22"/>
          <w:szCs w:val="22"/>
        </w:rPr>
        <w:t>Appui à la mise en place et fonctionnement des Structures Locales de Gestion Foncière</w:t>
      </w:r>
    </w:p>
    <w:p>
      <w:pPr>
        <w:pStyle w:val="style179"/>
        <w:spacing w:after="120"/>
        <w:jc w:val="both"/>
        <w:rPr>
          <w:b/>
          <w:sz w:val="22"/>
          <w:szCs w:val="22"/>
        </w:rPr>
      </w:pPr>
    </w:p>
    <w:p>
      <w:pPr>
        <w:pStyle w:val="style179"/>
        <w:numPr>
          <w:ilvl w:val="0"/>
          <w:numId w:val="125"/>
        </w:numPr>
        <w:spacing w:before="120" w:after="120"/>
        <w:jc w:val="both"/>
        <w:contextualSpacing/>
        <w:rPr>
          <w:b/>
          <w:sz w:val="22"/>
          <w:szCs w:val="22"/>
        </w:rPr>
      </w:pPr>
      <w:r>
        <w:rPr>
          <w:b/>
          <w:sz w:val="22"/>
          <w:szCs w:val="22"/>
        </w:rPr>
        <w:t>Volet 4 : appui en équipements et en intrants agricoles</w:t>
      </w:r>
    </w:p>
    <w:p>
      <w:pPr>
        <w:pStyle w:val="style0"/>
        <w:spacing w:after="120"/>
        <w:jc w:val="both"/>
        <w:rPr>
          <w:sz w:val="22"/>
          <w:szCs w:val="22"/>
        </w:rPr>
      </w:pPr>
      <w:r>
        <w:rPr>
          <w:sz w:val="22"/>
          <w:szCs w:val="22"/>
        </w:rPr>
        <w:t>Ce volet vise l’accompagnement des producteurs pour l’amélioration de la productivité et de la production agricole sur les périmètres aménagés. Elle comprend deux actions :</w:t>
      </w:r>
    </w:p>
    <w:p>
      <w:pPr>
        <w:pStyle w:val="style179"/>
        <w:numPr>
          <w:ilvl w:val="0"/>
          <w:numId w:val="84"/>
        </w:numPr>
        <w:spacing w:after="120"/>
        <w:jc w:val="both"/>
        <w:contextualSpacing/>
        <w:rPr>
          <w:sz w:val="22"/>
          <w:szCs w:val="22"/>
        </w:rPr>
      </w:pPr>
      <w:r>
        <w:rPr>
          <w:b/>
          <w:sz w:val="22"/>
          <w:szCs w:val="22"/>
        </w:rPr>
        <w:t>Appui en équipement qui</w:t>
      </w:r>
      <w:r>
        <w:rPr>
          <w:sz w:val="22"/>
          <w:szCs w:val="22"/>
        </w:rPr>
        <w:t xml:space="preserve"> portera sur la promotion de la mécanisation agricole (motoculteurs, tracteurs, moissonneuses, batteuses, décortiqueuses, etc.) sur les périmètres aménagés. Son objectif est d’accroître le niveau d'utilisation des équipements agricoles de qualité pour une meilleure intensification des systèmes de production. Le mécanisme est ouvert aux producteurs individuels ou organisés et privilégie les jeunes et les femmes.</w:t>
      </w:r>
    </w:p>
    <w:p>
      <w:pPr>
        <w:pStyle w:val="style179"/>
        <w:numPr>
          <w:ilvl w:val="0"/>
          <w:numId w:val="84"/>
        </w:numPr>
        <w:spacing w:after="120"/>
        <w:jc w:val="both"/>
        <w:contextualSpacing/>
        <w:rPr>
          <w:b/>
          <w:sz w:val="22"/>
          <w:szCs w:val="22"/>
        </w:rPr>
      </w:pPr>
      <w:r>
        <w:rPr>
          <w:b/>
          <w:sz w:val="22"/>
          <w:szCs w:val="22"/>
        </w:rPr>
        <w:t xml:space="preserve">Appui en intrants. </w:t>
      </w:r>
      <w:r>
        <w:rPr>
          <w:sz w:val="22"/>
          <w:szCs w:val="22"/>
        </w:rPr>
        <w:t>Il vise à assurer la disponibilité et l’accessibilité des intrants de qualité durant les deux premières années de mise en valeur des périmètres aménagés, principalement au profit des exploitants de type familial. Le mécanisme de subventions permettra de mettre en place des fonds de roulement sur chaque périmètre.</w:t>
      </w:r>
      <w:r>
        <w:rPr>
          <w:b/>
          <w:sz w:val="22"/>
          <w:szCs w:val="22"/>
        </w:rPr>
        <w:t xml:space="preserve"> </w:t>
      </w:r>
    </w:p>
    <w:p>
      <w:pPr>
        <w:pStyle w:val="style179"/>
        <w:tabs>
          <w:tab w:val="left" w:leader="none" w:pos="3444"/>
        </w:tabs>
        <w:ind w:left="502"/>
        <w:jc w:val="both"/>
        <w:rPr>
          <w:sz w:val="22"/>
          <w:szCs w:val="22"/>
        </w:rPr>
      </w:pPr>
    </w:p>
    <w:p>
      <w:pPr>
        <w:pStyle w:val="style179"/>
        <w:numPr>
          <w:ilvl w:val="0"/>
          <w:numId w:val="125"/>
        </w:numPr>
        <w:spacing w:after="120"/>
        <w:jc w:val="both"/>
        <w:contextualSpacing/>
        <w:rPr>
          <w:b/>
          <w:sz w:val="22"/>
          <w:szCs w:val="22"/>
        </w:rPr>
      </w:pPr>
      <w:r>
        <w:rPr>
          <w:b/>
          <w:sz w:val="22"/>
          <w:szCs w:val="22"/>
        </w:rPr>
        <w:t>Volet appui en infrastructures</w:t>
      </w:r>
    </w:p>
    <w:p>
      <w:pPr>
        <w:pStyle w:val="style0"/>
        <w:spacing w:after="120"/>
        <w:jc w:val="both"/>
        <w:rPr>
          <w:sz w:val="22"/>
          <w:szCs w:val="22"/>
        </w:rPr>
      </w:pPr>
      <w:r>
        <w:rPr>
          <w:sz w:val="22"/>
          <w:szCs w:val="22"/>
        </w:rPr>
        <w:t>Ce volet portera aussi bien sur les réhabilitations que sur les nouvelles réalisations d’infrastructures de de stockage/conservation et de commercialisation. Ces infrastructures comprennent entre</w:t>
      </w:r>
      <w:r>
        <w:rPr>
          <w:sz w:val="22"/>
          <w:szCs w:val="22"/>
        </w:rPr>
        <w:t>-</w:t>
      </w:r>
      <w:r>
        <w:rPr>
          <w:sz w:val="22"/>
          <w:szCs w:val="22"/>
        </w:rPr>
        <w:t>autre</w:t>
      </w:r>
      <w:r>
        <w:rPr>
          <w:sz w:val="22"/>
          <w:szCs w:val="22"/>
        </w:rPr>
        <w:t>s</w:t>
      </w:r>
      <w:r>
        <w:rPr>
          <w:sz w:val="22"/>
          <w:szCs w:val="22"/>
        </w:rPr>
        <w:t xml:space="preserve"> : (i) les plateformes de séchage, de stockage, de triage, et de conditionnement en prélude à leur mise en marché, en particulier pour les oignons et les produits horticoles comme la tomate ; (ii) des magasins multifonctionnels de stockage, notamment pour les céréales, afin de réduire les pertes post-récoltes. </w:t>
      </w:r>
    </w:p>
    <w:p>
      <w:pPr>
        <w:pStyle w:val="style0"/>
        <w:jc w:val="both"/>
        <w:rPr>
          <w:sz w:val="22"/>
          <w:szCs w:val="22"/>
        </w:rPr>
      </w:pPr>
    </w:p>
    <w:p>
      <w:pPr>
        <w:pStyle w:val="style0"/>
        <w:spacing w:after="120"/>
        <w:jc w:val="both"/>
        <w:rPr>
          <w:sz w:val="22"/>
          <w:szCs w:val="22"/>
        </w:rPr>
      </w:pPr>
      <w:r>
        <w:rPr>
          <w:b/>
          <w:sz w:val="22"/>
          <w:szCs w:val="22"/>
        </w:rPr>
        <w:t>Sous composante 1.3 : Renforcement du réseau de pistes rurales dans les zones de production </w:t>
      </w:r>
    </w:p>
    <w:p>
      <w:pPr>
        <w:pStyle w:val="style0"/>
        <w:spacing w:after="120"/>
        <w:jc w:val="both"/>
        <w:rPr>
          <w:sz w:val="22"/>
          <w:szCs w:val="22"/>
        </w:rPr>
      </w:pPr>
      <w:r>
        <w:rPr>
          <w:sz w:val="22"/>
          <w:szCs w:val="22"/>
        </w:rPr>
        <w:t xml:space="preserve">Cette sous composante vise à renforcer les connections entre les zones de production du </w:t>
      </w:r>
      <w:r>
        <w:rPr>
          <w:sz w:val="22"/>
          <w:szCs w:val="22"/>
        </w:rPr>
        <w:t>Pro</w:t>
      </w:r>
      <w:r>
        <w:rPr>
          <w:sz w:val="22"/>
          <w:szCs w:val="22"/>
        </w:rPr>
        <w:t>gramme</w:t>
      </w:r>
      <w:r>
        <w:rPr>
          <w:sz w:val="22"/>
          <w:szCs w:val="22"/>
        </w:rPr>
        <w:t xml:space="preserve"> </w:t>
      </w:r>
      <w:r>
        <w:rPr>
          <w:sz w:val="22"/>
          <w:szCs w:val="22"/>
        </w:rPr>
        <w:t xml:space="preserve">et les marchés de commercialisation des productions et d’approvisionnement en facteurs de production, notamment les intrants agricoles.  </w:t>
      </w:r>
    </w:p>
    <w:bookmarkStart w:id="48" w:name="_Toc686082"/>
    <w:bookmarkStart w:id="49" w:name="_Toc2780469"/>
    <w:p>
      <w:pPr>
        <w:pStyle w:val="style3"/>
        <w:numPr>
          <w:ilvl w:val="0"/>
          <w:numId w:val="0"/>
        </w:numPr>
        <w:ind w:left="644" w:hanging="360"/>
        <w:rPr>
          <w:b/>
          <w:sz w:val="23"/>
          <w:szCs w:val="23"/>
          <w:u w:val="none"/>
        </w:rPr>
      </w:pPr>
      <w:r>
        <w:rPr>
          <w:b/>
          <w:sz w:val="23"/>
          <w:szCs w:val="23"/>
          <w:u w:val="none"/>
        </w:rPr>
        <w:t xml:space="preserve">2.2.2. </w:t>
      </w:r>
      <w:r>
        <w:rPr>
          <w:b/>
          <w:sz w:val="23"/>
          <w:szCs w:val="23"/>
          <w:u w:val="none"/>
        </w:rPr>
        <w:t>Composante 2 : amélioration de l’accès au marché et soutien au financement du secteur privé</w:t>
      </w:r>
      <w:bookmarkEnd w:id="48"/>
      <w:bookmarkEnd w:id="49"/>
      <w:r>
        <w:rPr>
          <w:b/>
          <w:sz w:val="23"/>
          <w:szCs w:val="23"/>
          <w:u w:val="none"/>
        </w:rPr>
        <w:t xml:space="preserve"> </w:t>
      </w:r>
    </w:p>
    <w:p>
      <w:pPr>
        <w:pStyle w:val="style0"/>
        <w:spacing w:after="120"/>
        <w:jc w:val="both"/>
        <w:rPr>
          <w:sz w:val="22"/>
          <w:szCs w:val="22"/>
        </w:rPr>
      </w:pPr>
      <w:r>
        <w:rPr>
          <w:sz w:val="22"/>
          <w:szCs w:val="22"/>
        </w:rPr>
        <w:t xml:space="preserve">Cette composante </w:t>
      </w:r>
      <w:r>
        <w:rPr>
          <w:bCs/>
          <w:sz w:val="22"/>
          <w:szCs w:val="22"/>
        </w:rPr>
        <w:t>vise à promouvoir l’approche chaine de valeur et de marché. Elle</w:t>
      </w:r>
      <w:r>
        <w:rPr>
          <w:sz w:val="22"/>
          <w:szCs w:val="22"/>
        </w:rPr>
        <w:t xml:space="preserve"> a pour objectif d’augmenter la compétitivité du secteur de production, de transformation des produits agricoles et de l’accès aux marchés domestiques et étrangers. Elle comprend trois sous composantes : (i) le </w:t>
      </w:r>
      <w:r>
        <w:rPr>
          <w:sz w:val="22"/>
          <w:szCs w:val="22"/>
        </w:rPr>
        <w:t xml:space="preserve">renforcement du cadre règlementaire favorisant l’accès aux marchés ; (ii) l’appui au développement des affaires ; (iii) et l’appui au financement des activités de production, de transformation, de conditionnement et de mise en marché. </w:t>
      </w:r>
    </w:p>
    <w:p>
      <w:pPr>
        <w:pStyle w:val="style0"/>
        <w:jc w:val="both"/>
        <w:rPr>
          <w:sz w:val="22"/>
          <w:szCs w:val="22"/>
        </w:rPr>
      </w:pPr>
    </w:p>
    <w:p>
      <w:pPr>
        <w:pStyle w:val="style0"/>
        <w:spacing w:after="120"/>
        <w:jc w:val="both"/>
        <w:rPr>
          <w:b/>
          <w:sz w:val="22"/>
          <w:szCs w:val="22"/>
        </w:rPr>
      </w:pPr>
      <w:r>
        <w:rPr>
          <w:b/>
          <w:sz w:val="22"/>
          <w:szCs w:val="22"/>
        </w:rPr>
        <w:t>Sous composante 2.1 : Cadre règlementaire et développement des affaires</w:t>
      </w:r>
    </w:p>
    <w:p>
      <w:pPr>
        <w:pStyle w:val="style0"/>
        <w:spacing w:after="120"/>
        <w:jc w:val="both"/>
        <w:rPr>
          <w:sz w:val="22"/>
          <w:szCs w:val="22"/>
        </w:rPr>
      </w:pPr>
      <w:r>
        <w:rPr>
          <w:sz w:val="22"/>
          <w:szCs w:val="22"/>
        </w:rPr>
        <w:t xml:space="preserve">Cette sous composante vise à lever les contraintes relatives au cadre règlementaire qui entravent le développement du secteur privé dans les filières ciblées à travers les actions suivantes : </w:t>
      </w:r>
    </w:p>
    <w:p>
      <w:pPr>
        <w:pStyle w:val="style179"/>
        <w:numPr>
          <w:ilvl w:val="0"/>
          <w:numId w:val="9"/>
        </w:numPr>
        <w:spacing w:after="120"/>
        <w:ind w:left="360" w:hanging="360"/>
        <w:jc w:val="both"/>
        <w:contextualSpacing/>
        <w:rPr>
          <w:sz w:val="22"/>
          <w:szCs w:val="22"/>
        </w:rPr>
      </w:pPr>
      <w:r>
        <w:rPr>
          <w:b/>
          <w:sz w:val="22"/>
          <w:szCs w:val="22"/>
        </w:rPr>
        <w:t>la régul</w:t>
      </w:r>
      <w:r>
        <w:rPr>
          <w:b/>
          <w:sz w:val="22"/>
          <w:szCs w:val="22"/>
        </w:rPr>
        <w:t>ation du commerce</w:t>
      </w:r>
      <w:r>
        <w:rPr>
          <w:b/>
          <w:sz w:val="22"/>
          <w:szCs w:val="22"/>
        </w:rPr>
        <w:t> :</w:t>
      </w:r>
      <w:r>
        <w:rPr>
          <w:b/>
          <w:sz w:val="22"/>
          <w:szCs w:val="22"/>
        </w:rPr>
        <w:t xml:space="preserve"> </w:t>
      </w:r>
      <w:r>
        <w:rPr>
          <w:sz w:val="22"/>
          <w:szCs w:val="22"/>
        </w:rPr>
        <w:t xml:space="preserve">mettre </w:t>
      </w:r>
      <w:r>
        <w:rPr>
          <w:sz w:val="22"/>
          <w:szCs w:val="22"/>
        </w:rPr>
        <w:t xml:space="preserve">en place ou adapter le cadre règlementaire national existant de règlementation sanitaire et phytosanitaire afin de s’assurer que les règlementations et les installations sur la salubrité  et la qualité des aliments sont </w:t>
      </w:r>
      <w:r>
        <w:rPr>
          <w:sz w:val="22"/>
          <w:szCs w:val="22"/>
        </w:rPr>
        <w:t>appropriés pour permettre au pays d’accéder au marché domestique et étranger.</w:t>
      </w:r>
    </w:p>
    <w:p>
      <w:pPr>
        <w:pStyle w:val="style179"/>
        <w:numPr>
          <w:ilvl w:val="0"/>
          <w:numId w:val="9"/>
        </w:numPr>
        <w:spacing w:after="120"/>
        <w:ind w:left="360" w:hanging="360"/>
        <w:jc w:val="both"/>
        <w:contextualSpacing/>
        <w:rPr>
          <w:sz w:val="22"/>
          <w:szCs w:val="22"/>
        </w:rPr>
      </w:pPr>
      <w:r>
        <w:rPr>
          <w:b/>
          <w:sz w:val="22"/>
          <w:szCs w:val="22"/>
        </w:rPr>
        <w:t>la règlementation sur le développement des affaires</w:t>
      </w:r>
      <w:r>
        <w:rPr>
          <w:b/>
          <w:sz w:val="22"/>
          <w:szCs w:val="22"/>
        </w:rPr>
        <w:t> </w:t>
      </w:r>
      <w:r>
        <w:rPr>
          <w:sz w:val="22"/>
          <w:szCs w:val="22"/>
        </w:rPr>
        <w:t xml:space="preserve">: </w:t>
      </w:r>
      <w:r>
        <w:rPr>
          <w:sz w:val="22"/>
          <w:szCs w:val="22"/>
        </w:rPr>
        <w:t xml:space="preserve">rationaliser/simplifier  les règlementations, ainsi que les dispositifs de contrôles et de taxation qui causent des tracasseries pour les activités privées, notamment celles relatives au secteur agricole et de l’alimentation. </w:t>
      </w:r>
    </w:p>
    <w:p>
      <w:pPr>
        <w:pStyle w:val="style0"/>
        <w:spacing w:after="120"/>
        <w:jc w:val="both"/>
        <w:rPr>
          <w:b/>
          <w:sz w:val="22"/>
          <w:szCs w:val="22"/>
        </w:rPr>
      </w:pPr>
      <w:r>
        <w:rPr>
          <w:b/>
          <w:sz w:val="22"/>
          <w:szCs w:val="22"/>
        </w:rPr>
        <w:t>Sous composante 2.2. appui au développement des affaires </w:t>
      </w:r>
    </w:p>
    <w:p>
      <w:pPr>
        <w:pStyle w:val="style0"/>
        <w:spacing w:after="120"/>
        <w:jc w:val="both"/>
        <w:rPr>
          <w:sz w:val="22"/>
          <w:szCs w:val="22"/>
        </w:rPr>
      </w:pPr>
      <w:r>
        <w:rPr>
          <w:sz w:val="22"/>
          <w:szCs w:val="22"/>
        </w:rPr>
        <w:t>La sous composante 2.2 cherche à atténuer la contrainte de financement en améliorant l'accès au financement pour les investisseurs du secteur de l'agriculture et de l'agro-industrie. Il financera une ligne budgétaire appelée "Facilité financière dédiée" (FF</w:t>
      </w:r>
      <w:r>
        <w:rPr>
          <w:sz w:val="22"/>
          <w:szCs w:val="22"/>
        </w:rPr>
        <w:t>D</w:t>
      </w:r>
      <w:r>
        <w:rPr>
          <w:sz w:val="22"/>
          <w:szCs w:val="22"/>
        </w:rPr>
        <w:t xml:space="preserve">) - destinée à aider partiellement les exploitants du secteur de l’agriculture et de l’agroalimentaire à financer leurs investissements. La DFF s’appuiera sur le principe central de la MFD pour avoir un effet multiplicateur en ce qui concerne la génération de prêts d’investissements en capitaux privés de la part des institutions financières partenaires (IFP). </w:t>
      </w:r>
    </w:p>
    <w:p>
      <w:pPr>
        <w:pStyle w:val="style0"/>
        <w:spacing w:after="120"/>
        <w:jc w:val="both"/>
        <w:rPr>
          <w:sz w:val="23"/>
          <w:szCs w:val="23"/>
        </w:rPr>
      </w:pPr>
    </w:p>
    <w:bookmarkStart w:id="50" w:name="_Toc686083"/>
    <w:bookmarkStart w:id="51" w:name="_Toc2780470"/>
    <w:p>
      <w:pPr>
        <w:pStyle w:val="style3"/>
        <w:numPr>
          <w:ilvl w:val="0"/>
          <w:numId w:val="0"/>
        </w:numPr>
        <w:ind w:left="644" w:hanging="360"/>
        <w:rPr>
          <w:b/>
          <w:sz w:val="23"/>
          <w:szCs w:val="23"/>
          <w:u w:val="none"/>
        </w:rPr>
      </w:pPr>
      <w:r>
        <w:rPr>
          <w:b/>
          <w:sz w:val="23"/>
          <w:szCs w:val="23"/>
          <w:u w:val="none"/>
        </w:rPr>
        <w:t xml:space="preserve">2.2.3. </w:t>
      </w:r>
      <w:r>
        <w:rPr>
          <w:b/>
          <w:sz w:val="23"/>
          <w:szCs w:val="23"/>
          <w:u w:val="none"/>
        </w:rPr>
        <w:t xml:space="preserve">Composante 3 : prévention des crises, coordination et gestion du </w:t>
      </w:r>
      <w:r>
        <w:rPr>
          <w:b/>
          <w:sz w:val="23"/>
          <w:szCs w:val="23"/>
          <w:u w:val="none"/>
        </w:rPr>
        <w:t>P</w:t>
      </w:r>
      <w:r>
        <w:rPr>
          <w:b/>
          <w:sz w:val="23"/>
          <w:szCs w:val="23"/>
          <w:u w:val="none"/>
        </w:rPr>
        <w:t>rogramme</w:t>
      </w:r>
      <w:bookmarkEnd w:id="50"/>
      <w:bookmarkEnd w:id="51"/>
      <w:r>
        <w:rPr>
          <w:b/>
          <w:sz w:val="23"/>
          <w:szCs w:val="23"/>
          <w:u w:val="none"/>
        </w:rPr>
        <w:t xml:space="preserve"> </w:t>
      </w:r>
    </w:p>
    <w:p>
      <w:pPr>
        <w:pStyle w:val="style0"/>
        <w:spacing w:after="120"/>
        <w:jc w:val="both"/>
        <w:rPr>
          <w:sz w:val="22"/>
          <w:szCs w:val="22"/>
        </w:rPr>
      </w:pPr>
      <w:r>
        <w:rPr>
          <w:sz w:val="22"/>
          <w:szCs w:val="22"/>
        </w:rPr>
        <w:t xml:space="preserve">Cette composante vise à renforcer la préparation et la gestion du Programme. Elle assurera la coordination du Programme, incluant le suivi-évaluation ainsi que les activités liées aux mesures de sauvegardes sociale et environnementale. Cette composante comprend </w:t>
      </w:r>
      <w:r>
        <w:rPr>
          <w:sz w:val="22"/>
          <w:szCs w:val="22"/>
        </w:rPr>
        <w:t>quatre (04)</w:t>
      </w:r>
      <w:r>
        <w:rPr>
          <w:sz w:val="22"/>
          <w:szCs w:val="22"/>
        </w:rPr>
        <w:t xml:space="preserve"> </w:t>
      </w:r>
      <w:r>
        <w:rPr>
          <w:sz w:val="22"/>
          <w:szCs w:val="22"/>
        </w:rPr>
        <w:t xml:space="preserve">sous-composantes : (i) sous composante 3.1 – Prévention et gestion des crises ; (ii) Sous composante 3.2- sauvegarde environnementale et </w:t>
      </w:r>
      <w:r>
        <w:rPr>
          <w:sz w:val="22"/>
          <w:szCs w:val="22"/>
        </w:rPr>
        <w:t xml:space="preserve">sociale </w:t>
      </w:r>
      <w:r>
        <w:rPr>
          <w:sz w:val="22"/>
          <w:szCs w:val="22"/>
        </w:rPr>
        <w:t>;</w:t>
      </w:r>
      <w:r>
        <w:rPr>
          <w:sz w:val="22"/>
          <w:szCs w:val="22"/>
        </w:rPr>
        <w:t xml:space="preserve"> </w:t>
      </w:r>
      <w:r>
        <w:rPr>
          <w:sz w:val="22"/>
          <w:szCs w:val="22"/>
        </w:rPr>
        <w:t>(iii) sous composante 3.3 –renforceme</w:t>
      </w:r>
      <w:r>
        <w:rPr>
          <w:sz w:val="22"/>
          <w:szCs w:val="22"/>
        </w:rPr>
        <w:t xml:space="preserve">nt de capacités institutionnelles et (iv) sous composante 3-4-coordination et suivi- évaluation. </w:t>
      </w:r>
    </w:p>
    <w:p>
      <w:pPr>
        <w:pStyle w:val="style0"/>
        <w:jc w:val="both"/>
        <w:rPr>
          <w:sz w:val="22"/>
          <w:szCs w:val="22"/>
        </w:rPr>
      </w:pPr>
    </w:p>
    <w:p>
      <w:pPr>
        <w:pStyle w:val="style0"/>
        <w:spacing w:after="120"/>
        <w:jc w:val="both"/>
        <w:rPr>
          <w:sz w:val="22"/>
          <w:szCs w:val="22"/>
        </w:rPr>
      </w:pPr>
      <w:r>
        <w:rPr>
          <w:b/>
          <w:sz w:val="22"/>
          <w:szCs w:val="22"/>
        </w:rPr>
        <w:t xml:space="preserve">Sous composante 3.1 Prévention </w:t>
      </w:r>
      <w:r>
        <w:rPr>
          <w:b/>
          <w:sz w:val="22"/>
          <w:szCs w:val="22"/>
        </w:rPr>
        <w:t xml:space="preserve">et </w:t>
      </w:r>
      <w:r>
        <w:rPr>
          <w:b/>
          <w:sz w:val="22"/>
          <w:szCs w:val="22"/>
        </w:rPr>
        <w:t>gestion</w:t>
      </w:r>
      <w:r>
        <w:rPr>
          <w:sz w:val="22"/>
          <w:szCs w:val="22"/>
        </w:rPr>
        <w:t xml:space="preserve"> des</w:t>
      </w:r>
      <w:r>
        <w:rPr>
          <w:b/>
          <w:sz w:val="22"/>
          <w:szCs w:val="22"/>
        </w:rPr>
        <w:t xml:space="preserve"> crises </w:t>
      </w:r>
    </w:p>
    <w:p>
      <w:pPr>
        <w:pStyle w:val="style0"/>
        <w:spacing w:after="120"/>
        <w:jc w:val="both"/>
        <w:rPr>
          <w:sz w:val="22"/>
          <w:szCs w:val="22"/>
        </w:rPr>
      </w:pPr>
      <w:r>
        <w:rPr>
          <w:sz w:val="22"/>
          <w:szCs w:val="22"/>
        </w:rPr>
        <w:t>Cette sous-composante vise à renforcer la préparation des différentes institutions concernées à faire face aux crises et situations d’urgences</w:t>
      </w:r>
      <w:r>
        <w:rPr>
          <w:sz w:val="22"/>
          <w:szCs w:val="22"/>
        </w:rPr>
        <w:t>, d’origine naturelle ou anthropique,</w:t>
      </w:r>
      <w:r>
        <w:rPr>
          <w:sz w:val="22"/>
          <w:szCs w:val="22"/>
        </w:rPr>
        <w:t xml:space="preserve"> éligibles et en lien avec l’agro-business et la commercialisation des produits agricoles. </w:t>
      </w:r>
    </w:p>
    <w:p>
      <w:pPr>
        <w:pStyle w:val="style0"/>
        <w:spacing w:after="120"/>
        <w:jc w:val="both"/>
        <w:rPr>
          <w:b/>
          <w:sz w:val="22"/>
          <w:szCs w:val="22"/>
        </w:rPr>
      </w:pPr>
      <w:r>
        <w:rPr>
          <w:b/>
          <w:sz w:val="22"/>
          <w:szCs w:val="22"/>
        </w:rPr>
        <w:t>Sous composante 3.2 : Sauvegardes environnementales et sociales</w:t>
      </w:r>
    </w:p>
    <w:p>
      <w:pPr>
        <w:pStyle w:val="style0"/>
        <w:spacing w:after="52"/>
        <w:jc w:val="both"/>
        <w:rPr>
          <w:sz w:val="22"/>
          <w:szCs w:val="22"/>
        </w:rPr>
      </w:pPr>
      <w:r>
        <w:rPr>
          <w:sz w:val="22"/>
          <w:szCs w:val="22"/>
        </w:rPr>
        <w:t xml:space="preserve">Par la nature, les caractéristiques et l’envergure des travaux envisagés dans le cadre de l’exécution du Programme, il a été classé en catégorie « A » selon les critères de catégorisation environnementale et sociale de la Banque mondiale et sept (7) politiques opérationnelles de sauvegardes environnementales et sociales sont déclenchées à savoir : (i) PO 4.01« Evaluation Environnementale »; (ii)PO 4.09« Gestion des pestes » ; (iii) PO 4.04« Habitats Naturels »; (iv) PO 4.11 « Ressources culturelles physiques », (v) PO 4.37 « Sécurité des barrages » ,(vi) PO 4.12 « Réinstallation Involontaire » et (vii) OP 7.50« Projets sur les voies d’eaux internationales ». </w:t>
      </w:r>
    </w:p>
    <w:p>
      <w:pPr>
        <w:pStyle w:val="style0"/>
        <w:widowControl w:val="false"/>
        <w:shd w:val="clear" w:color="auto" w:fill="ffffff"/>
        <w:autoSpaceDE w:val="false"/>
        <w:autoSpaceDN w:val="false"/>
        <w:adjustRightInd w:val="false"/>
        <w:spacing w:before="5"/>
        <w:jc w:val="both"/>
        <w:rPr>
          <w:sz w:val="22"/>
          <w:szCs w:val="22"/>
        </w:rPr>
      </w:pPr>
    </w:p>
    <w:p>
      <w:pPr>
        <w:pStyle w:val="style0"/>
        <w:widowControl w:val="false"/>
        <w:shd w:val="clear" w:color="auto" w:fill="ffffff"/>
        <w:autoSpaceDE w:val="false"/>
        <w:autoSpaceDN w:val="false"/>
        <w:adjustRightInd w:val="false"/>
        <w:spacing w:before="5"/>
        <w:jc w:val="both"/>
        <w:rPr>
          <w:sz w:val="22"/>
          <w:szCs w:val="22"/>
        </w:rPr>
      </w:pPr>
      <w:r>
        <w:rPr>
          <w:sz w:val="22"/>
          <w:szCs w:val="22"/>
        </w:rPr>
        <w:t xml:space="preserve">En conséquence, les instruments de sauvegardes suivants doivent être préparés par le Gouvernement : (i) un Cadre de Gestion Environnementale et Sociale (CGES), (ii) un Plan de Gestion des Pestes (PGP), (iii) un Cadre de Politique de Réinstallation (CPR), (iv) </w:t>
      </w:r>
      <w:r>
        <w:rPr>
          <w:sz w:val="22"/>
          <w:szCs w:val="22"/>
        </w:rPr>
        <w:t>une</w:t>
      </w:r>
      <w:r>
        <w:rPr>
          <w:sz w:val="22"/>
          <w:szCs w:val="22"/>
        </w:rPr>
        <w:t xml:space="preserve"> </w:t>
      </w:r>
      <w:r>
        <w:rPr>
          <w:sz w:val="22"/>
          <w:szCs w:val="22"/>
        </w:rPr>
        <w:t xml:space="preserve">(01) </w:t>
      </w:r>
      <w:r>
        <w:rPr>
          <w:sz w:val="22"/>
          <w:szCs w:val="22"/>
        </w:rPr>
        <w:t>Etude d’Impact Environnemental Social</w:t>
      </w:r>
      <w:r>
        <w:rPr>
          <w:sz w:val="22"/>
          <w:szCs w:val="22"/>
        </w:rPr>
        <w:t xml:space="preserve"> </w:t>
      </w:r>
      <w:r>
        <w:rPr>
          <w:sz w:val="22"/>
          <w:szCs w:val="22"/>
        </w:rPr>
        <w:t xml:space="preserve">(EIES) et </w:t>
      </w:r>
      <w:r>
        <w:rPr>
          <w:sz w:val="22"/>
          <w:szCs w:val="22"/>
        </w:rPr>
        <w:t>un</w:t>
      </w:r>
      <w:r>
        <w:rPr>
          <w:sz w:val="22"/>
          <w:szCs w:val="22"/>
        </w:rPr>
        <w:t xml:space="preserve"> </w:t>
      </w:r>
      <w:r>
        <w:rPr>
          <w:sz w:val="22"/>
          <w:szCs w:val="22"/>
        </w:rPr>
        <w:t xml:space="preserve">(01) </w:t>
      </w:r>
      <w:r>
        <w:rPr>
          <w:sz w:val="22"/>
          <w:szCs w:val="22"/>
        </w:rPr>
        <w:t>Plan d’Action de Réinstallation</w:t>
      </w:r>
      <w:r>
        <w:rPr>
          <w:sz w:val="22"/>
          <w:szCs w:val="22"/>
        </w:rPr>
        <w:t xml:space="preserve"> </w:t>
      </w:r>
      <w:r>
        <w:rPr>
          <w:sz w:val="22"/>
          <w:szCs w:val="22"/>
        </w:rPr>
        <w:t>(PAR)</w:t>
      </w:r>
      <w:r>
        <w:rPr>
          <w:sz w:val="22"/>
          <w:szCs w:val="22"/>
        </w:rPr>
        <w:t xml:space="preserve"> pour l’aménagement/réhabilitation de la plaine de Banzon</w:t>
      </w:r>
      <w:r>
        <w:rPr>
          <w:sz w:val="22"/>
          <w:szCs w:val="22"/>
        </w:rPr>
        <w:t>.</w:t>
      </w:r>
      <w:r>
        <w:rPr>
          <w:sz w:val="22"/>
          <w:szCs w:val="22"/>
        </w:rPr>
        <w:t xml:space="preserve"> </w:t>
      </w:r>
    </w:p>
    <w:p>
      <w:pPr>
        <w:pStyle w:val="style0"/>
        <w:jc w:val="both"/>
        <w:rPr>
          <w:b/>
          <w:sz w:val="22"/>
          <w:szCs w:val="22"/>
        </w:rPr>
      </w:pPr>
    </w:p>
    <w:p>
      <w:pPr>
        <w:pStyle w:val="style0"/>
        <w:spacing w:after="120"/>
        <w:jc w:val="both"/>
        <w:rPr>
          <w:b/>
          <w:sz w:val="22"/>
          <w:szCs w:val="22"/>
        </w:rPr>
      </w:pPr>
      <w:r>
        <w:rPr>
          <w:b/>
          <w:sz w:val="22"/>
          <w:szCs w:val="22"/>
        </w:rPr>
        <w:t>Sous composante 3.3 –renforcement de capacités institutionnelles</w:t>
      </w:r>
    </w:p>
    <w:p>
      <w:pPr>
        <w:pStyle w:val="style0"/>
        <w:spacing w:after="120"/>
        <w:jc w:val="both"/>
        <w:rPr>
          <w:sz w:val="22"/>
          <w:szCs w:val="22"/>
        </w:rPr>
      </w:pPr>
      <w:r>
        <w:rPr>
          <w:sz w:val="22"/>
          <w:szCs w:val="22"/>
        </w:rPr>
        <w:t>Le Programme appuiera les entités et structures en charge de la formulation et de la mise en œuvre des politiques, des cadres légaux et règl</w:t>
      </w:r>
      <w:r>
        <w:rPr>
          <w:sz w:val="22"/>
          <w:szCs w:val="22"/>
        </w:rPr>
        <w:t xml:space="preserve">ementaires pour la promotion de l’emploi, du secteur privé, des investissements, de la gouvernance et des partenariats à travers toutes les chaines des valeurs des filières agricoles. </w:t>
      </w:r>
    </w:p>
    <w:p>
      <w:pPr>
        <w:pStyle w:val="style0"/>
        <w:spacing w:after="120"/>
        <w:jc w:val="both"/>
        <w:rPr>
          <w:b/>
          <w:sz w:val="22"/>
          <w:szCs w:val="22"/>
        </w:rPr>
      </w:pPr>
    </w:p>
    <w:p>
      <w:pPr>
        <w:pStyle w:val="style0"/>
        <w:spacing w:after="120"/>
        <w:jc w:val="both"/>
        <w:rPr>
          <w:b/>
          <w:sz w:val="22"/>
          <w:szCs w:val="22"/>
        </w:rPr>
      </w:pPr>
      <w:r>
        <w:rPr>
          <w:b/>
          <w:sz w:val="22"/>
          <w:szCs w:val="22"/>
        </w:rPr>
        <w:t>Sous Composante 3.</w:t>
      </w:r>
      <w:r>
        <w:rPr>
          <w:b/>
          <w:sz w:val="22"/>
          <w:szCs w:val="22"/>
        </w:rPr>
        <w:t>4</w:t>
      </w:r>
      <w:r>
        <w:rPr>
          <w:b/>
          <w:sz w:val="22"/>
          <w:szCs w:val="22"/>
        </w:rPr>
        <w:t> </w:t>
      </w:r>
      <w:r>
        <w:rPr>
          <w:b/>
          <w:sz w:val="22"/>
          <w:szCs w:val="22"/>
        </w:rPr>
        <w:t>: Coordination, gestion et suivi évaluation du Programme</w:t>
      </w:r>
    </w:p>
    <w:p>
      <w:pPr>
        <w:pStyle w:val="style0"/>
        <w:spacing w:after="120"/>
        <w:jc w:val="both"/>
        <w:rPr>
          <w:sz w:val="22"/>
          <w:szCs w:val="22"/>
        </w:rPr>
      </w:pPr>
      <w:r>
        <w:rPr>
          <w:sz w:val="22"/>
          <w:szCs w:val="22"/>
        </w:rPr>
        <w:t>Cette sous composante vise à financer la mise en place d’une Unité de coordination du Programme (UCP), incluant le recrutement de personnel et le financement de la gestion et de la coordination.</w:t>
      </w:r>
    </w:p>
    <w:p>
      <w:pPr>
        <w:pStyle w:val="style0"/>
        <w:spacing w:after="120"/>
        <w:jc w:val="both"/>
        <w:rPr>
          <w:sz w:val="22"/>
          <w:szCs w:val="22"/>
        </w:rPr>
      </w:pPr>
      <w:r>
        <w:rPr>
          <w:sz w:val="22"/>
          <w:szCs w:val="22"/>
        </w:rPr>
        <w:t xml:space="preserve">Le Ministère de l’agriculture et des aménagements hydrauliques (MAAH) assurera la tutelle technique du programme. Le Ministère de l’économie, des finances et du développement (MINEFID) assure la tutelle financière du programme. </w:t>
      </w:r>
    </w:p>
    <w:p>
      <w:pPr>
        <w:pStyle w:val="style179"/>
        <w:numPr>
          <w:ilvl w:val="0"/>
          <w:numId w:val="76"/>
        </w:numPr>
        <w:spacing w:after="200"/>
        <w:contextualSpacing/>
        <w:rPr>
          <w:b/>
          <w:color w:val="000000"/>
          <w:sz w:val="22"/>
          <w:szCs w:val="22"/>
        </w:rPr>
      </w:pPr>
      <w:r>
        <w:rPr>
          <w:b/>
          <w:color w:val="000000"/>
          <w:sz w:val="22"/>
          <w:szCs w:val="22"/>
        </w:rPr>
        <w:t>L’organe d’orientation</w:t>
      </w:r>
    </w:p>
    <w:p>
      <w:pPr>
        <w:pStyle w:val="style0"/>
        <w:jc w:val="both"/>
        <w:rPr>
          <w:sz w:val="22"/>
          <w:szCs w:val="22"/>
        </w:rPr>
      </w:pPr>
      <w:r>
        <w:rPr>
          <w:sz w:val="22"/>
          <w:szCs w:val="22"/>
        </w:rPr>
        <w:t xml:space="preserve">L’organe d’orientation et pilotage du Programme est le </w:t>
      </w:r>
      <w:r>
        <w:rPr>
          <w:b/>
          <w:sz w:val="22"/>
          <w:szCs w:val="22"/>
        </w:rPr>
        <w:t>com</w:t>
      </w:r>
      <w:r>
        <w:rPr>
          <w:b/>
          <w:sz w:val="22"/>
          <w:szCs w:val="22"/>
        </w:rPr>
        <w:t>ité de revue</w:t>
      </w:r>
      <w:r>
        <w:rPr>
          <w:sz w:val="22"/>
          <w:szCs w:val="22"/>
        </w:rPr>
        <w:t xml:space="preserve"> selon la réglementation générale des projets et programmes en vigueur au Burkina Faso. La composition, les attributions et le fonctionnement du comité de revue sont fixés par arrêté du ministre en charge de la tutelle technique. </w:t>
      </w:r>
    </w:p>
    <w:p>
      <w:pPr>
        <w:pStyle w:val="style0"/>
        <w:jc w:val="both"/>
        <w:rPr>
          <w:sz w:val="22"/>
          <w:szCs w:val="22"/>
        </w:rPr>
      </w:pPr>
    </w:p>
    <w:p>
      <w:pPr>
        <w:pStyle w:val="style179"/>
        <w:numPr>
          <w:ilvl w:val="0"/>
          <w:numId w:val="76"/>
        </w:numPr>
        <w:spacing w:after="200"/>
        <w:contextualSpacing/>
        <w:rPr>
          <w:b/>
          <w:color w:val="000000"/>
          <w:sz w:val="22"/>
          <w:szCs w:val="22"/>
        </w:rPr>
      </w:pPr>
      <w:r>
        <w:rPr>
          <w:b/>
          <w:color w:val="000000"/>
          <w:sz w:val="22"/>
          <w:szCs w:val="22"/>
        </w:rPr>
        <w:t>Coordination du Programme</w:t>
      </w:r>
    </w:p>
    <w:p>
      <w:pPr>
        <w:pStyle w:val="style0"/>
        <w:keepLines/>
        <w:suppressAutoHyphens/>
        <w:spacing w:before="120" w:after="120"/>
        <w:jc w:val="both"/>
        <w:rPr>
          <w:sz w:val="22"/>
          <w:szCs w:val="22"/>
        </w:rPr>
      </w:pPr>
      <w:r>
        <w:rPr>
          <w:sz w:val="22"/>
          <w:szCs w:val="22"/>
        </w:rPr>
        <w:t xml:space="preserve">Conformément au Décret n° 2018-0092/PRES/PM/MINEFID du 15 février 2018 portant réglementation générale des projets et programmes de développement exécutés au Burkina Faso, le PDCA sera rattaché au Programme budgétaire “Aménagements hydro agricoles et irrigation” du Ministère de l’agriculture et des aménagements hydrauliques et classé en catégorie 1. En application dudit décret, le responsable du programme budgétaire de rattachement est de facto le coordonnateur du Programme.  </w:t>
      </w:r>
    </w:p>
    <w:p>
      <w:pPr>
        <w:pStyle w:val="style0"/>
        <w:keepLines/>
        <w:suppressAutoHyphens/>
        <w:spacing w:before="120" w:after="120"/>
        <w:jc w:val="both"/>
        <w:rPr>
          <w:sz w:val="22"/>
          <w:szCs w:val="22"/>
        </w:rPr>
      </w:pPr>
    </w:p>
    <w:p>
      <w:pPr>
        <w:pStyle w:val="style179"/>
        <w:numPr>
          <w:ilvl w:val="0"/>
          <w:numId w:val="7"/>
        </w:numPr>
        <w:spacing w:after="200"/>
        <w:contextualSpacing/>
        <w:rPr>
          <w:b/>
          <w:color w:val="000000"/>
          <w:sz w:val="22"/>
          <w:szCs w:val="22"/>
        </w:rPr>
      </w:pPr>
      <w:r>
        <w:rPr>
          <w:b/>
          <w:color w:val="000000"/>
          <w:sz w:val="22"/>
          <w:szCs w:val="22"/>
        </w:rPr>
        <w:t>Procédure de mobilisation des ressources financières</w:t>
      </w:r>
    </w:p>
    <w:p>
      <w:pPr>
        <w:pStyle w:val="style0"/>
        <w:spacing w:after="120"/>
        <w:jc w:val="both"/>
        <w:rPr>
          <w:sz w:val="22"/>
          <w:szCs w:val="22"/>
        </w:rPr>
      </w:pPr>
      <w:r>
        <w:rPr>
          <w:sz w:val="22"/>
          <w:szCs w:val="22"/>
        </w:rPr>
        <w:t xml:space="preserve">Le MINEFID joue un rôle central dans la réalisation des résultats du Programme. A ce propos, il est responsable de l’exécution du budget du Programme (assurant les flux de fonds) et de l’établissement de normes et de processus pour la gestion financière du Programme. Dans le souci d’éviter le rationnement des liquidités et rationaliser le processus de paiement du Programme, il sera ouvert un Compte d’affectation spéciale du Trésor (CAST) pour recevoir les fonds du Programme. Le CAST permettra de lier directement les ressources aux dépenses, contrairement au budget général où les ressources ne peuvent être affectées à des dépenses spécifiques. </w:t>
      </w:r>
    </w:p>
    <w:p>
      <w:pPr>
        <w:pStyle w:val="style0"/>
        <w:spacing w:after="120"/>
        <w:jc w:val="both"/>
        <w:rPr>
          <w:sz w:val="22"/>
          <w:szCs w:val="22"/>
        </w:rPr>
      </w:pPr>
    </w:p>
    <w:p>
      <w:pPr>
        <w:pStyle w:val="style179"/>
        <w:numPr>
          <w:ilvl w:val="0"/>
          <w:numId w:val="7"/>
        </w:numPr>
        <w:spacing w:after="200" w:lineRule="auto" w:line="276"/>
        <w:contextualSpacing/>
        <w:rPr>
          <w:b/>
          <w:color w:val="000000"/>
          <w:sz w:val="22"/>
          <w:szCs w:val="22"/>
        </w:rPr>
      </w:pPr>
      <w:r>
        <w:rPr>
          <w:b/>
          <w:color w:val="000000"/>
          <w:sz w:val="22"/>
          <w:szCs w:val="22"/>
        </w:rPr>
        <w:t>Suivi -évaluation des activités du Programme</w:t>
      </w:r>
    </w:p>
    <w:p>
      <w:pPr>
        <w:pStyle w:val="style0"/>
        <w:spacing w:after="120"/>
        <w:jc w:val="both"/>
        <w:rPr>
          <w:sz w:val="22"/>
          <w:szCs w:val="22"/>
        </w:rPr>
      </w:pPr>
      <w:r>
        <w:rPr>
          <w:sz w:val="22"/>
          <w:szCs w:val="22"/>
        </w:rPr>
        <w:t xml:space="preserve">Un dispositif de suivi-évaluation sera mis en place </w:t>
      </w:r>
      <w:r>
        <w:rPr>
          <w:sz w:val="22"/>
          <w:szCs w:val="22"/>
        </w:rPr>
        <w:t xml:space="preserve">le suivi </w:t>
      </w:r>
      <w:r>
        <w:rPr>
          <w:sz w:val="22"/>
          <w:szCs w:val="22"/>
        </w:rPr>
        <w:t xml:space="preserve">tant au niveau interne qu’externe. Au niveau interne et en adéquation avec l’organisation du Programme, le suivi sera réalisé par un responsable de suivi évaluation à partir des outils élaborés à cet effet. Celui-ci est tenu de produire des rapports d’activités périodiques (rapports mensuels, trimestriels et annuels). </w:t>
      </w:r>
    </w:p>
    <w:p>
      <w:pPr>
        <w:pStyle w:val="style0"/>
        <w:spacing w:after="120"/>
        <w:jc w:val="both"/>
        <w:rPr>
          <w:sz w:val="22"/>
          <w:szCs w:val="22"/>
        </w:rPr>
      </w:pPr>
    </w:p>
    <w:p>
      <w:pPr>
        <w:pStyle w:val="style0"/>
        <w:spacing w:after="120"/>
        <w:jc w:val="both"/>
        <w:rPr>
          <w:sz w:val="22"/>
          <w:szCs w:val="22"/>
        </w:rPr>
      </w:pPr>
      <w:r>
        <w:rPr>
          <w:sz w:val="22"/>
          <w:szCs w:val="22"/>
        </w:rPr>
        <w:t>Au niveau externe, le suivi est assuré par les Directions générales des études et des statistiques sectorielles (DGESS) des Ministères concernés, la Direction générale de l’économie et de la planification (DGEP), la Direction générale du trésor et de la comptabilité publique (DGTCP) et la Direction générale de la coopération (DGCOOP). Il portera notamment sur l’exécution physique et financière du Programme, l’atteinte de ses objectifs, se</w:t>
      </w:r>
      <w:r>
        <w:rPr>
          <w:sz w:val="22"/>
          <w:szCs w:val="22"/>
        </w:rPr>
        <w:t xml:space="preserve">s effets sur les populations cibles et sa contribution à l’objectif global.  </w:t>
      </w:r>
    </w:p>
    <w:p>
      <w:pPr>
        <w:pStyle w:val="style0"/>
        <w:spacing w:after="120"/>
        <w:jc w:val="both"/>
        <w:rPr>
          <w:sz w:val="22"/>
          <w:szCs w:val="22"/>
        </w:rPr>
      </w:pPr>
    </w:p>
    <w:p>
      <w:pPr>
        <w:pStyle w:val="style0"/>
        <w:spacing w:after="120"/>
        <w:jc w:val="both"/>
        <w:rPr>
          <w:sz w:val="22"/>
          <w:szCs w:val="22"/>
        </w:rPr>
      </w:pPr>
      <w:r>
        <w:rPr>
          <w:sz w:val="22"/>
          <w:szCs w:val="22"/>
        </w:rPr>
        <w:t>Un manuel de suivi-évaluation sera élaboré en début de mise en œuvre du Programme et servira de guide à l’ensemble des activit</w:t>
      </w:r>
      <w:r>
        <w:rPr>
          <w:sz w:val="22"/>
          <w:szCs w:val="22"/>
        </w:rPr>
        <w:t xml:space="preserve">és de suivi et d’évaluation. </w:t>
      </w:r>
    </w:p>
    <w:p>
      <w:pPr>
        <w:pStyle w:val="style0"/>
        <w:spacing w:after="120"/>
        <w:jc w:val="both"/>
        <w:rPr>
          <w:sz w:val="22"/>
          <w:szCs w:val="22"/>
        </w:rPr>
      </w:pPr>
    </w:p>
    <w:p>
      <w:pPr>
        <w:pStyle w:val="style0"/>
        <w:spacing w:after="120"/>
        <w:jc w:val="both"/>
        <w:rPr>
          <w:sz w:val="22"/>
          <w:szCs w:val="22"/>
        </w:rPr>
      </w:pPr>
      <w:r>
        <w:rPr>
          <w:sz w:val="22"/>
          <w:szCs w:val="22"/>
        </w:rPr>
        <w:t>Le suivi-évaluation testera également l’utilisation d’une plateforme de télédétection pour une estimation précise de la production dans les zones de production du Programme.  Cette intervention sera mise à l’échelle en cas de succès pour le renforcement du système national d’évaluation de la production agricole.</w:t>
      </w:r>
    </w:p>
    <w:p>
      <w:pPr>
        <w:pStyle w:val="style0"/>
        <w:spacing w:after="120"/>
        <w:jc w:val="both"/>
        <w:rPr>
          <w:sz w:val="22"/>
          <w:szCs w:val="22"/>
        </w:rPr>
      </w:pPr>
    </w:p>
    <w:p>
      <w:pPr>
        <w:pStyle w:val="style0"/>
        <w:spacing w:after="120"/>
        <w:jc w:val="both"/>
        <w:rPr>
          <w:sz w:val="22"/>
          <w:szCs w:val="22"/>
        </w:rPr>
      </w:pPr>
      <w:r>
        <w:rPr>
          <w:sz w:val="22"/>
          <w:szCs w:val="22"/>
        </w:rPr>
        <w:t>La carte suivante, présente la zone d’intervention du PDCA.</w:t>
      </w:r>
    </w:p>
    <w:p>
      <w:pPr>
        <w:pStyle w:val="style0"/>
        <w:spacing w:after="120"/>
        <w:jc w:val="both"/>
        <w:rPr>
          <w:sz w:val="22"/>
          <w:szCs w:val="22"/>
        </w:rPr>
        <w:sectPr>
          <w:footerReference w:type="default" r:id="rId6"/>
          <w:pgSz w:w="11906" w:h="16838" w:orient="portrait"/>
          <w:pgMar w:top="1418" w:right="1418" w:bottom="1418" w:left="1418" w:header="709" w:footer="709" w:gutter="0"/>
          <w:pgNumType w:start="1"/>
          <w:cols w:space="720"/>
        </w:sectPr>
      </w:pPr>
    </w:p>
    <w:bookmarkStart w:id="52" w:name="_Toc1959583"/>
    <w:p>
      <w:pPr>
        <w:pStyle w:val="style34"/>
        <w:jc w:val="left"/>
        <w:rPr>
          <w:color w:val="auto"/>
          <w:sz w:val="20"/>
          <w:szCs w:val="20"/>
        </w:rPr>
      </w:pPr>
      <w:r>
        <w:rPr>
          <w:color w:val="auto"/>
          <w:sz w:val="20"/>
          <w:szCs w:val="20"/>
        </w:rPr>
        <w:t xml:space="preserve">Carte </w:t>
      </w:r>
      <w:r>
        <w:rPr>
          <w:color w:val="auto"/>
          <w:sz w:val="20"/>
          <w:szCs w:val="20"/>
        </w:rPr>
        <w:fldChar w:fldCharType="begin"/>
      </w:r>
      <w:r>
        <w:rPr>
          <w:color w:val="auto"/>
          <w:sz w:val="20"/>
          <w:szCs w:val="20"/>
        </w:rPr>
        <w:instrText xml:space="preserve"> SEQ Carte \* ARABIC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t> : Localisation de la zone d’intervention du Programme</w:t>
      </w:r>
      <w:bookmarkEnd w:id="52"/>
    </w:p>
    <w:p>
      <w:pPr>
        <w:pStyle w:val="style0"/>
        <w:rPr>
          <w:lang w:eastAsia="en-US"/>
        </w:rPr>
      </w:pPr>
    </w:p>
    <w:p>
      <w:pPr>
        <w:pStyle w:val="style34"/>
        <w:jc w:val="both"/>
        <w:rPr/>
      </w:pPr>
      <w:r>
        <w:rPr>
          <w:noProof/>
          <w:lang w:eastAsia="fr-FR"/>
        </w:rPr>
        <w:drawing>
          <wp:inline distT="0" distR="0" distL="0" distB="0">
            <wp:extent cx="8305799" cy="4907915"/>
            <wp:effectExtent l="0" t="0" r="0" b="6985"/>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7" cstate="print"/>
                    <a:srcRect l="0" t="0" r="0" b="0"/>
                    <a:stretch/>
                  </pic:blipFill>
                  <pic:spPr>
                    <a:xfrm rot="0">
                      <a:off x="0" y="0"/>
                      <a:ext cx="8305799" cy="4907915"/>
                    </a:xfrm>
                    <a:prstGeom prst="rect"/>
                  </pic:spPr>
                </pic:pic>
              </a:graphicData>
            </a:graphic>
          </wp:inline>
        </w:drawing>
      </w:r>
    </w:p>
    <w:p>
      <w:pPr>
        <w:pStyle w:val="style0"/>
        <w:spacing w:after="120"/>
        <w:jc w:val="both"/>
        <w:rPr>
          <w:sz w:val="22"/>
          <w:szCs w:val="22"/>
        </w:rPr>
        <w:sectPr>
          <w:pgSz w:w="16838" w:h="11906" w:orient="landscape"/>
          <w:pgMar w:top="1418" w:right="1418" w:bottom="1418" w:left="1418" w:header="709" w:footer="709" w:gutter="0"/>
          <w:pgNumType w:start="29"/>
          <w:cols w:space="720"/>
        </w:sectPr>
      </w:pPr>
    </w:p>
    <w:bookmarkStart w:id="53" w:name="_Toc466849"/>
    <w:bookmarkStart w:id="54" w:name="_Toc2780471"/>
    <w:bookmarkStart w:id="55" w:name="_Toc686084"/>
    <w:bookmarkEnd w:id="53"/>
    <w:p>
      <w:pPr>
        <w:pStyle w:val="style1"/>
        <w:rPr/>
      </w:pPr>
      <w:r>
        <w:t>III.</w:t>
      </w:r>
      <w:r>
        <w:t xml:space="preserve"> </w:t>
      </w:r>
      <w:r>
        <w:t xml:space="preserve">ENJEUX </w:t>
      </w:r>
      <w:r>
        <w:rPr>
          <w:iCs/>
        </w:rPr>
        <w:t>ENVIRONNEMENTAUX ET SOCIAUX MAJEURS DANS LES ZONES D’IMPLANTATION POTENTIELLE DES SOUS-PROJETS</w:t>
      </w:r>
      <w:bookmarkEnd w:id="54"/>
      <w:r>
        <w:rPr>
          <w:iCs/>
        </w:rPr>
        <w:t> </w:t>
      </w:r>
      <w:bookmarkEnd w:id="55"/>
    </w:p>
    <w:p>
      <w:pPr>
        <w:pStyle w:val="style0"/>
        <w:jc w:val="both"/>
        <w:rPr>
          <w:color w:val="0070c0"/>
          <w:sz w:val="22"/>
          <w:szCs w:val="22"/>
        </w:rPr>
      </w:pPr>
    </w:p>
    <w:p>
      <w:pPr>
        <w:pStyle w:val="style0"/>
        <w:spacing w:after="200" w:lineRule="auto" w:line="276"/>
        <w:jc w:val="both"/>
        <w:rPr>
          <w:sz w:val="22"/>
          <w:szCs w:val="22"/>
        </w:rPr>
      </w:pPr>
      <w:r>
        <w:rPr>
          <w:sz w:val="22"/>
          <w:szCs w:val="22"/>
        </w:rPr>
        <w:t xml:space="preserve">La mise en œuvre du </w:t>
      </w:r>
      <w:r>
        <w:rPr>
          <w:sz w:val="22"/>
          <w:szCs w:val="22"/>
        </w:rPr>
        <w:t>Programme</w:t>
      </w:r>
      <w:r>
        <w:rPr>
          <w:sz w:val="22"/>
          <w:szCs w:val="22"/>
        </w:rPr>
        <w:t xml:space="preserve"> devra tenir compte des principaux enjeux </w:t>
      </w:r>
      <w:r>
        <w:rPr>
          <w:iCs/>
          <w:sz w:val="22"/>
          <w:szCs w:val="22"/>
        </w:rPr>
        <w:t>et risques environnementaux et sociaux majeurs dans les zones d’implantation potentielle des sous-projets</w:t>
      </w:r>
      <w:r>
        <w:rPr>
          <w:sz w:val="22"/>
          <w:szCs w:val="22"/>
        </w:rPr>
        <w:t>.</w:t>
      </w:r>
    </w:p>
    <w:bookmarkStart w:id="56" w:name="_Toc535264255"/>
    <w:bookmarkStart w:id="57" w:name="_Toc536410135"/>
    <w:bookmarkStart w:id="58" w:name="_Toc686085"/>
    <w:bookmarkStart w:id="59" w:name="_Toc2780472"/>
    <w:p>
      <w:pPr>
        <w:pStyle w:val="style4307"/>
        <w:numPr>
          <w:ilvl w:val="0"/>
          <w:numId w:val="0"/>
        </w:numPr>
        <w:rPr/>
      </w:pPr>
      <w:r>
        <w:t>3.1.</w:t>
      </w:r>
      <w:r>
        <w:t xml:space="preserve"> Enjeux</w:t>
      </w:r>
      <w:r>
        <w:t xml:space="preserve"> environnementaux</w:t>
      </w:r>
      <w:bookmarkEnd w:id="56"/>
      <w:bookmarkEnd w:id="57"/>
      <w:bookmarkEnd w:id="58"/>
      <w:bookmarkEnd w:id="59"/>
      <w:r>
        <w:t xml:space="preserve"> </w:t>
      </w:r>
    </w:p>
    <w:p>
      <w:pPr>
        <w:pStyle w:val="style0"/>
        <w:spacing w:after="200" w:lineRule="auto" w:line="276"/>
        <w:jc w:val="both"/>
        <w:rPr>
          <w:sz w:val="22"/>
          <w:szCs w:val="22"/>
        </w:rPr>
      </w:pPr>
      <w:r>
        <w:rPr>
          <w:sz w:val="22"/>
          <w:szCs w:val="22"/>
        </w:rPr>
        <w:t>Les principaux enjeux environnementaux portent sur les conditions climatiques du pays, l’existence de zones agro-écologiques diversifiées et la disponibilité des ressources en eau.</w:t>
      </w:r>
    </w:p>
    <w:bookmarkStart w:id="60" w:name="_Toc686086"/>
    <w:bookmarkStart w:id="61" w:name="_Toc2780473"/>
    <w:p>
      <w:pPr>
        <w:pStyle w:val="style3"/>
        <w:numPr>
          <w:ilvl w:val="0"/>
          <w:numId w:val="0"/>
        </w:numPr>
        <w:ind w:left="644" w:hanging="360"/>
        <w:rPr>
          <w:b/>
          <w:u w:val="none"/>
        </w:rPr>
      </w:pPr>
      <w:r>
        <w:rPr>
          <w:b/>
          <w:u w:val="none"/>
        </w:rPr>
        <w:t xml:space="preserve">3.1.1. Enjeux liés au changement </w:t>
      </w:r>
      <w:r>
        <w:rPr>
          <w:b/>
          <w:u w:val="none"/>
        </w:rPr>
        <w:t>climatique</w:t>
      </w:r>
      <w:bookmarkEnd w:id="60"/>
      <w:bookmarkEnd w:id="61"/>
    </w:p>
    <w:p>
      <w:pPr>
        <w:pStyle w:val="style0"/>
        <w:spacing w:after="200"/>
        <w:jc w:val="both"/>
        <w:rPr>
          <w:sz w:val="22"/>
          <w:szCs w:val="22"/>
        </w:rPr>
      </w:pPr>
      <w:r>
        <w:rPr>
          <w:sz w:val="22"/>
          <w:szCs w:val="22"/>
        </w:rPr>
        <w:t>L</w:t>
      </w:r>
      <w:r>
        <w:rPr>
          <w:sz w:val="22"/>
          <w:szCs w:val="22"/>
        </w:rPr>
        <w:t xml:space="preserve">a réalisation des </w:t>
      </w:r>
      <w:r>
        <w:rPr>
          <w:sz w:val="22"/>
          <w:szCs w:val="22"/>
        </w:rPr>
        <w:t>aménagement</w:t>
      </w:r>
      <w:r>
        <w:rPr>
          <w:sz w:val="22"/>
          <w:szCs w:val="22"/>
        </w:rPr>
        <w:t>s hydroagricoles dans la zone d’intervention du PDCA</w:t>
      </w:r>
      <w:r>
        <w:rPr>
          <w:sz w:val="22"/>
          <w:szCs w:val="22"/>
        </w:rPr>
        <w:t xml:space="preserve"> permet aux communautés d’être moins dépendantes de la baisse de pluviométrie et de la plus grande variabilité des régimes de précipitations dans leurs activités agricoles. </w:t>
      </w:r>
      <w:r>
        <w:rPr>
          <w:sz w:val="22"/>
          <w:szCs w:val="22"/>
        </w:rPr>
        <w:t>Elle</w:t>
      </w:r>
      <w:r>
        <w:rPr>
          <w:sz w:val="22"/>
          <w:szCs w:val="22"/>
        </w:rPr>
        <w:t xml:space="preserve"> permet également d’améliorer l’adaptation des agriculteurs et plus largement des communautés rurales au changement climatique par une gestion durable des systèmes agro</w:t>
      </w:r>
      <w:r>
        <w:rPr>
          <w:sz w:val="22"/>
          <w:szCs w:val="22"/>
        </w:rPr>
        <w:t>-</w:t>
      </w:r>
      <w:r>
        <w:rPr>
          <w:sz w:val="22"/>
          <w:szCs w:val="22"/>
        </w:rPr>
        <w:t xml:space="preserve">écologiques </w:t>
      </w:r>
      <w:r>
        <w:rPr>
          <w:sz w:val="22"/>
          <w:szCs w:val="22"/>
        </w:rPr>
        <w:t>existants dans les différents sites d’implantation des sous-projets</w:t>
      </w:r>
      <w:r>
        <w:rPr>
          <w:sz w:val="22"/>
          <w:szCs w:val="22"/>
        </w:rPr>
        <w:t>. Cependant, une négligence ou l’application insuffisante des mesures de sauvegarde environnementale (préservation-restauration de la végétation, des sols et des eaux, gestion des intrants agricoles, etc.) pourrait contribuer à l’aggravation des effets néfaste</w:t>
      </w:r>
      <w:r>
        <w:rPr>
          <w:sz w:val="22"/>
          <w:szCs w:val="22"/>
        </w:rPr>
        <w:t>s</w:t>
      </w:r>
      <w:r>
        <w:rPr>
          <w:sz w:val="22"/>
          <w:szCs w:val="22"/>
        </w:rPr>
        <w:t xml:space="preserve"> du changement climatique.</w:t>
      </w:r>
    </w:p>
    <w:p>
      <w:pPr>
        <w:pStyle w:val="style0"/>
        <w:spacing w:after="200"/>
        <w:jc w:val="both"/>
        <w:rPr>
          <w:sz w:val="22"/>
          <w:szCs w:val="22"/>
        </w:rPr>
      </w:pPr>
    </w:p>
    <w:p>
      <w:pPr>
        <w:pStyle w:val="style0"/>
        <w:spacing w:after="200"/>
        <w:jc w:val="both"/>
        <w:rPr>
          <w:sz w:val="22"/>
          <w:szCs w:val="22"/>
        </w:rPr>
      </w:pPr>
      <w:r>
        <w:rPr>
          <w:sz w:val="22"/>
          <w:szCs w:val="22"/>
        </w:rPr>
        <w:t>En effet, d</w:t>
      </w:r>
      <w:r>
        <w:rPr>
          <w:sz w:val="22"/>
          <w:szCs w:val="22"/>
        </w:rPr>
        <w:t>ans le cadre du Programme national d'adaptation</w:t>
      </w:r>
      <w:r>
        <w:rPr>
          <w:sz w:val="22"/>
          <w:szCs w:val="22"/>
        </w:rPr>
        <w:t xml:space="preserve"> du Burkina Faso</w:t>
      </w:r>
      <w:r>
        <w:rPr>
          <w:sz w:val="22"/>
          <w:szCs w:val="22"/>
        </w:rPr>
        <w:t>, les simulations effectuées à partir de la modélisation climatique adoptée par le Gouvernement</w:t>
      </w:r>
      <w:r>
        <w:rPr>
          <w:sz w:val="22"/>
          <w:szCs w:val="22"/>
        </w:rPr>
        <w:t>,</w:t>
      </w:r>
      <w:r>
        <w:rPr>
          <w:sz w:val="22"/>
          <w:szCs w:val="22"/>
        </w:rPr>
        <w:t xml:space="preserve"> prévoient une hausse des températures moyennes de 0,8°C d'ici à 2025 et une hausse de 1,7°C d'ici à 2050 ainsi qu’une baisse relative des précipitations de 3,4 % d'ici à 2025 et 7,3 % d'ici à 2050. La baisse des précipitations sera associée à une très forte variabilité saisonnière et interannuelle des facteurs climatiques, empirant davantage les impacts climatiques sur l’agriculture et l’élevage, les principaux secteurs économiques. La gestion des ressources en eau et des inondations, la foresterie et la sécurité alimentaire seront également affectées (NAPA, 2007).</w:t>
      </w:r>
      <w:r>
        <w:rPr>
          <w:sz w:val="22"/>
          <w:szCs w:val="22"/>
        </w:rPr>
        <w:t xml:space="preserve"> </w:t>
      </w:r>
    </w:p>
    <w:p>
      <w:pPr>
        <w:pStyle w:val="style0"/>
        <w:spacing w:after="200"/>
        <w:jc w:val="both"/>
        <w:rPr>
          <w:sz w:val="22"/>
          <w:szCs w:val="22"/>
        </w:rPr>
      </w:pPr>
    </w:p>
    <w:p>
      <w:pPr>
        <w:pStyle w:val="style0"/>
        <w:spacing w:after="200"/>
        <w:jc w:val="both"/>
        <w:rPr>
          <w:sz w:val="22"/>
          <w:szCs w:val="22"/>
        </w:rPr>
      </w:pPr>
      <w:r>
        <w:rPr>
          <w:sz w:val="22"/>
          <w:szCs w:val="22"/>
        </w:rPr>
        <w:t xml:space="preserve">Ces conditions climatiques sont à prendre en compte dans le processus </w:t>
      </w:r>
      <w:r>
        <w:rPr>
          <w:sz w:val="22"/>
          <w:szCs w:val="22"/>
        </w:rPr>
        <w:t xml:space="preserve">des sous-projets notamment lors des phases </w:t>
      </w:r>
      <w:r>
        <w:rPr>
          <w:sz w:val="22"/>
          <w:szCs w:val="22"/>
        </w:rPr>
        <w:t>de conception des ouvrages et d</w:t>
      </w:r>
      <w:r>
        <w:rPr>
          <w:sz w:val="22"/>
          <w:szCs w:val="22"/>
        </w:rPr>
        <w:t>’</w:t>
      </w:r>
      <w:r>
        <w:rPr>
          <w:sz w:val="22"/>
          <w:szCs w:val="22"/>
        </w:rPr>
        <w:t>exploitation.</w:t>
      </w:r>
    </w:p>
    <w:bookmarkStart w:id="62" w:name="_Toc535264242"/>
    <w:bookmarkStart w:id="63" w:name="_Toc536410124"/>
    <w:bookmarkStart w:id="64" w:name="_Toc686087"/>
    <w:bookmarkStart w:id="65" w:name="_Toc2780474"/>
    <w:p>
      <w:pPr>
        <w:pStyle w:val="style3"/>
        <w:numPr>
          <w:ilvl w:val="0"/>
          <w:numId w:val="0"/>
        </w:numPr>
        <w:ind w:left="644" w:hanging="360"/>
        <w:rPr>
          <w:b/>
          <w:u w:val="none"/>
        </w:rPr>
      </w:pPr>
      <w:r>
        <w:rPr>
          <w:b/>
          <w:u w:val="none"/>
        </w:rPr>
        <w:t xml:space="preserve">3.1.2. Enjeux </w:t>
      </w:r>
      <w:r>
        <w:rPr>
          <w:b/>
          <w:u w:val="none"/>
        </w:rPr>
        <w:t xml:space="preserve">liés </w:t>
      </w:r>
      <w:r>
        <w:rPr>
          <w:b/>
          <w:u w:val="none"/>
        </w:rPr>
        <w:t>à la protection de l’environnement</w:t>
      </w:r>
      <w:bookmarkEnd w:id="62"/>
      <w:bookmarkEnd w:id="63"/>
      <w:bookmarkEnd w:id="64"/>
      <w:bookmarkEnd w:id="65"/>
    </w:p>
    <w:p>
      <w:pPr>
        <w:pStyle w:val="style0"/>
        <w:jc w:val="both"/>
        <w:rPr>
          <w:sz w:val="22"/>
          <w:szCs w:val="22"/>
        </w:rPr>
      </w:pPr>
      <w:r>
        <w:rPr>
          <w:sz w:val="22"/>
          <w:szCs w:val="22"/>
        </w:rPr>
        <w:t>L</w:t>
      </w:r>
      <w:r>
        <w:rPr>
          <w:sz w:val="22"/>
          <w:szCs w:val="22"/>
        </w:rPr>
        <w:t xml:space="preserve">a réalisation des </w:t>
      </w:r>
      <w:r>
        <w:rPr>
          <w:sz w:val="22"/>
          <w:szCs w:val="22"/>
        </w:rPr>
        <w:t>aménagement</w:t>
      </w:r>
      <w:r>
        <w:rPr>
          <w:sz w:val="22"/>
          <w:szCs w:val="22"/>
        </w:rPr>
        <w:t>s hydroagricoles</w:t>
      </w:r>
      <w:r>
        <w:rPr>
          <w:sz w:val="22"/>
          <w:szCs w:val="22"/>
        </w:rPr>
        <w:t xml:space="preserve"> </w:t>
      </w:r>
      <w:r>
        <w:rPr>
          <w:sz w:val="22"/>
          <w:szCs w:val="22"/>
        </w:rPr>
        <w:t>constitue une meilleure option pour intensifier les activités agricoles et réduire la forte pression exercée par l’agriculture sur les ressources foncières</w:t>
      </w:r>
      <w:r>
        <w:rPr>
          <w:sz w:val="22"/>
          <w:szCs w:val="22"/>
        </w:rPr>
        <w:t xml:space="preserve"> dans les zones d’implantation des sous-projets</w:t>
      </w:r>
      <w:r>
        <w:rPr>
          <w:sz w:val="22"/>
          <w:szCs w:val="22"/>
        </w:rPr>
        <w:t xml:space="preserve">. </w:t>
      </w:r>
      <w:r>
        <w:rPr>
          <w:sz w:val="22"/>
          <w:szCs w:val="22"/>
        </w:rPr>
        <w:t xml:space="preserve">Elle </w:t>
      </w:r>
      <w:r>
        <w:rPr>
          <w:sz w:val="22"/>
          <w:szCs w:val="22"/>
        </w:rPr>
        <w:t xml:space="preserve">permet aussi une meilleure utilisation des ressources en eau et </w:t>
      </w:r>
      <w:r>
        <w:rPr>
          <w:sz w:val="22"/>
          <w:szCs w:val="22"/>
        </w:rPr>
        <w:t>une</w:t>
      </w:r>
      <w:r>
        <w:rPr>
          <w:sz w:val="22"/>
          <w:szCs w:val="22"/>
        </w:rPr>
        <w:t xml:space="preserve"> prot</w:t>
      </w:r>
      <w:r>
        <w:rPr>
          <w:sz w:val="22"/>
          <w:szCs w:val="22"/>
        </w:rPr>
        <w:t>ection d</w:t>
      </w:r>
      <w:r>
        <w:rPr>
          <w:sz w:val="22"/>
          <w:szCs w:val="22"/>
        </w:rPr>
        <w:t>es bassins versants proches.</w:t>
      </w:r>
      <w:r>
        <w:rPr>
          <w:sz w:val="22"/>
          <w:szCs w:val="22"/>
        </w:rPr>
        <w:t xml:space="preserve"> </w:t>
      </w:r>
      <w:r>
        <w:rPr>
          <w:sz w:val="22"/>
          <w:szCs w:val="22"/>
        </w:rPr>
        <w:t xml:space="preserve">Cependant, l’utilisation d’intrants agricoles (engrais chimiques et pesticides non homologués) bien que nécessaires pour de meilleurs rendements, peut provoquer des pollutions </w:t>
      </w:r>
      <w:r>
        <w:rPr>
          <w:sz w:val="22"/>
          <w:szCs w:val="22"/>
        </w:rPr>
        <w:t>chimiques</w:t>
      </w:r>
      <w:r>
        <w:rPr>
          <w:sz w:val="22"/>
          <w:szCs w:val="22"/>
        </w:rPr>
        <w:t xml:space="preserve"> (un certain nombre de résidus chimiques risque de polluer l</w:t>
      </w:r>
      <w:r>
        <w:rPr>
          <w:sz w:val="22"/>
          <w:szCs w:val="22"/>
        </w:rPr>
        <w:t>es</w:t>
      </w:r>
      <w:r>
        <w:rPr>
          <w:sz w:val="22"/>
          <w:szCs w:val="22"/>
        </w:rPr>
        <w:t xml:space="preserve"> nappes phréatiques</w:t>
      </w:r>
      <w:r>
        <w:rPr>
          <w:sz w:val="22"/>
          <w:szCs w:val="22"/>
        </w:rPr>
        <w:t xml:space="preserve"> et les sols</w:t>
      </w:r>
      <w:r>
        <w:rPr>
          <w:sz w:val="22"/>
          <w:szCs w:val="22"/>
        </w:rPr>
        <w:t>) et par conséquent</w:t>
      </w:r>
      <w:r>
        <w:rPr>
          <w:sz w:val="22"/>
          <w:szCs w:val="22"/>
        </w:rPr>
        <w:t>,</w:t>
      </w:r>
      <w:r>
        <w:rPr>
          <w:sz w:val="22"/>
          <w:szCs w:val="22"/>
        </w:rPr>
        <w:t xml:space="preserve"> contaminer les hommes ou les animaux.</w:t>
      </w:r>
      <w:r>
        <w:rPr>
          <w:sz w:val="22"/>
          <w:szCs w:val="22"/>
        </w:rPr>
        <w:t xml:space="preserve"> Ces risques de pollution sont à prendre en compte a</w:t>
      </w:r>
      <w:r>
        <w:rPr>
          <w:sz w:val="22"/>
          <w:szCs w:val="22"/>
        </w:rPr>
        <w:t>u regard de la proximité des points d’eau (</w:t>
      </w:r>
      <w:r>
        <w:rPr>
          <w:sz w:val="22"/>
          <w:szCs w:val="22"/>
        </w:rPr>
        <w:t>cf. tableau 1</w:t>
      </w:r>
      <w:r>
        <w:rPr>
          <w:sz w:val="22"/>
          <w:szCs w:val="22"/>
        </w:rPr>
        <w:t xml:space="preserve">) et du fait que les zones d’implantation des sous-projets sont aussi des zones d’élevage où de nombreux animaux y convergent en saison sèche pour profiter d’une part, des résidus agricoles et d’autre part, de la végétation naturelle relativement importante (épineux). </w:t>
      </w:r>
    </w:p>
    <w:p>
      <w:pPr>
        <w:pStyle w:val="style0"/>
        <w:jc w:val="both"/>
        <w:rPr>
          <w:sz w:val="22"/>
          <w:szCs w:val="22"/>
        </w:rPr>
      </w:pPr>
    </w:p>
    <w:bookmarkStart w:id="66" w:name="_Toc2780535"/>
    <w:p>
      <w:pPr>
        <w:pStyle w:val="style34"/>
        <w:keepNext/>
        <w:jc w:val="both"/>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t> : Points d’eau présents dans les zones d’implantation des sous-projets</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6"/>
        <w:gridCol w:w="2167"/>
        <w:gridCol w:w="1256"/>
        <w:gridCol w:w="2370"/>
        <w:gridCol w:w="2158"/>
      </w:tblGrid>
      <w:tr>
        <w:trPr>
          <w:trHeight w:val="20" w:hRule="atLeast"/>
          <w:tblHeader/>
        </w:trPr>
        <w:tc>
          <w:tcPr>
            <w:tcW w:w="616" w:type="pct"/>
            <w:tcBorders/>
            <w:shd w:val="clear" w:color="auto" w:fill="a6a6a6"/>
          </w:tcPr>
          <w:p>
            <w:pPr>
              <w:pStyle w:val="style0"/>
              <w:rPr>
                <w:b/>
                <w:bCs/>
                <w:color w:val="000000"/>
                <w:sz w:val="20"/>
                <w:szCs w:val="20"/>
              </w:rPr>
            </w:pPr>
            <w:r>
              <w:rPr>
                <w:b/>
                <w:bCs/>
                <w:color w:val="000000"/>
                <w:sz w:val="20"/>
                <w:szCs w:val="20"/>
              </w:rPr>
              <w:t>Région</w:t>
            </w:r>
            <w:r>
              <w:rPr>
                <w:b/>
                <w:bCs/>
                <w:color w:val="000000"/>
                <w:sz w:val="20"/>
                <w:szCs w:val="20"/>
              </w:rPr>
              <w:t>s</w:t>
            </w:r>
          </w:p>
        </w:tc>
        <w:tc>
          <w:tcPr>
            <w:tcW w:w="1192" w:type="pct"/>
            <w:tcBorders/>
            <w:shd w:val="clear" w:color="auto" w:fill="a6a6a6"/>
            <w:noWrap/>
            <w:vAlign w:val="center"/>
            <w:hideMark/>
          </w:tcPr>
          <w:p>
            <w:pPr>
              <w:pStyle w:val="style0"/>
              <w:rPr>
                <w:b/>
                <w:bCs/>
                <w:color w:val="000000"/>
                <w:sz w:val="20"/>
                <w:szCs w:val="20"/>
              </w:rPr>
            </w:pPr>
            <w:r>
              <w:rPr>
                <w:b/>
                <w:bCs/>
                <w:color w:val="000000"/>
                <w:sz w:val="20"/>
                <w:szCs w:val="20"/>
              </w:rPr>
              <w:t>Sites</w:t>
            </w:r>
          </w:p>
        </w:tc>
        <w:tc>
          <w:tcPr>
            <w:tcW w:w="693" w:type="pct"/>
            <w:tcBorders/>
            <w:shd w:val="clear" w:color="auto" w:fill="a6a6a6"/>
            <w:vAlign w:val="center"/>
            <w:hideMark/>
          </w:tcPr>
          <w:p>
            <w:pPr>
              <w:pStyle w:val="style0"/>
              <w:jc w:val="center"/>
              <w:rPr>
                <w:b/>
                <w:bCs/>
                <w:color w:val="000000"/>
                <w:sz w:val="20"/>
                <w:szCs w:val="20"/>
              </w:rPr>
            </w:pPr>
            <w:r>
              <w:rPr>
                <w:b/>
                <w:bCs/>
                <w:color w:val="000000"/>
                <w:sz w:val="20"/>
                <w:szCs w:val="20"/>
              </w:rPr>
              <w:t>Source</w:t>
            </w:r>
            <w:r>
              <w:rPr>
                <w:b/>
                <w:bCs/>
                <w:color w:val="000000"/>
                <w:sz w:val="20"/>
                <w:szCs w:val="20"/>
              </w:rPr>
              <w:t>s</w:t>
            </w:r>
            <w:r>
              <w:rPr>
                <w:b/>
                <w:bCs/>
                <w:color w:val="000000"/>
                <w:sz w:val="20"/>
                <w:szCs w:val="20"/>
              </w:rPr>
              <w:t xml:space="preserve"> d'eau</w:t>
            </w:r>
          </w:p>
        </w:tc>
        <w:tc>
          <w:tcPr>
            <w:tcW w:w="1308" w:type="pct"/>
            <w:tcBorders/>
            <w:shd w:val="clear" w:color="auto" w:fill="a6a6a6"/>
            <w:vAlign w:val="center"/>
            <w:hideMark/>
          </w:tcPr>
          <w:p>
            <w:pPr>
              <w:pStyle w:val="style0"/>
              <w:jc w:val="center"/>
              <w:rPr>
                <w:b/>
                <w:bCs/>
                <w:color w:val="000000"/>
                <w:sz w:val="20"/>
                <w:szCs w:val="20"/>
              </w:rPr>
            </w:pPr>
            <w:r>
              <w:rPr>
                <w:b/>
                <w:bCs/>
                <w:color w:val="000000"/>
                <w:sz w:val="20"/>
                <w:szCs w:val="20"/>
              </w:rPr>
              <w:t>Superficie</w:t>
            </w:r>
            <w:r>
              <w:rPr>
                <w:b/>
                <w:bCs/>
                <w:color w:val="000000"/>
                <w:sz w:val="20"/>
                <w:szCs w:val="20"/>
              </w:rPr>
              <w:t>s</w:t>
            </w:r>
            <w:r>
              <w:rPr>
                <w:b/>
                <w:bCs/>
                <w:color w:val="000000"/>
                <w:sz w:val="20"/>
                <w:szCs w:val="20"/>
              </w:rPr>
              <w:t xml:space="preserve"> à aménager/réhabiliter</w:t>
            </w:r>
          </w:p>
        </w:tc>
        <w:tc>
          <w:tcPr>
            <w:tcW w:w="1191" w:type="pct"/>
            <w:tcBorders/>
            <w:shd w:val="clear" w:color="auto" w:fill="a6a6a6"/>
          </w:tcPr>
          <w:p>
            <w:pPr>
              <w:pStyle w:val="style0"/>
              <w:jc w:val="center"/>
              <w:rPr>
                <w:b/>
                <w:bCs/>
                <w:color w:val="000000"/>
                <w:sz w:val="20"/>
                <w:szCs w:val="20"/>
              </w:rPr>
            </w:pPr>
            <w:r>
              <w:rPr>
                <w:b/>
                <w:bCs/>
                <w:color w:val="000000"/>
                <w:sz w:val="20"/>
                <w:szCs w:val="20"/>
              </w:rPr>
              <w:t>Capacité</w:t>
            </w:r>
            <w:r>
              <w:rPr>
                <w:b/>
                <w:bCs/>
                <w:color w:val="000000"/>
                <w:sz w:val="20"/>
                <w:szCs w:val="20"/>
              </w:rPr>
              <w:t>s</w:t>
            </w:r>
            <w:r>
              <w:rPr>
                <w:b/>
                <w:bCs/>
                <w:color w:val="000000"/>
                <w:sz w:val="20"/>
                <w:szCs w:val="20"/>
              </w:rPr>
              <w:t xml:space="preserve"> de la retenue</w:t>
            </w:r>
          </w:p>
        </w:tc>
      </w:tr>
      <w:tr>
        <w:tblPrEx/>
        <w:trPr>
          <w:trHeight w:val="20" w:hRule="atLeast"/>
        </w:trPr>
        <w:tc>
          <w:tcPr>
            <w:tcW w:w="612" w:type="pct"/>
            <w:tcBorders/>
            <w:shd w:val="clear" w:color="auto" w:fill="auto"/>
          </w:tcPr>
          <w:p>
            <w:pPr>
              <w:pStyle w:val="style0"/>
              <w:rPr>
                <w:color w:val="000000"/>
                <w:sz w:val="20"/>
                <w:szCs w:val="20"/>
              </w:rPr>
            </w:pPr>
            <w:r>
              <w:rPr>
                <w:color w:val="000000"/>
                <w:sz w:val="20"/>
                <w:szCs w:val="20"/>
              </w:rPr>
              <w:t>Hauts Bassins</w:t>
            </w:r>
          </w:p>
        </w:tc>
        <w:tc>
          <w:tcPr>
            <w:tcW w:w="1196" w:type="pct"/>
            <w:tcBorders/>
            <w:shd w:val="clear" w:color="auto" w:fill="auto"/>
            <w:noWrap/>
            <w:vAlign w:val="center"/>
            <w:hideMark/>
          </w:tcPr>
          <w:p>
            <w:pPr>
              <w:pStyle w:val="style0"/>
              <w:rPr>
                <w:color w:val="000000"/>
                <w:sz w:val="20"/>
                <w:szCs w:val="20"/>
              </w:rPr>
            </w:pPr>
            <w:r>
              <w:rPr>
                <w:color w:val="000000"/>
                <w:sz w:val="20"/>
                <w:szCs w:val="20"/>
              </w:rPr>
              <w:t>Banzon</w:t>
            </w:r>
          </w:p>
        </w:tc>
        <w:tc>
          <w:tcPr>
            <w:tcW w:w="693" w:type="pct"/>
            <w:tcBorders/>
            <w:shd w:val="clear" w:color="auto" w:fill="auto"/>
            <w:noWrap/>
            <w:vAlign w:val="center"/>
            <w:hideMark/>
          </w:tcPr>
          <w:p>
            <w:pPr>
              <w:pStyle w:val="style0"/>
              <w:rPr>
                <w:color w:val="000000"/>
                <w:sz w:val="20"/>
                <w:szCs w:val="20"/>
              </w:rPr>
            </w:pPr>
            <w:r>
              <w:rPr>
                <w:color w:val="000000"/>
                <w:sz w:val="20"/>
                <w:szCs w:val="20"/>
              </w:rPr>
              <w:t>Fleuve</w:t>
            </w:r>
          </w:p>
        </w:tc>
        <w:tc>
          <w:tcPr>
            <w:tcW w:w="1308" w:type="pct"/>
            <w:tcBorders/>
            <w:shd w:val="clear" w:color="auto" w:fill="auto"/>
            <w:noWrap/>
            <w:vAlign w:val="center"/>
            <w:hideMark/>
          </w:tcPr>
          <w:p>
            <w:pPr>
              <w:pStyle w:val="style0"/>
              <w:jc w:val="center"/>
              <w:rPr>
                <w:color w:val="000000"/>
                <w:sz w:val="20"/>
                <w:szCs w:val="20"/>
              </w:rPr>
            </w:pPr>
            <w:r>
              <w:rPr>
                <w:color w:val="000000"/>
                <w:sz w:val="20"/>
                <w:szCs w:val="20"/>
              </w:rPr>
              <w:t>585</w:t>
            </w:r>
          </w:p>
        </w:tc>
        <w:tc>
          <w:tcPr>
            <w:tcW w:w="1191" w:type="pct"/>
            <w:tcBorders/>
          </w:tcPr>
          <w:p>
            <w:pPr>
              <w:pStyle w:val="style0"/>
              <w:jc w:val="center"/>
              <w:rPr>
                <w:color w:val="000000"/>
                <w:sz w:val="20"/>
                <w:szCs w:val="20"/>
              </w:rPr>
            </w:pPr>
            <w:r>
              <w:rPr>
                <w:color w:val="000000"/>
                <w:sz w:val="20"/>
                <w:szCs w:val="20"/>
              </w:rPr>
              <w:t>-</w:t>
            </w:r>
          </w:p>
        </w:tc>
      </w:tr>
      <w:tr>
        <w:tblPrEx/>
        <w:trPr>
          <w:trHeight w:val="20" w:hRule="atLeast"/>
        </w:trPr>
        <w:tc>
          <w:tcPr>
            <w:tcW w:w="612" w:type="pct"/>
            <w:tcBorders/>
            <w:shd w:val="clear" w:color="auto" w:fill="auto"/>
          </w:tcPr>
          <w:p>
            <w:pPr>
              <w:pStyle w:val="style0"/>
              <w:rPr>
                <w:color w:val="000000"/>
                <w:sz w:val="20"/>
                <w:szCs w:val="20"/>
              </w:rPr>
            </w:pPr>
            <w:r>
              <w:rPr>
                <w:color w:val="000000"/>
                <w:sz w:val="20"/>
                <w:szCs w:val="20"/>
              </w:rPr>
              <w:t>Cascades</w:t>
            </w:r>
          </w:p>
        </w:tc>
        <w:tc>
          <w:tcPr>
            <w:tcW w:w="1196" w:type="pct"/>
            <w:tcBorders/>
            <w:shd w:val="clear" w:color="auto" w:fill="auto"/>
            <w:noWrap/>
            <w:vAlign w:val="center"/>
            <w:hideMark/>
          </w:tcPr>
          <w:p>
            <w:pPr>
              <w:pStyle w:val="style0"/>
              <w:rPr>
                <w:color w:val="000000"/>
                <w:sz w:val="20"/>
                <w:szCs w:val="20"/>
              </w:rPr>
            </w:pPr>
            <w:r>
              <w:rPr>
                <w:color w:val="000000"/>
                <w:sz w:val="20"/>
                <w:szCs w:val="20"/>
              </w:rPr>
              <w:t>Niofila/Douna</w:t>
            </w:r>
          </w:p>
        </w:tc>
        <w:tc>
          <w:tcPr>
            <w:tcW w:w="693" w:type="pct"/>
            <w:tcBorders/>
            <w:shd w:val="clear" w:color="auto" w:fill="auto"/>
            <w:noWrap/>
            <w:vAlign w:val="center"/>
            <w:hideMark/>
          </w:tcPr>
          <w:p>
            <w:pPr>
              <w:pStyle w:val="style0"/>
              <w:rPr>
                <w:color w:val="000000"/>
                <w:sz w:val="20"/>
                <w:szCs w:val="20"/>
              </w:rPr>
            </w:pPr>
            <w:r>
              <w:rPr>
                <w:color w:val="000000"/>
                <w:sz w:val="20"/>
                <w:szCs w:val="20"/>
              </w:rPr>
              <w:t>Barrage</w:t>
            </w:r>
          </w:p>
        </w:tc>
        <w:tc>
          <w:tcPr>
            <w:tcW w:w="1308" w:type="pct"/>
            <w:tcBorders/>
            <w:shd w:val="clear" w:color="auto" w:fill="auto"/>
            <w:noWrap/>
            <w:vAlign w:val="center"/>
            <w:hideMark/>
          </w:tcPr>
          <w:p>
            <w:pPr>
              <w:pStyle w:val="style0"/>
              <w:jc w:val="center"/>
              <w:rPr>
                <w:color w:val="000000"/>
                <w:sz w:val="20"/>
                <w:szCs w:val="20"/>
              </w:rPr>
            </w:pPr>
            <w:r>
              <w:rPr>
                <w:color w:val="000000"/>
                <w:sz w:val="20"/>
                <w:szCs w:val="20"/>
              </w:rPr>
              <w:t>500</w:t>
            </w:r>
          </w:p>
        </w:tc>
        <w:tc>
          <w:tcPr>
            <w:tcW w:w="1191" w:type="pct"/>
            <w:tcBorders/>
          </w:tcPr>
          <w:p>
            <w:pPr>
              <w:pStyle w:val="style0"/>
              <w:jc w:val="center"/>
              <w:rPr>
                <w:color w:val="000000"/>
                <w:sz w:val="20"/>
                <w:szCs w:val="20"/>
                <w:vertAlign w:val="superscript"/>
              </w:rPr>
            </w:pPr>
            <w:r>
              <w:rPr>
                <w:color w:val="000000"/>
                <w:sz w:val="20"/>
                <w:szCs w:val="20"/>
              </w:rPr>
              <w:t>50 millions de m</w:t>
            </w:r>
            <w:r>
              <w:rPr>
                <w:color w:val="000000"/>
                <w:sz w:val="20"/>
                <w:szCs w:val="20"/>
                <w:vertAlign w:val="superscript"/>
              </w:rPr>
              <w:t>3</w:t>
            </w:r>
          </w:p>
        </w:tc>
      </w:tr>
      <w:tr>
        <w:tblPrEx/>
        <w:trPr>
          <w:trHeight w:val="20" w:hRule="atLeast"/>
        </w:trPr>
        <w:tc>
          <w:tcPr>
            <w:tcW w:w="612" w:type="pct"/>
            <w:tcBorders/>
            <w:shd w:val="clear" w:color="auto" w:fill="auto"/>
          </w:tcPr>
          <w:p>
            <w:pPr>
              <w:pStyle w:val="style0"/>
              <w:rPr>
                <w:color w:val="000000"/>
                <w:sz w:val="20"/>
                <w:szCs w:val="20"/>
              </w:rPr>
            </w:pPr>
            <w:r>
              <w:rPr>
                <w:color w:val="000000"/>
                <w:sz w:val="20"/>
                <w:szCs w:val="20"/>
              </w:rPr>
              <w:t>Boucle du Mouhoun</w:t>
            </w:r>
          </w:p>
        </w:tc>
        <w:tc>
          <w:tcPr>
            <w:tcW w:w="1196" w:type="pct"/>
            <w:tcBorders/>
            <w:shd w:val="clear" w:color="auto" w:fill="auto"/>
            <w:noWrap/>
            <w:vAlign w:val="center"/>
            <w:hideMark/>
          </w:tcPr>
          <w:p>
            <w:pPr>
              <w:pStyle w:val="style0"/>
              <w:rPr>
                <w:color w:val="000000"/>
                <w:sz w:val="20"/>
                <w:szCs w:val="20"/>
              </w:rPr>
            </w:pPr>
            <w:r>
              <w:rPr>
                <w:color w:val="000000"/>
                <w:sz w:val="20"/>
                <w:szCs w:val="20"/>
              </w:rPr>
              <w:t>Vallée du Sourou (Bissan)</w:t>
            </w:r>
          </w:p>
        </w:tc>
        <w:tc>
          <w:tcPr>
            <w:tcW w:w="693" w:type="pct"/>
            <w:tcBorders/>
            <w:shd w:val="clear" w:color="auto" w:fill="auto"/>
            <w:noWrap/>
            <w:vAlign w:val="center"/>
            <w:hideMark/>
          </w:tcPr>
          <w:p>
            <w:pPr>
              <w:pStyle w:val="style0"/>
              <w:rPr>
                <w:color w:val="000000"/>
                <w:sz w:val="20"/>
                <w:szCs w:val="20"/>
              </w:rPr>
            </w:pPr>
            <w:r>
              <w:rPr>
                <w:color w:val="000000"/>
                <w:sz w:val="20"/>
                <w:szCs w:val="20"/>
              </w:rPr>
              <w:t>Fleuve Sourou</w:t>
            </w:r>
          </w:p>
        </w:tc>
        <w:tc>
          <w:tcPr>
            <w:tcW w:w="1308" w:type="pct"/>
            <w:tcBorders/>
            <w:shd w:val="clear" w:color="auto" w:fill="auto"/>
            <w:noWrap/>
            <w:vAlign w:val="center"/>
            <w:hideMark/>
          </w:tcPr>
          <w:p>
            <w:pPr>
              <w:pStyle w:val="style0"/>
              <w:jc w:val="center"/>
              <w:rPr>
                <w:color w:val="000000"/>
                <w:sz w:val="20"/>
                <w:szCs w:val="20"/>
              </w:rPr>
            </w:pPr>
            <w:r>
              <w:rPr>
                <w:color w:val="000000"/>
                <w:sz w:val="20"/>
                <w:szCs w:val="20"/>
              </w:rPr>
              <w:t>1500</w:t>
            </w:r>
          </w:p>
        </w:tc>
        <w:tc>
          <w:tcPr>
            <w:tcW w:w="1191" w:type="pct"/>
            <w:tcBorders/>
          </w:tcPr>
          <w:p>
            <w:pPr>
              <w:pStyle w:val="style0"/>
              <w:jc w:val="center"/>
              <w:rPr>
                <w:color w:val="000000"/>
                <w:sz w:val="20"/>
                <w:szCs w:val="20"/>
                <w:vertAlign w:val="superscript"/>
              </w:rPr>
            </w:pPr>
            <w:r>
              <w:rPr>
                <w:color w:val="000000"/>
                <w:sz w:val="20"/>
                <w:szCs w:val="20"/>
              </w:rPr>
              <w:t>600 millions de m</w:t>
            </w:r>
            <w:r>
              <w:rPr>
                <w:color w:val="000000"/>
                <w:sz w:val="20"/>
                <w:szCs w:val="20"/>
                <w:vertAlign w:val="superscript"/>
              </w:rPr>
              <w:t>3</w:t>
            </w:r>
          </w:p>
        </w:tc>
      </w:tr>
      <w:tr>
        <w:tblPrEx/>
        <w:trPr>
          <w:trHeight w:val="20" w:hRule="atLeast"/>
        </w:trPr>
        <w:tc>
          <w:tcPr>
            <w:tcW w:w="612" w:type="pct"/>
            <w:tcBorders/>
            <w:shd w:val="clear" w:color="auto" w:fill="auto"/>
          </w:tcPr>
          <w:p>
            <w:pPr>
              <w:pStyle w:val="style0"/>
              <w:rPr>
                <w:color w:val="000000"/>
                <w:sz w:val="20"/>
                <w:szCs w:val="20"/>
              </w:rPr>
            </w:pPr>
            <w:r>
              <w:rPr>
                <w:color w:val="000000"/>
                <w:sz w:val="20"/>
                <w:szCs w:val="20"/>
              </w:rPr>
              <w:t>Nord</w:t>
            </w:r>
          </w:p>
        </w:tc>
        <w:tc>
          <w:tcPr>
            <w:tcW w:w="1196" w:type="pct"/>
            <w:tcBorders/>
            <w:shd w:val="clear" w:color="auto" w:fill="auto"/>
            <w:noWrap/>
            <w:vAlign w:val="center"/>
            <w:hideMark/>
          </w:tcPr>
          <w:p>
            <w:pPr>
              <w:pStyle w:val="style0"/>
              <w:rPr>
                <w:color w:val="000000"/>
                <w:sz w:val="20"/>
                <w:szCs w:val="20"/>
              </w:rPr>
            </w:pPr>
            <w:r>
              <w:rPr>
                <w:color w:val="000000"/>
                <w:sz w:val="20"/>
                <w:szCs w:val="20"/>
              </w:rPr>
              <w:t>Barrage de Dourou</w:t>
            </w:r>
          </w:p>
        </w:tc>
        <w:tc>
          <w:tcPr>
            <w:tcW w:w="693" w:type="pct"/>
            <w:tcBorders/>
            <w:shd w:val="clear" w:color="auto" w:fill="auto"/>
            <w:noWrap/>
            <w:vAlign w:val="center"/>
            <w:hideMark/>
          </w:tcPr>
          <w:p>
            <w:pPr>
              <w:pStyle w:val="style0"/>
              <w:rPr>
                <w:color w:val="000000"/>
                <w:sz w:val="20"/>
                <w:szCs w:val="20"/>
              </w:rPr>
            </w:pPr>
            <w:r>
              <w:rPr>
                <w:color w:val="000000"/>
                <w:sz w:val="20"/>
                <w:szCs w:val="20"/>
              </w:rPr>
              <w:t>barrage</w:t>
            </w:r>
          </w:p>
        </w:tc>
        <w:tc>
          <w:tcPr>
            <w:tcW w:w="1308" w:type="pct"/>
            <w:tcBorders/>
            <w:shd w:val="clear" w:color="auto" w:fill="auto"/>
            <w:noWrap/>
            <w:vAlign w:val="center"/>
            <w:hideMark/>
          </w:tcPr>
          <w:p>
            <w:pPr>
              <w:pStyle w:val="style0"/>
              <w:jc w:val="center"/>
              <w:rPr>
                <w:color w:val="000000"/>
                <w:sz w:val="20"/>
                <w:szCs w:val="20"/>
              </w:rPr>
            </w:pPr>
            <w:r>
              <w:rPr>
                <w:color w:val="000000"/>
                <w:sz w:val="20"/>
                <w:szCs w:val="20"/>
              </w:rPr>
              <w:t>300</w:t>
            </w:r>
          </w:p>
        </w:tc>
        <w:tc>
          <w:tcPr>
            <w:tcW w:w="1191" w:type="pct"/>
            <w:tcBorders/>
          </w:tcPr>
          <w:p>
            <w:pPr>
              <w:pStyle w:val="style0"/>
              <w:jc w:val="center"/>
              <w:rPr>
                <w:color w:val="000000"/>
                <w:sz w:val="20"/>
                <w:szCs w:val="20"/>
                <w:vertAlign w:val="superscript"/>
              </w:rPr>
            </w:pPr>
            <w:r>
              <w:rPr>
                <w:color w:val="000000"/>
                <w:sz w:val="20"/>
                <w:szCs w:val="20"/>
              </w:rPr>
              <w:t>100 millions de m</w:t>
            </w:r>
            <w:r>
              <w:rPr>
                <w:color w:val="000000"/>
                <w:sz w:val="20"/>
                <w:szCs w:val="20"/>
                <w:vertAlign w:val="superscript"/>
              </w:rPr>
              <w:t>3</w:t>
            </w:r>
          </w:p>
        </w:tc>
      </w:tr>
    </w:tbl>
    <w:p>
      <w:pPr>
        <w:pStyle w:val="style0"/>
        <w:spacing w:after="200" w:lineRule="auto" w:line="276"/>
        <w:rPr>
          <w:rFonts w:eastAsia="Calibri"/>
          <w:b/>
          <w:sz w:val="20"/>
          <w:szCs w:val="20"/>
        </w:rPr>
      </w:pPr>
      <w:r>
        <w:rPr>
          <w:rFonts w:eastAsia="Calibri"/>
          <w:b/>
          <w:sz w:val="20"/>
          <w:szCs w:val="20"/>
        </w:rPr>
        <w:t>Source : Document de préparation du PDCA</w:t>
      </w:r>
      <w:r>
        <w:rPr>
          <w:rFonts w:eastAsia="Calibri"/>
          <w:b/>
          <w:sz w:val="20"/>
          <w:szCs w:val="20"/>
        </w:rPr>
        <w:t>/MAAH</w:t>
      </w:r>
      <w:r>
        <w:rPr>
          <w:rFonts w:eastAsia="Calibri"/>
          <w:b/>
          <w:sz w:val="20"/>
          <w:szCs w:val="20"/>
        </w:rPr>
        <w:t xml:space="preserve"> (2018)</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 xml:space="preserve">Quant à la flore et la faune, les </w:t>
      </w:r>
      <w:r>
        <w:rPr>
          <w:sz w:val="22"/>
          <w:szCs w:val="22"/>
        </w:rPr>
        <w:t xml:space="preserve">différents </w:t>
      </w:r>
      <w:r>
        <w:rPr>
          <w:sz w:val="22"/>
          <w:szCs w:val="22"/>
        </w:rPr>
        <w:t xml:space="preserve">aménagements </w:t>
      </w:r>
      <w:r>
        <w:rPr>
          <w:sz w:val="22"/>
          <w:szCs w:val="22"/>
        </w:rPr>
        <w:t>prévus,</w:t>
      </w:r>
      <w:r>
        <w:rPr>
          <w:sz w:val="22"/>
          <w:szCs w:val="22"/>
        </w:rPr>
        <w:t xml:space="preserve"> </w:t>
      </w:r>
      <w:r>
        <w:rPr>
          <w:sz w:val="22"/>
          <w:szCs w:val="22"/>
        </w:rPr>
        <w:t xml:space="preserve">vont </w:t>
      </w:r>
      <w:r>
        <w:rPr>
          <w:sz w:val="22"/>
          <w:szCs w:val="22"/>
        </w:rPr>
        <w:t>nécessite</w:t>
      </w:r>
      <w:r>
        <w:rPr>
          <w:sz w:val="22"/>
          <w:szCs w:val="22"/>
        </w:rPr>
        <w:t>r</w:t>
      </w:r>
      <w:r>
        <w:rPr>
          <w:sz w:val="22"/>
          <w:szCs w:val="22"/>
        </w:rPr>
        <w:t xml:space="preserve"> très souvent l’abattage et le dessouchage d’arbres en vue de préparer les sites au labour. Cette destruction d’arbres affecte la faune pour laquelle la végétation constitue </w:t>
      </w:r>
      <w:r>
        <w:rPr>
          <w:sz w:val="22"/>
          <w:szCs w:val="22"/>
        </w:rPr>
        <w:t>un</w:t>
      </w:r>
      <w:r>
        <w:rPr>
          <w:sz w:val="22"/>
          <w:szCs w:val="22"/>
        </w:rPr>
        <w:t xml:space="preserve"> habitat privilégié. </w:t>
      </w:r>
      <w:r>
        <w:rPr>
          <w:sz w:val="22"/>
          <w:szCs w:val="22"/>
        </w:rPr>
        <w:t>Aussi, l</w:t>
      </w:r>
      <w:r>
        <w:rPr>
          <w:sz w:val="22"/>
          <w:szCs w:val="22"/>
        </w:rPr>
        <w:t xml:space="preserve">’utilisation des intrants agricoles comme les pesticides non homologués en phases </w:t>
      </w:r>
      <w:r>
        <w:rPr>
          <w:sz w:val="22"/>
          <w:szCs w:val="22"/>
        </w:rPr>
        <w:t>d’exploitation des périmètres irrigués</w:t>
      </w:r>
      <w:r>
        <w:rPr>
          <w:sz w:val="22"/>
          <w:szCs w:val="22"/>
        </w:rPr>
        <w:t>,</w:t>
      </w:r>
      <w:r>
        <w:rPr>
          <w:sz w:val="22"/>
          <w:szCs w:val="22"/>
        </w:rPr>
        <w:t xml:space="preserve"> </w:t>
      </w:r>
      <w:r>
        <w:rPr>
          <w:sz w:val="22"/>
          <w:szCs w:val="22"/>
        </w:rPr>
        <w:t>peut</w:t>
      </w:r>
      <w:r>
        <w:rPr>
          <w:sz w:val="22"/>
          <w:szCs w:val="22"/>
        </w:rPr>
        <w:t>-elle</w:t>
      </w:r>
      <w:r>
        <w:rPr>
          <w:sz w:val="22"/>
          <w:szCs w:val="22"/>
        </w:rPr>
        <w:t xml:space="preserve"> </w:t>
      </w:r>
      <w:r>
        <w:rPr>
          <w:sz w:val="22"/>
          <w:szCs w:val="22"/>
        </w:rPr>
        <w:t>cré</w:t>
      </w:r>
      <w:r>
        <w:rPr>
          <w:sz w:val="22"/>
          <w:szCs w:val="22"/>
        </w:rPr>
        <w:t>er</w:t>
      </w:r>
      <w:r>
        <w:rPr>
          <w:sz w:val="22"/>
          <w:szCs w:val="22"/>
        </w:rPr>
        <w:t xml:space="preserve"> également des dommages aux ressources fauniques. </w:t>
      </w:r>
    </w:p>
    <w:p>
      <w:pPr>
        <w:pStyle w:val="style0"/>
        <w:spacing w:after="200"/>
        <w:jc w:val="both"/>
        <w:rPr>
          <w:sz w:val="22"/>
          <w:szCs w:val="22"/>
        </w:rPr>
      </w:pPr>
    </w:p>
    <w:p>
      <w:pPr>
        <w:pStyle w:val="style0"/>
        <w:spacing w:before="120" w:after="120"/>
        <w:jc w:val="both"/>
        <w:rPr>
          <w:rFonts w:eastAsia="Calibri"/>
          <w:sz w:val="22"/>
          <w:szCs w:val="22"/>
        </w:rPr>
      </w:pPr>
      <w:r>
        <w:rPr>
          <w:rFonts w:eastAsia="Calibri"/>
          <w:sz w:val="22"/>
          <w:szCs w:val="22"/>
        </w:rPr>
        <w:t xml:space="preserve">Il </w:t>
      </w:r>
      <w:r>
        <w:rPr>
          <w:rFonts w:eastAsia="Calibri"/>
          <w:sz w:val="22"/>
          <w:szCs w:val="22"/>
        </w:rPr>
        <w:t>importer également de relever que l</w:t>
      </w:r>
      <w:r>
        <w:rPr>
          <w:rFonts w:eastAsia="Calibri"/>
          <w:sz w:val="22"/>
          <w:szCs w:val="22"/>
        </w:rPr>
        <w:t xml:space="preserve">a zone d’intervention du Programme comporte huit (8) sites Ramsar (cf. tableau </w:t>
      </w:r>
      <w:r>
        <w:rPr>
          <w:rFonts w:eastAsia="Calibri"/>
          <w:sz w:val="22"/>
          <w:szCs w:val="22"/>
        </w:rPr>
        <w:t>2</w:t>
      </w:r>
      <w:r>
        <w:rPr>
          <w:rFonts w:eastAsia="Calibri"/>
          <w:sz w:val="22"/>
          <w:szCs w:val="22"/>
        </w:rPr>
        <w:t xml:space="preserve">) </w:t>
      </w:r>
      <w:r>
        <w:rPr>
          <w:rFonts w:eastAsia="Calibri"/>
          <w:sz w:val="22"/>
          <w:szCs w:val="22"/>
        </w:rPr>
        <w:t>dont la protection nécessite</w:t>
      </w:r>
      <w:r>
        <w:rPr>
          <w:rFonts w:eastAsia="Calibri"/>
          <w:sz w:val="22"/>
          <w:szCs w:val="22"/>
        </w:rPr>
        <w:t xml:space="preserve"> </w:t>
      </w:r>
      <w:r>
        <w:rPr>
          <w:rFonts w:eastAsia="Calibri"/>
          <w:sz w:val="22"/>
          <w:szCs w:val="22"/>
        </w:rPr>
        <w:t>la prise de</w:t>
      </w:r>
      <w:r>
        <w:rPr>
          <w:rFonts w:eastAsia="Calibri"/>
          <w:sz w:val="22"/>
          <w:szCs w:val="22"/>
        </w:rPr>
        <w:t xml:space="preserve"> mesures appropriées. En effet, la  </w:t>
      </w:r>
      <w:r>
        <w:rPr>
          <w:rFonts w:eastAsia="Calibri"/>
          <w:sz w:val="22"/>
          <w:szCs w:val="22"/>
        </w:rPr>
        <w:t>réglementation précise que lorsque les besoins d’aménagement de tout site Ramsar</w:t>
      </w:r>
      <w:r>
        <w:rPr>
          <w:rFonts w:eastAsia="Calibri"/>
          <w:sz w:val="22"/>
          <w:szCs w:val="22"/>
        </w:rPr>
        <w:t xml:space="preserve"> et ses environs</w:t>
      </w:r>
      <w:r>
        <w:rPr>
          <w:rFonts w:eastAsia="Calibri"/>
          <w:sz w:val="22"/>
          <w:szCs w:val="22"/>
        </w:rPr>
        <w:t xml:space="preserve"> </w:t>
      </w:r>
      <w:r>
        <w:rPr>
          <w:rFonts w:eastAsia="Calibri"/>
          <w:sz w:val="22"/>
          <w:szCs w:val="22"/>
        </w:rPr>
        <w:t xml:space="preserve">sont confirmés, avant </w:t>
      </w:r>
      <w:r>
        <w:rPr>
          <w:rFonts w:eastAsia="Calibri"/>
          <w:sz w:val="22"/>
          <w:szCs w:val="22"/>
        </w:rPr>
        <w:t xml:space="preserve">que les activités d’aménagement proprement dites ne soient entreprises, une évaluation environnementale et sociale préalable devrait être réalisée. </w:t>
      </w:r>
    </w:p>
    <w:p>
      <w:pPr>
        <w:pStyle w:val="style0"/>
        <w:spacing w:lineRule="auto" w:line="276"/>
        <w:jc w:val="both"/>
        <w:rPr>
          <w:rFonts w:eastAsia="MS Mincho"/>
          <w:bCs/>
          <w:kern w:val="2"/>
          <w:sz w:val="20"/>
          <w:szCs w:val="20"/>
          <w:u w:val="single"/>
          <w:lang w:eastAsia="ja-JP"/>
        </w:rPr>
      </w:pPr>
    </w:p>
    <w:bookmarkStart w:id="67" w:name="_Toc2780536"/>
    <w:p>
      <w:pPr>
        <w:pStyle w:val="style34"/>
        <w:jc w:val="left"/>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2</w:t>
      </w:r>
      <w:r>
        <w:rPr>
          <w:color w:val="auto"/>
          <w:sz w:val="20"/>
          <w:szCs w:val="20"/>
        </w:rPr>
        <w:fldChar w:fldCharType="end"/>
      </w:r>
      <w:r>
        <w:rPr>
          <w:color w:val="auto"/>
          <w:sz w:val="20"/>
          <w:szCs w:val="20"/>
        </w:rPr>
        <w:t xml:space="preserve"> : </w:t>
      </w:r>
      <w:r>
        <w:rPr>
          <w:rFonts w:eastAsia="MS Mincho"/>
          <w:bCs w:val="false"/>
          <w:color w:val="auto"/>
          <w:kern w:val="2"/>
          <w:sz w:val="20"/>
          <w:szCs w:val="20"/>
          <w:u w:val="single"/>
          <w:lang w:eastAsia="ja-JP"/>
        </w:rPr>
        <w:t>Sites Ramsar du Burkina Faso</w:t>
      </w:r>
      <w:bookmarkEnd w:id="67"/>
    </w:p>
    <w:p>
      <w:pPr>
        <w:pStyle w:val="style34"/>
        <w:rPr>
          <w:bCs w:val="false"/>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18"/>
        <w:gridCol w:w="4283"/>
        <w:gridCol w:w="1504"/>
        <w:gridCol w:w="1261"/>
        <w:gridCol w:w="876"/>
      </w:tblGrid>
      <w:tr>
        <w:trPr>
          <w:cantSplit/>
          <w:tblHeader/>
          <w:jc w:val="center"/>
        </w:trPr>
        <w:tc>
          <w:tcPr>
            <w:tcW w:w="285" w:type="pct"/>
            <w:tcBorders/>
            <w:shd w:val="clear" w:color="auto" w:fill="d9d9d9"/>
          </w:tcPr>
          <w:p>
            <w:pPr>
              <w:pStyle w:val="style0"/>
              <w:widowControl w:val="false"/>
              <w:snapToGrid w:val="false"/>
              <w:spacing w:lineRule="atLeast" w:line="240"/>
              <w:jc w:val="center"/>
              <w:rPr>
                <w:rFonts w:eastAsia="MS Mincho"/>
                <w:b/>
                <w:kern w:val="2"/>
                <w:sz w:val="20"/>
                <w:szCs w:val="20"/>
                <w:lang w:eastAsia="ja-JP"/>
              </w:rPr>
            </w:pPr>
            <w:r>
              <w:rPr>
                <w:rFonts w:eastAsia="MS Mincho"/>
                <w:b/>
                <w:kern w:val="2"/>
                <w:sz w:val="20"/>
                <w:szCs w:val="20"/>
                <w:lang w:eastAsia="ja-JP"/>
              </w:rPr>
              <w:t>No.</w:t>
            </w:r>
          </w:p>
        </w:tc>
        <w:tc>
          <w:tcPr>
            <w:tcW w:w="341" w:type="pct"/>
            <w:tcBorders/>
            <w:shd w:val="clear" w:color="auto" w:fill="d9d9d9"/>
          </w:tcPr>
          <w:p>
            <w:pPr>
              <w:pStyle w:val="style0"/>
              <w:widowControl w:val="false"/>
              <w:snapToGrid w:val="false"/>
              <w:spacing w:lineRule="atLeast" w:line="240"/>
              <w:jc w:val="center"/>
              <w:rPr>
                <w:rFonts w:eastAsia="MS Mincho"/>
                <w:b/>
                <w:kern w:val="2"/>
                <w:sz w:val="20"/>
                <w:szCs w:val="20"/>
                <w:lang w:eastAsia="ja-JP"/>
              </w:rPr>
            </w:pPr>
            <w:r>
              <w:rPr>
                <w:rFonts w:eastAsia="MS Mincho"/>
                <w:b/>
                <w:kern w:val="2"/>
                <w:sz w:val="20"/>
                <w:szCs w:val="20"/>
                <w:lang w:eastAsia="ja-JP"/>
              </w:rPr>
              <w:t>Site No.</w:t>
            </w:r>
          </w:p>
        </w:tc>
        <w:tc>
          <w:tcPr>
            <w:tcW w:w="2409" w:type="pct"/>
            <w:tcBorders/>
            <w:shd w:val="clear" w:color="auto" w:fill="d9d9d9"/>
          </w:tcPr>
          <w:p>
            <w:pPr>
              <w:pStyle w:val="style0"/>
              <w:widowControl w:val="false"/>
              <w:snapToGrid w:val="false"/>
              <w:spacing w:lineRule="atLeast" w:line="240"/>
              <w:jc w:val="center"/>
              <w:rPr>
                <w:rFonts w:eastAsia="MS Mincho"/>
                <w:b/>
                <w:kern w:val="2"/>
                <w:sz w:val="20"/>
                <w:szCs w:val="20"/>
                <w:lang w:eastAsia="ja-JP"/>
              </w:rPr>
            </w:pPr>
            <w:r>
              <w:rPr>
                <w:rFonts w:eastAsia="MS Mincho"/>
                <w:b/>
                <w:kern w:val="2"/>
                <w:sz w:val="20"/>
                <w:szCs w:val="20"/>
                <w:lang w:eastAsia="ja-JP"/>
              </w:rPr>
              <w:t>Nom du Site</w:t>
            </w:r>
          </w:p>
        </w:tc>
        <w:tc>
          <w:tcPr>
            <w:tcW w:w="839" w:type="pct"/>
            <w:tcBorders/>
            <w:shd w:val="clear" w:color="auto" w:fill="d9d9d9"/>
          </w:tcPr>
          <w:p>
            <w:pPr>
              <w:pStyle w:val="style0"/>
              <w:widowControl w:val="false"/>
              <w:snapToGrid w:val="false"/>
              <w:spacing w:lineRule="atLeast" w:line="240"/>
              <w:jc w:val="center"/>
              <w:rPr>
                <w:rFonts w:eastAsia="MS Mincho"/>
                <w:b/>
                <w:kern w:val="2"/>
                <w:sz w:val="20"/>
                <w:szCs w:val="20"/>
                <w:lang w:eastAsia="ja-JP"/>
              </w:rPr>
            </w:pPr>
            <w:r>
              <w:rPr>
                <w:rFonts w:eastAsia="MS Mincho"/>
                <w:b/>
                <w:kern w:val="2"/>
                <w:sz w:val="20"/>
                <w:szCs w:val="20"/>
                <w:lang w:eastAsia="ja-JP"/>
              </w:rPr>
              <w:t>Région</w:t>
            </w:r>
          </w:p>
        </w:tc>
        <w:tc>
          <w:tcPr>
            <w:tcW w:w="697" w:type="pct"/>
            <w:tcBorders/>
            <w:shd w:val="clear" w:color="auto" w:fill="d9d9d9"/>
          </w:tcPr>
          <w:p>
            <w:pPr>
              <w:pStyle w:val="style0"/>
              <w:widowControl w:val="false"/>
              <w:snapToGrid w:val="false"/>
              <w:spacing w:lineRule="atLeast" w:line="240"/>
              <w:jc w:val="both"/>
              <w:rPr>
                <w:rFonts w:eastAsia="MS Mincho"/>
                <w:b/>
                <w:kern w:val="2"/>
                <w:sz w:val="20"/>
                <w:szCs w:val="20"/>
                <w:lang w:eastAsia="ja-JP"/>
              </w:rPr>
            </w:pPr>
            <w:r>
              <w:rPr>
                <w:rFonts w:eastAsia="MS Mincho"/>
                <w:b/>
                <w:kern w:val="2"/>
                <w:sz w:val="20"/>
                <w:szCs w:val="20"/>
                <w:lang w:eastAsia="ja-JP"/>
              </w:rPr>
              <w:t xml:space="preserve">Date de   Désignation </w:t>
            </w:r>
          </w:p>
        </w:tc>
        <w:tc>
          <w:tcPr>
            <w:tcW w:w="428" w:type="pct"/>
            <w:tcBorders/>
            <w:shd w:val="clear" w:color="auto" w:fill="d9d9d9"/>
          </w:tcPr>
          <w:p>
            <w:pPr>
              <w:pStyle w:val="style0"/>
              <w:widowControl w:val="false"/>
              <w:snapToGrid w:val="false"/>
              <w:spacing w:lineRule="atLeast" w:line="240"/>
              <w:jc w:val="center"/>
              <w:rPr>
                <w:rFonts w:eastAsia="MS Mincho"/>
                <w:b/>
                <w:kern w:val="2"/>
                <w:sz w:val="20"/>
                <w:szCs w:val="20"/>
                <w:lang w:eastAsia="ja-JP"/>
              </w:rPr>
            </w:pPr>
            <w:r>
              <w:rPr>
                <w:rFonts w:eastAsia="MS Mincho"/>
                <w:b/>
                <w:kern w:val="2"/>
                <w:sz w:val="20"/>
                <w:szCs w:val="20"/>
                <w:lang w:eastAsia="ja-JP"/>
              </w:rPr>
              <w:t>Sup. (ha)</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491</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LA MARE AUX HIPPOPOTAMES</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Hauts-Bassins</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Proxima Nova"/>
                <w:color w:val="222222"/>
                <w:sz w:val="20"/>
                <w:szCs w:val="20"/>
                <w:lang w:eastAsia="ja-JP"/>
              </w:rPr>
              <w:t>27-06-1990</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19,200</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2</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1877</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CÔNE D’</w:t>
            </w:r>
            <w:r>
              <w:rPr>
                <w:rFonts w:eastAsia="MS Mincho"/>
                <w:kern w:val="2"/>
                <w:sz w:val="20"/>
                <w:szCs w:val="20"/>
                <w:lang w:val="es-ES" w:eastAsia="ja-JP"/>
              </w:rPr>
              <w:t>É</w:t>
            </w:r>
            <w:r>
              <w:rPr>
                <w:rFonts w:eastAsia="MS Mincho"/>
                <w:kern w:val="2"/>
                <w:sz w:val="20"/>
                <w:szCs w:val="20"/>
                <w:lang w:eastAsia="ja-JP"/>
              </w:rPr>
              <w:t>PANDAGE DE BANH</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Nord</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val="es-ES" w:eastAsia="ja-JP"/>
              </w:rPr>
            </w:pPr>
            <w:r>
              <w:rPr>
                <w:rFonts w:eastAsia="MS Mincho"/>
                <w:kern w:val="2"/>
                <w:sz w:val="20"/>
                <w:szCs w:val="20"/>
                <w:lang w:val="es-ES" w:eastAsia="ja-JP"/>
              </w:rPr>
              <w:t>07-10-2009</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10,003</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3</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1878</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LA FORÊT CLASSÉE ET RÉSERVE PARTIELLE DE FAUNE COMOÉ-LÉRABA</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Cascades</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07-10-2009</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124,510</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4</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1879</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FORÊT GALERIE DE LÉRA</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Cascades</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07-10-2009</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542</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5</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1881</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LAC DE TINGRELA</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Cascades</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07-10-2009</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580</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6</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1885</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LA VALLÉE DU SOUROU</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Boucle du Mouhoun</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07-10-2009</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21,157</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7</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2292</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ZONE DE CONFLUENCE MOUHOUN-SOUROU</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Boucle du Mouhoun</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02-02-2017</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23,300</w:t>
            </w:r>
          </w:p>
        </w:tc>
      </w:tr>
      <w:tr>
        <w:tblPrEx/>
        <w:trPr>
          <w:cantSplit/>
          <w:jc w:val="center"/>
        </w:trPr>
        <w:tc>
          <w:tcPr>
            <w:tcW w:w="285"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8</w:t>
            </w:r>
          </w:p>
        </w:tc>
        <w:tc>
          <w:tcPr>
            <w:tcW w:w="341"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2314</w:t>
            </w:r>
          </w:p>
        </w:tc>
        <w:tc>
          <w:tcPr>
            <w:tcW w:w="240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CORRIDOR FORESTIER DE LA BOUCLE DU MOUHOUN</w:t>
            </w:r>
          </w:p>
        </w:tc>
        <w:tc>
          <w:tcPr>
            <w:tcW w:w="839" w:type="pct"/>
            <w:tcBorders/>
            <w:shd w:val="clear" w:color="auto" w:fill="auto"/>
          </w:tcPr>
          <w:p>
            <w:pPr>
              <w:pStyle w:val="style0"/>
              <w:widowControl w:val="false"/>
              <w:snapToGrid w:val="false"/>
              <w:spacing w:lineRule="atLeast" w:line="240"/>
              <w:rPr>
                <w:rFonts w:eastAsia="MS Mincho"/>
                <w:kern w:val="2"/>
                <w:sz w:val="20"/>
                <w:szCs w:val="20"/>
                <w:lang w:eastAsia="ja-JP"/>
              </w:rPr>
            </w:pPr>
            <w:r>
              <w:rPr>
                <w:rFonts w:eastAsia="MS Mincho"/>
                <w:kern w:val="2"/>
                <w:sz w:val="20"/>
                <w:szCs w:val="20"/>
                <w:lang w:eastAsia="ja-JP"/>
              </w:rPr>
              <w:t>Boucle du Mouhoun</w:t>
            </w:r>
          </w:p>
        </w:tc>
        <w:tc>
          <w:tcPr>
            <w:tcW w:w="697" w:type="pct"/>
            <w:tcBorders/>
            <w:shd w:val="clear" w:color="auto" w:fill="auto"/>
          </w:tcPr>
          <w:p>
            <w:pPr>
              <w:pStyle w:val="style0"/>
              <w:widowControl w:val="false"/>
              <w:snapToGrid w:val="false"/>
              <w:spacing w:lineRule="atLeast" w:line="240"/>
              <w:jc w:val="both"/>
              <w:rPr>
                <w:rFonts w:eastAsia="MS Mincho"/>
                <w:kern w:val="2"/>
                <w:sz w:val="20"/>
                <w:szCs w:val="20"/>
                <w:lang w:eastAsia="ja-JP"/>
              </w:rPr>
            </w:pPr>
            <w:r>
              <w:rPr>
                <w:rFonts w:eastAsia="MS Mincho"/>
                <w:kern w:val="2"/>
                <w:sz w:val="20"/>
                <w:szCs w:val="20"/>
                <w:lang w:eastAsia="ja-JP"/>
              </w:rPr>
              <w:t>27-10-2017</w:t>
            </w:r>
          </w:p>
        </w:tc>
        <w:tc>
          <w:tcPr>
            <w:tcW w:w="428" w:type="pct"/>
            <w:tcBorders/>
            <w:shd w:val="clear" w:color="auto" w:fill="auto"/>
          </w:tcPr>
          <w:p>
            <w:pPr>
              <w:pStyle w:val="style0"/>
              <w:widowControl w:val="false"/>
              <w:snapToGrid w:val="false"/>
              <w:spacing w:lineRule="atLeast" w:line="240"/>
              <w:jc w:val="right"/>
              <w:rPr>
                <w:rFonts w:eastAsia="MS Mincho"/>
                <w:kern w:val="2"/>
                <w:sz w:val="20"/>
                <w:szCs w:val="20"/>
                <w:lang w:eastAsia="ja-JP"/>
              </w:rPr>
            </w:pPr>
            <w:r>
              <w:rPr>
                <w:rFonts w:eastAsia="MS Mincho"/>
                <w:kern w:val="2"/>
                <w:sz w:val="20"/>
                <w:szCs w:val="20"/>
                <w:lang w:eastAsia="ja-JP"/>
              </w:rPr>
              <w:t>134,553</w:t>
            </w:r>
          </w:p>
        </w:tc>
      </w:tr>
    </w:tbl>
    <w:p>
      <w:pPr>
        <w:pStyle w:val="style0"/>
        <w:widowControl w:val="false"/>
        <w:jc w:val="both"/>
        <w:rPr>
          <w:rFonts w:eastAsia="MS Mincho"/>
          <w:kern w:val="2"/>
          <w:sz w:val="16"/>
          <w:szCs w:val="20"/>
          <w:lang w:eastAsia="ja-JP"/>
        </w:rPr>
      </w:pPr>
      <w:r>
        <w:rPr>
          <w:rFonts w:eastAsia="MS Mincho" w:hint="eastAsia"/>
          <w:kern w:val="2"/>
          <w:sz w:val="16"/>
          <w:szCs w:val="20"/>
          <w:lang w:eastAsia="ja-JP"/>
        </w:rPr>
        <w:t>Source</w:t>
      </w:r>
      <w:r>
        <w:rPr>
          <w:rFonts w:eastAsia="MS Mincho"/>
          <w:kern w:val="2"/>
          <w:sz w:val="16"/>
          <w:szCs w:val="20"/>
          <w:lang w:eastAsia="ja-JP"/>
        </w:rPr>
        <w:t> </w:t>
      </w:r>
      <w:r>
        <w:rPr>
          <w:rFonts w:eastAsia="MS Mincho" w:hint="eastAsia"/>
          <w:kern w:val="2"/>
          <w:sz w:val="16"/>
          <w:szCs w:val="20"/>
          <w:lang w:eastAsia="ja-JP"/>
        </w:rPr>
        <w:t xml:space="preserve">: </w:t>
      </w:r>
      <w:r>
        <w:rPr>
          <w:rFonts w:eastAsia="MS Mincho"/>
          <w:kern w:val="2"/>
          <w:sz w:val="16"/>
          <w:szCs w:val="20"/>
          <w:lang w:eastAsia="ja-JP"/>
        </w:rPr>
        <w:t>Site web de la Convention de Ramsar</w:t>
      </w:r>
      <w:r>
        <w:rPr>
          <w:rFonts w:eastAsia="MS Mincho" w:hint="eastAsia"/>
          <w:kern w:val="2"/>
          <w:sz w:val="10"/>
          <w:szCs w:val="20"/>
          <w:lang w:eastAsia="ja-JP"/>
        </w:rPr>
        <w:t xml:space="preserve"> </w:t>
      </w:r>
      <w:r>
        <w:rPr>
          <w:rFonts w:eastAsia="MS Mincho" w:hint="eastAsia"/>
          <w:kern w:val="2"/>
          <w:sz w:val="16"/>
          <w:szCs w:val="20"/>
          <w:lang w:eastAsia="ja-JP"/>
        </w:rPr>
        <w:t>(</w:t>
      </w:r>
      <w:r>
        <w:rPr>
          <w:rFonts w:eastAsia="MS Mincho"/>
          <w:kern w:val="2"/>
          <w:sz w:val="16"/>
          <w:szCs w:val="20"/>
          <w:lang w:eastAsia="ja-JP"/>
        </w:rPr>
        <w:t>https://www.ramsar.org/</w:t>
      </w:r>
      <w:r>
        <w:rPr>
          <w:rFonts w:eastAsia="MS Mincho" w:hint="eastAsia"/>
          <w:kern w:val="2"/>
          <w:sz w:val="16"/>
          <w:szCs w:val="20"/>
          <w:lang w:eastAsia="ja-JP"/>
        </w:rPr>
        <w:t>)</w:t>
      </w:r>
    </w:p>
    <w:p>
      <w:pPr>
        <w:pStyle w:val="style0"/>
        <w:spacing w:after="200" w:lineRule="auto" w:line="276"/>
        <w:jc w:val="both"/>
        <w:rPr>
          <w:sz w:val="22"/>
          <w:szCs w:val="22"/>
        </w:rPr>
      </w:pPr>
    </w:p>
    <w:bookmarkStart w:id="68" w:name="_Toc347628"/>
    <w:bookmarkStart w:id="69" w:name="_Toc347629"/>
    <w:bookmarkStart w:id="70" w:name="_MON_1611889568"/>
    <w:bookmarkStart w:id="71" w:name="_Toc535264256"/>
    <w:bookmarkStart w:id="72" w:name="_Toc536410136"/>
    <w:bookmarkStart w:id="73" w:name="_Toc686090"/>
    <w:bookmarkStart w:id="74" w:name="_Toc2780475"/>
    <w:bookmarkEnd w:id="68"/>
    <w:bookmarkEnd w:id="69"/>
    <w:bookmarkEnd w:id="70"/>
    <w:p>
      <w:pPr>
        <w:pStyle w:val="style4307"/>
        <w:numPr>
          <w:ilvl w:val="0"/>
          <w:numId w:val="0"/>
        </w:numPr>
        <w:rPr/>
      </w:pPr>
      <w:r>
        <w:t>3.2.</w:t>
      </w:r>
      <w:r>
        <w:t xml:space="preserve"> Enjeux</w:t>
      </w:r>
      <w:r>
        <w:t xml:space="preserve"> soci</w:t>
      </w:r>
      <w:r>
        <w:t>aux</w:t>
      </w:r>
      <w:bookmarkEnd w:id="71"/>
      <w:bookmarkEnd w:id="72"/>
      <w:bookmarkEnd w:id="73"/>
      <w:bookmarkEnd w:id="74"/>
    </w:p>
    <w:p>
      <w:pPr>
        <w:pStyle w:val="style0"/>
        <w:jc w:val="both"/>
        <w:rPr>
          <w:sz w:val="22"/>
          <w:szCs w:val="22"/>
        </w:rPr>
      </w:pPr>
      <w:r>
        <w:rPr>
          <w:sz w:val="22"/>
          <w:szCs w:val="22"/>
        </w:rPr>
        <w:t>Plusieurs enjeux soci</w:t>
      </w:r>
      <w:r>
        <w:rPr>
          <w:sz w:val="22"/>
          <w:szCs w:val="22"/>
        </w:rPr>
        <w:t xml:space="preserve">aux </w:t>
      </w:r>
      <w:r>
        <w:rPr>
          <w:sz w:val="22"/>
          <w:szCs w:val="22"/>
        </w:rPr>
        <w:t xml:space="preserve"> sont à considérer dans le cadre du Programme. Il s’agit </w:t>
      </w:r>
      <w:r>
        <w:rPr>
          <w:sz w:val="22"/>
          <w:szCs w:val="22"/>
        </w:rPr>
        <w:t xml:space="preserve">principalement </w:t>
      </w:r>
      <w:r>
        <w:rPr>
          <w:sz w:val="22"/>
          <w:szCs w:val="22"/>
        </w:rPr>
        <w:t>des enjeux</w:t>
      </w:r>
      <w:r>
        <w:rPr>
          <w:sz w:val="22"/>
          <w:szCs w:val="22"/>
        </w:rPr>
        <w:t xml:space="preserve"> démographiques</w:t>
      </w:r>
      <w:r>
        <w:rPr>
          <w:sz w:val="22"/>
          <w:szCs w:val="22"/>
        </w:rPr>
        <w:t>,</w:t>
      </w:r>
      <w:r>
        <w:rPr>
          <w:sz w:val="22"/>
          <w:szCs w:val="22"/>
        </w:rPr>
        <w:t xml:space="preserve"> fonciers</w:t>
      </w:r>
      <w:r>
        <w:rPr>
          <w:sz w:val="22"/>
          <w:szCs w:val="22"/>
        </w:rPr>
        <w:t>, l’état défectueux du réseau routier et la pauvreté</w:t>
      </w:r>
      <w:r>
        <w:rPr>
          <w:sz w:val="22"/>
          <w:szCs w:val="22"/>
        </w:rPr>
        <w:t xml:space="preserve">. </w:t>
      </w:r>
    </w:p>
    <w:bookmarkStart w:id="75" w:name="_Toc686091"/>
    <w:bookmarkStart w:id="76" w:name="_Toc2780476"/>
    <w:p>
      <w:pPr>
        <w:pStyle w:val="style3"/>
        <w:numPr>
          <w:ilvl w:val="0"/>
          <w:numId w:val="0"/>
        </w:numPr>
        <w:ind w:left="360"/>
        <w:rPr>
          <w:b/>
          <w:u w:val="none"/>
        </w:rPr>
      </w:pPr>
      <w:r>
        <w:rPr>
          <w:b/>
          <w:u w:val="none"/>
        </w:rPr>
        <w:t>3.2.1.</w:t>
      </w:r>
      <w:r>
        <w:rPr>
          <w:b/>
          <w:u w:val="none"/>
        </w:rPr>
        <w:t xml:space="preserve"> </w:t>
      </w:r>
      <w:r>
        <w:rPr>
          <w:b/>
          <w:u w:val="none"/>
        </w:rPr>
        <w:t>E</w:t>
      </w:r>
      <w:r>
        <w:rPr>
          <w:b/>
          <w:u w:val="none"/>
        </w:rPr>
        <w:t>volution</w:t>
      </w:r>
      <w:r>
        <w:rPr>
          <w:b/>
          <w:u w:val="none"/>
        </w:rPr>
        <w:t xml:space="preserve"> démographique</w:t>
      </w:r>
      <w:r>
        <w:rPr>
          <w:b/>
          <w:u w:val="none"/>
        </w:rPr>
        <w:t xml:space="preserve"> </w:t>
      </w:r>
      <w:r>
        <w:rPr>
          <w:b/>
          <w:u w:val="none"/>
        </w:rPr>
        <w:t xml:space="preserve">dans les </w:t>
      </w:r>
      <w:bookmarkEnd w:id="75"/>
      <w:r>
        <w:rPr>
          <w:b/>
          <w:u w:val="none"/>
        </w:rPr>
        <w:t>zone</w:t>
      </w:r>
      <w:r>
        <w:rPr>
          <w:b/>
          <w:u w:val="none"/>
        </w:rPr>
        <w:t>s</w:t>
      </w:r>
      <w:r>
        <w:rPr>
          <w:b/>
          <w:u w:val="none"/>
        </w:rPr>
        <w:t xml:space="preserve"> d’implantation des sous-projets</w:t>
      </w:r>
      <w:bookmarkEnd w:id="76"/>
    </w:p>
    <w:p>
      <w:pPr>
        <w:pStyle w:val="style0"/>
        <w:spacing w:after="200"/>
        <w:jc w:val="both"/>
        <w:rPr>
          <w:sz w:val="22"/>
          <w:szCs w:val="22"/>
        </w:rPr>
      </w:pPr>
      <w:r>
        <w:rPr>
          <w:sz w:val="22"/>
          <w:szCs w:val="22"/>
        </w:rPr>
        <w:t>Globalement, la zone d’intervention du Programme comptait 4 629 957 habitants en 2006 contre 5 330 658 en 2011, soit un taux d’accroissement global de 15,13%. Le pourcentage de femmes oscill</w:t>
      </w:r>
      <w:r>
        <w:rPr>
          <w:sz w:val="22"/>
          <w:szCs w:val="22"/>
        </w:rPr>
        <w:t xml:space="preserve">ait </w:t>
      </w:r>
      <w:r>
        <w:rPr>
          <w:sz w:val="22"/>
          <w:szCs w:val="22"/>
        </w:rPr>
        <w:t xml:space="preserve"> entre 50,63% </w:t>
      </w:r>
      <w:r>
        <w:rPr>
          <w:sz w:val="22"/>
          <w:szCs w:val="22"/>
        </w:rPr>
        <w:t>et</w:t>
      </w:r>
      <w:r>
        <w:rPr>
          <w:sz w:val="22"/>
          <w:szCs w:val="22"/>
        </w:rPr>
        <w:t xml:space="preserve"> </w:t>
      </w:r>
      <w:r>
        <w:rPr>
          <w:sz w:val="22"/>
          <w:szCs w:val="22"/>
        </w:rPr>
        <w:t>53,43% en 2011 selon les régions (</w:t>
      </w:r>
      <w:r>
        <w:rPr>
          <w:sz w:val="22"/>
          <w:szCs w:val="22"/>
        </w:rPr>
        <w:t>INSD, Recensements généraux de la population ; 2014)</w:t>
      </w:r>
      <w:r>
        <w:rPr>
          <w:sz w:val="22"/>
          <w:szCs w:val="22"/>
        </w:rPr>
        <w:t>.</w:t>
      </w:r>
    </w:p>
    <w:p>
      <w:pPr>
        <w:pStyle w:val="style0"/>
        <w:spacing w:after="200"/>
        <w:jc w:val="both"/>
        <w:rPr>
          <w:sz w:val="22"/>
          <w:szCs w:val="22"/>
        </w:rPr>
      </w:pPr>
      <w:r>
        <w:rPr>
          <w:sz w:val="22"/>
          <w:szCs w:val="22"/>
        </w:rPr>
        <w:t xml:space="preserve">Les </w:t>
      </w:r>
      <w:r>
        <w:rPr>
          <w:sz w:val="22"/>
          <w:szCs w:val="22"/>
        </w:rPr>
        <w:t xml:space="preserve">régions des </w:t>
      </w:r>
      <w:r>
        <w:rPr>
          <w:b/>
          <w:sz w:val="22"/>
          <w:szCs w:val="22"/>
        </w:rPr>
        <w:t>Hauts Bassins</w:t>
      </w:r>
      <w:r>
        <w:rPr>
          <w:sz w:val="22"/>
          <w:szCs w:val="22"/>
        </w:rPr>
        <w:t xml:space="preserve"> (10,6%) et de la </w:t>
      </w:r>
      <w:r>
        <w:rPr>
          <w:b/>
          <w:sz w:val="22"/>
          <w:szCs w:val="22"/>
        </w:rPr>
        <w:t>Boucle du Mouhoun</w:t>
      </w:r>
      <w:r>
        <w:rPr>
          <w:sz w:val="22"/>
          <w:szCs w:val="22"/>
        </w:rPr>
        <w:t xml:space="preserve"> (9,9%)  qui abritent respectivement le site</w:t>
      </w:r>
      <w:r>
        <w:rPr>
          <w:sz w:val="22"/>
          <w:szCs w:val="22"/>
        </w:rPr>
        <w:t xml:space="preserve"> du</w:t>
      </w:r>
      <w:r>
        <w:rPr>
          <w:sz w:val="22"/>
          <w:szCs w:val="22"/>
        </w:rPr>
        <w:t xml:space="preserve"> </w:t>
      </w:r>
      <w:r>
        <w:rPr>
          <w:sz w:val="22"/>
          <w:szCs w:val="22"/>
        </w:rPr>
        <w:t>sous-projet d’aménag</w:t>
      </w:r>
      <w:r>
        <w:rPr>
          <w:sz w:val="22"/>
          <w:szCs w:val="22"/>
        </w:rPr>
        <w:t>ement</w:t>
      </w:r>
      <w:r>
        <w:rPr>
          <w:sz w:val="22"/>
          <w:szCs w:val="22"/>
        </w:rPr>
        <w:t xml:space="preserve"> </w:t>
      </w:r>
      <w:r>
        <w:rPr>
          <w:sz w:val="22"/>
          <w:szCs w:val="22"/>
        </w:rPr>
        <w:t>de Banzon et ceux de Dangoumana et Bissan constituent avec la région du Centre (13,6%)</w:t>
      </w:r>
      <w:r>
        <w:rPr>
          <w:sz w:val="22"/>
          <w:szCs w:val="22"/>
        </w:rPr>
        <w:t>,</w:t>
      </w:r>
      <w:r>
        <w:rPr>
          <w:sz w:val="22"/>
          <w:szCs w:val="22"/>
        </w:rPr>
        <w:t xml:space="preserve">  les trois (3) </w:t>
      </w:r>
      <w:r>
        <w:rPr>
          <w:sz w:val="22"/>
          <w:szCs w:val="22"/>
        </w:rPr>
        <w:t xml:space="preserve">régions les plus peuplées </w:t>
      </w:r>
      <w:r>
        <w:rPr>
          <w:sz w:val="22"/>
          <w:szCs w:val="22"/>
        </w:rPr>
        <w:t xml:space="preserve">du Burkina Faso, soit  </w:t>
      </w:r>
      <w:r>
        <w:rPr>
          <w:sz w:val="22"/>
          <w:szCs w:val="22"/>
        </w:rPr>
        <w:t xml:space="preserve">plus du tiers (34,1%) de la population totale du pays. La région du </w:t>
      </w:r>
      <w:r>
        <w:rPr>
          <w:b/>
          <w:sz w:val="22"/>
          <w:szCs w:val="22"/>
        </w:rPr>
        <w:t>Nord</w:t>
      </w:r>
      <w:r>
        <w:rPr>
          <w:sz w:val="22"/>
          <w:szCs w:val="22"/>
        </w:rPr>
        <w:t xml:space="preserve"> </w:t>
      </w:r>
      <w:r>
        <w:rPr>
          <w:sz w:val="22"/>
          <w:szCs w:val="22"/>
        </w:rPr>
        <w:t xml:space="preserve">qui abrite le site du sous-projet Dourou quant à elle, </w:t>
      </w:r>
      <w:r>
        <w:rPr>
          <w:sz w:val="22"/>
          <w:szCs w:val="22"/>
        </w:rPr>
        <w:t>concentre 8,2% de la population du pays</w:t>
      </w:r>
      <w:r>
        <w:rPr>
          <w:sz w:val="22"/>
          <w:szCs w:val="22"/>
        </w:rPr>
        <w:t xml:space="preserve">. Pour ce qui est de la </w:t>
      </w:r>
      <w:r>
        <w:rPr>
          <w:sz w:val="22"/>
          <w:szCs w:val="22"/>
        </w:rPr>
        <w:t>région</w:t>
      </w:r>
      <w:r>
        <w:rPr>
          <w:sz w:val="22"/>
          <w:szCs w:val="22"/>
        </w:rPr>
        <w:t xml:space="preserve"> </w:t>
      </w:r>
      <w:r>
        <w:rPr>
          <w:sz w:val="22"/>
          <w:szCs w:val="22"/>
        </w:rPr>
        <w:t xml:space="preserve">des </w:t>
      </w:r>
      <w:r>
        <w:rPr>
          <w:sz w:val="22"/>
          <w:szCs w:val="22"/>
        </w:rPr>
        <w:t>Cascades</w:t>
      </w:r>
      <w:r>
        <w:rPr>
          <w:sz w:val="22"/>
          <w:szCs w:val="22"/>
        </w:rPr>
        <w:t xml:space="preserve"> où se trouvent les sites de Douna/Niofila</w:t>
      </w:r>
      <w:r>
        <w:rPr>
          <w:sz w:val="22"/>
          <w:szCs w:val="22"/>
        </w:rPr>
        <w:t xml:space="preserve">, </w:t>
      </w:r>
      <w:r>
        <w:rPr>
          <w:sz w:val="22"/>
          <w:szCs w:val="22"/>
        </w:rPr>
        <w:t xml:space="preserve">elle est parmi  les </w:t>
      </w:r>
      <w:r>
        <w:rPr>
          <w:sz w:val="22"/>
          <w:szCs w:val="22"/>
        </w:rPr>
        <w:t xml:space="preserve">régions les moins </w:t>
      </w:r>
      <w:r>
        <w:rPr>
          <w:sz w:val="22"/>
          <w:szCs w:val="22"/>
        </w:rPr>
        <w:t xml:space="preserve">peuplées avec </w:t>
      </w:r>
      <w:r>
        <w:rPr>
          <w:sz w:val="22"/>
          <w:szCs w:val="22"/>
        </w:rPr>
        <w:t>le Sud-ouest</w:t>
      </w:r>
      <w:r>
        <w:rPr>
          <w:sz w:val="22"/>
          <w:szCs w:val="22"/>
        </w:rPr>
        <w:t>, le C</w:t>
      </w:r>
      <w:r>
        <w:rPr>
          <w:sz w:val="22"/>
          <w:szCs w:val="22"/>
        </w:rPr>
        <w:t xml:space="preserve">entre sud et </w:t>
      </w:r>
      <w:r>
        <w:rPr>
          <w:sz w:val="22"/>
          <w:szCs w:val="22"/>
        </w:rPr>
        <w:t>le</w:t>
      </w:r>
      <w:r>
        <w:rPr>
          <w:sz w:val="22"/>
          <w:szCs w:val="22"/>
        </w:rPr>
        <w:t xml:space="preserve"> Plateau central</w:t>
      </w:r>
      <w:r>
        <w:rPr>
          <w:sz w:val="22"/>
          <w:szCs w:val="22"/>
        </w:rPr>
        <w:t xml:space="preserve"> et avec </w:t>
      </w:r>
      <w:r>
        <w:rPr>
          <w:sz w:val="22"/>
          <w:szCs w:val="22"/>
        </w:rPr>
        <w:t xml:space="preserve">chacune moins de 5% de la population totale </w:t>
      </w:r>
      <w:r>
        <w:rPr>
          <w:sz w:val="22"/>
          <w:szCs w:val="22"/>
        </w:rPr>
        <w:t xml:space="preserve">du </w:t>
      </w:r>
      <w:r>
        <w:rPr>
          <w:sz w:val="22"/>
          <w:szCs w:val="22"/>
        </w:rPr>
        <w:t>pays.</w:t>
      </w:r>
      <w:r>
        <w:rPr>
          <w:sz w:val="22"/>
          <w:szCs w:val="22"/>
        </w:rPr>
        <w:t xml:space="preserve"> </w:t>
      </w:r>
    </w:p>
    <w:p>
      <w:pPr>
        <w:pStyle w:val="style0"/>
        <w:spacing w:after="200"/>
        <w:jc w:val="both"/>
        <w:rPr>
          <w:sz w:val="22"/>
          <w:szCs w:val="22"/>
        </w:rPr>
      </w:pPr>
      <w:r>
        <w:rPr>
          <w:sz w:val="22"/>
          <w:szCs w:val="22"/>
        </w:rPr>
        <w:t>Une attention particulière devra être accordée aux actions visant à absorber ce croît démographique dans la valorisation des futurs périmètres irrigués. Cela permettra également de freiner d’une part, l’exode rural des jeunes vers les centres urbains où le problème d’emplois se pose avec plus d’acuité et d’autre part, de minimiser les risques sociaux liés à l’arrivée de migrants sur les différents sites.</w:t>
      </w:r>
    </w:p>
    <w:bookmarkStart w:id="77" w:name="_Toc2780477"/>
    <w:p>
      <w:pPr>
        <w:pStyle w:val="style3"/>
        <w:numPr>
          <w:ilvl w:val="0"/>
          <w:numId w:val="0"/>
        </w:numPr>
        <w:ind w:left="360"/>
        <w:rPr>
          <w:b/>
        </w:rPr>
      </w:pPr>
      <w:r>
        <w:rPr>
          <w:b/>
          <w:u w:val="none"/>
        </w:rPr>
        <w:t>3.2.</w:t>
      </w:r>
      <w:r>
        <w:rPr>
          <w:b/>
          <w:u w:val="none"/>
        </w:rPr>
        <w:t>2</w:t>
      </w:r>
      <w:r>
        <w:rPr>
          <w:b/>
          <w:u w:val="none"/>
        </w:rPr>
        <w:t>. Enjeux liés au foncier</w:t>
      </w:r>
      <w:bookmarkEnd w:id="77"/>
    </w:p>
    <w:p>
      <w:pPr>
        <w:pStyle w:val="style0"/>
        <w:widowControl w:val="false"/>
        <w:autoSpaceDE w:val="false"/>
        <w:autoSpaceDN w:val="false"/>
        <w:adjustRightInd w:val="false"/>
        <w:ind w:left="20" w:right="-21"/>
        <w:jc w:val="both"/>
        <w:rPr>
          <w:rFonts w:eastAsia="Calibri"/>
          <w:sz w:val="22"/>
          <w:szCs w:val="22"/>
          <w:lang w:eastAsia="en-US"/>
        </w:rPr>
      </w:pPr>
      <w:r>
        <w:rPr>
          <w:rFonts w:eastAsia="Calibri"/>
          <w:sz w:val="22"/>
          <w:szCs w:val="22"/>
          <w:lang w:eastAsia="en-US"/>
        </w:rPr>
        <w:t xml:space="preserve">Les sites d’implantation des sous-projets appartiennent généralement à des propriétaires terriens. Si des démarches appropriées pour la mobilisation et l’aménagement des différents sites ne sont pas respectées, cela pourrait engendrer des conflits fonciers et entraver l’exécution normale des sous-projets. Il s’agira donc de privilégier une négociation participative et inclusive pour limiter ce risque. </w:t>
      </w:r>
    </w:p>
    <w:p>
      <w:pPr>
        <w:pStyle w:val="style0"/>
        <w:widowControl w:val="false"/>
        <w:autoSpaceDE w:val="false"/>
        <w:autoSpaceDN w:val="false"/>
        <w:adjustRightInd w:val="false"/>
        <w:ind w:left="20" w:right="-21"/>
        <w:jc w:val="both"/>
        <w:rPr>
          <w:rFonts w:eastAsia="Calibri"/>
          <w:sz w:val="22"/>
          <w:szCs w:val="22"/>
          <w:lang w:eastAsia="en-US"/>
        </w:rPr>
      </w:pPr>
    </w:p>
    <w:p>
      <w:pPr>
        <w:pStyle w:val="style0"/>
        <w:widowControl w:val="false"/>
        <w:autoSpaceDE w:val="false"/>
        <w:autoSpaceDN w:val="false"/>
        <w:adjustRightInd w:val="false"/>
        <w:ind w:left="20" w:right="-21"/>
        <w:jc w:val="both"/>
        <w:rPr>
          <w:rFonts w:eastAsia="Calibri"/>
          <w:sz w:val="22"/>
          <w:szCs w:val="22"/>
          <w:lang w:eastAsia="en-US"/>
        </w:rPr>
      </w:pPr>
      <w:r>
        <w:rPr>
          <w:rFonts w:eastAsia="Calibri"/>
          <w:sz w:val="22"/>
          <w:szCs w:val="22"/>
          <w:lang w:eastAsia="en-US"/>
        </w:rPr>
        <w:t>Ensuite, il fau</w:t>
      </w:r>
      <w:r>
        <w:rPr>
          <w:rFonts w:eastAsia="Calibri"/>
          <w:sz w:val="22"/>
          <w:szCs w:val="22"/>
          <w:lang w:eastAsia="en-US"/>
        </w:rPr>
        <w:t>dra</w:t>
      </w:r>
      <w:r>
        <w:rPr>
          <w:rFonts w:eastAsia="Calibri"/>
          <w:sz w:val="22"/>
          <w:szCs w:val="22"/>
          <w:lang w:eastAsia="en-US"/>
        </w:rPr>
        <w:t xml:space="preserve"> entreprendre les procédures administratives (PV, mémorandum) pour garantir la sécurisation foncière des sites aménagés.</w:t>
      </w:r>
    </w:p>
    <w:p>
      <w:pPr>
        <w:pStyle w:val="style0"/>
        <w:rPr>
          <w:rFonts w:eastAsia="Calibri"/>
          <w:highlight w:val="yellow"/>
          <w:lang w:eastAsia="en-US"/>
        </w:rPr>
      </w:pPr>
    </w:p>
    <w:bookmarkStart w:id="78" w:name="page242"/>
    <w:bookmarkStart w:id="79" w:name="_Toc2780478"/>
    <w:bookmarkStart w:id="80" w:name="_Toc686097"/>
    <w:bookmarkEnd w:id="78"/>
    <w:p>
      <w:pPr>
        <w:pStyle w:val="style3"/>
        <w:numPr>
          <w:ilvl w:val="0"/>
          <w:numId w:val="0"/>
        </w:numPr>
        <w:ind w:left="360"/>
        <w:rPr>
          <w:b/>
          <w:u w:val="none"/>
        </w:rPr>
      </w:pPr>
      <w:r>
        <w:rPr>
          <w:b/>
          <w:u w:val="none"/>
        </w:rPr>
        <w:t>3.2.</w:t>
      </w:r>
      <w:r>
        <w:rPr>
          <w:b/>
          <w:u w:val="none"/>
        </w:rPr>
        <w:t>3</w:t>
      </w:r>
      <w:r>
        <w:rPr>
          <w:b/>
          <w:u w:val="none"/>
        </w:rPr>
        <w:t xml:space="preserve">. </w:t>
      </w:r>
      <w:r>
        <w:rPr>
          <w:b/>
          <w:u w:val="none"/>
        </w:rPr>
        <w:t>Enjeux liés à la p</w:t>
      </w:r>
      <w:r>
        <w:rPr>
          <w:b/>
          <w:u w:val="none"/>
        </w:rPr>
        <w:t>auvreté</w:t>
      </w:r>
      <w:r>
        <w:rPr>
          <w:b/>
          <w:u w:val="none"/>
        </w:rPr>
        <w:t xml:space="preserve"> en milieu rural</w:t>
      </w:r>
      <w:bookmarkEnd w:id="79"/>
      <w:r>
        <w:rPr>
          <w:b/>
          <w:u w:val="none"/>
        </w:rPr>
        <w:t xml:space="preserve"> </w:t>
      </w:r>
      <w:bookmarkEnd w:id="80"/>
    </w:p>
    <w:p>
      <w:pPr>
        <w:pStyle w:val="style0"/>
        <w:jc w:val="both"/>
        <w:rPr>
          <w:sz w:val="22"/>
          <w:szCs w:val="22"/>
        </w:rPr>
      </w:pPr>
      <w:r>
        <w:rPr>
          <w:sz w:val="22"/>
          <w:szCs w:val="22"/>
        </w:rPr>
        <w:t xml:space="preserve">Selon les </w:t>
      </w:r>
      <w:r>
        <w:rPr>
          <w:sz w:val="22"/>
          <w:szCs w:val="22"/>
        </w:rPr>
        <w:t>résultats</w:t>
      </w:r>
      <w:r>
        <w:rPr>
          <w:sz w:val="22"/>
          <w:szCs w:val="22"/>
        </w:rPr>
        <w:t xml:space="preserve"> de l’Enquête multisectorielle continue (EMC, 2014), l</w:t>
      </w:r>
      <w:r>
        <w:rPr>
          <w:sz w:val="22"/>
          <w:szCs w:val="22"/>
        </w:rPr>
        <w:t>a pauvreté est un phénomène essentiellement rural au Burkina Faso. En effet, le taux de pauvreté est passé de 25,2% en 2009 à 13,7% en 2014 en milieu urbain et de 52,8% en 2009 à 47,5% en 2014 en milieu rural. Le</w:t>
      </w:r>
      <w:r>
        <w:rPr>
          <w:sz w:val="22"/>
          <w:szCs w:val="22"/>
        </w:rPr>
        <w:t xml:space="preserve">s différents sous-projets qui seront mis en œuvre dans un tel contexte de pauvreté ambiante, devront prendre en compte cette situation dans leur phase de conception. </w:t>
      </w:r>
      <w:r>
        <w:rPr>
          <w:sz w:val="22"/>
          <w:szCs w:val="22"/>
        </w:rPr>
        <w:t xml:space="preserve"> </w:t>
      </w:r>
    </w:p>
    <w:p>
      <w:pPr>
        <w:pStyle w:val="style0"/>
        <w:jc w:val="both"/>
        <w:rPr>
          <w:sz w:val="22"/>
          <w:szCs w:val="22"/>
        </w:rPr>
      </w:pPr>
      <w:r>
        <w:rPr>
          <w:sz w:val="22"/>
          <w:szCs w:val="22"/>
        </w:rPr>
        <w:t>(EMC, novembre 2014)</w:t>
      </w:r>
      <w:r>
        <w:rPr>
          <w:sz w:val="22"/>
          <w:szCs w:val="22"/>
        </w:rPr>
        <w:t>.</w:t>
      </w:r>
      <w:r>
        <w:rPr>
          <w:sz w:val="22"/>
          <w:szCs w:val="22"/>
        </w:rPr>
        <w:t xml:space="preserve"> </w:t>
      </w:r>
    </w:p>
    <w:p>
      <w:pPr>
        <w:pStyle w:val="style0"/>
        <w:spacing w:lineRule="auto" w:line="360"/>
        <w:jc w:val="both"/>
        <w:rPr>
          <w:sz w:val="23"/>
          <w:szCs w:val="23"/>
        </w:rPr>
      </w:pPr>
    </w:p>
    <w:bookmarkStart w:id="81" w:name="_Toc2780479"/>
    <w:p>
      <w:pPr>
        <w:pStyle w:val="style3"/>
        <w:numPr>
          <w:ilvl w:val="0"/>
          <w:numId w:val="0"/>
        </w:numPr>
        <w:ind w:left="360"/>
        <w:rPr>
          <w:b/>
        </w:rPr>
      </w:pPr>
      <w:r>
        <w:rPr>
          <w:b/>
          <w:u w:val="none"/>
        </w:rPr>
        <w:t>3.2.4. Enjeux liés aux</w:t>
      </w:r>
      <w:r>
        <w:rPr>
          <w:b/>
          <w:u w:val="none"/>
        </w:rPr>
        <w:t xml:space="preserve"> contraintes </w:t>
      </w:r>
      <w:r>
        <w:rPr>
          <w:b/>
          <w:u w:val="none"/>
        </w:rPr>
        <w:t xml:space="preserve">sur </w:t>
      </w:r>
      <w:r>
        <w:rPr>
          <w:b/>
          <w:u w:val="none"/>
        </w:rPr>
        <w:t>l’état du réseau routier</w:t>
      </w:r>
      <w:bookmarkEnd w:id="81"/>
      <w:r>
        <w:rPr>
          <w:b/>
          <w:u w:val="none"/>
        </w:rPr>
        <w:t xml:space="preserve"> </w:t>
      </w:r>
    </w:p>
    <w:p>
      <w:pPr>
        <w:pStyle w:val="style0"/>
        <w:spacing w:after="200"/>
        <w:jc w:val="both"/>
        <w:rPr>
          <w:sz w:val="22"/>
          <w:szCs w:val="22"/>
        </w:rPr>
      </w:pPr>
      <w:r>
        <w:rPr>
          <w:sz w:val="22"/>
          <w:szCs w:val="22"/>
        </w:rPr>
        <w:t xml:space="preserve">D’un point de vue générale, le secteur des transports au Burkina Faso souffre de nombreuses contraintes qui entravent le développement économique et la compétitivité des secteurs de l’économie, y compris la production agricole. Le réseau routier compte 3 642 km de routes bitumées et </w:t>
      </w:r>
      <w:r>
        <w:rPr>
          <w:sz w:val="22"/>
          <w:szCs w:val="22"/>
        </w:rPr>
        <w:t>11 662 km de routes en terre en 2014 (Direction générale des routes, 2015). L'état des infrastructures de transport est médiocre et la fourniture de services de transport reste inefficace dans les zones d’implantation des sous-projets. Ainsi, le développement de la production agricole dans ces zones, devra prendre en compte ces contraintes majeures qui peuvent handicaper l’écoulement et la commercialisation des produits agricoles au bénéfice des consommateurs.</w:t>
      </w:r>
    </w:p>
    <w:p>
      <w:pPr>
        <w:pStyle w:val="style0"/>
        <w:spacing w:lineRule="auto" w:line="360"/>
        <w:jc w:val="both"/>
        <w:rPr>
          <w:sz w:val="23"/>
          <w:szCs w:val="23"/>
        </w:rPr>
      </w:pPr>
    </w:p>
    <w:p>
      <w:pPr>
        <w:pStyle w:val="style0"/>
        <w:spacing w:lineRule="auto" w:line="360"/>
        <w:jc w:val="both"/>
        <w:rPr>
          <w:sz w:val="23"/>
          <w:szCs w:val="23"/>
        </w:rPr>
      </w:pPr>
    </w:p>
    <w:p>
      <w:pPr>
        <w:pStyle w:val="style1"/>
        <w:rPr/>
      </w:pPr>
      <w:r>
        <w:br w:type="page"/>
      </w:r>
      <w:bookmarkStart w:id="82" w:name="_Toc686098"/>
      <w:bookmarkStart w:id="83" w:name="_Toc2780480"/>
      <w:r>
        <w:t xml:space="preserve">IV. </w:t>
      </w:r>
      <w:r>
        <w:t>STRUCTURE ADMINISTRATIVE DU PRO</w:t>
      </w:r>
      <w:r>
        <w:t>GRAMME</w:t>
      </w:r>
      <w:r>
        <w:t>, GESTION ET MISE EN ŒUVRE</w:t>
      </w:r>
      <w:bookmarkEnd w:id="82"/>
      <w:bookmarkEnd w:id="83"/>
    </w:p>
    <w:p>
      <w:pPr>
        <w:pStyle w:val="style0"/>
        <w:rPr>
          <w:rFonts w:cs="Calibri" w:eastAsia="MS Mincho"/>
          <w:iCs/>
          <w:kern w:val="2"/>
          <w:sz w:val="22"/>
          <w:szCs w:val="22"/>
          <w:lang w:eastAsia="en-GB"/>
        </w:rPr>
      </w:pPr>
      <w:r>
        <w:rPr>
          <w:rFonts w:cs="Calibri" w:eastAsia="MS Mincho"/>
          <w:iCs/>
          <w:kern w:val="2"/>
          <w:sz w:val="22"/>
          <w:szCs w:val="22"/>
          <w:lang w:eastAsia="en-GB"/>
        </w:rPr>
        <w:t>Ce chapitre abordera successivement les sections suivantes :</w:t>
      </w:r>
    </w:p>
    <w:p>
      <w:pPr>
        <w:pStyle w:val="style0"/>
        <w:numPr>
          <w:ilvl w:val="0"/>
          <w:numId w:val="63"/>
        </w:numPr>
        <w:rPr>
          <w:sz w:val="22"/>
          <w:szCs w:val="22"/>
        </w:rPr>
      </w:pPr>
      <w:r>
        <w:rPr>
          <w:sz w:val="22"/>
          <w:szCs w:val="22"/>
        </w:rPr>
        <w:t xml:space="preserve">cadre politique </w:t>
      </w:r>
      <w:r>
        <w:rPr>
          <w:rFonts w:cs="Calibri" w:eastAsia="MS Mincho"/>
          <w:iCs/>
          <w:kern w:val="2"/>
          <w:sz w:val="22"/>
          <w:szCs w:val="22"/>
          <w:lang w:eastAsia="en-GB"/>
        </w:rPr>
        <w:t>en matière environnement</w:t>
      </w:r>
      <w:r>
        <w:rPr>
          <w:rFonts w:cs="Calibri" w:eastAsia="MS Mincho"/>
          <w:iCs/>
          <w:kern w:val="2"/>
          <w:sz w:val="22"/>
          <w:szCs w:val="22"/>
          <w:lang w:eastAsia="en-GB"/>
        </w:rPr>
        <w:t>ale</w:t>
      </w:r>
      <w:r>
        <w:rPr>
          <w:rFonts w:cs="Calibri" w:eastAsia="MS Mincho"/>
          <w:iCs/>
          <w:kern w:val="2"/>
          <w:sz w:val="22"/>
          <w:szCs w:val="22"/>
          <w:lang w:eastAsia="en-GB"/>
        </w:rPr>
        <w:t xml:space="preserve"> et social</w:t>
      </w:r>
      <w:r>
        <w:rPr>
          <w:rFonts w:cs="Calibri" w:eastAsia="MS Mincho"/>
          <w:iCs/>
          <w:kern w:val="2"/>
          <w:sz w:val="22"/>
          <w:szCs w:val="22"/>
          <w:lang w:eastAsia="en-GB"/>
        </w:rPr>
        <w:t>e</w:t>
      </w:r>
      <w:r>
        <w:rPr>
          <w:rFonts w:cs="Calibri" w:eastAsia="MS Mincho"/>
          <w:iCs/>
          <w:kern w:val="2"/>
          <w:sz w:val="22"/>
          <w:szCs w:val="22"/>
          <w:lang w:eastAsia="en-GB"/>
        </w:rPr>
        <w:t xml:space="preserve"> du Programme ;</w:t>
      </w:r>
    </w:p>
    <w:p>
      <w:pPr>
        <w:pStyle w:val="style0"/>
        <w:numPr>
          <w:ilvl w:val="0"/>
          <w:numId w:val="63"/>
        </w:numPr>
        <w:rPr>
          <w:sz w:val="22"/>
          <w:szCs w:val="22"/>
        </w:rPr>
      </w:pPr>
      <w:r>
        <w:rPr>
          <w:rFonts w:cs="Calibri" w:eastAsia="MS Mincho"/>
          <w:iCs/>
          <w:kern w:val="2"/>
          <w:sz w:val="22"/>
          <w:szCs w:val="22"/>
          <w:lang w:eastAsia="en-GB"/>
        </w:rPr>
        <w:t xml:space="preserve">cadre juridique en matière </w:t>
      </w:r>
      <w:r>
        <w:rPr>
          <w:rFonts w:cs="Calibri" w:eastAsia="MS Mincho"/>
          <w:iCs/>
          <w:kern w:val="2"/>
          <w:sz w:val="22"/>
          <w:szCs w:val="22"/>
          <w:lang w:eastAsia="en-GB"/>
        </w:rPr>
        <w:t>environnement</w:t>
      </w:r>
      <w:r>
        <w:rPr>
          <w:rFonts w:cs="Calibri" w:eastAsia="MS Mincho"/>
          <w:iCs/>
          <w:kern w:val="2"/>
          <w:sz w:val="22"/>
          <w:szCs w:val="22"/>
          <w:lang w:eastAsia="en-GB"/>
        </w:rPr>
        <w:t>ale</w:t>
      </w:r>
      <w:r>
        <w:rPr>
          <w:rFonts w:cs="Calibri" w:eastAsia="MS Mincho"/>
          <w:iCs/>
          <w:kern w:val="2"/>
          <w:sz w:val="22"/>
          <w:szCs w:val="22"/>
          <w:lang w:eastAsia="en-GB"/>
        </w:rPr>
        <w:t xml:space="preserve"> et social</w:t>
      </w:r>
      <w:r>
        <w:rPr>
          <w:rFonts w:cs="Calibri" w:eastAsia="MS Mincho"/>
          <w:iCs/>
          <w:kern w:val="2"/>
          <w:sz w:val="22"/>
          <w:szCs w:val="22"/>
          <w:lang w:eastAsia="en-GB"/>
        </w:rPr>
        <w:t>e</w:t>
      </w:r>
      <w:r>
        <w:rPr>
          <w:rFonts w:cs="Calibri" w:eastAsia="MS Mincho"/>
          <w:iCs/>
          <w:kern w:val="2"/>
          <w:sz w:val="22"/>
          <w:szCs w:val="22"/>
          <w:lang w:eastAsia="en-GB"/>
        </w:rPr>
        <w:t xml:space="preserve"> </w:t>
      </w:r>
      <w:r>
        <w:rPr>
          <w:rFonts w:cs="Calibri" w:eastAsia="MS Mincho"/>
          <w:iCs/>
          <w:kern w:val="2"/>
          <w:sz w:val="22"/>
          <w:szCs w:val="22"/>
          <w:lang w:eastAsia="en-GB"/>
        </w:rPr>
        <w:t>du Programme ;</w:t>
      </w:r>
    </w:p>
    <w:p>
      <w:pPr>
        <w:pStyle w:val="style0"/>
        <w:numPr>
          <w:ilvl w:val="0"/>
          <w:numId w:val="63"/>
        </w:numPr>
        <w:rPr>
          <w:sz w:val="22"/>
          <w:szCs w:val="22"/>
        </w:rPr>
      </w:pPr>
      <w:r>
        <w:rPr>
          <w:rFonts w:cs="Calibri" w:eastAsia="MS Mincho"/>
          <w:iCs/>
          <w:kern w:val="2"/>
          <w:sz w:val="22"/>
          <w:szCs w:val="22"/>
          <w:lang w:eastAsia="en-GB"/>
        </w:rPr>
        <w:t xml:space="preserve">cadre institutionnel en matière </w:t>
      </w:r>
      <w:r>
        <w:rPr>
          <w:rFonts w:cs="Calibri" w:eastAsia="MS Mincho"/>
          <w:iCs/>
          <w:kern w:val="2"/>
          <w:sz w:val="22"/>
          <w:szCs w:val="22"/>
          <w:lang w:eastAsia="en-GB"/>
        </w:rPr>
        <w:t>environnement</w:t>
      </w:r>
      <w:r>
        <w:rPr>
          <w:rFonts w:cs="Calibri" w:eastAsia="MS Mincho"/>
          <w:iCs/>
          <w:kern w:val="2"/>
          <w:sz w:val="22"/>
          <w:szCs w:val="22"/>
          <w:lang w:eastAsia="en-GB"/>
        </w:rPr>
        <w:t>ale</w:t>
      </w:r>
      <w:r>
        <w:rPr>
          <w:rFonts w:cs="Calibri" w:eastAsia="MS Mincho"/>
          <w:iCs/>
          <w:kern w:val="2"/>
          <w:sz w:val="22"/>
          <w:szCs w:val="22"/>
          <w:lang w:eastAsia="en-GB"/>
        </w:rPr>
        <w:t xml:space="preserve"> et social</w:t>
      </w:r>
      <w:r>
        <w:rPr>
          <w:rFonts w:cs="Calibri" w:eastAsia="MS Mincho"/>
          <w:iCs/>
          <w:kern w:val="2"/>
          <w:sz w:val="22"/>
          <w:szCs w:val="22"/>
          <w:lang w:eastAsia="en-GB"/>
        </w:rPr>
        <w:t>e</w:t>
      </w:r>
      <w:r>
        <w:rPr>
          <w:rFonts w:cs="Calibri" w:eastAsia="MS Mincho"/>
          <w:iCs/>
          <w:kern w:val="2"/>
          <w:sz w:val="22"/>
          <w:szCs w:val="22"/>
          <w:lang w:eastAsia="en-GB"/>
        </w:rPr>
        <w:t xml:space="preserve"> </w:t>
      </w:r>
      <w:r>
        <w:rPr>
          <w:rFonts w:cs="Calibri" w:eastAsia="MS Mincho"/>
          <w:iCs/>
          <w:kern w:val="2"/>
          <w:sz w:val="22"/>
          <w:szCs w:val="22"/>
          <w:lang w:eastAsia="en-GB"/>
        </w:rPr>
        <w:t>du Programme ;</w:t>
      </w:r>
    </w:p>
    <w:p>
      <w:pPr>
        <w:pStyle w:val="style0"/>
        <w:numPr>
          <w:ilvl w:val="0"/>
          <w:numId w:val="63"/>
        </w:numPr>
        <w:rPr>
          <w:sz w:val="22"/>
          <w:szCs w:val="22"/>
        </w:rPr>
      </w:pPr>
      <w:r>
        <w:rPr>
          <w:rFonts w:cs="Calibri" w:eastAsia="MS Mincho"/>
          <w:iCs/>
          <w:kern w:val="2"/>
          <w:sz w:val="22"/>
          <w:szCs w:val="22"/>
          <w:lang w:eastAsia="en-GB"/>
        </w:rPr>
        <w:t>consultation des parties prenantes du Programme.</w:t>
      </w:r>
    </w:p>
    <w:p>
      <w:pPr>
        <w:pStyle w:val="style0"/>
        <w:rPr>
          <w:sz w:val="22"/>
          <w:szCs w:val="22"/>
        </w:rPr>
      </w:pPr>
    </w:p>
    <w:bookmarkStart w:id="84" w:name="_Toc686099"/>
    <w:bookmarkStart w:id="85" w:name="_Toc2780481"/>
    <w:p>
      <w:pPr>
        <w:pStyle w:val="style4307"/>
        <w:numPr>
          <w:ilvl w:val="0"/>
          <w:numId w:val="0"/>
        </w:numPr>
        <w:ind w:left="390"/>
        <w:rPr/>
      </w:pPr>
      <w:r>
        <w:t>4.1. Cadre</w:t>
      </w:r>
      <w:r>
        <w:t xml:space="preserve"> </w:t>
      </w:r>
      <w:r>
        <w:t>polit</w:t>
      </w:r>
      <w:r>
        <w:t>ique en matière</w:t>
      </w:r>
      <w:r>
        <w:t xml:space="preserve"> </w:t>
      </w:r>
      <w:r>
        <w:t>environnement</w:t>
      </w:r>
      <w:r>
        <w:t>ale</w:t>
      </w:r>
      <w:r>
        <w:t xml:space="preserve"> et social</w:t>
      </w:r>
      <w:r>
        <w:t>e</w:t>
      </w:r>
      <w:r>
        <w:t xml:space="preserve"> du </w:t>
      </w:r>
      <w:r>
        <w:t>Programme</w:t>
      </w:r>
      <w:bookmarkEnd w:id="84"/>
      <w:bookmarkEnd w:id="85"/>
    </w:p>
    <w:p>
      <w:pPr>
        <w:pStyle w:val="style0"/>
        <w:spacing w:before="120" w:after="120"/>
        <w:jc w:val="both"/>
        <w:rPr>
          <w:sz w:val="22"/>
          <w:szCs w:val="22"/>
        </w:rPr>
      </w:pPr>
      <w:r>
        <w:rPr>
          <w:sz w:val="22"/>
          <w:szCs w:val="22"/>
        </w:rPr>
        <w:t xml:space="preserve">Le cadre politique </w:t>
      </w:r>
      <w:r>
        <w:rPr>
          <w:sz w:val="22"/>
          <w:szCs w:val="22"/>
        </w:rPr>
        <w:t xml:space="preserve">applicable au Programme </w:t>
      </w:r>
      <w:r>
        <w:rPr>
          <w:sz w:val="22"/>
          <w:szCs w:val="22"/>
        </w:rPr>
        <w:t>comprend une série de référentiels en cours de mise en œuvre au Burkina Faso.</w:t>
      </w:r>
    </w:p>
    <w:p>
      <w:pPr>
        <w:pStyle w:val="style0"/>
        <w:numPr>
          <w:ilvl w:val="0"/>
          <w:numId w:val="59"/>
        </w:numPr>
        <w:autoSpaceDE w:val="false"/>
        <w:autoSpaceDN w:val="false"/>
        <w:adjustRightInd w:val="false"/>
        <w:ind w:left="360"/>
        <w:jc w:val="both"/>
        <w:rPr>
          <w:sz w:val="22"/>
          <w:szCs w:val="22"/>
          <w:lang w:eastAsia="en-US"/>
        </w:rPr>
      </w:pPr>
      <w:r>
        <w:rPr>
          <w:b/>
          <w:sz w:val="22"/>
          <w:szCs w:val="22"/>
        </w:rPr>
        <w:t xml:space="preserve">Plan National de Développement Economique et Social (PNDES). </w:t>
      </w:r>
      <w:r>
        <w:rPr>
          <w:sz w:val="22"/>
          <w:szCs w:val="22"/>
        </w:rPr>
        <w:t>Adopté par le</w:t>
      </w:r>
      <w:r>
        <w:rPr>
          <w:color w:val="000000"/>
          <w:sz w:val="22"/>
          <w:szCs w:val="22"/>
          <w:lang w:eastAsia="en-US"/>
        </w:rPr>
        <w:t xml:space="preserve"> Gouvernement du Burkina Faso le 20 juillet 2016, le PNDES vise à réformer les institutions et à moderniser l’administration, à développer le capital humain et à dynamiser les secteurs porteurs pour l’économie et l’emploi. </w:t>
      </w:r>
    </w:p>
    <w:p>
      <w:pPr>
        <w:pStyle w:val="style0"/>
        <w:spacing w:lineRule="auto" w:line="276"/>
        <w:ind w:left="360"/>
        <w:jc w:val="both"/>
        <w:rPr>
          <w:sz w:val="22"/>
          <w:szCs w:val="22"/>
        </w:rPr>
      </w:pPr>
    </w:p>
    <w:p>
      <w:pPr>
        <w:pStyle w:val="style0"/>
        <w:numPr>
          <w:ilvl w:val="0"/>
          <w:numId w:val="134"/>
        </w:numPr>
        <w:ind w:left="360"/>
        <w:jc w:val="both"/>
        <w:rPr>
          <w:sz w:val="22"/>
          <w:szCs w:val="22"/>
        </w:rPr>
      </w:pPr>
      <w:r>
        <w:rPr>
          <w:b/>
          <w:sz w:val="22"/>
          <w:szCs w:val="22"/>
        </w:rPr>
        <w:t>Politique Nationale de Développement Durable (PNDD)</w:t>
      </w:r>
      <w:r>
        <w:rPr>
          <w:sz w:val="22"/>
          <w:szCs w:val="22"/>
        </w:rPr>
        <w:t>. Adoptée par le Gouvernement en septembre 2013, la Politique Nationale de Développement Durable (PNDD) définit les principes et les orientations stratégiques pour la planification du développement, c’est-à-dire l’élaboration des plans, stratégies, programmes et projets de développement. Son Principe de protection de l’environnement stipule que « la protection de l’environnement fait partie intégrante du processus de développement durable ». Le programme s’inscrit dans les principes et les orientations stratégiques définis par le PNDD en matière de planification du développement.</w:t>
      </w:r>
    </w:p>
    <w:p>
      <w:pPr>
        <w:pStyle w:val="style0"/>
        <w:numPr>
          <w:ilvl w:val="0"/>
          <w:numId w:val="134"/>
        </w:numPr>
        <w:ind w:left="360"/>
        <w:jc w:val="both"/>
        <w:rPr>
          <w:sz w:val="22"/>
          <w:szCs w:val="22"/>
        </w:rPr>
      </w:pPr>
      <w:r>
        <w:rPr>
          <w:b/>
          <w:sz w:val="22"/>
          <w:szCs w:val="22"/>
        </w:rPr>
        <w:t>Politique et stratégie en matière d’eau</w:t>
      </w:r>
      <w:r>
        <w:rPr>
          <w:b/>
          <w:sz w:val="22"/>
          <w:szCs w:val="22"/>
        </w:rPr>
        <w:t xml:space="preserve">. </w:t>
      </w:r>
      <w:r>
        <w:rPr>
          <w:sz w:val="22"/>
          <w:szCs w:val="22"/>
        </w:rPr>
        <w:t>Adopté par le décret N°98-365/PRES/PM/MEE du 10 septembre 1998, la politique nationale de l’eau qui y est définie ouvre des perspectives pour un développement durable à travers :</w:t>
      </w:r>
    </w:p>
    <w:p>
      <w:pPr>
        <w:pStyle w:val="style0"/>
        <w:numPr>
          <w:ilvl w:val="1"/>
          <w:numId w:val="134"/>
        </w:numPr>
        <w:jc w:val="both"/>
        <w:rPr>
          <w:sz w:val="22"/>
          <w:szCs w:val="22"/>
        </w:rPr>
      </w:pPr>
      <w:r>
        <w:rPr>
          <w:sz w:val="22"/>
          <w:szCs w:val="22"/>
        </w:rPr>
        <w:t xml:space="preserve">une mobilisation institutionnelle et financière concertée de l’État, des collectivités locales et des usagers ; </w:t>
      </w:r>
    </w:p>
    <w:p>
      <w:pPr>
        <w:pStyle w:val="style0"/>
        <w:numPr>
          <w:ilvl w:val="1"/>
          <w:numId w:val="134"/>
        </w:numPr>
        <w:jc w:val="both"/>
        <w:rPr>
          <w:sz w:val="22"/>
          <w:szCs w:val="22"/>
        </w:rPr>
      </w:pPr>
      <w:r>
        <w:rPr>
          <w:sz w:val="22"/>
          <w:szCs w:val="22"/>
        </w:rPr>
        <w:t>l’intégration du secteur dans le cadre général des ambitions de développement politique, social et économique du pays (décentralisation, genre, développement du secteur privé, création d’emplois et de revenus).</w:t>
      </w:r>
    </w:p>
    <w:p>
      <w:pPr>
        <w:pStyle w:val="style0"/>
        <w:numPr>
          <w:ilvl w:val="0"/>
          <w:numId w:val="134"/>
        </w:numPr>
        <w:ind w:left="360"/>
        <w:jc w:val="both"/>
        <w:rPr>
          <w:sz w:val="22"/>
          <w:szCs w:val="22"/>
        </w:rPr>
      </w:pPr>
      <w:r>
        <w:rPr>
          <w:b/>
          <w:sz w:val="22"/>
          <w:szCs w:val="22"/>
        </w:rPr>
        <w:t>Politique Nationale d’Environnement (PNE)</w:t>
      </w:r>
      <w:r>
        <w:rPr>
          <w:sz w:val="22"/>
          <w:szCs w:val="22"/>
        </w:rPr>
        <w:t xml:space="preserve">. Adoptée par le Gouvernement en janvier 2007, la Politique Nationale d’Environnement (PNE) vise à créer un cadre de référence pour </w:t>
      </w:r>
      <w:r>
        <w:rPr>
          <w:sz w:val="22"/>
          <w:szCs w:val="22"/>
        </w:rPr>
        <w:t>la prise en compte des questions environnementales dans les politiques et stratégies de développement. Parmi les orientations qui y sont définies, on note : i) la gestion rationnelle des ressources naturelles, ii) l’assurance de la qualité de l’environnement aux populations afin de leur garantir un cadre de vie sain.</w:t>
      </w:r>
    </w:p>
    <w:p>
      <w:pPr>
        <w:pStyle w:val="style0"/>
        <w:ind w:left="360"/>
        <w:jc w:val="both"/>
        <w:rPr>
          <w:sz w:val="22"/>
          <w:szCs w:val="22"/>
        </w:rPr>
      </w:pPr>
    </w:p>
    <w:p>
      <w:pPr>
        <w:pStyle w:val="style0"/>
        <w:numPr>
          <w:ilvl w:val="0"/>
          <w:numId w:val="134"/>
        </w:numPr>
        <w:spacing w:lineRule="auto" w:line="276"/>
        <w:ind w:left="360"/>
        <w:jc w:val="both"/>
        <w:rPr>
          <w:sz w:val="22"/>
          <w:szCs w:val="22"/>
        </w:rPr>
      </w:pPr>
      <w:r>
        <w:rPr>
          <w:b/>
          <w:sz w:val="22"/>
          <w:szCs w:val="22"/>
        </w:rPr>
        <w:t>Politique Nationale d’Aménagement du Territoire</w:t>
      </w:r>
      <w:r>
        <w:rPr>
          <w:sz w:val="22"/>
          <w:szCs w:val="22"/>
        </w:rPr>
        <w:t xml:space="preserve">. La politique nationale d’aménagement du territoire du Burkina Faso adoptée par décret N° 2006-362/PRES/PM/MEDEV/MATD/MFB/MAHRH/MID/MECV du 20 juillet 2006 repose sur les 3 orientations fondamentales ci-après au centre desquelles la question se pose avec acuité : i) le développement économique, ii) l’intégration sociale, iii) la gestion durable du milieu naturel. La politique nationale d’aménagement du territoire précise le rôle des différents acteurs et décline les grands principes d’aménagement du territoire à prendre en compte dans le cadre du </w:t>
      </w:r>
      <w:r>
        <w:rPr>
          <w:sz w:val="22"/>
          <w:szCs w:val="22"/>
        </w:rPr>
        <w:t>Programme</w:t>
      </w:r>
      <w:r>
        <w:rPr>
          <w:sz w:val="22"/>
          <w:szCs w:val="22"/>
        </w:rPr>
        <w:t xml:space="preserve">. </w:t>
      </w:r>
    </w:p>
    <w:p>
      <w:pPr>
        <w:pStyle w:val="style0"/>
        <w:spacing w:lineRule="auto" w:line="276"/>
        <w:ind w:left="360"/>
        <w:jc w:val="both"/>
        <w:rPr>
          <w:sz w:val="22"/>
          <w:szCs w:val="22"/>
        </w:rPr>
      </w:pPr>
    </w:p>
    <w:p>
      <w:pPr>
        <w:pStyle w:val="style0"/>
        <w:numPr>
          <w:ilvl w:val="0"/>
          <w:numId w:val="134"/>
        </w:numPr>
        <w:spacing w:lineRule="auto" w:line="276"/>
        <w:ind w:left="360"/>
        <w:jc w:val="both"/>
        <w:rPr>
          <w:sz w:val="22"/>
          <w:szCs w:val="22"/>
        </w:rPr>
      </w:pPr>
      <w:r>
        <w:rPr>
          <w:b/>
          <w:sz w:val="22"/>
          <w:szCs w:val="22"/>
        </w:rPr>
        <w:t>Politique Nationale Genre (PNG) du Burkina Faso</w:t>
      </w:r>
      <w:r>
        <w:rPr>
          <w:sz w:val="22"/>
          <w:szCs w:val="22"/>
        </w:rPr>
        <w:t xml:space="preserve">. L’objectif général de la Politique Nationale Genre est de promouvoir un développement participatif et équitable des hommes et des femmes (en leur assurant un accès et un contrôle égal et équitable aux ressources et aux sphères de décision) dans le respect de leurs droits fondamentaux. Le </w:t>
      </w:r>
      <w:r>
        <w:rPr>
          <w:sz w:val="22"/>
          <w:szCs w:val="22"/>
        </w:rPr>
        <w:t>Programme</w:t>
      </w:r>
      <w:r>
        <w:rPr>
          <w:sz w:val="22"/>
          <w:szCs w:val="22"/>
        </w:rPr>
        <w:t xml:space="preserve"> dans sa conception et son exécution, est sensible aux conditions de vie des producteurs ruraux et notamment celles vulnérables pour </w:t>
      </w:r>
      <w:r>
        <w:rPr>
          <w:sz w:val="22"/>
          <w:szCs w:val="22"/>
        </w:rPr>
        <w:t>la génération de revenus à partir des activités agricoles</w:t>
      </w:r>
      <w:r>
        <w:rPr>
          <w:sz w:val="22"/>
          <w:szCs w:val="22"/>
        </w:rPr>
        <w:t xml:space="preserve">. </w:t>
      </w:r>
    </w:p>
    <w:p>
      <w:pPr>
        <w:pStyle w:val="style0"/>
        <w:ind w:left="720"/>
        <w:rPr>
          <w:sz w:val="22"/>
          <w:szCs w:val="22"/>
        </w:rPr>
      </w:pPr>
    </w:p>
    <w:p>
      <w:pPr>
        <w:pStyle w:val="style0"/>
        <w:numPr>
          <w:ilvl w:val="0"/>
          <w:numId w:val="134"/>
        </w:numPr>
        <w:spacing w:lineRule="auto" w:line="276"/>
        <w:ind w:left="360"/>
        <w:jc w:val="both"/>
        <w:rPr>
          <w:sz w:val="22"/>
          <w:szCs w:val="22"/>
        </w:rPr>
      </w:pPr>
      <w:r>
        <w:rPr>
          <w:sz w:val="22"/>
          <w:szCs w:val="22"/>
        </w:rPr>
        <w:t xml:space="preserve"> </w:t>
      </w:r>
      <w:r>
        <w:rPr>
          <w:b/>
          <w:sz w:val="22"/>
          <w:szCs w:val="22"/>
        </w:rPr>
        <w:t>Plan national d’adaptation aux changements climatiques (PNA)</w:t>
      </w:r>
      <w:r>
        <w:rPr>
          <w:sz w:val="22"/>
          <w:szCs w:val="22"/>
        </w:rPr>
        <w:t xml:space="preserve">. L’intégration des questions d’Adaptation aux Changements Climatiques (ACC) aux efforts de développement est une préoccupation majeure du Gouvernement du Burkina Faso. Le Plan national d’adaptation aux changements climatiques (PNA Burkina Faso » adopté en juin 2015, est le résultat d’une approche interinstitutionnelle, multisectorielle, fondée sur l’évolution de la science dans le long terme : il prend en compte tous les secteurs exposés aux changements climatiques : environnement et ressources naturelles, santé, agriculture, productions animales, météorologie, infrastructures et habitat, ressources en eau, catastrophes naturelles et énergies. </w:t>
      </w:r>
    </w:p>
    <w:p>
      <w:pPr>
        <w:pStyle w:val="style179"/>
        <w:rPr>
          <w:sz w:val="22"/>
          <w:szCs w:val="22"/>
        </w:rPr>
      </w:pPr>
    </w:p>
    <w:p>
      <w:pPr>
        <w:pStyle w:val="style0"/>
        <w:spacing w:lineRule="auto" w:line="276"/>
        <w:ind w:left="360"/>
        <w:jc w:val="both"/>
        <w:rPr>
          <w:sz w:val="22"/>
          <w:szCs w:val="22"/>
        </w:rPr>
      </w:pPr>
    </w:p>
    <w:bookmarkStart w:id="86" w:name="_Toc686100"/>
    <w:bookmarkStart w:id="87" w:name="_Toc2780482"/>
    <w:p>
      <w:pPr>
        <w:pStyle w:val="style4307"/>
        <w:numPr>
          <w:ilvl w:val="0"/>
          <w:numId w:val="0"/>
        </w:numPr>
        <w:ind w:left="390"/>
        <w:rPr/>
      </w:pPr>
      <w:r>
        <w:t xml:space="preserve">4.2. Cadre </w:t>
      </w:r>
      <w:r>
        <w:t>juridique</w:t>
      </w:r>
      <w:r>
        <w:t xml:space="preserve"> en matière environnementale et sociale du Programme</w:t>
      </w:r>
      <w:bookmarkEnd w:id="86"/>
      <w:bookmarkEnd w:id="87"/>
    </w:p>
    <w:p>
      <w:pPr>
        <w:pStyle w:val="style0"/>
        <w:spacing w:lineRule="auto" w:line="276"/>
        <w:jc w:val="both"/>
        <w:rPr>
          <w:sz w:val="23"/>
          <w:szCs w:val="23"/>
        </w:rPr>
      </w:pPr>
      <w:r>
        <w:rPr>
          <w:sz w:val="23"/>
          <w:szCs w:val="23"/>
        </w:rPr>
        <w:t xml:space="preserve">Le Burkina Faso a pris un certain nombre d’engagements au niveau international dans le cadre de conventions ratifiées et qui le contraignent à observer au niveau national, des mesures de préservation de l’environnement pour un développement durable. Ce dispositif est complété par de nombreux textes de loi élaborés par les différents départements ministériels qui règlementent la mise en œuvre d’un certain nombre d’activités parmi lesquelles celles exécutées par le </w:t>
      </w:r>
      <w:r>
        <w:rPr>
          <w:sz w:val="23"/>
          <w:szCs w:val="23"/>
        </w:rPr>
        <w:t>PDCA</w:t>
      </w:r>
      <w:r>
        <w:rPr>
          <w:sz w:val="23"/>
          <w:szCs w:val="23"/>
        </w:rPr>
        <w:t>.</w:t>
      </w:r>
    </w:p>
    <w:bookmarkStart w:id="88" w:name="_Toc536410650"/>
    <w:bookmarkStart w:id="89" w:name="_Toc686101"/>
    <w:bookmarkStart w:id="90" w:name="_Toc2780483"/>
    <w:p>
      <w:pPr>
        <w:pStyle w:val="style3"/>
        <w:numPr>
          <w:ilvl w:val="0"/>
          <w:numId w:val="0"/>
        </w:numPr>
        <w:ind w:left="644" w:hanging="360"/>
        <w:rPr>
          <w:b/>
          <w:u w:val="none"/>
        </w:rPr>
      </w:pPr>
      <w:r>
        <w:rPr>
          <w:b/>
          <w:u w:val="none"/>
        </w:rPr>
        <w:t xml:space="preserve">4.2.1. </w:t>
      </w:r>
      <w:r>
        <w:rPr>
          <w:b/>
          <w:u w:val="none"/>
        </w:rPr>
        <w:t>Cadre juridique national</w:t>
      </w:r>
      <w:bookmarkEnd w:id="88"/>
      <w:bookmarkEnd w:id="89"/>
      <w:bookmarkEnd w:id="90"/>
    </w:p>
    <w:p>
      <w:pPr>
        <w:pStyle w:val="style0"/>
        <w:numPr>
          <w:ilvl w:val="0"/>
          <w:numId w:val="80"/>
        </w:numPr>
        <w:rPr>
          <w:b/>
          <w:lang w:val="en-US" w:eastAsia="en-US"/>
        </w:rPr>
      </w:pPr>
      <w:r>
        <w:rPr>
          <w:b/>
          <w:lang w:val="en-US" w:eastAsia="en-US"/>
        </w:rPr>
        <w:t xml:space="preserve"> </w:t>
      </w:r>
      <w:r>
        <w:rPr>
          <w:b/>
          <w:lang w:val="en-US" w:eastAsia="en-US"/>
        </w:rPr>
        <w:t>C</w:t>
      </w:r>
      <w:r>
        <w:rPr>
          <w:b/>
          <w:lang w:val="en-US" w:eastAsia="en-US"/>
        </w:rPr>
        <w:t xml:space="preserve">onstitution </w:t>
      </w:r>
      <w:r>
        <w:rPr>
          <w:b/>
          <w:lang w:val="en-US" w:eastAsia="en-US"/>
        </w:rPr>
        <w:t>du 02 Juin 1991</w:t>
      </w:r>
    </w:p>
    <w:p>
      <w:pPr>
        <w:pStyle w:val="style0"/>
        <w:jc w:val="both"/>
        <w:rPr>
          <w:sz w:val="22"/>
          <w:szCs w:val="22"/>
          <w:lang w:eastAsia="en-US"/>
        </w:rPr>
      </w:pPr>
    </w:p>
    <w:p>
      <w:pPr>
        <w:pStyle w:val="style0"/>
        <w:jc w:val="both"/>
        <w:rPr>
          <w:sz w:val="23"/>
          <w:szCs w:val="23"/>
          <w:lang w:val="en-US" w:eastAsia="en-US"/>
        </w:rPr>
      </w:pPr>
      <w:r>
        <w:rPr>
          <w:sz w:val="23"/>
          <w:szCs w:val="23"/>
          <w:lang w:eastAsia="en-US"/>
        </w:rPr>
        <w:t xml:space="preserve">La loi fondamentale constitue le premier texte d’intérêt à prendre en considération dans le cadre de la présente étude. En effet, de nombreuses dispositions donnent une place de choix à la protection de l’environnement. </w:t>
      </w:r>
      <w:r>
        <w:rPr>
          <w:sz w:val="23"/>
          <w:szCs w:val="23"/>
          <w:lang w:val="en-US" w:eastAsia="en-US"/>
        </w:rPr>
        <w:t xml:space="preserve">A </w:t>
      </w:r>
      <w:r>
        <w:rPr>
          <w:sz w:val="23"/>
          <w:szCs w:val="23"/>
          <w:lang w:eastAsia="en-US"/>
        </w:rPr>
        <w:t>titre</w:t>
      </w:r>
      <w:r>
        <w:rPr>
          <w:sz w:val="23"/>
          <w:szCs w:val="23"/>
          <w:lang w:val="en-US" w:eastAsia="en-US"/>
        </w:rPr>
        <w:t xml:space="preserve"> </w:t>
      </w:r>
      <w:r>
        <w:rPr>
          <w:sz w:val="23"/>
          <w:szCs w:val="23"/>
          <w:lang w:eastAsia="en-US"/>
        </w:rPr>
        <w:t>indicatif</w:t>
      </w:r>
      <w:r>
        <w:rPr>
          <w:sz w:val="23"/>
          <w:szCs w:val="23"/>
          <w:lang w:val="en-US" w:eastAsia="en-US"/>
        </w:rPr>
        <w:t xml:space="preserve">, on </w:t>
      </w:r>
      <w:r>
        <w:rPr>
          <w:sz w:val="23"/>
          <w:szCs w:val="23"/>
          <w:lang w:eastAsia="en-US"/>
        </w:rPr>
        <w:t>peut</w:t>
      </w:r>
      <w:r>
        <w:rPr>
          <w:sz w:val="23"/>
          <w:szCs w:val="23"/>
          <w:lang w:val="en-US" w:eastAsia="en-US"/>
        </w:rPr>
        <w:t xml:space="preserve"> signaler </w:t>
      </w:r>
      <w:r>
        <w:rPr>
          <w:sz w:val="23"/>
          <w:szCs w:val="23"/>
          <w:lang w:eastAsia="en-US"/>
        </w:rPr>
        <w:t>que</w:t>
      </w:r>
      <w:r>
        <w:rPr>
          <w:sz w:val="23"/>
          <w:szCs w:val="23"/>
          <w:lang w:val="en-US" w:eastAsia="en-US"/>
        </w:rPr>
        <w:t>:</w:t>
      </w:r>
    </w:p>
    <w:p>
      <w:pPr>
        <w:pStyle w:val="style0"/>
        <w:numPr>
          <w:ilvl w:val="0"/>
          <w:numId w:val="27"/>
        </w:numPr>
        <w:ind w:left="360"/>
        <w:jc w:val="both"/>
        <w:rPr>
          <w:sz w:val="23"/>
          <w:szCs w:val="23"/>
          <w:lang w:eastAsia="en-US"/>
        </w:rPr>
      </w:pPr>
      <w:r>
        <w:rPr>
          <w:sz w:val="23"/>
          <w:szCs w:val="23"/>
          <w:lang w:eastAsia="en-US"/>
        </w:rPr>
        <w:t>le préambule de la Constitution souligne avec force «la nécessité absolue de protéger l’environnement… » ;</w:t>
      </w:r>
    </w:p>
    <w:p>
      <w:pPr>
        <w:pStyle w:val="style0"/>
        <w:numPr>
          <w:ilvl w:val="0"/>
          <w:numId w:val="27"/>
        </w:numPr>
        <w:ind w:left="360"/>
        <w:jc w:val="both"/>
        <w:rPr>
          <w:sz w:val="23"/>
          <w:szCs w:val="23"/>
          <w:lang w:eastAsia="en-US"/>
        </w:rPr>
      </w:pPr>
      <w:r>
        <w:rPr>
          <w:sz w:val="23"/>
          <w:szCs w:val="23"/>
          <w:lang w:eastAsia="en-US"/>
        </w:rPr>
        <w:t>l’article 14 précise que «Les richesses et les ressources naturelles appartiennent au peuple. Elles sont utilisées pour l’amélioration de ses conditions de vie</w:t>
      </w:r>
      <w:r>
        <w:rPr>
          <w:sz w:val="23"/>
          <w:szCs w:val="23"/>
          <w:lang w:eastAsia="en-US"/>
        </w:rPr>
        <w:t xml:space="preserve"> </w:t>
      </w:r>
      <w:r>
        <w:rPr>
          <w:sz w:val="23"/>
          <w:szCs w:val="23"/>
          <w:lang w:eastAsia="en-US"/>
        </w:rPr>
        <w:t>» ;</w:t>
      </w:r>
    </w:p>
    <w:p>
      <w:pPr>
        <w:pStyle w:val="style0"/>
        <w:numPr>
          <w:ilvl w:val="0"/>
          <w:numId w:val="27"/>
        </w:numPr>
        <w:ind w:left="360"/>
        <w:jc w:val="both"/>
        <w:rPr>
          <w:sz w:val="23"/>
          <w:szCs w:val="23"/>
          <w:lang w:eastAsia="en-US"/>
        </w:rPr>
      </w:pPr>
      <w:r>
        <w:rPr>
          <w:sz w:val="23"/>
          <w:szCs w:val="23"/>
          <w:lang w:eastAsia="en-US"/>
        </w:rPr>
        <w:t>l’article 29 stipule que «le droit à un environnement sain est reconnu. La protection, la promotion et la défense de l’environnement sont un devoir pour tous</w:t>
      </w:r>
      <w:r>
        <w:rPr>
          <w:sz w:val="23"/>
          <w:szCs w:val="23"/>
          <w:lang w:eastAsia="en-US"/>
        </w:rPr>
        <w:t xml:space="preserve"> </w:t>
      </w:r>
      <w:r>
        <w:rPr>
          <w:sz w:val="23"/>
          <w:szCs w:val="23"/>
          <w:lang w:eastAsia="en-US"/>
        </w:rPr>
        <w:t>» ;</w:t>
      </w:r>
    </w:p>
    <w:p>
      <w:pPr>
        <w:pStyle w:val="style0"/>
        <w:numPr>
          <w:ilvl w:val="0"/>
          <w:numId w:val="27"/>
        </w:numPr>
        <w:ind w:left="360"/>
        <w:jc w:val="both"/>
        <w:rPr>
          <w:sz w:val="23"/>
          <w:szCs w:val="23"/>
          <w:lang w:eastAsia="en-US"/>
        </w:rPr>
      </w:pPr>
      <w:r>
        <w:rPr>
          <w:sz w:val="23"/>
          <w:szCs w:val="23"/>
          <w:lang w:eastAsia="en-US"/>
        </w:rPr>
        <w:t>dans la répartition des compétences entre la loi et le règlement, l’article 101 indique que «l’environnement relève du domaine de la loi».</w:t>
      </w:r>
    </w:p>
    <w:p>
      <w:pPr>
        <w:pStyle w:val="style0"/>
        <w:jc w:val="both"/>
        <w:rPr>
          <w:sz w:val="22"/>
          <w:szCs w:val="22"/>
          <w:lang w:eastAsia="en-US"/>
        </w:rPr>
      </w:pPr>
    </w:p>
    <w:bookmarkStart w:id="91" w:name="_Toc295814605"/>
    <w:p>
      <w:pPr>
        <w:pStyle w:val="style0"/>
        <w:numPr>
          <w:ilvl w:val="0"/>
          <w:numId w:val="80"/>
        </w:numPr>
        <w:rPr>
          <w:b/>
          <w:lang w:val="en-US" w:eastAsia="en-US"/>
        </w:rPr>
      </w:pPr>
      <w:r>
        <w:rPr>
          <w:b/>
          <w:lang w:val="en-US" w:eastAsia="en-US"/>
        </w:rPr>
        <w:t>Code de l’Environnement</w:t>
      </w:r>
      <w:bookmarkEnd w:id="91"/>
    </w:p>
    <w:p>
      <w:pPr>
        <w:pStyle w:val="style0"/>
        <w:tabs>
          <w:tab w:val="left" w:leader="none" w:pos="-720"/>
        </w:tabs>
        <w:suppressAutoHyphens/>
        <w:jc w:val="both"/>
        <w:rPr>
          <w:sz w:val="22"/>
          <w:szCs w:val="22"/>
          <w:lang w:eastAsia="en-US"/>
        </w:rPr>
      </w:pPr>
      <w:r>
        <w:rPr>
          <w:sz w:val="22"/>
          <w:szCs w:val="22"/>
          <w:lang w:eastAsia="en-US"/>
        </w:rPr>
        <w:t>Adopté par la loi N°006-2013/AN du 02 avril 2013, le code de l'environnement promulgué définit les règles relatives aux principes fondamentaux de préservation de l'environnement qui sont entre autres la lutte contre la désertification, l’assainissement et l'amélioration du cadre de vie des populations. Il s’intéresse par ailleurs, à la mise en œuvre des accords internationaux ratifiés par le Burkina Faso en matière</w:t>
      </w:r>
      <w:r>
        <w:rPr>
          <w:sz w:val="22"/>
          <w:szCs w:val="22"/>
          <w:lang w:eastAsia="en-US"/>
        </w:rPr>
        <w:t xml:space="preserve"> de préservation de l'environnement, de prévention et de gestion des catastrophes naturelles et artificielles.</w:t>
      </w:r>
    </w:p>
    <w:p>
      <w:pPr>
        <w:pStyle w:val="style0"/>
        <w:tabs>
          <w:tab w:val="left" w:leader="none" w:pos="-720"/>
        </w:tabs>
        <w:suppressAutoHyphens/>
        <w:jc w:val="both"/>
        <w:rPr>
          <w:sz w:val="22"/>
          <w:szCs w:val="22"/>
          <w:lang w:eastAsia="en-US"/>
        </w:rPr>
      </w:pPr>
    </w:p>
    <w:p>
      <w:pPr>
        <w:pStyle w:val="style0"/>
        <w:tabs>
          <w:tab w:val="left" w:leader="none" w:pos="-720"/>
        </w:tabs>
        <w:suppressAutoHyphens/>
        <w:jc w:val="both"/>
        <w:rPr>
          <w:sz w:val="22"/>
          <w:szCs w:val="22"/>
          <w:lang w:eastAsia="en-US"/>
        </w:rPr>
      </w:pPr>
      <w:r>
        <w:rPr>
          <w:sz w:val="22"/>
          <w:szCs w:val="22"/>
          <w:lang w:eastAsia="en-US"/>
        </w:rPr>
        <w:t xml:space="preserve">Selon l’article 4 de ladite Loi, les « évaluations environnementales » constituent des « processus systémiques qui consistent à évaluer et à documenter les possibilités, les capacités et les fonctions </w:t>
      </w:r>
      <w:r>
        <w:rPr>
          <w:sz w:val="22"/>
          <w:szCs w:val="22"/>
          <w:lang w:eastAsia="en-US"/>
        </w:rPr>
        <w:t>des ressources des systèmes naturels et des systèmes humains afin de faciliter la planification du développement durable et la prise de décision en général, ainsi qu’à prévoir et à gérer les effets négatifs et les conséquences des propositions d’aménagements particuliers ».</w:t>
      </w:r>
    </w:p>
    <w:p>
      <w:pPr>
        <w:pStyle w:val="style0"/>
        <w:tabs>
          <w:tab w:val="left" w:leader="none" w:pos="-720"/>
        </w:tabs>
        <w:suppressAutoHyphens/>
        <w:jc w:val="both"/>
        <w:rPr>
          <w:sz w:val="22"/>
          <w:szCs w:val="22"/>
          <w:lang w:eastAsia="en-US"/>
        </w:rPr>
      </w:pPr>
    </w:p>
    <w:p>
      <w:pPr>
        <w:pStyle w:val="style0"/>
        <w:tabs>
          <w:tab w:val="left" w:leader="none" w:pos="-720"/>
        </w:tabs>
        <w:suppressAutoHyphens/>
        <w:jc w:val="both"/>
        <w:rPr>
          <w:sz w:val="22"/>
          <w:szCs w:val="22"/>
          <w:lang w:eastAsia="en-US"/>
        </w:rPr>
      </w:pPr>
      <w:r>
        <w:rPr>
          <w:sz w:val="22"/>
          <w:szCs w:val="22"/>
          <w:lang w:eastAsia="en-US"/>
        </w:rPr>
        <w:t>L’article 25 prévoit que « les activités susceptibles d'avoir des incidences significatives sur l'environnement sont soumises à l'avis préalable du ministre chargé de l'environnement. L'avis est établi sur la base d’une Évaluation environnementale stratégique (EES), d’une Etude d’impact sur l’environnement (EIE) ou d’une Notice d’impact sur l’environnement (NIE) ».</w:t>
      </w:r>
    </w:p>
    <w:p>
      <w:pPr>
        <w:pStyle w:val="style0"/>
        <w:tabs>
          <w:tab w:val="left" w:leader="none" w:pos="-720"/>
        </w:tabs>
        <w:suppressAutoHyphens/>
        <w:jc w:val="both"/>
        <w:rPr>
          <w:sz w:val="22"/>
          <w:szCs w:val="22"/>
          <w:lang w:eastAsia="en-US"/>
        </w:rPr>
      </w:pPr>
    </w:p>
    <w:p>
      <w:pPr>
        <w:pStyle w:val="style0"/>
        <w:tabs>
          <w:tab w:val="left" w:leader="none" w:pos="-720"/>
        </w:tabs>
        <w:suppressAutoHyphens/>
        <w:jc w:val="both"/>
        <w:rPr>
          <w:sz w:val="22"/>
          <w:szCs w:val="22"/>
          <w:lang w:eastAsia="en-US"/>
        </w:rPr>
      </w:pPr>
      <w:r>
        <w:rPr>
          <w:sz w:val="22"/>
          <w:szCs w:val="22"/>
          <w:lang w:eastAsia="en-US"/>
        </w:rPr>
        <w:t>Toujours dans la volonté affichée du Gouvernement de faire de la préservation de l’environnement un axe central de sa politique de développement, plusieurs textes d’application ont été adoptés. Il s’agit du :</w:t>
      </w:r>
    </w:p>
    <w:p>
      <w:pPr>
        <w:pStyle w:val="style0"/>
        <w:numPr>
          <w:ilvl w:val="0"/>
          <w:numId w:val="27"/>
        </w:numPr>
        <w:jc w:val="both"/>
        <w:rPr>
          <w:sz w:val="22"/>
          <w:szCs w:val="22"/>
          <w:lang w:eastAsia="en-US"/>
        </w:rPr>
      </w:pPr>
      <w:r>
        <w:rPr>
          <w:sz w:val="22"/>
          <w:szCs w:val="22"/>
          <w:lang w:eastAsia="en-US"/>
        </w:rPr>
        <w:t>le Décret N°2015-1187/PRES/TRANS/PM/MERH/MATD/MME/MS/MARHASA/MRA/ MICA/MHU/MI/MCT du 21 octobre 2015 portant conditions et procédures de réalisation et de validation de l’évaluation environnementale stratégique, de l’étude et de la notice d’impact environnemental et social. Il dispose en son article 3 que toutes les activités susceptibles d’avoir des incidences significatives sur l’environnement sont soumises à l’avis préalable du Ministre chargé de l’Environnement</w:t>
      </w:r>
      <w:r>
        <w:rPr>
          <w:sz w:val="22"/>
          <w:szCs w:val="22"/>
          <w:lang w:eastAsia="en-US"/>
        </w:rPr>
        <w:t xml:space="preserve"> </w:t>
      </w:r>
      <w:r>
        <w:rPr>
          <w:sz w:val="22"/>
          <w:szCs w:val="22"/>
          <w:lang w:eastAsia="en-US"/>
        </w:rPr>
        <w:t>selon</w:t>
      </w:r>
      <w:r>
        <w:rPr>
          <w:sz w:val="22"/>
          <w:szCs w:val="22"/>
          <w:lang w:eastAsia="en-US"/>
        </w:rPr>
        <w:t xml:space="preserve"> </w:t>
      </w:r>
      <w:r>
        <w:rPr>
          <w:sz w:val="22"/>
          <w:szCs w:val="22"/>
          <w:lang w:eastAsia="en-US"/>
        </w:rPr>
        <w:t>trois (03) catégories :</w:t>
      </w:r>
    </w:p>
    <w:p>
      <w:pPr>
        <w:pStyle w:val="style0"/>
        <w:numPr>
          <w:ilvl w:val="1"/>
          <w:numId w:val="27"/>
        </w:numPr>
        <w:jc w:val="both"/>
        <w:rPr>
          <w:sz w:val="22"/>
          <w:szCs w:val="22"/>
          <w:lang w:eastAsia="en-US"/>
        </w:rPr>
      </w:pPr>
      <w:r>
        <w:rPr>
          <w:sz w:val="22"/>
          <w:szCs w:val="22"/>
          <w:lang w:eastAsia="en-US"/>
        </w:rPr>
        <w:t>Catégorie A : Activité</w:t>
      </w:r>
      <w:r>
        <w:rPr>
          <w:sz w:val="22"/>
          <w:szCs w:val="22"/>
          <w:lang w:eastAsia="en-US"/>
        </w:rPr>
        <w:t>s soumises à une étude d’impact sur l’environnement ;</w:t>
      </w:r>
    </w:p>
    <w:p>
      <w:pPr>
        <w:pStyle w:val="style0"/>
        <w:numPr>
          <w:ilvl w:val="1"/>
          <w:numId w:val="27"/>
        </w:numPr>
        <w:jc w:val="both"/>
        <w:rPr>
          <w:sz w:val="22"/>
          <w:szCs w:val="22"/>
          <w:lang w:eastAsia="en-US"/>
        </w:rPr>
      </w:pPr>
      <w:r>
        <w:rPr>
          <w:sz w:val="22"/>
          <w:szCs w:val="22"/>
          <w:lang w:eastAsia="en-US"/>
        </w:rPr>
        <w:t>Catégorie B : Activités soumises à une notice d’impact sur l’environnement ;</w:t>
      </w:r>
    </w:p>
    <w:p>
      <w:pPr>
        <w:pStyle w:val="style0"/>
        <w:numPr>
          <w:ilvl w:val="1"/>
          <w:numId w:val="27"/>
        </w:numPr>
        <w:jc w:val="both"/>
        <w:rPr>
          <w:sz w:val="22"/>
          <w:szCs w:val="22"/>
          <w:lang w:eastAsia="en-US"/>
        </w:rPr>
      </w:pPr>
      <w:r>
        <w:rPr>
          <w:sz w:val="22"/>
          <w:szCs w:val="22"/>
          <w:lang w:eastAsia="en-US"/>
        </w:rPr>
        <w:t>Catégorie C : Activités qui ne sont soumises ni à une étude d’impact sur l’environnement, ni à une notice d’impact sur l’envi</w:t>
      </w:r>
      <w:r>
        <w:rPr>
          <w:sz w:val="22"/>
          <w:szCs w:val="22"/>
          <w:lang w:eastAsia="en-US"/>
        </w:rPr>
        <w:t>ronnement.</w:t>
      </w:r>
    </w:p>
    <w:p>
      <w:pPr>
        <w:pStyle w:val="style0"/>
        <w:numPr>
          <w:ilvl w:val="0"/>
          <w:numId w:val="27"/>
        </w:numPr>
        <w:jc w:val="both"/>
        <w:rPr>
          <w:sz w:val="22"/>
          <w:szCs w:val="22"/>
          <w:lang w:eastAsia="en-US"/>
        </w:rPr>
      </w:pPr>
      <w:r>
        <w:rPr>
          <w:sz w:val="22"/>
          <w:szCs w:val="22"/>
          <w:lang w:eastAsia="en-US"/>
        </w:rPr>
        <w:t>décret n°2001-185/PRES/PM/MEE du 07 mai 2001, portant fixation des normes de rejets des polluants dans l’air, l’eau et les sols ;</w:t>
      </w:r>
    </w:p>
    <w:p>
      <w:pPr>
        <w:pStyle w:val="style0"/>
        <w:numPr>
          <w:ilvl w:val="0"/>
          <w:numId w:val="27"/>
        </w:numPr>
        <w:jc w:val="both"/>
        <w:rPr>
          <w:sz w:val="22"/>
          <w:szCs w:val="22"/>
          <w:lang w:eastAsia="en-US"/>
        </w:rPr>
      </w:pPr>
      <w:r>
        <w:rPr>
          <w:sz w:val="22"/>
          <w:szCs w:val="22"/>
          <w:lang w:eastAsia="en-US"/>
        </w:rPr>
        <w:t>décret N°2015 -1205/PRES-TRANS/PM/MERH/MEF/MARHASA/MS/MRA/MICA /MME/MI/MATD/du 28 octobre 2015 portant normes et conditions de déversement des eaux usées régit spécifiquement les conditions de déversement des eaux usées ;</w:t>
      </w:r>
    </w:p>
    <w:p>
      <w:pPr>
        <w:pStyle w:val="style0"/>
        <w:numPr>
          <w:ilvl w:val="0"/>
          <w:numId w:val="27"/>
        </w:numPr>
        <w:jc w:val="both"/>
        <w:rPr>
          <w:sz w:val="22"/>
          <w:szCs w:val="22"/>
          <w:lang w:eastAsia="en-US"/>
        </w:rPr>
      </w:pPr>
      <w:r>
        <w:rPr>
          <w:sz w:val="22"/>
          <w:szCs w:val="22"/>
          <w:lang w:eastAsia="en-US"/>
        </w:rPr>
        <w:t>décret n°98-322/PRES/PM/MEE/MIHU/MATS/MEF/MEM/MCC/MCIA du 28 juillet 1998 qui fixe les conditions d’ouverture des établissements dangereux, insalubres et incommodes.</w:t>
      </w:r>
    </w:p>
    <w:p>
      <w:pPr>
        <w:pStyle w:val="style0"/>
        <w:jc w:val="both"/>
        <w:rPr>
          <w:sz w:val="22"/>
          <w:szCs w:val="22"/>
          <w:lang w:eastAsia="en-US"/>
        </w:rPr>
      </w:pPr>
    </w:p>
    <w:bookmarkStart w:id="92" w:name="_Toc295814606"/>
    <w:p>
      <w:pPr>
        <w:pStyle w:val="style0"/>
        <w:numPr>
          <w:ilvl w:val="0"/>
          <w:numId w:val="80"/>
        </w:numPr>
        <w:rPr>
          <w:b/>
          <w:sz w:val="22"/>
          <w:szCs w:val="22"/>
          <w:lang w:val="en-US" w:eastAsia="en-US"/>
        </w:rPr>
      </w:pPr>
      <w:r>
        <w:rPr>
          <w:b/>
          <w:sz w:val="22"/>
          <w:szCs w:val="22"/>
          <w:lang w:eastAsia="en-US"/>
        </w:rPr>
        <w:t xml:space="preserve"> </w:t>
      </w:r>
      <w:r>
        <w:rPr>
          <w:b/>
          <w:sz w:val="22"/>
          <w:szCs w:val="22"/>
          <w:lang w:val="en-US" w:eastAsia="en-US"/>
        </w:rPr>
        <w:t>Code Forestier</w:t>
      </w:r>
      <w:bookmarkEnd w:id="92"/>
    </w:p>
    <w:p>
      <w:pPr>
        <w:pStyle w:val="style0"/>
        <w:tabs>
          <w:tab w:val="left" w:leader="none" w:pos="-720"/>
        </w:tabs>
        <w:suppressAutoHyphens/>
        <w:jc w:val="both"/>
        <w:rPr>
          <w:sz w:val="22"/>
          <w:szCs w:val="22"/>
          <w:lang w:eastAsia="en-US"/>
        </w:rPr>
      </w:pPr>
      <w:r>
        <w:rPr>
          <w:sz w:val="22"/>
          <w:szCs w:val="22"/>
          <w:lang w:eastAsia="en-US"/>
        </w:rPr>
        <w:t xml:space="preserve">Adopté par la loi n°003/2011/AN du 05 Avril 2011, « Le présent code a pour objet de fixer les principes fondamentaux de gestion durable et de valorisation des ressources forestières, fauniques </w:t>
      </w:r>
      <w:r>
        <w:rPr>
          <w:sz w:val="22"/>
          <w:szCs w:val="22"/>
          <w:lang w:eastAsia="en-US"/>
        </w:rPr>
        <w:t>et halieutiques » (article 1). L’alinéa 2 de l’article 4 stipule que : « …la gestion durable de ces ressources est un devoir pour tous. Elle implique le respect de la réglementation en vigueur en matière de protection, d’exploitation et de valorisation du patrimoine forestier, faunique et halieutique ».</w:t>
      </w:r>
      <w:r>
        <w:rPr>
          <w:sz w:val="22"/>
          <w:szCs w:val="22"/>
          <w:lang w:eastAsia="en-US"/>
        </w:rPr>
        <w:t xml:space="preserve"> </w:t>
      </w:r>
      <w:r>
        <w:rPr>
          <w:sz w:val="22"/>
          <w:szCs w:val="22"/>
          <w:lang w:eastAsia="en-US"/>
        </w:rPr>
        <w:t>Pour cela, elle dispose en son article 48 que «</w:t>
      </w:r>
      <w:r>
        <w:rPr>
          <w:sz w:val="22"/>
          <w:szCs w:val="22"/>
          <w:lang w:eastAsia="en-US"/>
        </w:rPr>
        <w:t xml:space="preserve"> </w:t>
      </w:r>
      <w:r>
        <w:rPr>
          <w:sz w:val="22"/>
          <w:szCs w:val="22"/>
          <w:lang w:eastAsia="en-US"/>
        </w:rPr>
        <w:t>toute réalisation de grands travaux entraînant</w:t>
      </w:r>
      <w:r>
        <w:rPr>
          <w:sz w:val="22"/>
          <w:szCs w:val="22"/>
          <w:lang w:eastAsia="en-US"/>
        </w:rPr>
        <w:t xml:space="preserve"> un défrichement est soumise à une autorisation préalable du ministre chargé des forêts sur la base d’une étude d’impact sur l’environnement</w:t>
      </w:r>
      <w:r>
        <w:rPr>
          <w:sz w:val="22"/>
          <w:szCs w:val="22"/>
          <w:lang w:eastAsia="en-US"/>
        </w:rPr>
        <w:t xml:space="preserve"> </w:t>
      </w:r>
      <w:r>
        <w:rPr>
          <w:sz w:val="22"/>
          <w:szCs w:val="22"/>
          <w:lang w:eastAsia="en-US"/>
        </w:rPr>
        <w:t>». Les autres aspects de la loi qui présentent un intérêt particulier pour cette étude sont contenus dans les articl</w:t>
      </w:r>
      <w:r>
        <w:rPr>
          <w:sz w:val="22"/>
          <w:szCs w:val="22"/>
          <w:lang w:eastAsia="en-US"/>
        </w:rPr>
        <w:t>es 235 ; 236 et 237.</w:t>
      </w:r>
    </w:p>
    <w:p>
      <w:pPr>
        <w:pStyle w:val="style0"/>
        <w:jc w:val="both"/>
        <w:rPr>
          <w:sz w:val="22"/>
          <w:szCs w:val="22"/>
          <w:lang w:eastAsia="en-US"/>
        </w:rPr>
      </w:pPr>
    </w:p>
    <w:p>
      <w:pPr>
        <w:pStyle w:val="style0"/>
        <w:tabs>
          <w:tab w:val="left" w:leader="none" w:pos="-720"/>
        </w:tabs>
        <w:suppressAutoHyphens/>
        <w:jc w:val="both"/>
        <w:rPr>
          <w:sz w:val="22"/>
          <w:szCs w:val="22"/>
          <w:lang w:eastAsia="en-US"/>
        </w:rPr>
      </w:pPr>
      <w:r>
        <w:rPr>
          <w:sz w:val="22"/>
          <w:szCs w:val="22"/>
          <w:lang w:eastAsia="en-US"/>
        </w:rPr>
        <w:t>A cette loi sur la protection de l’environnement, s’ajoutent de nombreux arrêtés et décrets d’application portant sur la gestion durable des ressources forestières, les enjeux stratégiques en matière de préservation du climat, du substrat de production que sont les sols, de la stabilisation des berges des cours d’eau ainsi que du maintien de la diversité des espèces végétales/animales et des écosystèmes naturels, réservoirs de vitalité génétique. Ces principaux décrets sont</w:t>
      </w:r>
      <w:r>
        <w:rPr>
          <w:sz w:val="22"/>
          <w:szCs w:val="22"/>
          <w:lang w:eastAsia="en-US"/>
        </w:rPr>
        <w:t xml:space="preserve"> </w:t>
      </w:r>
      <w:r>
        <w:rPr>
          <w:sz w:val="22"/>
          <w:szCs w:val="22"/>
          <w:lang w:eastAsia="en-US"/>
        </w:rPr>
        <w:t>:</w:t>
      </w:r>
    </w:p>
    <w:p>
      <w:pPr>
        <w:pStyle w:val="style0"/>
        <w:numPr>
          <w:ilvl w:val="0"/>
          <w:numId w:val="27"/>
        </w:numPr>
        <w:ind w:left="360"/>
        <w:jc w:val="both"/>
        <w:rPr>
          <w:sz w:val="22"/>
          <w:szCs w:val="22"/>
          <w:lang w:eastAsia="en-US"/>
        </w:rPr>
      </w:pPr>
      <w:r>
        <w:rPr>
          <w:sz w:val="22"/>
          <w:szCs w:val="22"/>
          <w:lang w:eastAsia="en-US"/>
        </w:rPr>
        <w:t>D</w:t>
      </w:r>
      <w:r>
        <w:rPr>
          <w:sz w:val="22"/>
          <w:szCs w:val="22"/>
          <w:lang w:eastAsia="en-US"/>
        </w:rPr>
        <w:t>écre</w:t>
      </w:r>
      <w:r>
        <w:rPr>
          <w:sz w:val="22"/>
          <w:szCs w:val="22"/>
          <w:lang w:eastAsia="en-US"/>
        </w:rPr>
        <w:t xml:space="preserve">t N°98-3120/PRES/PM/MEE/MATS du </w:t>
      </w:r>
      <w:r>
        <w:rPr>
          <w:sz w:val="22"/>
          <w:szCs w:val="22"/>
          <w:lang w:eastAsia="en-US"/>
        </w:rPr>
        <w:t xml:space="preserve">17/07/1998 portant utilisation des feux en milieu rural au Burkina Faso; </w:t>
      </w:r>
    </w:p>
    <w:p>
      <w:pPr>
        <w:pStyle w:val="style0"/>
        <w:numPr>
          <w:ilvl w:val="0"/>
          <w:numId w:val="27"/>
        </w:numPr>
        <w:ind w:left="360"/>
        <w:jc w:val="both"/>
        <w:rPr>
          <w:sz w:val="22"/>
          <w:szCs w:val="22"/>
          <w:lang w:eastAsia="en-US"/>
        </w:rPr>
      </w:pPr>
      <w:r>
        <w:rPr>
          <w:sz w:val="22"/>
          <w:szCs w:val="22"/>
          <w:lang w:eastAsia="en-US"/>
        </w:rPr>
        <w:t xml:space="preserve">Arrêté N°98-8/MEE/SG/DGEF/DP du </w:t>
      </w:r>
      <w:r>
        <w:rPr>
          <w:sz w:val="22"/>
          <w:szCs w:val="22"/>
          <w:lang w:eastAsia="en-US"/>
        </w:rPr>
        <w:t>12/05/1</w:t>
      </w:r>
      <w:r>
        <w:rPr>
          <w:sz w:val="22"/>
          <w:szCs w:val="22"/>
          <w:lang w:eastAsia="en-US"/>
        </w:rPr>
        <w:t xml:space="preserve">998 portant définition des mesures de protection et de conservation des ressources halieutiques au Burkina Faso ; </w:t>
      </w:r>
    </w:p>
    <w:p>
      <w:pPr>
        <w:pStyle w:val="style0"/>
        <w:numPr>
          <w:ilvl w:val="0"/>
          <w:numId w:val="27"/>
        </w:numPr>
        <w:ind w:left="360"/>
        <w:jc w:val="both"/>
        <w:rPr>
          <w:sz w:val="22"/>
          <w:szCs w:val="22"/>
          <w:lang w:eastAsia="en-US"/>
        </w:rPr>
      </w:pPr>
      <w:r>
        <w:rPr>
          <w:sz w:val="22"/>
          <w:szCs w:val="22"/>
          <w:lang w:eastAsia="en-US"/>
        </w:rPr>
        <w:t>Arrêté N° 99-15/MEE/MEF/MATS du 09/06/1999 portant fixation des redevances liées à l’exploitation des ressources halieutiques ;</w:t>
      </w:r>
    </w:p>
    <w:p>
      <w:pPr>
        <w:pStyle w:val="style0"/>
        <w:numPr>
          <w:ilvl w:val="0"/>
          <w:numId w:val="27"/>
        </w:numPr>
        <w:ind w:left="360"/>
        <w:jc w:val="both"/>
        <w:rPr>
          <w:sz w:val="22"/>
          <w:szCs w:val="22"/>
          <w:lang w:eastAsia="en-US"/>
        </w:rPr>
      </w:pPr>
      <w:r>
        <w:rPr>
          <w:sz w:val="22"/>
          <w:szCs w:val="22"/>
          <w:lang w:eastAsia="en-US"/>
        </w:rPr>
        <w:t>Arrêté co</w:t>
      </w:r>
      <w:r>
        <w:rPr>
          <w:sz w:val="22"/>
          <w:szCs w:val="22"/>
          <w:lang w:eastAsia="en-US"/>
        </w:rPr>
        <w:t>njoint N°2009-073/MECV/MAHRH du 27 août 2009 portant réglementation des défrichements agricoles au Burkina Faso.</w:t>
      </w:r>
    </w:p>
    <w:p>
      <w:pPr>
        <w:pStyle w:val="style0"/>
        <w:ind w:left="360"/>
        <w:jc w:val="both"/>
        <w:rPr>
          <w:sz w:val="22"/>
          <w:szCs w:val="22"/>
          <w:lang w:eastAsia="en-US"/>
        </w:rPr>
      </w:pPr>
    </w:p>
    <w:bookmarkStart w:id="93" w:name="_Toc295814607"/>
    <w:p>
      <w:pPr>
        <w:pStyle w:val="style0"/>
        <w:numPr>
          <w:ilvl w:val="0"/>
          <w:numId w:val="80"/>
        </w:numPr>
        <w:rPr>
          <w:b/>
          <w:sz w:val="22"/>
          <w:szCs w:val="22"/>
          <w:lang w:eastAsia="en-US"/>
        </w:rPr>
      </w:pPr>
      <w:r>
        <w:rPr>
          <w:b/>
          <w:sz w:val="22"/>
          <w:szCs w:val="22"/>
          <w:lang w:eastAsia="en-US"/>
        </w:rPr>
        <w:t xml:space="preserve"> </w:t>
      </w:r>
      <w:r>
        <w:rPr>
          <w:b/>
          <w:sz w:val="22"/>
          <w:szCs w:val="22"/>
          <w:lang w:eastAsia="en-US"/>
        </w:rPr>
        <w:t>L</w:t>
      </w:r>
      <w:r>
        <w:rPr>
          <w:b/>
          <w:sz w:val="22"/>
          <w:szCs w:val="22"/>
          <w:lang w:eastAsia="en-US"/>
        </w:rPr>
        <w:t xml:space="preserve">oi </w:t>
      </w:r>
      <w:r>
        <w:rPr>
          <w:b/>
          <w:sz w:val="22"/>
          <w:szCs w:val="22"/>
          <w:lang w:eastAsia="en-US"/>
        </w:rPr>
        <w:t>portant Réorganisation Agraire et Foncière (RAF)</w:t>
      </w:r>
      <w:bookmarkEnd w:id="93"/>
      <w:r>
        <w:rPr>
          <w:b/>
          <w:sz w:val="22"/>
          <w:szCs w:val="22"/>
          <w:lang w:eastAsia="en-US"/>
        </w:rPr>
        <w:t xml:space="preserve"> </w:t>
      </w:r>
    </w:p>
    <w:p>
      <w:pPr>
        <w:pStyle w:val="style0"/>
        <w:autoSpaceDE w:val="false"/>
        <w:autoSpaceDN w:val="false"/>
        <w:adjustRightInd w:val="false"/>
        <w:jc w:val="both"/>
        <w:rPr>
          <w:sz w:val="22"/>
          <w:szCs w:val="22"/>
        </w:rPr>
      </w:pPr>
      <w:r>
        <w:rPr>
          <w:sz w:val="22"/>
          <w:szCs w:val="22"/>
          <w:lang w:eastAsia="en-US"/>
        </w:rPr>
        <w:t xml:space="preserve">Adoptée par la loi </w:t>
      </w:r>
      <w:r>
        <w:rPr>
          <w:bCs/>
          <w:sz w:val="22"/>
          <w:szCs w:val="22"/>
          <w:lang w:eastAsia="en-US"/>
        </w:rPr>
        <w:t xml:space="preserve">n° 034-2012/AN </w:t>
      </w:r>
      <w:r>
        <w:rPr>
          <w:sz w:val="22"/>
          <w:szCs w:val="22"/>
          <w:lang w:eastAsia="en-US"/>
        </w:rPr>
        <w:t>du 02 juillet 2012, la loi portant Réorganisation Agraire et Foncière (RAF) au Burkina Faso, a pour vocation de régir les normes d’utilisation, de gestion et d’exploitation des ressources naturelles, permanentes ou renouvelables. La RAF définit les principes d'aménagement des terroirs ainsi que les modalités d'attribution et d’exploitation des terres aussi bien rurales qu’urbaines. Suivant cette loi, «</w:t>
      </w:r>
      <w:r>
        <w:rPr>
          <w:sz w:val="22"/>
          <w:szCs w:val="22"/>
          <w:lang w:eastAsia="en-US"/>
        </w:rPr>
        <w:t xml:space="preserve"> </w:t>
      </w:r>
      <w:r>
        <w:rPr>
          <w:sz w:val="22"/>
          <w:szCs w:val="22"/>
          <w:lang w:eastAsia="en-US"/>
        </w:rPr>
        <w:t>le domaine foncier national est un patrimoine commun de la nation</w:t>
      </w:r>
      <w:r>
        <w:rPr>
          <w:sz w:val="22"/>
          <w:szCs w:val="22"/>
          <w:lang w:eastAsia="en-US"/>
        </w:rPr>
        <w:t xml:space="preserve"> </w:t>
      </w:r>
      <w:r>
        <w:rPr>
          <w:sz w:val="22"/>
          <w:szCs w:val="22"/>
          <w:lang w:eastAsia="en-US"/>
        </w:rPr>
        <w:t xml:space="preserve">» (article 5). Toutefois, la  loi dispose également que « le domaine foncier national est composé du domaine foncier de l’Etat, du domaine foncier des collectivités territoriales et du patrimoine foncier des particuliers ». (article 6). </w:t>
      </w:r>
    </w:p>
    <w:p>
      <w:pPr>
        <w:pStyle w:val="style0"/>
        <w:tabs>
          <w:tab w:val="left" w:leader="none" w:pos="-720"/>
        </w:tabs>
        <w:suppressAutoHyphens/>
        <w:jc w:val="both"/>
        <w:rPr>
          <w:sz w:val="22"/>
          <w:szCs w:val="22"/>
          <w:lang w:eastAsia="en-US"/>
        </w:rPr>
      </w:pPr>
    </w:p>
    <w:p>
      <w:pPr>
        <w:pStyle w:val="style0"/>
        <w:tabs>
          <w:tab w:val="left" w:leader="none" w:pos="-720"/>
        </w:tabs>
        <w:suppressAutoHyphens/>
        <w:jc w:val="both"/>
        <w:rPr>
          <w:sz w:val="22"/>
          <w:szCs w:val="22"/>
          <w:lang w:eastAsia="en-US"/>
        </w:rPr>
      </w:pPr>
      <w:r>
        <w:rPr>
          <w:sz w:val="22"/>
          <w:szCs w:val="22"/>
          <w:lang w:eastAsia="en-US"/>
        </w:rPr>
        <w:t xml:space="preserve">De même, la RAF fixe les principes fondamentaux de l'aménagement du territoire, de la gestion des terres rurales et urbaines, du régime de l'eau, des forêts, de la faune, des pêches, des substances de carrières et de mines. </w:t>
      </w:r>
    </w:p>
    <w:p>
      <w:pPr>
        <w:pStyle w:val="style0"/>
        <w:tabs>
          <w:tab w:val="left" w:leader="none" w:pos="-720"/>
        </w:tabs>
        <w:suppressAutoHyphens/>
        <w:jc w:val="both"/>
        <w:rPr>
          <w:sz w:val="22"/>
          <w:szCs w:val="22"/>
          <w:lang w:eastAsia="en-US"/>
        </w:rPr>
      </w:pPr>
    </w:p>
    <w:bookmarkStart w:id="94" w:name="_Toc295814608"/>
    <w:p>
      <w:pPr>
        <w:pStyle w:val="style0"/>
        <w:numPr>
          <w:ilvl w:val="0"/>
          <w:numId w:val="80"/>
        </w:numPr>
        <w:rPr>
          <w:b/>
          <w:sz w:val="22"/>
          <w:szCs w:val="22"/>
          <w:lang w:eastAsia="en-US"/>
        </w:rPr>
      </w:pPr>
      <w:r>
        <w:rPr>
          <w:b/>
          <w:sz w:val="22"/>
          <w:szCs w:val="22"/>
          <w:lang w:eastAsia="en-US"/>
        </w:rPr>
        <w:t>Loi relative à la sécurisation foncière en milieu rural</w:t>
      </w:r>
      <w:bookmarkEnd w:id="94"/>
    </w:p>
    <w:p>
      <w:pPr>
        <w:pStyle w:val="style0"/>
        <w:jc w:val="both"/>
        <w:rPr>
          <w:sz w:val="22"/>
          <w:szCs w:val="22"/>
          <w:lang w:eastAsia="en-US"/>
        </w:rPr>
      </w:pPr>
      <w:r>
        <w:rPr>
          <w:sz w:val="22"/>
          <w:szCs w:val="22"/>
          <w:lang w:eastAsia="en-US"/>
        </w:rPr>
        <w:t>La loi N°034-2009/AN du 24 Juillet 2009 portant Régime Foncier Rural</w:t>
      </w:r>
      <w:r>
        <w:rPr>
          <w:sz w:val="22"/>
          <w:szCs w:val="22"/>
          <w:lang w:eastAsia="en-US"/>
        </w:rPr>
        <w:t xml:space="preserve"> </w:t>
      </w:r>
      <w:r>
        <w:rPr>
          <w:sz w:val="22"/>
          <w:szCs w:val="22"/>
          <w:lang w:eastAsia="en-US"/>
        </w:rPr>
        <w:t>(RFR) relative à la sécurisation foncière en milieu rural s’attache à reconnaître et sécuriser les droits de trois</w:t>
      </w:r>
      <w:r>
        <w:rPr>
          <w:sz w:val="22"/>
          <w:szCs w:val="22"/>
          <w:lang w:eastAsia="en-US"/>
        </w:rPr>
        <w:t xml:space="preserve"> </w:t>
      </w:r>
      <w:r>
        <w:rPr>
          <w:sz w:val="22"/>
          <w:szCs w:val="22"/>
          <w:lang w:eastAsia="en-US"/>
        </w:rPr>
        <w:t>(03) acteurs sur le foncier rural. Il s’agit du :</w:t>
      </w:r>
    </w:p>
    <w:p>
      <w:pPr>
        <w:pStyle w:val="style0"/>
        <w:numPr>
          <w:ilvl w:val="0"/>
          <w:numId w:val="27"/>
        </w:numPr>
        <w:jc w:val="both"/>
        <w:rPr>
          <w:sz w:val="22"/>
          <w:szCs w:val="22"/>
          <w:lang w:eastAsia="en-US"/>
        </w:rPr>
      </w:pPr>
      <w:r>
        <w:rPr>
          <w:sz w:val="22"/>
          <w:szCs w:val="22"/>
          <w:lang w:eastAsia="en-US"/>
        </w:rPr>
        <w:t xml:space="preserve">domaine foncier rural de l’Etat ; </w:t>
      </w:r>
    </w:p>
    <w:p>
      <w:pPr>
        <w:pStyle w:val="style0"/>
        <w:numPr>
          <w:ilvl w:val="0"/>
          <w:numId w:val="27"/>
        </w:numPr>
        <w:jc w:val="both"/>
        <w:rPr>
          <w:sz w:val="22"/>
          <w:szCs w:val="22"/>
          <w:lang w:eastAsia="en-US"/>
        </w:rPr>
      </w:pPr>
      <w:r>
        <w:rPr>
          <w:sz w:val="22"/>
          <w:szCs w:val="22"/>
          <w:lang w:eastAsia="en-US"/>
        </w:rPr>
        <w:t xml:space="preserve">domaine foncier rural des collectivités territoriales ; </w:t>
      </w:r>
    </w:p>
    <w:p>
      <w:pPr>
        <w:pStyle w:val="style0"/>
        <w:numPr>
          <w:ilvl w:val="0"/>
          <w:numId w:val="27"/>
        </w:numPr>
        <w:jc w:val="both"/>
        <w:rPr>
          <w:sz w:val="22"/>
          <w:szCs w:val="22"/>
          <w:lang w:eastAsia="en-US"/>
        </w:rPr>
      </w:pPr>
      <w:r>
        <w:rPr>
          <w:sz w:val="22"/>
          <w:szCs w:val="22"/>
          <w:lang w:eastAsia="en-US"/>
        </w:rPr>
        <w:t>patrimoine fonci</w:t>
      </w:r>
      <w:r>
        <w:rPr>
          <w:sz w:val="22"/>
          <w:szCs w:val="22"/>
          <w:lang w:eastAsia="en-US"/>
        </w:rPr>
        <w:t xml:space="preserve">er rural des particuliers. </w:t>
      </w:r>
    </w:p>
    <w:p>
      <w:pPr>
        <w:pStyle w:val="style0"/>
        <w:jc w:val="both"/>
        <w:rPr>
          <w:sz w:val="22"/>
          <w:szCs w:val="22"/>
          <w:lang w:eastAsia="en-US"/>
        </w:rPr>
      </w:pPr>
    </w:p>
    <w:p>
      <w:pPr>
        <w:pStyle w:val="style0"/>
        <w:jc w:val="both"/>
        <w:rPr>
          <w:sz w:val="22"/>
          <w:szCs w:val="22"/>
          <w:lang w:eastAsia="en-US"/>
        </w:rPr>
      </w:pPr>
      <w:r>
        <w:rPr>
          <w:sz w:val="22"/>
          <w:szCs w:val="22"/>
          <w:lang w:eastAsia="en-US"/>
        </w:rPr>
        <w:t>Parmi les articles de cette loi qui ont un rapport étroit avec les interventions du P</w:t>
      </w:r>
      <w:r>
        <w:rPr>
          <w:sz w:val="22"/>
          <w:szCs w:val="22"/>
          <w:lang w:eastAsia="en-US"/>
        </w:rPr>
        <w:t>rogramme</w:t>
      </w:r>
      <w:r>
        <w:rPr>
          <w:sz w:val="22"/>
          <w:szCs w:val="22"/>
          <w:lang w:eastAsia="en-US"/>
        </w:rPr>
        <w:t>, on peut retenir :</w:t>
      </w:r>
    </w:p>
    <w:p>
      <w:pPr>
        <w:pStyle w:val="style0"/>
        <w:numPr>
          <w:ilvl w:val="0"/>
          <w:numId w:val="27"/>
        </w:numPr>
        <w:jc w:val="both"/>
        <w:rPr>
          <w:sz w:val="22"/>
          <w:szCs w:val="22"/>
          <w:lang w:eastAsia="en-US"/>
        </w:rPr>
      </w:pPr>
      <w:r>
        <w:rPr>
          <w:sz w:val="22"/>
          <w:szCs w:val="22"/>
          <w:lang w:eastAsia="en-US"/>
        </w:rPr>
        <w:t>l’alinéa 3 de l’article 1 qui soutient que la loi N°034-2009/AN du 24 Juillet 2009 portant Régime Foncier Rural (R</w:t>
      </w:r>
      <w:r>
        <w:rPr>
          <w:sz w:val="22"/>
          <w:szCs w:val="22"/>
          <w:lang w:eastAsia="en-US"/>
        </w:rPr>
        <w:t>FR)  vise à « favoriser  la gestion rationnelle et durable des ressources naturelles»</w:t>
      </w:r>
    </w:p>
    <w:p>
      <w:pPr>
        <w:pStyle w:val="style0"/>
        <w:numPr>
          <w:ilvl w:val="0"/>
          <w:numId w:val="27"/>
        </w:numPr>
        <w:jc w:val="both"/>
        <w:rPr>
          <w:sz w:val="22"/>
          <w:szCs w:val="22"/>
          <w:lang w:eastAsia="en-US"/>
        </w:rPr>
      </w:pPr>
      <w:r>
        <w:rPr>
          <w:sz w:val="22"/>
          <w:szCs w:val="22"/>
          <w:lang w:eastAsia="en-US"/>
        </w:rPr>
        <w:t xml:space="preserve">l’article 3 stipule que «Nonobstant les dispositions de l’article 2 ci-dessus, les forêts protégées et classées, les aires fauniques, les espaces pastoraux, les ressources minières et en eaux demeurent soumis aux dispositions des législations spéciales y relatives, notamment le code forestier, le code minier, le code de l’environnement, la loi d’orientation relative au pastoralisme et la loi d’orientation relative à la gestion de l’eau.» </w:t>
      </w:r>
    </w:p>
    <w:p>
      <w:pPr>
        <w:pStyle w:val="style0"/>
        <w:jc w:val="both"/>
        <w:rPr>
          <w:sz w:val="22"/>
          <w:szCs w:val="22"/>
          <w:lang w:eastAsia="en-US"/>
        </w:rPr>
      </w:pPr>
    </w:p>
    <w:bookmarkStart w:id="95" w:name="_Toc295814609"/>
    <w:p>
      <w:pPr>
        <w:pStyle w:val="style0"/>
        <w:numPr>
          <w:ilvl w:val="0"/>
          <w:numId w:val="80"/>
        </w:numPr>
        <w:rPr>
          <w:b/>
          <w:sz w:val="22"/>
          <w:szCs w:val="22"/>
          <w:lang w:eastAsia="en-US"/>
        </w:rPr>
      </w:pPr>
      <w:r>
        <w:rPr>
          <w:b/>
          <w:sz w:val="22"/>
          <w:szCs w:val="22"/>
          <w:lang w:eastAsia="en-US"/>
        </w:rPr>
        <w:t xml:space="preserve"> </w:t>
      </w:r>
      <w:r>
        <w:rPr>
          <w:b/>
          <w:sz w:val="22"/>
          <w:szCs w:val="22"/>
          <w:lang w:eastAsia="en-US"/>
        </w:rPr>
        <w:t>L</w:t>
      </w:r>
      <w:r>
        <w:rPr>
          <w:b/>
          <w:sz w:val="22"/>
          <w:szCs w:val="22"/>
          <w:lang w:eastAsia="en-US"/>
        </w:rPr>
        <w:t xml:space="preserve">oi </w:t>
      </w:r>
      <w:r>
        <w:rPr>
          <w:b/>
          <w:sz w:val="22"/>
          <w:szCs w:val="22"/>
          <w:lang w:eastAsia="en-US"/>
        </w:rPr>
        <w:t>d’orientation relative au pastoralisme</w:t>
      </w:r>
      <w:bookmarkEnd w:id="95"/>
    </w:p>
    <w:p>
      <w:pPr>
        <w:pStyle w:val="style0"/>
        <w:tabs>
          <w:tab w:val="left" w:leader="none" w:pos="-720"/>
        </w:tabs>
        <w:suppressAutoHyphens/>
        <w:jc w:val="both"/>
        <w:rPr>
          <w:sz w:val="22"/>
          <w:szCs w:val="22"/>
          <w:lang w:eastAsia="en-US"/>
        </w:rPr>
      </w:pPr>
      <w:r>
        <w:rPr>
          <w:sz w:val="22"/>
          <w:szCs w:val="22"/>
          <w:lang w:eastAsia="en-US"/>
        </w:rPr>
        <w:t>Il s’agit de la loi n°034-2002/AN du 14 novembre 2002. Cette loi définit les principes et les modalités de gestion durable des activités pastorales, agro-sylvo-pastorales. Ce faisant, elle fait obligation à l’Etat et aux collectivités d’assurer «</w:t>
      </w:r>
      <w:r>
        <w:rPr>
          <w:sz w:val="22"/>
          <w:szCs w:val="22"/>
          <w:lang w:eastAsia="en-US"/>
        </w:rPr>
        <w:t xml:space="preserve"> </w:t>
      </w:r>
      <w:r>
        <w:rPr>
          <w:sz w:val="22"/>
          <w:szCs w:val="22"/>
          <w:lang w:eastAsia="en-US"/>
        </w:rPr>
        <w:t>aux pasteurs le droit d’accès aux espaces pastoraux, le droit d’utilisation équitable des ressources naturelles et la mobilité des troupeaux</w:t>
      </w:r>
      <w:r>
        <w:rPr>
          <w:sz w:val="22"/>
          <w:szCs w:val="22"/>
          <w:lang w:eastAsia="en-US"/>
        </w:rPr>
        <w:t xml:space="preserve"> </w:t>
      </w:r>
      <w:r>
        <w:rPr>
          <w:sz w:val="22"/>
          <w:szCs w:val="22"/>
          <w:lang w:eastAsia="en-US"/>
        </w:rPr>
        <w:t>». Il va donc s’en dire qu’en application des dispositions de cette loi, les pasteurs ont le droit d’accéder aux points d’eau. Toutefois, ils devront  en retour,  veiller au r</w:t>
      </w:r>
      <w:r>
        <w:rPr>
          <w:sz w:val="22"/>
          <w:szCs w:val="22"/>
          <w:lang w:eastAsia="en-US"/>
        </w:rPr>
        <w:t>espect des lois et règlements relatifs à la protection de l’environnement contre les pollutions et nuisances diverses,  à l’utilisation rationnelle des ressources naturelles et à la prévention de maladies contagieuses. En conséquence, toute activité suscep</w:t>
      </w:r>
      <w:r>
        <w:rPr>
          <w:sz w:val="22"/>
          <w:szCs w:val="22"/>
          <w:lang w:eastAsia="en-US"/>
        </w:rPr>
        <w:t>tible d’engendrer une pollution de même que le déversement de produits toxiques dans un point d’abreuvement des animaux est interdite. Cette interdiction prend également en compte tout défrichement aux abords directs de ces points d’eau. </w:t>
      </w:r>
    </w:p>
    <w:p>
      <w:pPr>
        <w:pStyle w:val="style0"/>
        <w:tabs>
          <w:tab w:val="left" w:leader="none" w:pos="-720"/>
        </w:tabs>
        <w:suppressAutoHyphens/>
        <w:jc w:val="both"/>
        <w:rPr>
          <w:sz w:val="22"/>
          <w:szCs w:val="22"/>
          <w:lang w:eastAsia="en-US"/>
        </w:rPr>
      </w:pPr>
    </w:p>
    <w:bookmarkStart w:id="96" w:name="_Toc295814610"/>
    <w:p>
      <w:pPr>
        <w:pStyle w:val="style0"/>
        <w:numPr>
          <w:ilvl w:val="0"/>
          <w:numId w:val="80"/>
        </w:numPr>
        <w:rPr>
          <w:b/>
          <w:sz w:val="22"/>
          <w:szCs w:val="22"/>
          <w:lang w:eastAsia="en-US"/>
        </w:rPr>
      </w:pPr>
      <w:r>
        <w:rPr>
          <w:b/>
          <w:sz w:val="22"/>
          <w:szCs w:val="22"/>
          <w:lang w:eastAsia="en-US"/>
        </w:rPr>
        <w:t>Loi portant contrôle de la gestion des pesticides</w:t>
      </w:r>
      <w:bookmarkEnd w:id="96"/>
    </w:p>
    <w:p>
      <w:pPr>
        <w:pStyle w:val="style0"/>
        <w:jc w:val="both"/>
        <w:rPr>
          <w:sz w:val="22"/>
          <w:szCs w:val="22"/>
          <w:lang w:eastAsia="en-US"/>
        </w:rPr>
      </w:pPr>
      <w:r>
        <w:rPr>
          <w:sz w:val="22"/>
          <w:szCs w:val="22"/>
          <w:lang w:eastAsia="en-US"/>
        </w:rPr>
        <w:t>La Loi n°026-2017/an du 15 mai 2017 portant contrôle de la gestion des pesticides au Burkina Faso vise à s’assurer : la régularité des procédures de production, d’expérimentation, d’importation, d’exportation, de reconditionnement, de transit, de transport, de distribution, de stockage, d’utilisation et de destruction du pesticide ; la qualité des pesticides ; le respect des normes d’étiquetage, d’emballages et de procédures d’homologation en vigueur au Burkina Faso.</w:t>
      </w:r>
    </w:p>
    <w:p>
      <w:pPr>
        <w:pStyle w:val="style0"/>
        <w:jc w:val="both"/>
        <w:rPr>
          <w:sz w:val="22"/>
          <w:szCs w:val="22"/>
          <w:lang w:eastAsia="en-US"/>
        </w:rPr>
      </w:pPr>
    </w:p>
    <w:bookmarkStart w:id="97" w:name="_Toc295814611"/>
    <w:p>
      <w:pPr>
        <w:pStyle w:val="style0"/>
        <w:numPr>
          <w:ilvl w:val="0"/>
          <w:numId w:val="80"/>
        </w:numPr>
        <w:rPr>
          <w:b/>
          <w:sz w:val="22"/>
          <w:szCs w:val="22"/>
          <w:lang w:eastAsia="en-US"/>
        </w:rPr>
      </w:pPr>
      <w:r>
        <w:rPr>
          <w:b/>
          <w:sz w:val="22"/>
          <w:szCs w:val="22"/>
          <w:lang w:eastAsia="en-US"/>
        </w:rPr>
        <w:t>Loi d’orientation relative à la gestion de l’eau</w:t>
      </w:r>
      <w:bookmarkEnd w:id="97"/>
      <w:r>
        <w:rPr>
          <w:b/>
          <w:sz w:val="22"/>
          <w:szCs w:val="22"/>
          <w:lang w:eastAsia="en-US"/>
        </w:rPr>
        <w:t> </w:t>
      </w:r>
    </w:p>
    <w:p>
      <w:pPr>
        <w:pStyle w:val="style0"/>
        <w:jc w:val="both"/>
        <w:rPr>
          <w:sz w:val="22"/>
          <w:szCs w:val="22"/>
          <w:lang w:eastAsia="en-US"/>
        </w:rPr>
      </w:pPr>
      <w:r>
        <w:rPr>
          <w:sz w:val="22"/>
          <w:szCs w:val="22"/>
          <w:lang w:eastAsia="en-US"/>
        </w:rPr>
        <w:t>Elle porte sur une batterie de mesures visant à protéger la ressource ‘’eau’’ pour en faire un des piliers du développement durable.</w:t>
      </w:r>
      <w:r>
        <w:rPr>
          <w:sz w:val="22"/>
          <w:szCs w:val="22"/>
          <w:lang w:eastAsia="en-US"/>
        </w:rPr>
        <w:t xml:space="preserve"> </w:t>
      </w:r>
      <w:r>
        <w:rPr>
          <w:sz w:val="22"/>
          <w:szCs w:val="22"/>
          <w:lang w:eastAsia="en-US"/>
        </w:rPr>
        <w:t xml:space="preserve">A cet effet, cette loi : </w:t>
      </w:r>
    </w:p>
    <w:p>
      <w:pPr>
        <w:pStyle w:val="style0"/>
        <w:numPr>
          <w:ilvl w:val="0"/>
          <w:numId w:val="27"/>
        </w:numPr>
        <w:jc w:val="both"/>
        <w:rPr>
          <w:sz w:val="22"/>
          <w:szCs w:val="22"/>
          <w:lang w:eastAsia="en-US"/>
        </w:rPr>
      </w:pPr>
      <w:r>
        <w:rPr>
          <w:sz w:val="22"/>
          <w:szCs w:val="22"/>
          <w:lang w:eastAsia="en-US"/>
        </w:rPr>
        <w:t>fait de l’eau, et ce conformément à la constitution, un patrimoine commun de la nation toute entière, rompant ainsi avec la vision de domanialité publique de l’eau ;</w:t>
      </w:r>
    </w:p>
    <w:p>
      <w:pPr>
        <w:pStyle w:val="style0"/>
        <w:numPr>
          <w:ilvl w:val="0"/>
          <w:numId w:val="27"/>
        </w:numPr>
        <w:jc w:val="both"/>
        <w:rPr>
          <w:sz w:val="22"/>
          <w:szCs w:val="22"/>
          <w:lang w:eastAsia="en-US"/>
        </w:rPr>
      </w:pPr>
      <w:r>
        <w:rPr>
          <w:sz w:val="22"/>
          <w:szCs w:val="22"/>
          <w:lang w:eastAsia="en-US"/>
        </w:rPr>
        <w:t xml:space="preserve">envisage une régie de l’eau engageant l’Etat, les collectivités territoriales, les usagers, la société civile et les scientifiques dans des cadres de coordination et de prise de décision consensuelle aux niveaux national (le CNE), du bassin hydrographique et de la région (comités, </w:t>
      </w:r>
      <w:r>
        <w:rPr>
          <w:sz w:val="22"/>
          <w:szCs w:val="22"/>
          <w:lang w:eastAsia="en-US"/>
        </w:rPr>
        <w:t>sou</w:t>
      </w:r>
      <w:r>
        <w:rPr>
          <w:sz w:val="22"/>
          <w:szCs w:val="22"/>
          <w:lang w:eastAsia="en-US"/>
        </w:rPr>
        <w:t>s-comités</w:t>
      </w:r>
      <w:r>
        <w:rPr>
          <w:sz w:val="22"/>
          <w:szCs w:val="22"/>
          <w:lang w:eastAsia="en-US"/>
        </w:rPr>
        <w:t xml:space="preserve">), local (comités locaux de bassin) ; </w:t>
      </w:r>
    </w:p>
    <w:p>
      <w:pPr>
        <w:pStyle w:val="style0"/>
        <w:numPr>
          <w:ilvl w:val="0"/>
          <w:numId w:val="27"/>
        </w:numPr>
        <w:jc w:val="both"/>
        <w:rPr>
          <w:sz w:val="22"/>
          <w:szCs w:val="22"/>
          <w:lang w:eastAsia="en-US"/>
        </w:rPr>
      </w:pPr>
      <w:r>
        <w:rPr>
          <w:sz w:val="22"/>
          <w:szCs w:val="22"/>
          <w:lang w:eastAsia="en-US"/>
        </w:rPr>
        <w:t>penche pour un mode de financement reposant sur l’incitation financière, les redevances de prélèvement et de pollution dont les montants sont à convenir et à proposer par les différents acteurs regroupés au s</w:t>
      </w:r>
      <w:r>
        <w:rPr>
          <w:sz w:val="22"/>
          <w:szCs w:val="22"/>
          <w:lang w:eastAsia="en-US"/>
        </w:rPr>
        <w:t xml:space="preserve">ein des comités de bassin ; </w:t>
      </w:r>
    </w:p>
    <w:p>
      <w:pPr>
        <w:pStyle w:val="style0"/>
        <w:numPr>
          <w:ilvl w:val="0"/>
          <w:numId w:val="27"/>
        </w:numPr>
        <w:jc w:val="both"/>
        <w:rPr>
          <w:sz w:val="22"/>
          <w:szCs w:val="22"/>
          <w:lang w:eastAsia="en-US"/>
        </w:rPr>
      </w:pPr>
      <w:r>
        <w:rPr>
          <w:sz w:val="22"/>
          <w:szCs w:val="22"/>
          <w:lang w:eastAsia="en-US"/>
        </w:rPr>
        <w:t xml:space="preserve">prévoit des outils de planification et de gestion à l’échelle des bassins, sous-bassins (schéma directeur et schéma d’aménagement, Système d’information sur l’eau, police de l’eau, etc.) ; </w:t>
      </w:r>
    </w:p>
    <w:p>
      <w:pPr>
        <w:pStyle w:val="style0"/>
        <w:numPr>
          <w:ilvl w:val="0"/>
          <w:numId w:val="27"/>
        </w:numPr>
        <w:jc w:val="both"/>
        <w:rPr>
          <w:sz w:val="22"/>
          <w:szCs w:val="22"/>
          <w:lang w:eastAsia="en-US"/>
        </w:rPr>
      </w:pPr>
      <w:r>
        <w:rPr>
          <w:sz w:val="22"/>
          <w:szCs w:val="22"/>
          <w:lang w:eastAsia="en-US"/>
        </w:rPr>
        <w:t xml:space="preserve">énonce clairement le régime de l’eau </w:t>
      </w:r>
      <w:r>
        <w:rPr>
          <w:sz w:val="22"/>
          <w:szCs w:val="22"/>
          <w:lang w:eastAsia="en-US"/>
        </w:rPr>
        <w:t>et le régime des services de l’eau.</w:t>
      </w:r>
    </w:p>
    <w:p>
      <w:pPr>
        <w:pStyle w:val="style0"/>
        <w:jc w:val="both"/>
        <w:rPr>
          <w:sz w:val="22"/>
          <w:szCs w:val="22"/>
          <w:lang w:eastAsia="en-US"/>
        </w:rPr>
      </w:pPr>
    </w:p>
    <w:bookmarkStart w:id="98" w:name="_Toc295814612"/>
    <w:p>
      <w:pPr>
        <w:pStyle w:val="style0"/>
        <w:numPr>
          <w:ilvl w:val="0"/>
          <w:numId w:val="80"/>
        </w:numPr>
        <w:rPr>
          <w:b/>
          <w:sz w:val="22"/>
          <w:szCs w:val="22"/>
          <w:lang w:val="en-US" w:eastAsia="en-US"/>
        </w:rPr>
      </w:pPr>
      <w:r>
        <w:rPr>
          <w:b/>
          <w:sz w:val="22"/>
          <w:szCs w:val="22"/>
          <w:lang w:val="en-US" w:eastAsia="en-US"/>
        </w:rPr>
        <w:t>Code de Santé Publique</w:t>
      </w:r>
      <w:bookmarkEnd w:id="98"/>
    </w:p>
    <w:p>
      <w:pPr>
        <w:pStyle w:val="style0"/>
        <w:jc w:val="both"/>
        <w:rPr>
          <w:sz w:val="22"/>
          <w:szCs w:val="22"/>
          <w:lang w:eastAsia="en-US"/>
        </w:rPr>
      </w:pPr>
      <w:r>
        <w:rPr>
          <w:sz w:val="22"/>
          <w:szCs w:val="22"/>
          <w:lang w:eastAsia="en-US"/>
        </w:rPr>
        <w:t xml:space="preserve"> La loi n°23/94/ADP du 19 mai 1994 portant Code de Santé Publique autorise le ministère en charge de la santé de concert avec les ministères chargés de l’environnement et de l’eau à prendre toutes mesures jugées utiles pour la prévention contre la pollution des eaux potables aux fins de protéger l’environnement et la santé des populations. Cette loi s’intéresse particulièrement à la protection sanitaire de l’environnement</w:t>
      </w:r>
      <w:r>
        <w:rPr>
          <w:sz w:val="22"/>
          <w:szCs w:val="22"/>
          <w:lang w:eastAsia="en-US"/>
        </w:rPr>
        <w:t xml:space="preserve"> </w:t>
      </w:r>
      <w:r>
        <w:rPr>
          <w:sz w:val="22"/>
          <w:szCs w:val="22"/>
          <w:lang w:eastAsia="en-US"/>
        </w:rPr>
        <w:t>(pollution de l’air et de l’eau)  et prévoit de ce fait, une batterie de mesures destinées à prévenir la pollution des eaux livrées à la</w:t>
      </w:r>
      <w:r>
        <w:rPr>
          <w:sz w:val="22"/>
          <w:szCs w:val="22"/>
          <w:lang w:eastAsia="en-US"/>
        </w:rPr>
        <w:t xml:space="preserve"> consommation du fait de l’usage incontrôlé de produits phytosanitaires ,de la mauvaise gestion des déchets de toutes sortes et de l’insalubrité des agglomérations.</w:t>
      </w:r>
    </w:p>
    <w:p>
      <w:pPr>
        <w:pStyle w:val="style0"/>
        <w:jc w:val="both"/>
        <w:rPr>
          <w:sz w:val="22"/>
          <w:szCs w:val="22"/>
          <w:lang w:eastAsia="en-US"/>
        </w:rPr>
      </w:pPr>
    </w:p>
    <w:bookmarkStart w:id="99" w:name="_Toc291800483"/>
    <w:p>
      <w:pPr>
        <w:pStyle w:val="style0"/>
        <w:numPr>
          <w:ilvl w:val="0"/>
          <w:numId w:val="80"/>
        </w:numPr>
        <w:rPr>
          <w:b/>
          <w:sz w:val="22"/>
          <w:szCs w:val="22"/>
          <w:lang w:eastAsia="en-US"/>
        </w:rPr>
      </w:pPr>
      <w:r>
        <w:rPr>
          <w:b/>
          <w:sz w:val="22"/>
          <w:szCs w:val="22"/>
          <w:lang w:eastAsia="en-US"/>
        </w:rPr>
        <w:t>Loi 005 -2006 portant Régime de Sécurité en matière de Biotechnologie</w:t>
      </w:r>
      <w:bookmarkEnd w:id="99"/>
      <w:r>
        <w:rPr>
          <w:b/>
          <w:sz w:val="22"/>
          <w:szCs w:val="22"/>
          <w:lang w:eastAsia="en-US"/>
        </w:rPr>
        <w:t>s</w:t>
      </w:r>
    </w:p>
    <w:p>
      <w:pPr>
        <w:pStyle w:val="style0"/>
        <w:jc w:val="both"/>
        <w:rPr>
          <w:sz w:val="22"/>
          <w:szCs w:val="22"/>
          <w:lang w:eastAsia="en-US"/>
        </w:rPr>
      </w:pPr>
      <w:r>
        <w:rPr>
          <w:sz w:val="22"/>
          <w:szCs w:val="22"/>
          <w:lang w:eastAsia="en-US"/>
        </w:rPr>
        <w:t>Les règles nationales de cette loi portant sur la sécurité en biotechnologie, adoptées par décret N°2004-262/PRES/PM//MECV/ MAHRH/MS du 18 juin 2004, concernent les travaux en milieu confiné ; le déplacement des matériels soumis à réglementation ; l'expérimentation en champ des plantes transgéniques ; la diffusion/vulgarisation ; l'utilisation directe pour l'alimentation humaine ou animale ou la transformation ; l’administration réglementaire et scientifique en matière de biosécurité ; la mise sur le marché des OGM et leurs d</w:t>
      </w:r>
      <w:r>
        <w:rPr>
          <w:sz w:val="22"/>
          <w:szCs w:val="22"/>
          <w:lang w:eastAsia="en-US"/>
        </w:rPr>
        <w:t>érivés ; les droits de propriété intellectuelle ; l’engagement éthique du chercheur et du promoteur ; la protection des personnels et de l’environnement en contact avec les OGM et les produits qui en sont dérivés ; la responsabilité juridique ; etc.</w:t>
      </w:r>
    </w:p>
    <w:p>
      <w:pPr>
        <w:pStyle w:val="style0"/>
        <w:jc w:val="both"/>
        <w:rPr>
          <w:sz w:val="22"/>
          <w:szCs w:val="22"/>
          <w:lang w:eastAsia="en-US"/>
        </w:rPr>
      </w:pPr>
    </w:p>
    <w:bookmarkStart w:id="100" w:name="_Toc291800479"/>
    <w:p>
      <w:pPr>
        <w:pStyle w:val="style0"/>
        <w:numPr>
          <w:ilvl w:val="0"/>
          <w:numId w:val="80"/>
        </w:numPr>
        <w:rPr>
          <w:b/>
          <w:sz w:val="22"/>
          <w:szCs w:val="22"/>
          <w:lang w:eastAsia="en-US"/>
        </w:rPr>
      </w:pPr>
      <w:r>
        <w:rPr>
          <w:b/>
          <w:sz w:val="22"/>
          <w:szCs w:val="22"/>
          <w:lang w:eastAsia="en-US"/>
        </w:rPr>
        <w:t xml:space="preserve"> Loi portant Code de la Santé Animale </w:t>
      </w:r>
      <w:bookmarkEnd w:id="100"/>
    </w:p>
    <w:p>
      <w:pPr>
        <w:pStyle w:val="style0"/>
        <w:tabs>
          <w:tab w:val="left" w:leader="none" w:pos="-720"/>
        </w:tabs>
        <w:suppressAutoHyphens/>
        <w:jc w:val="both"/>
        <w:rPr>
          <w:sz w:val="22"/>
          <w:szCs w:val="22"/>
          <w:lang w:eastAsia="en-US"/>
        </w:rPr>
      </w:pPr>
      <w:r>
        <w:rPr>
          <w:sz w:val="22"/>
          <w:szCs w:val="22"/>
          <w:lang w:eastAsia="en-US"/>
        </w:rPr>
        <w:t>Portant principalement sur quatre</w:t>
      </w:r>
      <w:r>
        <w:rPr>
          <w:sz w:val="22"/>
          <w:szCs w:val="22"/>
          <w:lang w:eastAsia="en-US"/>
        </w:rPr>
        <w:t xml:space="preserve"> </w:t>
      </w:r>
      <w:r>
        <w:rPr>
          <w:sz w:val="22"/>
          <w:szCs w:val="22"/>
          <w:lang w:eastAsia="en-US"/>
        </w:rPr>
        <w:t>(04) domaines que sont l’organisation vétérinaire, l’exercice de la médecine vétérinaire, la pharmacie vétérinaire et  les mesures sanitaires, la Loi n° AN VII 0016/FP/PRES du 22 novembre 1989 portant code de la santé animale au Burkina Faso pour son application s’est accompagnée des décrets que sont :</w:t>
      </w:r>
    </w:p>
    <w:p>
      <w:pPr>
        <w:pStyle w:val="style0"/>
        <w:numPr>
          <w:ilvl w:val="0"/>
          <w:numId w:val="27"/>
        </w:numPr>
        <w:jc w:val="both"/>
        <w:rPr>
          <w:sz w:val="22"/>
          <w:szCs w:val="22"/>
          <w:lang w:eastAsia="en-US"/>
        </w:rPr>
      </w:pPr>
      <w:r>
        <w:rPr>
          <w:sz w:val="22"/>
          <w:szCs w:val="22"/>
          <w:lang w:eastAsia="en-US"/>
        </w:rPr>
        <w:t>le décret N° AN VII-0113/FP/AGRI-EL du 22 novembre 1989 portant règlement de la police zoo sanitaire au Burkina ;</w:t>
      </w:r>
    </w:p>
    <w:p>
      <w:pPr>
        <w:pStyle w:val="style0"/>
        <w:numPr>
          <w:ilvl w:val="0"/>
          <w:numId w:val="27"/>
        </w:numPr>
        <w:jc w:val="both"/>
        <w:rPr>
          <w:sz w:val="22"/>
          <w:szCs w:val="22"/>
          <w:lang w:eastAsia="en-US"/>
        </w:rPr>
      </w:pPr>
      <w:r>
        <w:rPr>
          <w:sz w:val="22"/>
          <w:szCs w:val="22"/>
          <w:lang w:eastAsia="en-US"/>
        </w:rPr>
        <w:t>le décret n° AN VII – 0114/FP/AGRI-EL du 22 novembre 1989, portant réglementation de la santé publique vétérinaire au Burkina Faso</w:t>
      </w:r>
    </w:p>
    <w:p>
      <w:pPr>
        <w:pStyle w:val="style0"/>
        <w:jc w:val="both"/>
        <w:rPr>
          <w:sz w:val="22"/>
          <w:szCs w:val="22"/>
          <w:lang w:eastAsia="en-US"/>
        </w:rPr>
      </w:pPr>
    </w:p>
    <w:p>
      <w:pPr>
        <w:pStyle w:val="style0"/>
        <w:numPr>
          <w:ilvl w:val="0"/>
          <w:numId w:val="80"/>
        </w:numPr>
        <w:rPr>
          <w:b/>
          <w:sz w:val="22"/>
          <w:szCs w:val="22"/>
          <w:lang w:val="en-US" w:eastAsia="en-US"/>
        </w:rPr>
      </w:pPr>
      <w:r>
        <w:rPr>
          <w:b/>
          <w:sz w:val="22"/>
          <w:szCs w:val="22"/>
          <w:lang w:eastAsia="en-US"/>
        </w:rPr>
        <w:t xml:space="preserve"> </w:t>
      </w:r>
      <w:r>
        <w:rPr>
          <w:b/>
          <w:sz w:val="22"/>
          <w:szCs w:val="22"/>
          <w:lang w:val="en-US" w:eastAsia="en-US"/>
        </w:rPr>
        <w:t xml:space="preserve">Code des </w:t>
      </w:r>
      <w:r>
        <w:rPr>
          <w:b/>
          <w:sz w:val="22"/>
          <w:szCs w:val="22"/>
          <w:lang w:val="en-US" w:eastAsia="en-US"/>
        </w:rPr>
        <w:t>i</w:t>
      </w:r>
      <w:r>
        <w:rPr>
          <w:b/>
          <w:sz w:val="22"/>
          <w:szCs w:val="22"/>
          <w:lang w:val="en-US" w:eastAsia="en-US"/>
        </w:rPr>
        <w:t>nvestissements</w:t>
      </w:r>
    </w:p>
    <w:p>
      <w:pPr>
        <w:pStyle w:val="style0"/>
        <w:jc w:val="both"/>
        <w:rPr>
          <w:sz w:val="22"/>
          <w:szCs w:val="22"/>
        </w:rPr>
      </w:pPr>
      <w:r>
        <w:rPr>
          <w:sz w:val="22"/>
          <w:szCs w:val="22"/>
        </w:rPr>
        <w:t xml:space="preserve">Il se compose de la loi n°62/95/ADP du 14 décembre 1995 portant Code des Investissements au Burkina Faso, assortie de son décret d’application n°2010-524/PRES/PM/MCPEA/MEF </w:t>
      </w:r>
      <w:r>
        <w:rPr>
          <w:sz w:val="22"/>
          <w:szCs w:val="22"/>
        </w:rPr>
        <w:t>fixant les conditions d’application. Cette loi à son article 1</w:t>
      </w:r>
      <w:r>
        <w:rPr>
          <w:sz w:val="22"/>
          <w:szCs w:val="22"/>
          <w:vertAlign w:val="superscript"/>
        </w:rPr>
        <w:t>er</w:t>
      </w:r>
      <w:r>
        <w:rPr>
          <w:sz w:val="22"/>
          <w:szCs w:val="22"/>
        </w:rPr>
        <w:t xml:space="preserve"> se fixe pour objet de faire la promotion des investissements productifs concourant au développement économique et social du Burkina Faso. Les entreprises attributaires des travaux de construction des lignes, se conformeront aux dispositions de cette loi, notamment pour ce qui est de leur responsabilité sociale.</w:t>
      </w:r>
    </w:p>
    <w:p>
      <w:pPr>
        <w:pStyle w:val="style0"/>
        <w:jc w:val="both"/>
        <w:rPr>
          <w:sz w:val="22"/>
          <w:szCs w:val="22"/>
        </w:rPr>
      </w:pPr>
    </w:p>
    <w:p>
      <w:pPr>
        <w:pStyle w:val="style0"/>
        <w:numPr>
          <w:ilvl w:val="0"/>
          <w:numId w:val="80"/>
        </w:numPr>
        <w:rPr>
          <w:b/>
          <w:sz w:val="22"/>
          <w:szCs w:val="22"/>
          <w:lang w:eastAsia="en-US"/>
        </w:rPr>
      </w:pPr>
      <w:r>
        <w:rPr>
          <w:b/>
          <w:sz w:val="22"/>
          <w:szCs w:val="22"/>
          <w:lang w:eastAsia="en-US"/>
        </w:rPr>
        <w:t xml:space="preserve"> </w:t>
      </w:r>
      <w:r>
        <w:rPr>
          <w:b/>
          <w:sz w:val="22"/>
          <w:szCs w:val="22"/>
          <w:lang w:eastAsia="en-US"/>
        </w:rPr>
        <w:t>L</w:t>
      </w:r>
      <w:r>
        <w:rPr>
          <w:b/>
          <w:sz w:val="22"/>
          <w:szCs w:val="22"/>
          <w:lang w:eastAsia="en-US"/>
        </w:rPr>
        <w:t xml:space="preserve">oi </w:t>
      </w:r>
      <w:r>
        <w:rPr>
          <w:b/>
          <w:sz w:val="22"/>
          <w:szCs w:val="22"/>
          <w:lang w:eastAsia="en-US"/>
        </w:rPr>
        <w:t xml:space="preserve">28-2008/AN du 13 mai 2008 portant Code du travail </w:t>
      </w:r>
    </w:p>
    <w:p>
      <w:pPr>
        <w:pStyle w:val="style0"/>
        <w:jc w:val="both"/>
        <w:rPr>
          <w:bCs/>
          <w:sz w:val="22"/>
          <w:szCs w:val="22"/>
        </w:rPr>
      </w:pPr>
      <w:r>
        <w:rPr>
          <w:bCs/>
          <w:sz w:val="22"/>
          <w:szCs w:val="22"/>
        </w:rPr>
        <w:t xml:space="preserve">Dans le cadre des travaux de construction des lignes électriques, cette loi encadre les conditions de travail à travers ses dispositions relatives (articles 149 et 153) à l’interdiction de la </w:t>
      </w:r>
      <w:r>
        <w:rPr>
          <w:sz w:val="22"/>
          <w:szCs w:val="22"/>
        </w:rPr>
        <w:t>discrimination en matière d’emploi et du travail ainsi que les pires formes de travail des enfants. Aussi, selon l’article 36 de cette même loi, il est fait obligation l’employeur sur le chantier, « de conformer les conditions d’hygiène et de sécurité aux normes prévues par la réglementation en vigueur ».</w:t>
      </w:r>
    </w:p>
    <w:p>
      <w:pPr>
        <w:pStyle w:val="style0"/>
        <w:jc w:val="both"/>
        <w:rPr>
          <w:sz w:val="22"/>
          <w:szCs w:val="22"/>
          <w:lang w:eastAsia="en-US"/>
        </w:rPr>
      </w:pPr>
    </w:p>
    <w:p>
      <w:pPr>
        <w:pStyle w:val="style0"/>
        <w:jc w:val="both"/>
        <w:rPr>
          <w:sz w:val="22"/>
          <w:szCs w:val="22"/>
          <w:lang w:val="en-US" w:eastAsia="en-US"/>
        </w:rPr>
      </w:pPr>
      <w:r>
        <w:rPr>
          <w:sz w:val="22"/>
          <w:szCs w:val="22"/>
          <w:lang w:eastAsia="en-US"/>
        </w:rPr>
        <w:t>D’autres textes environneme</w:t>
      </w:r>
      <w:r>
        <w:rPr>
          <w:sz w:val="22"/>
          <w:szCs w:val="22"/>
          <w:lang w:eastAsia="en-US"/>
        </w:rPr>
        <w:t>ntaux non moins importants sont à prendre en compte dans le cadre de cette étude. Ce</w:t>
      </w:r>
      <w:r>
        <w:rPr>
          <w:sz w:val="22"/>
          <w:szCs w:val="22"/>
          <w:lang w:val="en-US" w:eastAsia="en-US"/>
        </w:rPr>
        <w:t xml:space="preserve"> </w:t>
      </w:r>
      <w:r>
        <w:rPr>
          <w:sz w:val="22"/>
          <w:szCs w:val="22"/>
          <w:lang w:eastAsia="en-US"/>
        </w:rPr>
        <w:t>sont</w:t>
      </w:r>
      <w:r>
        <w:rPr>
          <w:sz w:val="22"/>
          <w:szCs w:val="22"/>
          <w:lang w:eastAsia="en-US"/>
        </w:rPr>
        <w:t xml:space="preserve"> </w:t>
      </w:r>
      <w:r>
        <w:rPr>
          <w:sz w:val="22"/>
          <w:szCs w:val="22"/>
          <w:lang w:val="en-US" w:eastAsia="en-US"/>
        </w:rPr>
        <w:t>:</w:t>
      </w:r>
    </w:p>
    <w:p>
      <w:pPr>
        <w:pStyle w:val="style0"/>
        <w:numPr>
          <w:ilvl w:val="0"/>
          <w:numId w:val="112"/>
        </w:numPr>
        <w:jc w:val="both"/>
        <w:rPr>
          <w:sz w:val="22"/>
          <w:szCs w:val="22"/>
          <w:lang w:eastAsia="en-US"/>
        </w:rPr>
      </w:pPr>
      <w:r>
        <w:rPr>
          <w:sz w:val="22"/>
          <w:szCs w:val="22"/>
          <w:lang w:eastAsia="en-US"/>
        </w:rPr>
        <w:t>la loi 055-2004 AN du 21 Décembre 2004 portant Code Général des Collectivités Territoriales;</w:t>
      </w:r>
      <w:r>
        <w:rPr>
          <w:sz w:val="22"/>
          <w:szCs w:val="22"/>
          <w:lang w:eastAsia="en-US"/>
        </w:rPr>
        <w:t xml:space="preserve"> </w:t>
      </w:r>
      <w:r>
        <w:rPr>
          <w:sz w:val="22"/>
          <w:szCs w:val="22"/>
          <w:lang w:eastAsia="en-US"/>
        </w:rPr>
        <w:t>la mise en œuvre du projet dans un contexte de décentralisation fait de la Loi 055-2004 AN du 21 Décembre 2004, un référentiel qui vaut son pesant d’or. En effet, les activités se déroulant sur des espaces appartenant à des collectivités décentralisées, la gestion environnementale,  la maîtrise d’ouvrage, la sécurisation des investissements, etc. sont autant de questions qui trouvent des réponses à travers les articles de ce code. A titre indicatif, l’article 2 stipule que « la décentralisation consacre le droit aux collectivités à s’administrer librement et à gérer des affaires propres en vue de promouvoir le développement à la base et de renforcer la gouvernance locale »</w:t>
      </w:r>
    </w:p>
    <w:p>
      <w:pPr>
        <w:pStyle w:val="style0"/>
        <w:jc w:val="both"/>
        <w:rPr>
          <w:color w:val="9bbb59"/>
          <w:sz w:val="22"/>
          <w:szCs w:val="22"/>
          <w:highlight w:val="yellow"/>
          <w:lang w:eastAsia="en-US"/>
        </w:rPr>
      </w:pPr>
    </w:p>
    <w:p>
      <w:pPr>
        <w:pStyle w:val="style0"/>
        <w:numPr>
          <w:ilvl w:val="0"/>
          <w:numId w:val="112"/>
        </w:numPr>
        <w:autoSpaceDE w:val="false"/>
        <w:autoSpaceDN w:val="false"/>
        <w:adjustRightInd w:val="false"/>
        <w:jc w:val="both"/>
        <w:rPr>
          <w:sz w:val="22"/>
          <w:szCs w:val="22"/>
          <w:lang w:eastAsia="en-US"/>
        </w:rPr>
      </w:pPr>
      <w:r>
        <w:rPr>
          <w:bCs/>
          <w:sz w:val="22"/>
          <w:szCs w:val="22"/>
          <w:lang w:eastAsia="en-US"/>
        </w:rPr>
        <w:t>la loi 2005-022 portant Code de l’Hygiène Publique, etc.</w:t>
      </w:r>
    </w:p>
    <w:p>
      <w:pPr>
        <w:pStyle w:val="style0"/>
        <w:rPr>
          <w:sz w:val="22"/>
          <w:szCs w:val="22"/>
          <w:lang w:eastAsia="en-US"/>
        </w:rPr>
      </w:pPr>
    </w:p>
    <w:p>
      <w:pPr>
        <w:pStyle w:val="style0"/>
        <w:jc w:val="both"/>
        <w:rPr>
          <w:sz w:val="22"/>
          <w:szCs w:val="22"/>
          <w:lang w:eastAsia="en-US"/>
        </w:rPr>
      </w:pPr>
      <w:r>
        <w:rPr>
          <w:sz w:val="22"/>
          <w:szCs w:val="22"/>
          <w:lang w:eastAsia="en-US"/>
        </w:rPr>
        <w:t xml:space="preserve">Concernant le </w:t>
      </w:r>
      <w:r>
        <w:rPr>
          <w:sz w:val="22"/>
          <w:szCs w:val="22"/>
          <w:lang w:eastAsia="en-US"/>
        </w:rPr>
        <w:t>cadre réglementaire national,</w:t>
      </w:r>
      <w:r>
        <w:rPr>
          <w:sz w:val="22"/>
          <w:szCs w:val="22"/>
          <w:u w:val="single"/>
          <w:lang w:eastAsia="en-US"/>
        </w:rPr>
        <w:t xml:space="preserve"> </w:t>
      </w:r>
      <w:r>
        <w:rPr>
          <w:sz w:val="22"/>
          <w:szCs w:val="22"/>
          <w:lang w:eastAsia="en-US"/>
        </w:rPr>
        <w:t xml:space="preserve">plusieurs textes de portée </w:t>
      </w:r>
      <w:r>
        <w:rPr>
          <w:sz w:val="22"/>
          <w:szCs w:val="22"/>
          <w:lang w:eastAsia="en-US"/>
        </w:rPr>
        <w:t>règlementaire</w:t>
      </w:r>
      <w:r>
        <w:rPr>
          <w:sz w:val="22"/>
          <w:szCs w:val="22"/>
          <w:lang w:eastAsia="en-US"/>
        </w:rPr>
        <w:t xml:space="preserve"> s’appliquent au projet. </w:t>
      </w:r>
      <w:r>
        <w:rPr>
          <w:sz w:val="22"/>
          <w:szCs w:val="22"/>
          <w:lang w:eastAsia="en-US"/>
        </w:rPr>
        <w:t>I</w:t>
      </w:r>
      <w:r>
        <w:rPr>
          <w:sz w:val="22"/>
          <w:szCs w:val="22"/>
          <w:lang w:eastAsia="en-US"/>
        </w:rPr>
        <w:t>l s’agit notamment des textes suivants</w:t>
      </w:r>
      <w:r>
        <w:rPr>
          <w:sz w:val="22"/>
          <w:szCs w:val="22"/>
          <w:lang w:eastAsia="en-US"/>
        </w:rPr>
        <w:t xml:space="preserve"> </w:t>
      </w:r>
      <w:r>
        <w:rPr>
          <w:sz w:val="22"/>
          <w:szCs w:val="22"/>
          <w:lang w:eastAsia="en-US"/>
        </w:rPr>
        <w:t>:</w:t>
      </w:r>
    </w:p>
    <w:p>
      <w:pPr>
        <w:pStyle w:val="style0"/>
        <w:numPr>
          <w:ilvl w:val="0"/>
          <w:numId w:val="112"/>
        </w:numPr>
        <w:jc w:val="both"/>
        <w:rPr>
          <w:sz w:val="22"/>
          <w:szCs w:val="22"/>
          <w:lang w:eastAsia="en-US"/>
        </w:rPr>
      </w:pPr>
      <w:r>
        <w:rPr>
          <w:sz w:val="22"/>
          <w:szCs w:val="22"/>
          <w:lang w:eastAsia="en-US"/>
        </w:rPr>
        <w:t>le décret n°2001-185/PRE/PM/MEE du 07 mai 2001, portant fixation des normes de rejets des polluants dans l’air, l’eau et les sols; </w:t>
      </w:r>
    </w:p>
    <w:p>
      <w:pPr>
        <w:pStyle w:val="style0"/>
        <w:numPr>
          <w:ilvl w:val="0"/>
          <w:numId w:val="112"/>
        </w:numPr>
        <w:jc w:val="both"/>
        <w:rPr>
          <w:sz w:val="22"/>
          <w:szCs w:val="22"/>
          <w:lang w:eastAsia="en-US"/>
        </w:rPr>
      </w:pPr>
      <w:r>
        <w:rPr>
          <w:sz w:val="22"/>
          <w:szCs w:val="22"/>
          <w:lang w:eastAsia="en-US"/>
        </w:rPr>
        <w:t xml:space="preserve">le décret N°98-3120/PRES/PM/MEE/MATS du 17/07/1998 portant utilisation des feux en milieu rural au Burkina Faso; </w:t>
      </w:r>
    </w:p>
    <w:p>
      <w:pPr>
        <w:pStyle w:val="style0"/>
        <w:numPr>
          <w:ilvl w:val="0"/>
          <w:numId w:val="112"/>
        </w:numPr>
        <w:jc w:val="both"/>
        <w:rPr>
          <w:sz w:val="22"/>
          <w:szCs w:val="22"/>
          <w:lang w:eastAsia="en-US"/>
        </w:rPr>
      </w:pPr>
      <w:r>
        <w:rPr>
          <w:sz w:val="22"/>
          <w:szCs w:val="22"/>
          <w:lang w:eastAsia="en-US"/>
        </w:rPr>
        <w:t xml:space="preserve">l’Arrêté N°98-8/MEE/SG/DGEF/DP du 12/05/1998 portant définition des mesures de protection et de conservation </w:t>
      </w:r>
      <w:r>
        <w:rPr>
          <w:sz w:val="22"/>
          <w:szCs w:val="22"/>
          <w:lang w:eastAsia="en-US"/>
        </w:rPr>
        <w:t xml:space="preserve">des ressources halieutiques au Burkina Faso ; </w:t>
      </w:r>
    </w:p>
    <w:p>
      <w:pPr>
        <w:pStyle w:val="style0"/>
        <w:numPr>
          <w:ilvl w:val="0"/>
          <w:numId w:val="112"/>
        </w:numPr>
        <w:jc w:val="both"/>
        <w:rPr>
          <w:sz w:val="22"/>
          <w:szCs w:val="22"/>
          <w:lang w:eastAsia="en-US"/>
        </w:rPr>
      </w:pPr>
      <w:r>
        <w:rPr>
          <w:sz w:val="22"/>
          <w:szCs w:val="22"/>
          <w:lang w:eastAsia="en-US"/>
        </w:rPr>
        <w:t>l’Arrêté N° 99-15/MEE/MEF/MATS du 09/06/1999 portant fixation des redevances liées à l’exploitation des ressources halieutiques ;</w:t>
      </w:r>
    </w:p>
    <w:p>
      <w:pPr>
        <w:pStyle w:val="style0"/>
        <w:numPr>
          <w:ilvl w:val="0"/>
          <w:numId w:val="112"/>
        </w:numPr>
        <w:jc w:val="both"/>
        <w:rPr>
          <w:sz w:val="22"/>
          <w:szCs w:val="22"/>
          <w:lang w:eastAsia="en-US"/>
        </w:rPr>
      </w:pPr>
      <w:r>
        <w:rPr>
          <w:sz w:val="22"/>
          <w:szCs w:val="22"/>
          <w:lang w:eastAsia="en-US"/>
        </w:rPr>
        <w:t>l’Arrêté conjoint N°2009-073/MECV/MAHRH du 27 août 2009 portant réglementation des défrichements agricoles au Burkina Faso ;</w:t>
      </w:r>
    </w:p>
    <w:p>
      <w:pPr>
        <w:pStyle w:val="style0"/>
        <w:numPr>
          <w:ilvl w:val="0"/>
          <w:numId w:val="112"/>
        </w:numPr>
        <w:jc w:val="both"/>
        <w:rPr>
          <w:sz w:val="22"/>
          <w:szCs w:val="22"/>
          <w:lang w:eastAsia="en-US"/>
        </w:rPr>
      </w:pPr>
      <w:r>
        <w:rPr>
          <w:sz w:val="22"/>
          <w:szCs w:val="22"/>
          <w:lang w:eastAsia="en-US"/>
        </w:rPr>
        <w:t xml:space="preserve">le décret N° 2006- 588 /PRES/PM/MAHRH/MECV/MATD/MFB/MS du 6 décembre 2006 portant détermination des périmètres de protection des plans et cours d’eau : </w:t>
      </w:r>
    </w:p>
    <w:p>
      <w:pPr>
        <w:pStyle w:val="style0"/>
        <w:numPr>
          <w:ilvl w:val="0"/>
          <w:numId w:val="112"/>
        </w:numPr>
        <w:jc w:val="both"/>
        <w:rPr>
          <w:sz w:val="22"/>
          <w:szCs w:val="22"/>
          <w:lang w:eastAsia="en-US"/>
        </w:rPr>
      </w:pPr>
      <w:r>
        <w:rPr>
          <w:sz w:val="22"/>
          <w:szCs w:val="22"/>
          <w:lang w:eastAsia="en-US"/>
        </w:rPr>
        <w:t>le décret N° 2006- 590/PRES/PM/MAHRH/MECV/MRA du 6 décembre 2006 portant protection des écosystèmes aquatiques.</w:t>
      </w:r>
    </w:p>
    <w:p>
      <w:pPr>
        <w:pStyle w:val="style0"/>
        <w:rPr>
          <w:lang w:eastAsia="en-US"/>
        </w:rPr>
      </w:pPr>
    </w:p>
    <w:bookmarkStart w:id="101" w:name="_Toc536410651"/>
    <w:bookmarkStart w:id="102" w:name="_Toc686102"/>
    <w:bookmarkStart w:id="103" w:name="_Toc2780484"/>
    <w:p>
      <w:pPr>
        <w:pStyle w:val="style3"/>
        <w:numPr>
          <w:ilvl w:val="0"/>
          <w:numId w:val="0"/>
        </w:numPr>
        <w:ind w:left="644" w:hanging="360"/>
        <w:rPr>
          <w:b/>
          <w:u w:val="none"/>
        </w:rPr>
      </w:pPr>
      <w:r>
        <w:rPr>
          <w:b/>
          <w:u w:val="none"/>
        </w:rPr>
        <w:t xml:space="preserve">4.2.2. </w:t>
      </w:r>
      <w:r>
        <w:rPr>
          <w:b/>
          <w:u w:val="none"/>
        </w:rPr>
        <w:t>Cadre juridique international</w:t>
      </w:r>
      <w:bookmarkEnd w:id="101"/>
      <w:bookmarkEnd w:id="102"/>
      <w:bookmarkEnd w:id="103"/>
    </w:p>
    <w:p>
      <w:pPr>
        <w:pStyle w:val="style0"/>
        <w:jc w:val="both"/>
        <w:rPr>
          <w:rFonts w:eastAsia="Calibri"/>
          <w:sz w:val="22"/>
          <w:szCs w:val="22"/>
          <w:lang w:eastAsia="en-US"/>
        </w:rPr>
      </w:pPr>
      <w:r>
        <w:rPr>
          <w:rFonts w:eastAsia="Calibri"/>
          <w:sz w:val="22"/>
          <w:szCs w:val="22"/>
          <w:lang w:eastAsia="en-US"/>
        </w:rPr>
        <w:t>Le cadre juridique international comprend les conventions internationales en matière d’environnement ainsi que les politiques de sauvegarde environnementale applicables au projet.</w:t>
      </w:r>
    </w:p>
    <w:p>
      <w:pPr>
        <w:pStyle w:val="style0"/>
        <w:jc w:val="both"/>
        <w:rPr>
          <w:rFonts w:eastAsia="Calibri"/>
          <w:sz w:val="22"/>
          <w:szCs w:val="22"/>
          <w:lang w:eastAsia="en-US"/>
        </w:rPr>
      </w:pPr>
    </w:p>
    <w:p>
      <w:pPr>
        <w:pStyle w:val="style157"/>
        <w:rPr>
          <w:rFonts w:ascii="Times New Roman" w:hAnsi="Times New Roman"/>
          <w:b/>
          <w:lang w:val="fr-FR"/>
        </w:rPr>
      </w:pPr>
      <w:r>
        <w:rPr>
          <w:rFonts w:ascii="Times New Roman" w:hAnsi="Times New Roman"/>
          <w:b/>
          <w:lang w:val="fr-FR"/>
        </w:rPr>
        <w:t xml:space="preserve">4.2.2.1. Conventions ratifiées </w:t>
      </w:r>
      <w:r>
        <w:rPr>
          <w:rFonts w:ascii="Times New Roman" w:hAnsi="Times New Roman"/>
          <w:b/>
          <w:lang w:val="fr-FR"/>
        </w:rPr>
        <w:t>par le Burkina aux plans sous-régional, ré</w:t>
      </w:r>
      <w:r>
        <w:rPr>
          <w:rFonts w:ascii="Times New Roman" w:hAnsi="Times New Roman"/>
          <w:b/>
          <w:lang w:val="fr-FR"/>
        </w:rPr>
        <w:t>gional et international</w:t>
      </w:r>
    </w:p>
    <w:p>
      <w:pPr>
        <w:pStyle w:val="style0"/>
        <w:jc w:val="both"/>
        <w:rPr>
          <w:sz w:val="22"/>
          <w:szCs w:val="22"/>
          <w:lang w:eastAsia="en-US"/>
        </w:rPr>
      </w:pPr>
      <w:r>
        <w:rPr>
          <w:sz w:val="22"/>
          <w:szCs w:val="22"/>
          <w:lang w:eastAsia="en-US"/>
        </w:rPr>
        <w:t>Ces conventions internationales sont entre autres</w:t>
      </w:r>
      <w:r>
        <w:rPr>
          <w:sz w:val="22"/>
          <w:szCs w:val="22"/>
          <w:lang w:eastAsia="en-US"/>
        </w:rPr>
        <w:t xml:space="preserve"> </w:t>
      </w:r>
      <w:r>
        <w:rPr>
          <w:sz w:val="22"/>
          <w:szCs w:val="22"/>
          <w:lang w:eastAsia="en-US"/>
        </w:rPr>
        <w:t>:</w:t>
      </w:r>
    </w:p>
    <w:p>
      <w:pPr>
        <w:pStyle w:val="style0"/>
        <w:numPr>
          <w:ilvl w:val="0"/>
          <w:numId w:val="38"/>
        </w:numPr>
        <w:jc w:val="both"/>
        <w:contextualSpacing/>
        <w:rPr>
          <w:rFonts w:eastAsia="Calibri"/>
          <w:sz w:val="22"/>
          <w:szCs w:val="22"/>
          <w:lang w:eastAsia="en-US"/>
        </w:rPr>
      </w:pPr>
      <w:r>
        <w:rPr>
          <w:rFonts w:eastAsia="Calibri"/>
          <w:sz w:val="22"/>
          <w:szCs w:val="22"/>
          <w:lang w:eastAsia="en-US"/>
        </w:rPr>
        <w:t xml:space="preserve">la Convention de RAMSAR portant sur les zones humides d’importance internationale particulièrement comme habitats des oiseaux d’eau, ratifiée par la </w:t>
      </w:r>
      <w:r>
        <w:rPr>
          <w:rFonts w:eastAsia="Calibri"/>
          <w:sz w:val="22"/>
          <w:szCs w:val="22"/>
          <w:lang w:eastAsia="en-US"/>
        </w:rPr>
        <w:t>Z</w:t>
      </w:r>
      <w:r>
        <w:rPr>
          <w:rFonts w:eastAsia="Calibri"/>
          <w:sz w:val="22"/>
          <w:szCs w:val="22"/>
          <w:lang w:eastAsia="en-US"/>
        </w:rPr>
        <w:t>atu AN VII-02 du 23 Août 1989 ;</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des Nations Unies sur la Diversité Biologique ratifiée par décret 93-292 RU du 20 Septembre 1993;</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Africaine sur la conservation de la nature et des ressources naturelles (convention dite d’Alger) ratifiée par décret N°68-227 du 23 Novembre 1968 ;</w:t>
      </w:r>
    </w:p>
    <w:p>
      <w:pPr>
        <w:pStyle w:val="style0"/>
        <w:numPr>
          <w:ilvl w:val="0"/>
          <w:numId w:val="38"/>
        </w:numPr>
        <w:jc w:val="both"/>
        <w:contextualSpacing/>
        <w:rPr>
          <w:rFonts w:eastAsia="Calibri"/>
          <w:sz w:val="22"/>
          <w:szCs w:val="22"/>
          <w:lang w:eastAsia="en-US"/>
        </w:rPr>
      </w:pPr>
      <w:r>
        <w:rPr>
          <w:rFonts w:eastAsia="Calibri"/>
          <w:sz w:val="22"/>
          <w:szCs w:val="22"/>
          <w:lang w:eastAsia="en-US"/>
        </w:rPr>
        <w:t xml:space="preserve">la Convention sur le Commerce International des Espèces de faune et de Flore menacées d’extinction (CITES) ratifiée par la Zatu AN-02 du 23 Août 1989; </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 Stockholm sur les polluants organiques persistants, ratifiée par décret N° 2004-300 du 20 Juillet 2004;</w:t>
      </w:r>
    </w:p>
    <w:p>
      <w:pPr>
        <w:pStyle w:val="style0"/>
        <w:numPr>
          <w:ilvl w:val="0"/>
          <w:numId w:val="38"/>
        </w:numPr>
        <w:jc w:val="both"/>
        <w:contextualSpacing/>
        <w:rPr>
          <w:rFonts w:eastAsia="Calibri"/>
          <w:sz w:val="22"/>
          <w:szCs w:val="22"/>
          <w:lang w:eastAsia="en-US"/>
        </w:rPr>
      </w:pPr>
      <w:r>
        <w:rPr>
          <w:rFonts w:eastAsia="Calibri"/>
          <w:sz w:val="22"/>
          <w:szCs w:val="22"/>
          <w:lang w:eastAsia="en-US"/>
        </w:rPr>
        <w:t>la 4ème Convention de Lomé sur les pratiques culturales préjudiciables à l’environnement</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Convention-Cadre des Nations Unies sur les Changements Climatiques ratifiée par Décret 93-287 RU du 20 Septembre 1993 ;</w:t>
      </w:r>
    </w:p>
    <w:p>
      <w:pPr>
        <w:pStyle w:val="style0"/>
        <w:numPr>
          <w:ilvl w:val="0"/>
          <w:numId w:val="38"/>
        </w:numPr>
        <w:jc w:val="both"/>
        <w:contextualSpacing/>
        <w:rPr>
          <w:rFonts w:eastAsia="Calibri"/>
          <w:sz w:val="22"/>
          <w:szCs w:val="22"/>
          <w:lang w:eastAsia="en-US"/>
        </w:rPr>
      </w:pPr>
      <w:r>
        <w:rPr>
          <w:rFonts w:eastAsia="Calibri"/>
          <w:sz w:val="22"/>
          <w:szCs w:val="22"/>
          <w:lang w:eastAsia="en-US"/>
        </w:rPr>
        <w:t>Protocole de Kyoto à la Convention-Cadre des Nations Unies sur les Changements Climatiques, ratifiée par Décret N°2004-536/PRES/PM/MAECR/MECV/MFB du 23 Novembre 2004 ;</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des Nations Unies sur la lutte contre la désertification dans les pays gravement touchés par la sécheresse et/ou la désertification, en particulier en Afrique ratifiée  par Décret 95-569 RU du 29 Décembre 1995;</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 Rotterdam sur la Procédure de Consentement Préalable en connaissance de cause applicable à certains produits chimiques et pesticides dangereux qui font l'objet du commerce international ratifiée par Décret 2002-294 du 02 Août 2002;</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 Bonn sur la conservation des espèces migratrices appartenant à la faune sauvage ratifiée par Zatu AN VI-012 du 23 Août 1989;</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pour la protection du patrimoine mondial, culturel et naturel ;</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 Bâles sur le contrôle des mouvements transfrontières de déchets dangereux et de leur élimination ratifiée par Décret 98-424 du 05 Octobre 1998;</w:t>
      </w:r>
    </w:p>
    <w:p>
      <w:pPr>
        <w:pStyle w:val="style0"/>
        <w:numPr>
          <w:ilvl w:val="0"/>
          <w:numId w:val="38"/>
        </w:numPr>
        <w:jc w:val="both"/>
        <w:contextualSpacing/>
        <w:rPr>
          <w:rFonts w:eastAsia="Calibri"/>
          <w:sz w:val="22"/>
          <w:szCs w:val="22"/>
          <w:lang w:eastAsia="en-US"/>
        </w:rPr>
      </w:pPr>
      <w:r>
        <w:rPr>
          <w:rFonts w:eastAsia="Calibri"/>
          <w:sz w:val="22"/>
          <w:szCs w:val="22"/>
          <w:lang w:eastAsia="en-US"/>
        </w:rPr>
        <w:t>la Convention de Vienne pour la protection de la couche d’Ozone et le Protocole de Montréal relatif à des substances qui appauvrissent la couche d’ozone, ratifiée par Zatu 86-016 du 05 Mars 1986 et par Zatu AN VI-021 du 13 Janvier 1989;</w:t>
      </w:r>
    </w:p>
    <w:p>
      <w:pPr>
        <w:pStyle w:val="style0"/>
        <w:numPr>
          <w:ilvl w:val="0"/>
          <w:numId w:val="38"/>
        </w:numPr>
        <w:jc w:val="both"/>
        <w:contextualSpacing/>
        <w:rPr>
          <w:rFonts w:eastAsia="Calibri"/>
          <w:sz w:val="22"/>
          <w:szCs w:val="22"/>
          <w:lang w:eastAsia="en-US"/>
        </w:rPr>
      </w:pPr>
      <w:r>
        <w:rPr>
          <w:rFonts w:eastAsia="Calibri"/>
          <w:sz w:val="22"/>
          <w:szCs w:val="22"/>
          <w:lang w:eastAsia="en-US"/>
        </w:rPr>
        <w:t>l</w:t>
      </w:r>
      <w:r>
        <w:rPr>
          <w:rFonts w:eastAsia="Calibri"/>
          <w:sz w:val="22"/>
          <w:szCs w:val="22"/>
          <w:lang w:eastAsia="en-US"/>
        </w:rPr>
        <w:t xml:space="preserve">a Convention  </w:t>
      </w:r>
      <w:r>
        <w:rPr>
          <w:rFonts w:eastAsia="Calibri"/>
          <w:sz w:val="22"/>
          <w:szCs w:val="22"/>
          <w:lang w:eastAsia="en-US"/>
        </w:rPr>
        <w:t xml:space="preserve">de Paris (1972) </w:t>
      </w:r>
      <w:r>
        <w:rPr>
          <w:rFonts w:eastAsia="Calibri"/>
          <w:sz w:val="22"/>
          <w:szCs w:val="22"/>
          <w:lang w:eastAsia="en-US"/>
        </w:rPr>
        <w:t>portant  protection  du  patrimoine  mondial  culturel  et</w:t>
      </w:r>
      <w:r>
        <w:rPr>
          <w:rFonts w:eastAsia="Calibri"/>
          <w:sz w:val="22"/>
          <w:szCs w:val="22"/>
          <w:lang w:eastAsia="en-US"/>
        </w:rPr>
        <w:t xml:space="preserve"> </w:t>
      </w:r>
      <w:r>
        <w:rPr>
          <w:rFonts w:eastAsia="Calibri"/>
          <w:noProof/>
          <w:sz w:val="22"/>
          <w:szCs w:val="22"/>
        </w:rPr>
        <mc:AlternateContent>
          <mc:Choice Requires="wps">
            <w:drawing>
              <wp:anchor distT="0" distB="0" distL="0" distR="0" simplePos="false" relativeHeight="12" behindDoc="true" locked="false" layoutInCell="false" allowOverlap="true">
                <wp:simplePos x="0" y="0"/>
                <wp:positionH relativeFrom="page">
                  <wp:posOffset>899794</wp:posOffset>
                </wp:positionH>
                <wp:positionV relativeFrom="paragraph">
                  <wp:posOffset>1919605</wp:posOffset>
                </wp:positionV>
                <wp:extent cx="1828800" cy="0"/>
                <wp:effectExtent l="13970" t="14605" r="14605" b="13970"/>
                <wp:wrapNone/>
                <wp:docPr id="1030" name="Freeform 1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0"/>
                        </a:xfrm>
                        <a:custGeom>
                          <a:avLst/>
                          <a:gdLst/>
                          <a:ahLst/>
                          <a:rect l="l" t="t" r="r" b="b"/>
                          <a:pathLst>
                            <a:path w="2880" h="0" stroke="1">
                              <a:moveTo>
                                <a:pt x="0" y="0"/>
                              </a:moveTo>
                              <a:lnTo>
                                <a:pt x="2880" y="0"/>
                              </a:lnTo>
                            </a:path>
                          </a:pathLst>
                        </a:custGeom>
                        <a:ln cmpd="sng" cap="flat" w="10413">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coordsize="2880,0" path="m0,0l2880,0e" filled="f" stroked="t" style="position:absolute;margin-left:70.85pt;margin-top:151.15pt;width:144.0pt;height:0.0pt;z-index:-2147483635;mso-position-horizontal-relative:page;mso-position-vertical-relative:text;mso-width-percent:0;mso-height-percent:0;mso-width-relative:page;mso-height-relative:page;mso-wrap-distance-left:0.0pt;mso-wrap-distance-right:0.0pt;visibility:visible;" o:allowincell="false">
                <v:stroke weight="0.82pt"/>
                <v:fill/>
                <v:path textboxrect="0,0,2880,0" o:connectlocs="0,0;2880,0"/>
              </v:shape>
            </w:pict>
          </mc:Fallback>
        </mc:AlternateContent>
      </w:r>
      <w:r>
        <w:rPr>
          <w:rFonts w:eastAsia="Calibri"/>
          <w:sz w:val="22"/>
          <w:szCs w:val="22"/>
          <w:lang w:eastAsia="en-US"/>
        </w:rPr>
        <w:t>naturel.</w:t>
      </w:r>
    </w:p>
    <w:p>
      <w:pPr>
        <w:pStyle w:val="style0"/>
        <w:rPr>
          <w:b/>
          <w:sz w:val="22"/>
          <w:szCs w:val="22"/>
        </w:rPr>
      </w:pPr>
    </w:p>
    <w:p>
      <w:pPr>
        <w:pStyle w:val="style0"/>
        <w:jc w:val="both"/>
        <w:rPr>
          <w:rFonts w:eastAsia="Calibri"/>
          <w:sz w:val="22"/>
          <w:szCs w:val="22"/>
          <w:lang w:eastAsia="en-US"/>
        </w:rPr>
      </w:pPr>
      <w:r>
        <w:rPr>
          <w:rFonts w:eastAsia="Calibri"/>
          <w:sz w:val="22"/>
          <w:szCs w:val="22"/>
          <w:lang w:eastAsia="en-US"/>
        </w:rPr>
        <w:t>Ces conventions internationales signées et/ou ratifiées par le Burkina Faso participent d’une manière ou d’une autre de l’encadrement sur le plan environnemental des activités du projet.</w:t>
      </w:r>
    </w:p>
    <w:p>
      <w:pPr>
        <w:pStyle w:val="style0"/>
        <w:jc w:val="both"/>
        <w:rPr>
          <w:rFonts w:eastAsia="Calibri"/>
          <w:sz w:val="22"/>
          <w:szCs w:val="22"/>
          <w:lang w:eastAsia="en-US"/>
        </w:rPr>
      </w:pPr>
    </w:p>
    <w:p>
      <w:pPr>
        <w:pStyle w:val="style157"/>
        <w:rPr>
          <w:rFonts w:ascii="Times New Roman" w:hAnsi="Times New Roman"/>
          <w:b/>
          <w:lang w:val="fr-FR"/>
        </w:rPr>
      </w:pPr>
      <w:r>
        <w:rPr>
          <w:rFonts w:ascii="Times New Roman" w:hAnsi="Times New Roman"/>
          <w:b/>
          <w:lang w:val="fr-FR"/>
        </w:rPr>
        <w:t xml:space="preserve">4.2.2.2. </w:t>
      </w:r>
      <w:r>
        <w:rPr>
          <w:rFonts w:ascii="Times New Roman" w:hAnsi="Times New Roman"/>
          <w:b/>
          <w:lang w:val="fr-FR"/>
        </w:rPr>
        <w:t>P</w:t>
      </w:r>
      <w:r>
        <w:rPr>
          <w:rFonts w:ascii="Times New Roman" w:hAnsi="Times New Roman"/>
          <w:b/>
          <w:lang w:val="fr-FR"/>
        </w:rPr>
        <w:t xml:space="preserve">olitiques de sauvegardes environnementales applicables au </w:t>
      </w:r>
      <w:r>
        <w:rPr>
          <w:rFonts w:ascii="Times New Roman" w:hAnsi="Times New Roman"/>
          <w:b/>
          <w:lang w:val="fr-FR"/>
        </w:rPr>
        <w:t>Programme</w:t>
      </w:r>
    </w:p>
    <w:p>
      <w:pPr>
        <w:pStyle w:val="style0"/>
        <w:jc w:val="both"/>
        <w:rPr>
          <w:rFonts w:eastAsia="Calibri"/>
          <w:sz w:val="22"/>
          <w:szCs w:val="22"/>
          <w:lang w:eastAsia="en-US"/>
        </w:rPr>
      </w:pPr>
      <w:r>
        <w:rPr>
          <w:rFonts w:eastAsia="Calibri"/>
          <w:sz w:val="22"/>
          <w:szCs w:val="22"/>
          <w:lang w:eastAsia="en-US"/>
        </w:rPr>
        <w:t>Un aspect important de l’approche de la Banque mondiale en matière de financement des projets</w:t>
      </w:r>
      <w:r>
        <w:rPr>
          <w:rFonts w:eastAsia="Calibri"/>
          <w:sz w:val="22"/>
          <w:szCs w:val="22"/>
          <w:lang w:eastAsia="en-US"/>
        </w:rPr>
        <w:t xml:space="preserve"> et programmes</w:t>
      </w:r>
      <w:r>
        <w:rPr>
          <w:rFonts w:eastAsia="Calibri"/>
          <w:sz w:val="22"/>
          <w:szCs w:val="22"/>
          <w:lang w:eastAsia="en-US"/>
        </w:rPr>
        <w:t xml:space="preserve"> d’investissement est de s’assurer que les populations et l’environnement sont bien protégés. Cette approche est mise en œuvre par le biais de politiques de sauvegardes environnementales et sociales qui permettent d’identifier, éviter et minimiser les dommages potentiels qui pourraient être causés à </w:t>
      </w:r>
      <w:r>
        <w:rPr>
          <w:rFonts w:eastAsia="Calibri"/>
          <w:sz w:val="22"/>
          <w:szCs w:val="22"/>
          <w:lang w:eastAsia="en-US"/>
        </w:rPr>
        <w:t>l’environnement et aux populations</w:t>
      </w:r>
      <w:r>
        <w:rPr>
          <w:rFonts w:eastAsia="Calibri"/>
          <w:sz w:val="22"/>
          <w:szCs w:val="22"/>
          <w:lang w:eastAsia="en-US"/>
        </w:rPr>
        <w:t>. Aussi, ces politiques exigent</w:t>
      </w:r>
      <w:r>
        <w:rPr>
          <w:rFonts w:eastAsia="Calibri"/>
          <w:sz w:val="22"/>
          <w:szCs w:val="22"/>
          <w:lang w:eastAsia="en-US"/>
        </w:rPr>
        <w:t>-elles</w:t>
      </w:r>
      <w:r>
        <w:rPr>
          <w:rFonts w:eastAsia="Calibri"/>
          <w:sz w:val="22"/>
          <w:szCs w:val="22"/>
          <w:lang w:eastAsia="en-US"/>
        </w:rPr>
        <w:t xml:space="preserve"> que certains </w:t>
      </w:r>
      <w:r>
        <w:rPr>
          <w:rFonts w:eastAsia="Calibri"/>
          <w:sz w:val="22"/>
          <w:szCs w:val="22"/>
          <w:lang w:eastAsia="en-US"/>
        </w:rPr>
        <w:t xml:space="preserve">impacts et </w:t>
      </w:r>
      <w:r>
        <w:rPr>
          <w:rFonts w:eastAsia="Calibri"/>
          <w:sz w:val="22"/>
          <w:szCs w:val="22"/>
          <w:lang w:eastAsia="en-US"/>
        </w:rPr>
        <w:t xml:space="preserve">risques </w:t>
      </w:r>
      <w:r>
        <w:rPr>
          <w:rFonts w:eastAsia="Calibri"/>
          <w:sz w:val="22"/>
          <w:szCs w:val="22"/>
          <w:u w:val="single"/>
          <w:lang w:eastAsia="en-US"/>
        </w:rPr>
        <w:t>environnementaux et sociaux soi</w:t>
      </w:r>
      <w:r>
        <w:rPr>
          <w:rFonts w:eastAsia="Calibri"/>
          <w:sz w:val="22"/>
          <w:szCs w:val="22"/>
          <w:lang w:eastAsia="en-US"/>
        </w:rPr>
        <w:t>e</w:t>
      </w:r>
      <w:r>
        <w:rPr>
          <w:rFonts w:eastAsia="Calibri"/>
          <w:sz w:val="22"/>
          <w:szCs w:val="22"/>
          <w:lang w:eastAsia="en-US"/>
        </w:rPr>
        <w:t>nt</w:t>
      </w:r>
      <w:r>
        <w:rPr>
          <w:rFonts w:eastAsia="Calibri"/>
          <w:sz w:val="22"/>
          <w:szCs w:val="22"/>
          <w:lang w:eastAsia="en-US"/>
        </w:rPr>
        <w:t xml:space="preserve"> traités avant que le pays emprunteur ne reçoive l’appui de la Banque mondiale pour tout projet d’investissement.</w:t>
      </w:r>
    </w:p>
    <w:p>
      <w:pPr>
        <w:pStyle w:val="style0"/>
        <w:jc w:val="both"/>
        <w:rPr>
          <w:rFonts w:eastAsia="Calibri"/>
          <w:sz w:val="22"/>
          <w:szCs w:val="22"/>
          <w:lang w:eastAsia="en-US"/>
        </w:rPr>
      </w:pPr>
    </w:p>
    <w:p>
      <w:pPr>
        <w:pStyle w:val="style0"/>
        <w:spacing w:after="52"/>
        <w:jc w:val="both"/>
        <w:rPr>
          <w:color w:val="000000"/>
          <w:sz w:val="22"/>
          <w:szCs w:val="22"/>
        </w:rPr>
      </w:pPr>
      <w:r>
        <w:rPr>
          <w:color w:val="000000"/>
          <w:sz w:val="22"/>
          <w:szCs w:val="22"/>
        </w:rPr>
        <w:t>Par la nature, les caractéristiques et l’envergure des travaux envisagés dans le cadre de l’exécution du Programme de Développement et de Compétitivité Agricole (PDCA), le programme s’est vu classé en catégorie « A » selon les critères de catégorisation environnementale et sociale de la Banque mondiale et sept (7) politiques opérationnelles de sauvegardes environnementales et sociales sont déclenchées à savoir : (i) PO 4.01« Evaluation Environnementale »; (ii)PO 4.09</w:t>
      </w:r>
      <w:r>
        <w:rPr>
          <w:color w:val="000000"/>
          <w:sz w:val="22"/>
          <w:szCs w:val="22"/>
        </w:rPr>
        <w:t xml:space="preserve"> </w:t>
      </w:r>
      <w:r>
        <w:rPr>
          <w:color w:val="000000"/>
          <w:sz w:val="22"/>
          <w:szCs w:val="22"/>
        </w:rPr>
        <w:t>« Gestion des pestes » ; (iii) PO 4.04</w:t>
      </w:r>
      <w:r>
        <w:rPr>
          <w:color w:val="000000"/>
          <w:sz w:val="22"/>
          <w:szCs w:val="22"/>
        </w:rPr>
        <w:t xml:space="preserve"> </w:t>
      </w:r>
      <w:r>
        <w:rPr>
          <w:color w:val="000000"/>
          <w:sz w:val="22"/>
          <w:szCs w:val="22"/>
        </w:rPr>
        <w:t xml:space="preserve">« Habitats Naturels »; (iv) PO 4.11 « Ressources culturelles physiques », (v) PO 4.37 « Sécurité des barrages » ,(vi) PO 4.12 « Réinstallation Involontaire » et (vii) OP 7.50« Projets sur les voies d’eaux internationales ». </w:t>
      </w:r>
    </w:p>
    <w:p>
      <w:pPr>
        <w:pStyle w:val="style0"/>
        <w:widowControl w:val="false"/>
        <w:shd w:val="clear" w:color="auto" w:fill="ffffff"/>
        <w:autoSpaceDE w:val="false"/>
        <w:autoSpaceDN w:val="false"/>
        <w:adjustRightInd w:val="false"/>
        <w:spacing w:before="5" w:lineRule="exact" w:line="274"/>
        <w:ind w:left="62" w:hanging="10"/>
        <w:jc w:val="both"/>
        <w:rPr>
          <w:color w:val="000000"/>
          <w:sz w:val="22"/>
          <w:szCs w:val="22"/>
        </w:rPr>
      </w:pPr>
    </w:p>
    <w:p>
      <w:pPr>
        <w:pStyle w:val="style0"/>
        <w:widowControl w:val="false"/>
        <w:shd w:val="clear" w:color="auto" w:fill="ffffff"/>
        <w:autoSpaceDE w:val="false"/>
        <w:autoSpaceDN w:val="false"/>
        <w:adjustRightInd w:val="false"/>
        <w:spacing w:before="5" w:lineRule="exact" w:line="274"/>
        <w:ind w:left="62" w:hanging="10"/>
        <w:jc w:val="both"/>
        <w:rPr>
          <w:color w:val="000000"/>
          <w:sz w:val="22"/>
          <w:szCs w:val="22"/>
        </w:rPr>
      </w:pPr>
      <w:r>
        <w:rPr>
          <w:color w:val="000000"/>
          <w:sz w:val="22"/>
          <w:szCs w:val="22"/>
        </w:rPr>
        <w:t>En conséquence, le Gouvernement se doit de préparer les instruments de sauvegardes suivants : (i) un Cadre de Gestion Environnementale et Sociale (CGES), (ii) un Plan de Gestion des Pestes (PGP), (iii) un Cadre de Politique de Réinstallation (CPR), (iv)</w:t>
      </w:r>
      <w:r>
        <w:rPr>
          <w:color w:val="000000"/>
          <w:sz w:val="22"/>
          <w:szCs w:val="22"/>
        </w:rPr>
        <w:t xml:space="preserve"> </w:t>
      </w:r>
      <w:r>
        <w:rPr>
          <w:color w:val="000000"/>
          <w:sz w:val="22"/>
          <w:szCs w:val="22"/>
        </w:rPr>
        <w:t xml:space="preserve">une (01) Etude d’Impact Environnemental </w:t>
      </w:r>
      <w:r>
        <w:rPr>
          <w:color w:val="000000"/>
          <w:sz w:val="22"/>
          <w:szCs w:val="22"/>
        </w:rPr>
        <w:t xml:space="preserve">et </w:t>
      </w:r>
      <w:r>
        <w:rPr>
          <w:color w:val="000000"/>
          <w:sz w:val="22"/>
          <w:szCs w:val="22"/>
        </w:rPr>
        <w:t>Social (EIES) et un (01) Plan d’Action de Réinstallation (PAR) pour l’aménagement/réhabilitation de la plaine de Banzon</w:t>
      </w:r>
      <w:r>
        <w:rPr>
          <w:color w:val="000000"/>
          <w:sz w:val="22"/>
          <w:szCs w:val="22"/>
        </w:rPr>
        <w:t xml:space="preserve">. </w:t>
      </w:r>
    </w:p>
    <w:p>
      <w:pPr>
        <w:pStyle w:val="style0"/>
        <w:widowControl w:val="false"/>
        <w:shd w:val="clear" w:color="auto" w:fill="ffffff"/>
        <w:autoSpaceDE w:val="false"/>
        <w:autoSpaceDN w:val="false"/>
        <w:adjustRightInd w:val="false"/>
        <w:spacing w:before="5" w:lineRule="exact" w:line="274"/>
        <w:ind w:left="62" w:hanging="10"/>
        <w:jc w:val="both"/>
        <w:rPr>
          <w:color w:val="000000"/>
          <w:sz w:val="22"/>
          <w:szCs w:val="22"/>
        </w:rPr>
      </w:pPr>
    </w:p>
    <w:p>
      <w:pPr>
        <w:pStyle w:val="style0"/>
        <w:jc w:val="both"/>
        <w:rPr>
          <w:rFonts w:eastAsia="Calibri"/>
          <w:sz w:val="22"/>
          <w:szCs w:val="22"/>
          <w:lang w:eastAsia="en-US"/>
        </w:rPr>
      </w:pPr>
      <w:r>
        <w:rPr>
          <w:rFonts w:eastAsia="Calibri"/>
          <w:sz w:val="22"/>
          <w:szCs w:val="22"/>
          <w:lang w:eastAsia="en-US"/>
        </w:rPr>
        <w:t xml:space="preserve">Ces instruments devront être élaborés, revus et validés autant par la Banque </w:t>
      </w:r>
      <w:r>
        <w:rPr>
          <w:rFonts w:eastAsia="Calibri"/>
          <w:sz w:val="22"/>
          <w:szCs w:val="22"/>
          <w:lang w:eastAsia="en-US"/>
        </w:rPr>
        <w:t>m</w:t>
      </w:r>
      <w:r>
        <w:rPr>
          <w:rFonts w:eastAsia="Calibri"/>
          <w:sz w:val="22"/>
          <w:szCs w:val="22"/>
          <w:lang w:eastAsia="en-US"/>
        </w:rPr>
        <w:t xml:space="preserve">ondiale </w:t>
      </w:r>
      <w:r>
        <w:rPr>
          <w:rFonts w:eastAsia="Calibri"/>
          <w:sz w:val="22"/>
          <w:szCs w:val="22"/>
          <w:lang w:eastAsia="en-US"/>
        </w:rPr>
        <w:t xml:space="preserve">que par le Gouvernement du Burkina Faso, notamment le Bureau National des Évaluations environnementales (BUNEE), conformément au Code de l’Environnement. Ils seront ensuite divulgués au niveau national ainsi que sur le site Web de la Banque </w:t>
      </w:r>
      <w:r>
        <w:rPr>
          <w:rFonts w:eastAsia="Calibri"/>
          <w:sz w:val="22"/>
          <w:szCs w:val="22"/>
          <w:lang w:eastAsia="en-US"/>
        </w:rPr>
        <w:t>mondiale</w:t>
      </w:r>
      <w:r>
        <w:rPr>
          <w:rFonts w:eastAsia="Calibri"/>
          <w:sz w:val="22"/>
          <w:szCs w:val="22"/>
          <w:lang w:eastAsia="en-US"/>
        </w:rPr>
        <w:t>.</w:t>
      </w:r>
    </w:p>
    <w:p>
      <w:pPr>
        <w:pStyle w:val="style0"/>
        <w:jc w:val="both"/>
        <w:rPr>
          <w:rFonts w:eastAsia="Calibri"/>
          <w:sz w:val="22"/>
          <w:szCs w:val="22"/>
          <w:lang w:eastAsia="en-US"/>
        </w:rPr>
      </w:pPr>
    </w:p>
    <w:p>
      <w:pPr>
        <w:pStyle w:val="style0"/>
        <w:jc w:val="both"/>
        <w:rPr>
          <w:rFonts w:eastAsia="Calibri"/>
          <w:sz w:val="22"/>
          <w:szCs w:val="22"/>
          <w:lang w:eastAsia="en-US"/>
        </w:rPr>
      </w:pPr>
    </w:p>
    <w:p>
      <w:pPr>
        <w:pStyle w:val="style0"/>
        <w:rPr>
          <w:rFonts w:eastAsia="Calibri"/>
          <w:sz w:val="22"/>
          <w:szCs w:val="22"/>
          <w:lang w:eastAsia="en-US"/>
        </w:rPr>
      </w:pPr>
      <w:r>
        <w:rPr>
          <w:rFonts w:eastAsia="Calibri"/>
          <w:sz w:val="22"/>
          <w:szCs w:val="22"/>
          <w:lang w:eastAsia="en-US"/>
        </w:rPr>
        <w:br w:type="page"/>
      </w:r>
    </w:p>
    <w:p>
      <w:pPr>
        <w:pStyle w:val="style0"/>
        <w:jc w:val="both"/>
        <w:rPr>
          <w:rFonts w:eastAsia="Calibri"/>
          <w:sz w:val="22"/>
          <w:szCs w:val="22"/>
          <w:lang w:eastAsia="en-US"/>
        </w:rPr>
      </w:pPr>
      <w:r>
        <w:rPr>
          <w:rFonts w:eastAsia="Calibri"/>
          <w:sz w:val="22"/>
          <w:szCs w:val="22"/>
          <w:lang w:eastAsia="en-US"/>
        </w:rPr>
        <w:t xml:space="preserve">Le tableau suivant fait la synthèse des principales conventions applicables </w:t>
      </w:r>
      <w:r>
        <w:rPr>
          <w:rFonts w:eastAsia="Calibri"/>
          <w:sz w:val="22"/>
          <w:szCs w:val="22"/>
          <w:lang w:eastAsia="en-US"/>
        </w:rPr>
        <w:t>au Programme</w:t>
      </w:r>
      <w:r>
        <w:rPr>
          <w:rFonts w:eastAsia="Calibri"/>
          <w:sz w:val="22"/>
          <w:szCs w:val="22"/>
          <w:lang w:eastAsia="en-US"/>
        </w:rPr>
        <w:t>.</w:t>
      </w:r>
    </w:p>
    <w:p>
      <w:pPr>
        <w:pStyle w:val="style0"/>
        <w:jc w:val="both"/>
        <w:rPr>
          <w:rFonts w:eastAsia="Calibri"/>
          <w:sz w:val="22"/>
          <w:szCs w:val="22"/>
          <w:lang w:eastAsia="en-US"/>
        </w:rPr>
      </w:pPr>
    </w:p>
    <w:bookmarkStart w:id="104" w:name="_Toc2780537"/>
    <w:p>
      <w:pPr>
        <w:pStyle w:val="style34"/>
        <w:keepNext/>
        <w:jc w:val="left"/>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3</w:t>
      </w:r>
      <w:r>
        <w:rPr>
          <w:color w:val="auto"/>
          <w:sz w:val="20"/>
          <w:szCs w:val="20"/>
        </w:rPr>
        <w:fldChar w:fldCharType="end"/>
      </w:r>
      <w:r>
        <w:rPr>
          <w:color w:val="auto"/>
          <w:sz w:val="20"/>
          <w:szCs w:val="20"/>
        </w:rPr>
        <w:t>: Principales conventions intéressant le programme</w:t>
      </w:r>
      <w:bookmarkEnd w:id="104"/>
    </w:p>
    <w:p>
      <w:pPr>
        <w:pStyle w:val="style34"/>
        <w:jc w:val="left"/>
        <w:rPr>
          <w:color w:val="auto"/>
          <w:sz w:val="20"/>
          <w:szCs w:val="20"/>
        </w:rPr>
      </w:pPr>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6252"/>
        <w:gridCol w:w="1094"/>
      </w:tblGrid>
      <w:tr>
        <w:trPr>
          <w:trHeight w:val="555" w:hRule="atLeast"/>
          <w:tblHeader/>
          <w:jc w:val="center"/>
        </w:trPr>
        <w:tc>
          <w:tcPr>
            <w:tcW w:w="1135" w:type="pct"/>
            <w:tcBorders>
              <w:top w:val="single" w:sz="4" w:space="0" w:color="auto"/>
              <w:left w:val="single" w:sz="4" w:space="0" w:color="auto"/>
              <w:bottom w:val="single" w:sz="4" w:space="0" w:color="auto"/>
              <w:right w:val="single" w:sz="4" w:space="0" w:color="auto"/>
            </w:tcBorders>
            <w:shd w:val="clear" w:color="auto" w:fill="bfbfbf"/>
            <w:vAlign w:val="center"/>
            <w:hideMark/>
          </w:tcPr>
          <w:p>
            <w:pPr>
              <w:pStyle w:val="style0"/>
              <w:spacing w:lineRule="auto" w:line="276"/>
              <w:jc w:val="center"/>
              <w:rPr>
                <w:rFonts w:eastAsia="Batang"/>
                <w:b/>
                <w:sz w:val="20"/>
                <w:szCs w:val="22"/>
                <w:lang w:eastAsia="en-US"/>
              </w:rPr>
            </w:pPr>
            <w:r>
              <w:rPr>
                <w:rFonts w:eastAsia="Batang"/>
                <w:b/>
                <w:sz w:val="20"/>
                <w:szCs w:val="22"/>
                <w:lang w:eastAsia="en-US"/>
              </w:rPr>
              <w:t>Intitulé de la convention</w:t>
            </w:r>
          </w:p>
        </w:tc>
        <w:tc>
          <w:tcPr>
            <w:tcW w:w="3289" w:type="pct"/>
            <w:tcBorders>
              <w:top w:val="single" w:sz="4" w:space="0" w:color="auto"/>
              <w:left w:val="single" w:sz="4" w:space="0" w:color="auto"/>
              <w:bottom w:val="single" w:sz="4" w:space="0" w:color="auto"/>
              <w:right w:val="single" w:sz="4" w:space="0" w:color="auto"/>
            </w:tcBorders>
            <w:shd w:val="clear" w:color="auto" w:fill="bfbfbf"/>
            <w:vAlign w:val="center"/>
            <w:hideMark/>
          </w:tcPr>
          <w:p>
            <w:pPr>
              <w:pStyle w:val="style0"/>
              <w:spacing w:lineRule="auto" w:line="276"/>
              <w:jc w:val="center"/>
              <w:rPr>
                <w:rFonts w:eastAsia="Batang"/>
                <w:b/>
                <w:sz w:val="20"/>
                <w:szCs w:val="22"/>
                <w:lang w:eastAsia="en-US"/>
              </w:rPr>
            </w:pPr>
            <w:r>
              <w:rPr>
                <w:rFonts w:eastAsia="Batang"/>
                <w:b/>
                <w:sz w:val="20"/>
                <w:szCs w:val="22"/>
                <w:lang w:eastAsia="en-US"/>
              </w:rPr>
              <w:t>Liens possibles avec le pro</w:t>
            </w:r>
            <w:r>
              <w:rPr>
                <w:rFonts w:eastAsia="Batang"/>
                <w:b/>
                <w:sz w:val="20"/>
                <w:szCs w:val="22"/>
                <w:lang w:eastAsia="en-US"/>
              </w:rPr>
              <w:t>gramme</w:t>
            </w:r>
          </w:p>
        </w:tc>
        <w:tc>
          <w:tcPr>
            <w:tcW w:w="576" w:type="pct"/>
            <w:tcBorders>
              <w:top w:val="single" w:sz="4" w:space="0" w:color="auto"/>
              <w:left w:val="single" w:sz="4" w:space="0" w:color="auto"/>
              <w:bottom w:val="single" w:sz="4" w:space="0" w:color="auto"/>
              <w:right w:val="single" w:sz="4" w:space="0" w:color="auto"/>
            </w:tcBorders>
            <w:shd w:val="clear" w:color="auto" w:fill="bfbfbf"/>
            <w:vAlign w:val="center"/>
            <w:hideMark/>
          </w:tcPr>
          <w:p>
            <w:pPr>
              <w:pStyle w:val="style0"/>
              <w:spacing w:lineRule="auto" w:line="276"/>
              <w:jc w:val="center"/>
              <w:rPr>
                <w:rFonts w:eastAsia="Batang"/>
                <w:b/>
                <w:sz w:val="20"/>
                <w:szCs w:val="22"/>
                <w:lang w:eastAsia="en-US"/>
              </w:rPr>
            </w:pPr>
            <w:r>
              <w:rPr>
                <w:rFonts w:eastAsia="Batang"/>
                <w:b/>
                <w:sz w:val="20"/>
                <w:szCs w:val="22"/>
                <w:lang w:eastAsia="en-US"/>
              </w:rPr>
              <w:t>Date</w:t>
            </w:r>
            <w:r>
              <w:rPr>
                <w:rFonts w:eastAsia="Batang"/>
                <w:b/>
                <w:sz w:val="20"/>
                <w:szCs w:val="22"/>
                <w:lang w:eastAsia="en-US"/>
              </w:rPr>
              <w:br/>
            </w:r>
            <w:r>
              <w:rPr>
                <w:rFonts w:eastAsia="Batang"/>
                <w:b/>
                <w:sz w:val="20"/>
                <w:szCs w:val="22"/>
                <w:lang w:eastAsia="en-US"/>
              </w:rPr>
              <w:t>de ratification</w:t>
            </w:r>
          </w:p>
        </w:tc>
      </w:tr>
      <w:tr>
        <w:tblPrEx/>
        <w:trPr>
          <w:trHeight w:val="2447"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cadre des nations unies sur la diversité biologique</w:t>
            </w:r>
          </w:p>
        </w:tc>
        <w:tc>
          <w:tcPr>
            <w:tcW w:w="3289" w:type="pct"/>
            <w:tcBorders>
              <w:top w:val="single" w:sz="4" w:space="0" w:color="auto"/>
              <w:left w:val="single" w:sz="4" w:space="0" w:color="auto"/>
              <w:bottom w:val="single" w:sz="4" w:space="0" w:color="auto"/>
              <w:right w:val="single" w:sz="4" w:space="0" w:color="auto"/>
            </w:tcBorders>
          </w:tcPr>
          <w:p>
            <w:pPr>
              <w:pStyle w:val="style0"/>
              <w:jc w:val="both"/>
              <w:rPr>
                <w:sz w:val="20"/>
                <w:szCs w:val="22"/>
              </w:rPr>
            </w:pPr>
            <w:r>
              <w:rPr>
                <w:sz w:val="20"/>
                <w:szCs w:val="22"/>
              </w:rPr>
              <w:t xml:space="preserve"> Cette convention dispose en son article 14 alinéa a et b que Chaque Partie contractante à la convention devra, dans la mesure du possible : </w:t>
            </w:r>
          </w:p>
          <w:p>
            <w:pPr>
              <w:pStyle w:val="style0"/>
              <w:jc w:val="both"/>
              <w:rPr>
                <w:sz w:val="20"/>
                <w:szCs w:val="22"/>
              </w:rPr>
            </w:pPr>
            <w:r>
              <w:rPr>
                <w:sz w:val="20"/>
                <w:szCs w:val="22"/>
              </w:rPr>
              <w:t> a) adopter des procédures permettant d’exiger l’évaluation des impacts sur l’environnement des projets qu’elle a proposés et qui sont susceptibles de nuire sensiblement à la diversité biologique en vue d’éviter et de réduire de tels effets, et, s’il y a lieu, permet au public de participer à ces procédures ;</w:t>
            </w:r>
          </w:p>
          <w:p>
            <w:pPr>
              <w:pStyle w:val="style0"/>
              <w:jc w:val="both"/>
              <w:rPr>
                <w:sz w:val="20"/>
                <w:szCs w:val="22"/>
              </w:rPr>
            </w:pPr>
            <w:r>
              <w:rPr>
                <w:sz w:val="20"/>
                <w:szCs w:val="22"/>
              </w:rPr>
              <w:t xml:space="preserve"> b) prend les dispositions voulues pour qu’il soit dûment tenu compte des effets sur l’environnement de ses programmes et politiques susceptibles de nuire sensiblement à la diversité biologique.</w:t>
            </w:r>
          </w:p>
          <w:p>
            <w:pPr>
              <w:pStyle w:val="style0"/>
              <w:jc w:val="both"/>
              <w:rPr>
                <w:sz w:val="20"/>
                <w:szCs w:val="22"/>
              </w:rPr>
            </w:pPr>
          </w:p>
          <w:p>
            <w:pPr>
              <w:pStyle w:val="style0"/>
              <w:jc w:val="both"/>
              <w:rPr>
                <w:sz w:val="20"/>
                <w:szCs w:val="22"/>
              </w:rPr>
            </w:pPr>
            <w:r>
              <w:rPr>
                <w:sz w:val="20"/>
                <w:szCs w:val="22"/>
              </w:rPr>
              <w:t xml:space="preserve">Par ailleurs, le </w:t>
            </w:r>
            <w:r>
              <w:rPr>
                <w:sz w:val="20"/>
                <w:szCs w:val="22"/>
              </w:rPr>
              <w:t>pro</w:t>
            </w:r>
            <w:r>
              <w:rPr>
                <w:sz w:val="20"/>
                <w:szCs w:val="22"/>
              </w:rPr>
              <w:t>gramme</w:t>
            </w:r>
            <w:r>
              <w:rPr>
                <w:sz w:val="20"/>
                <w:szCs w:val="22"/>
              </w:rPr>
              <w:t xml:space="preserve"> </w:t>
            </w:r>
            <w:r>
              <w:rPr>
                <w:sz w:val="20"/>
                <w:szCs w:val="22"/>
              </w:rPr>
              <w:t>s’effectuant sur des espaces assez étendus, la conservation de la biodiversité qui y règne est capitale dans le comportement de tous les jours.</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02-09-1993</w:t>
            </w:r>
          </w:p>
        </w:tc>
      </w:tr>
      <w:tr>
        <w:tblPrEx/>
        <w:trPr>
          <w:trHeight w:val="1122"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both"/>
              <w:rPr>
                <w:rFonts w:eastAsia="Batang"/>
                <w:sz w:val="20"/>
                <w:szCs w:val="22"/>
                <w:lang w:eastAsia="en-US"/>
              </w:rPr>
            </w:pPr>
            <w:r>
              <w:rPr>
                <w:rFonts w:eastAsia="Batang"/>
                <w:sz w:val="20"/>
                <w:szCs w:val="22"/>
                <w:lang w:eastAsia="en-US"/>
              </w:rPr>
              <w:t>Convention internationale sur la lutte contre la désertification dans les pays gravement touchés par la désertification et/ou la sècheresse</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L</w:t>
            </w:r>
            <w:r>
              <w:rPr>
                <w:rFonts w:eastAsia="Batang"/>
                <w:sz w:val="20"/>
                <w:szCs w:val="22"/>
                <w:lang w:eastAsia="en-US"/>
              </w:rPr>
              <w:t xml:space="preserve">es sols dénudés consécutifs à la réalisation des différents aménagements hydroagricoles constituent un facteur favorisant la dégradation des terres. Le PDCA doit envisager la prise de mesures idoines </w:t>
            </w:r>
            <w:r>
              <w:rPr>
                <w:rFonts w:eastAsia="Batang"/>
                <w:sz w:val="20"/>
                <w:szCs w:val="22"/>
                <w:lang w:eastAsia="en-US"/>
              </w:rPr>
              <w:t>(l</w:t>
            </w:r>
            <w:r>
              <w:rPr>
                <w:rFonts w:eastAsia="Batang"/>
                <w:sz w:val="20"/>
                <w:szCs w:val="22"/>
                <w:lang w:eastAsia="en-US"/>
              </w:rPr>
              <w:t>imit</w:t>
            </w:r>
            <w:r>
              <w:rPr>
                <w:rFonts w:eastAsia="Batang"/>
                <w:sz w:val="20"/>
                <w:szCs w:val="22"/>
                <w:lang w:eastAsia="en-US"/>
              </w:rPr>
              <w:t xml:space="preserve">ation des coupes </w:t>
            </w:r>
            <w:r>
              <w:rPr>
                <w:rFonts w:eastAsia="Batang"/>
                <w:sz w:val="20"/>
                <w:szCs w:val="22"/>
                <w:lang w:eastAsia="en-US"/>
              </w:rPr>
              <w:t xml:space="preserve"> aux emprises prévues et </w:t>
            </w:r>
            <w:r>
              <w:rPr>
                <w:rFonts w:eastAsia="Batang"/>
                <w:sz w:val="20"/>
                <w:szCs w:val="22"/>
                <w:lang w:eastAsia="en-US"/>
              </w:rPr>
              <w:t xml:space="preserve">mise en place d’auréoles de protection des ouvrages) </w:t>
            </w:r>
            <w:r>
              <w:rPr>
                <w:rFonts w:eastAsia="Batang"/>
                <w:sz w:val="20"/>
                <w:szCs w:val="22"/>
                <w:lang w:eastAsia="en-US"/>
              </w:rPr>
              <w:t xml:space="preserve"> </w:t>
            </w:r>
            <w:r>
              <w:rPr>
                <w:rFonts w:eastAsia="Batang"/>
                <w:sz w:val="20"/>
                <w:szCs w:val="22"/>
                <w:lang w:eastAsia="en-US"/>
              </w:rPr>
              <w:t xml:space="preserve"> </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26-01-1996</w:t>
            </w:r>
          </w:p>
        </w:tc>
      </w:tr>
      <w:tr>
        <w:tblPrEx/>
        <w:trPr>
          <w:trHeight w:val="1122"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 xml:space="preserve">Convention cadre des Nations Unies sur les Changements Climatiques </w:t>
            </w:r>
          </w:p>
        </w:tc>
        <w:tc>
          <w:tcPr>
            <w:tcW w:w="3289" w:type="pct"/>
            <w:tcBorders>
              <w:top w:val="single" w:sz="4" w:space="0" w:color="auto"/>
              <w:left w:val="single" w:sz="4" w:space="0" w:color="auto"/>
              <w:bottom w:val="single" w:sz="4" w:space="0" w:color="auto"/>
              <w:right w:val="single" w:sz="4" w:space="0" w:color="auto"/>
            </w:tcBorders>
            <w:hideMark/>
          </w:tcPr>
          <w:p>
            <w:pPr>
              <w:pStyle w:val="style0"/>
              <w:spacing w:lineRule="auto" w:line="276"/>
              <w:jc w:val="both"/>
              <w:rPr>
                <w:rFonts w:eastAsia="Batang"/>
                <w:sz w:val="20"/>
                <w:szCs w:val="22"/>
                <w:lang w:eastAsia="en-US"/>
              </w:rPr>
            </w:pPr>
            <w:r>
              <w:rPr>
                <w:rFonts w:eastAsia="Batang"/>
                <w:sz w:val="20"/>
                <w:szCs w:val="22"/>
                <w:lang w:eastAsia="en-US"/>
              </w:rPr>
              <w:t xml:space="preserve">Les activités de barrage étant potentiellement susceptibles de favoriser l’émission de gaz à effet de serre, donc à même de contribuer </w:t>
            </w:r>
            <w:r>
              <w:rPr>
                <w:rFonts w:eastAsia="Batang"/>
                <w:sz w:val="20"/>
                <w:szCs w:val="22"/>
                <w:lang w:eastAsia="en-US"/>
              </w:rPr>
              <w:t>davantage</w:t>
            </w:r>
            <w:r>
              <w:rPr>
                <w:rFonts w:eastAsia="Batang"/>
                <w:sz w:val="20"/>
                <w:szCs w:val="22"/>
                <w:lang w:eastAsia="en-US"/>
              </w:rPr>
              <w:t xml:space="preserve"> à la concentrations de gaz à effet de serre dans l’atmosphère, la convention cité</w:t>
            </w:r>
            <w:r>
              <w:rPr>
                <w:rFonts w:eastAsia="Batang"/>
                <w:sz w:val="20"/>
                <w:szCs w:val="22"/>
                <w:lang w:eastAsia="en-US"/>
              </w:rPr>
              <w:t>e</w:t>
            </w:r>
            <w:r>
              <w:rPr>
                <w:rFonts w:eastAsia="Batang"/>
                <w:sz w:val="20"/>
                <w:szCs w:val="22"/>
                <w:lang w:eastAsia="en-US"/>
              </w:rPr>
              <w:t xml:space="preserve"> a un lien direct avec le </w:t>
            </w:r>
            <w:r>
              <w:rPr>
                <w:rFonts w:eastAsia="Batang"/>
                <w:sz w:val="20"/>
                <w:szCs w:val="22"/>
                <w:lang w:eastAsia="en-US"/>
              </w:rPr>
              <w:t>PDCA</w:t>
            </w:r>
            <w:r>
              <w:rPr>
                <w:rFonts w:eastAsia="Batang"/>
                <w:sz w:val="20"/>
                <w:szCs w:val="22"/>
                <w:lang w:eastAsia="en-US"/>
              </w:rPr>
              <w:t xml:space="preserve"> </w:t>
            </w:r>
            <w:r>
              <w:rPr>
                <w:rFonts w:eastAsia="Batang"/>
                <w:sz w:val="20"/>
                <w:szCs w:val="22"/>
                <w:lang w:eastAsia="en-US"/>
              </w:rPr>
              <w:t xml:space="preserve">et invite à adopter des pratiques visant à empêcher toute perturbation anthropique dangereuse du système climatique. </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02-09-1993</w:t>
            </w:r>
          </w:p>
        </w:tc>
      </w:tr>
      <w:tr>
        <w:tblPrEx/>
        <w:trPr>
          <w:trHeight w:val="1122"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RAMSAR relative aux zones humides d’importance internationale particulièrement comme habitat des oiseaux d’eau.</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autoSpaceDE w:val="false"/>
              <w:autoSpaceDN w:val="false"/>
              <w:adjustRightInd w:val="false"/>
              <w:jc w:val="both"/>
              <w:rPr>
                <w:rFonts w:eastAsia="Batang"/>
                <w:sz w:val="20"/>
                <w:szCs w:val="22"/>
              </w:rPr>
            </w:pPr>
            <w:r>
              <w:rPr>
                <w:rFonts w:eastAsia="Batang"/>
                <w:sz w:val="20"/>
                <w:szCs w:val="22"/>
              </w:rPr>
              <w:t xml:space="preserve">Cette convention vise en autres objectifs à enrayer, </w:t>
            </w:r>
            <w:r>
              <w:rPr>
                <w:rFonts w:eastAsia="Batang"/>
                <w:sz w:val="20"/>
                <w:szCs w:val="22"/>
              </w:rPr>
              <w:t>aujourd’hui</w:t>
            </w:r>
            <w:r>
              <w:rPr>
                <w:rFonts w:eastAsia="Batang"/>
                <w:sz w:val="20"/>
                <w:szCs w:val="22"/>
              </w:rPr>
              <w:t xml:space="preserve"> et dans l’avenir, les empiètements progressifs sur les zones humides et la disparition de ces zones eu égard aux fonctions écologiques fondamentales des zones humides et à leur valeur économique, scientifique, culturelle et récréative.</w:t>
            </w:r>
            <w:r>
              <w:rPr>
                <w:rFonts w:eastAsia="Batang"/>
                <w:sz w:val="20"/>
                <w:szCs w:val="22"/>
              </w:rPr>
              <w:t xml:space="preserve">  Une attention particulière devra être accordée à la protection de ce</w:t>
            </w:r>
            <w:r>
              <w:rPr>
                <w:rFonts w:eastAsia="Batang"/>
                <w:sz w:val="20"/>
                <w:szCs w:val="22"/>
              </w:rPr>
              <w:t>s</w:t>
            </w:r>
            <w:r>
              <w:rPr>
                <w:rFonts w:eastAsia="Batang"/>
                <w:sz w:val="20"/>
                <w:szCs w:val="22"/>
              </w:rPr>
              <w:t xml:space="preserve"> sites en termes de stratégies et d’actions dans les zones d’implantation des sous-projets.</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23-08-1989</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de Vienne pour la protection de la couche d’ozone</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 xml:space="preserve">Les produits et substances qui seront utilisés dans le cadre du </w:t>
            </w:r>
            <w:r>
              <w:rPr>
                <w:rFonts w:eastAsia="Batang"/>
                <w:sz w:val="20"/>
                <w:szCs w:val="22"/>
                <w:lang w:eastAsia="en-US"/>
              </w:rPr>
              <w:t>pro</w:t>
            </w:r>
            <w:r>
              <w:rPr>
                <w:rFonts w:eastAsia="Batang"/>
                <w:sz w:val="20"/>
                <w:szCs w:val="22"/>
                <w:lang w:eastAsia="en-US"/>
              </w:rPr>
              <w:t>gramme</w:t>
            </w:r>
            <w:r>
              <w:rPr>
                <w:rFonts w:eastAsia="Batang"/>
                <w:sz w:val="20"/>
                <w:szCs w:val="22"/>
                <w:lang w:eastAsia="en-US"/>
              </w:rPr>
              <w:t xml:space="preserve"> </w:t>
            </w:r>
            <w:r>
              <w:rPr>
                <w:rFonts w:eastAsia="Batang"/>
                <w:sz w:val="20"/>
                <w:szCs w:val="22"/>
                <w:lang w:eastAsia="en-US"/>
              </w:rPr>
              <w:t>devront être choisis de sorte à ne pas entrainer davantage de destruction de la couche d’ozone</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28-06-1988</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de Paris concernant la protection du patrimoine mondial culturel et naturel</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both"/>
              <w:rPr>
                <w:rFonts w:eastAsia="Batang"/>
                <w:sz w:val="20"/>
                <w:szCs w:val="22"/>
                <w:lang w:eastAsia="en-US"/>
              </w:rPr>
            </w:pPr>
            <w:r>
              <w:rPr>
                <w:rFonts w:eastAsia="Batang"/>
                <w:sz w:val="20"/>
                <w:szCs w:val="22"/>
                <w:lang w:eastAsia="en-US"/>
              </w:rPr>
              <w:t>Le sous-sol b</w:t>
            </w:r>
            <w:r>
              <w:rPr>
                <w:rFonts w:eastAsia="Batang"/>
                <w:sz w:val="20"/>
                <w:szCs w:val="22"/>
                <w:lang w:eastAsia="en-US"/>
              </w:rPr>
              <w:t xml:space="preserve">urkinabè étant très peu exploré, les activités du </w:t>
            </w:r>
            <w:r>
              <w:rPr>
                <w:rFonts w:eastAsia="Batang"/>
                <w:sz w:val="20"/>
                <w:szCs w:val="22"/>
                <w:lang w:eastAsia="en-US"/>
              </w:rPr>
              <w:t>pro</w:t>
            </w:r>
            <w:r>
              <w:rPr>
                <w:rFonts w:eastAsia="Batang"/>
                <w:sz w:val="20"/>
                <w:szCs w:val="22"/>
                <w:lang w:eastAsia="en-US"/>
              </w:rPr>
              <w:t>gramme</w:t>
            </w:r>
            <w:r>
              <w:rPr>
                <w:rFonts w:eastAsia="Batang"/>
                <w:sz w:val="20"/>
                <w:szCs w:val="22"/>
                <w:lang w:eastAsia="en-US"/>
              </w:rPr>
              <w:t xml:space="preserve">, en ce que cela va consister à faire des excavations, pourraient permettre la découverte de patrimoine culturel et naturel de portée universelle inestimables cachés. Il sera fait application de la </w:t>
            </w:r>
            <w:r>
              <w:rPr>
                <w:rFonts w:eastAsia="Batang"/>
                <w:sz w:val="20"/>
                <w:szCs w:val="22"/>
                <w:lang w:eastAsia="en-US"/>
              </w:rPr>
              <w:t>procédure de « chance find »</w:t>
            </w:r>
            <w:r>
              <w:rPr>
                <w:rFonts w:eastAsia="Batang"/>
                <w:sz w:val="20"/>
                <w:szCs w:val="22"/>
                <w:lang w:eastAsia="en-US"/>
              </w:rPr>
              <w:t xml:space="preserve"> </w:t>
            </w:r>
            <w:r>
              <w:rPr>
                <w:rFonts w:eastAsia="Batang"/>
                <w:sz w:val="20"/>
                <w:szCs w:val="22"/>
                <w:lang w:eastAsia="en-US"/>
              </w:rPr>
              <w:t xml:space="preserve">en cas de découverte fortuite. </w:t>
            </w:r>
          </w:p>
          <w:p>
            <w:pPr>
              <w:pStyle w:val="style0"/>
              <w:spacing w:lineRule="auto" w:line="276"/>
              <w:jc w:val="both"/>
              <w:rPr>
                <w:rFonts w:eastAsia="Batang"/>
                <w:sz w:val="20"/>
                <w:szCs w:val="22"/>
                <w:lang w:eastAsia="en-US"/>
              </w:rPr>
            </w:pP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03-06-1985</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africaine pour la conservation de la nature et des ressources naturelles</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 xml:space="preserve">Dans la mise en œuvre du </w:t>
            </w:r>
            <w:r>
              <w:rPr>
                <w:rFonts w:eastAsia="Batang"/>
                <w:sz w:val="20"/>
                <w:szCs w:val="22"/>
                <w:lang w:eastAsia="en-US"/>
              </w:rPr>
              <w:t xml:space="preserve">Programme, </w:t>
            </w:r>
            <w:r>
              <w:rPr>
                <w:rFonts w:eastAsia="Batang"/>
                <w:sz w:val="20"/>
                <w:szCs w:val="22"/>
                <w:lang w:eastAsia="en-US"/>
              </w:rPr>
              <w:t xml:space="preserve">il faudra veiller autant que possible à la conservation des ressources naturelles qui </w:t>
            </w:r>
            <w:r>
              <w:rPr>
                <w:rFonts w:eastAsia="Batang"/>
                <w:sz w:val="20"/>
                <w:szCs w:val="22"/>
                <w:lang w:eastAsia="en-US"/>
              </w:rPr>
              <w:t xml:space="preserve">se </w:t>
            </w:r>
            <w:r>
              <w:rPr>
                <w:rFonts w:eastAsia="Batang"/>
                <w:sz w:val="20"/>
                <w:szCs w:val="22"/>
                <w:lang w:eastAsia="en-US"/>
              </w:rPr>
              <w:t xml:space="preserve">trouvent sur l’aire du </w:t>
            </w:r>
            <w:r>
              <w:rPr>
                <w:rFonts w:eastAsia="Batang"/>
                <w:sz w:val="20"/>
                <w:szCs w:val="22"/>
                <w:lang w:eastAsia="en-US"/>
              </w:rPr>
              <w:t>pro</w:t>
            </w:r>
            <w:r>
              <w:rPr>
                <w:rFonts w:eastAsia="Batang"/>
                <w:sz w:val="20"/>
                <w:szCs w:val="22"/>
                <w:lang w:eastAsia="en-US"/>
              </w:rPr>
              <w:t>gramme</w:t>
            </w:r>
            <w:r>
              <w:rPr>
                <w:rFonts w:eastAsia="Batang"/>
                <w:sz w:val="20"/>
                <w:szCs w:val="22"/>
                <w:lang w:eastAsia="en-US"/>
              </w:rPr>
              <w:t xml:space="preserve"> </w:t>
            </w:r>
            <w:r>
              <w:rPr>
                <w:rFonts w:eastAsia="Batang"/>
                <w:sz w:val="20"/>
                <w:szCs w:val="22"/>
                <w:lang w:eastAsia="en-US"/>
              </w:rPr>
              <w:t xml:space="preserve">comme les espèces de flore et de faune. </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28-09-1969</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 xml:space="preserve">Convention de Berne sur la conservation de la Faune et de </w:t>
            </w:r>
            <w:r>
              <w:rPr>
                <w:rFonts w:eastAsia="Batang"/>
                <w:sz w:val="20"/>
                <w:szCs w:val="22"/>
                <w:lang w:eastAsia="en-US"/>
              </w:rPr>
              <w:t>la Flore Sauvage et leurs Habitats Naturels</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both"/>
              <w:rPr>
                <w:rFonts w:eastAsia="Batang"/>
                <w:sz w:val="20"/>
                <w:szCs w:val="22"/>
                <w:lang w:eastAsia="en-US"/>
              </w:rPr>
            </w:pPr>
            <w:r>
              <w:rPr>
                <w:rFonts w:eastAsia="Batang"/>
                <w:sz w:val="20"/>
                <w:szCs w:val="22"/>
                <w:lang w:eastAsia="en-US"/>
              </w:rPr>
              <w:t>Construction et exploitation d’ouvrages : menaces potentielles sur certaines espèces de faune</w:t>
            </w:r>
          </w:p>
          <w:p>
            <w:pPr>
              <w:pStyle w:val="style0"/>
              <w:spacing w:before="20" w:after="20" w:lineRule="auto" w:line="276"/>
              <w:jc w:val="both"/>
              <w:rPr>
                <w:rFonts w:eastAsia="Batang"/>
                <w:sz w:val="20"/>
                <w:szCs w:val="22"/>
                <w:lang w:eastAsia="en-US"/>
              </w:rPr>
            </w:pPr>
            <w:r>
              <w:rPr>
                <w:rFonts w:eastAsia="Batang"/>
                <w:sz w:val="20"/>
                <w:szCs w:val="22"/>
                <w:lang w:eastAsia="en-US"/>
              </w:rPr>
              <w:t xml:space="preserve">« Chaque Partie contractante prend les mesures législatives et réglementaires appropriées et nécessaires pour protéger les habitats des espèces sauvages de la flore et de la faune, en particulier </w:t>
            </w:r>
            <w:r>
              <w:rPr>
                <w:rFonts w:eastAsia="Batang"/>
                <w:sz w:val="20"/>
                <w:szCs w:val="22"/>
                <w:lang w:eastAsia="en-US"/>
              </w:rPr>
              <w:t>de celles énumérées dans les annexes I et II, et pour sauvegarder les habitats naturels menacés de disparition. » (article 4 alinéa1)</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28-09-1969</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shd w:val="clear" w:color="auto" w:fill="ffffff"/>
            <w:vAlign w:val="center"/>
            <w:hideMark/>
          </w:tcPr>
          <w:p>
            <w:pPr>
              <w:pStyle w:val="style0"/>
              <w:spacing w:lineRule="auto" w:line="276"/>
              <w:rPr>
                <w:rFonts w:eastAsia="Batang"/>
                <w:sz w:val="20"/>
                <w:szCs w:val="22"/>
                <w:lang w:eastAsia="en-US"/>
              </w:rPr>
            </w:pPr>
            <w:r>
              <w:rPr>
                <w:rFonts w:eastAsia="Batang"/>
                <w:sz w:val="20"/>
                <w:szCs w:val="22"/>
                <w:lang w:eastAsia="en-US"/>
              </w:rPr>
              <w:t>Convention de Stockholm sur les Polluants Organiques Persistants</w:t>
            </w:r>
          </w:p>
        </w:tc>
        <w:tc>
          <w:tcPr>
            <w:tcW w:w="3289" w:type="pct"/>
            <w:tcBorders>
              <w:top w:val="single" w:sz="4" w:space="0" w:color="auto"/>
              <w:left w:val="single" w:sz="4" w:space="0" w:color="auto"/>
              <w:bottom w:val="single" w:sz="4" w:space="0" w:color="auto"/>
              <w:right w:val="single" w:sz="4" w:space="0" w:color="auto"/>
            </w:tcBorders>
            <w:shd w:val="clear" w:color="auto" w:fill="ffffff"/>
            <w:vAlign w:val="center"/>
            <w:hideMark/>
          </w:tcPr>
          <w:p>
            <w:pPr>
              <w:pStyle w:val="style0"/>
              <w:spacing w:lineRule="auto" w:line="276"/>
              <w:jc w:val="both"/>
              <w:rPr>
                <w:rFonts w:eastAsia="Batang"/>
                <w:sz w:val="20"/>
                <w:szCs w:val="22"/>
                <w:lang w:eastAsia="en-US"/>
              </w:rPr>
            </w:pPr>
            <w:r>
              <w:rPr>
                <w:rFonts w:eastAsia="Batang"/>
                <w:sz w:val="20"/>
                <w:szCs w:val="22"/>
                <w:lang w:eastAsia="en-US"/>
              </w:rPr>
              <w:t xml:space="preserve">Instrument juridique spécifique visant à limiter les risques que présente le rejet ou l’émission les produits s’accumulant dans les écosystèmes terrestres et aquatiques, et ayant la particularité de pénétrer les êtres humains par la chaîne alimentaire. </w:t>
            </w:r>
          </w:p>
          <w:p>
            <w:pPr>
              <w:pStyle w:val="style0"/>
              <w:spacing w:lineRule="auto" w:line="276"/>
              <w:jc w:val="both"/>
              <w:rPr>
                <w:rFonts w:eastAsia="Batang"/>
                <w:sz w:val="20"/>
                <w:szCs w:val="22"/>
                <w:lang w:eastAsia="en-US"/>
              </w:rPr>
            </w:pPr>
            <w:r>
              <w:rPr>
                <w:rFonts w:eastAsia="Batang"/>
                <w:sz w:val="20"/>
                <w:szCs w:val="22"/>
                <w:lang w:eastAsia="en-US"/>
              </w:rPr>
              <w:t xml:space="preserve">Le </w:t>
            </w:r>
            <w:r>
              <w:rPr>
                <w:rFonts w:eastAsia="Batang"/>
                <w:sz w:val="20"/>
                <w:szCs w:val="22"/>
                <w:lang w:eastAsia="en-US"/>
              </w:rPr>
              <w:t>Programme</w:t>
            </w:r>
            <w:r>
              <w:rPr>
                <w:rFonts w:eastAsia="Batang"/>
                <w:sz w:val="20"/>
                <w:szCs w:val="22"/>
                <w:lang w:eastAsia="en-US"/>
              </w:rPr>
              <w:t xml:space="preserve"> doit se conformer aux mesures prises allant dans le sens de la non utilisation de certaines substances comme :</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Aldrine;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Chlordane;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Dieldrine;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Endrine;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Heptachlore;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Hexachlorobenzène;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Mirex;</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Toxaphène;</w:t>
            </w:r>
          </w:p>
          <w:p>
            <w:pPr>
              <w:pStyle w:val="style0"/>
              <w:numPr>
                <w:ilvl w:val="0"/>
                <w:numId w:val="103"/>
              </w:numPr>
              <w:spacing w:lineRule="auto" w:line="276"/>
              <w:jc w:val="both"/>
              <w:rPr>
                <w:rFonts w:eastAsia="Batang"/>
                <w:sz w:val="20"/>
                <w:szCs w:val="22"/>
                <w:lang w:eastAsia="en-US"/>
              </w:rPr>
            </w:pPr>
            <w:r>
              <w:rPr>
                <w:rFonts w:eastAsia="Batang"/>
                <w:sz w:val="20"/>
                <w:szCs w:val="22"/>
                <w:lang w:eastAsia="en-US"/>
              </w:rPr>
              <w:t>P</w:t>
            </w:r>
            <w:r>
              <w:rPr>
                <w:rFonts w:eastAsia="Batang"/>
                <w:sz w:val="20"/>
                <w:szCs w:val="22"/>
                <w:lang w:eastAsia="en-US"/>
              </w:rPr>
              <w:t>olychlorobiphényle</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pPr>
              <w:pStyle w:val="style0"/>
              <w:spacing w:lineRule="auto" w:line="276"/>
              <w:jc w:val="center"/>
              <w:rPr>
                <w:rFonts w:eastAsia="Batang"/>
                <w:sz w:val="20"/>
                <w:szCs w:val="22"/>
                <w:lang w:eastAsia="en-US"/>
              </w:rPr>
            </w:pPr>
            <w:r>
              <w:rPr>
                <w:rFonts w:eastAsia="Batang"/>
                <w:sz w:val="20"/>
                <w:szCs w:val="22"/>
                <w:lang w:eastAsia="en-US"/>
              </w:rPr>
              <w:t>20-07-2004</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rPr>
                <w:rFonts w:eastAsia="Batang"/>
                <w:sz w:val="20"/>
                <w:szCs w:val="22"/>
                <w:lang w:eastAsia="en-US"/>
              </w:rPr>
            </w:pPr>
            <w:r>
              <w:rPr>
                <w:rFonts w:eastAsia="Batang"/>
                <w:sz w:val="20"/>
                <w:szCs w:val="22"/>
                <w:lang w:eastAsia="en-US"/>
              </w:rPr>
              <w:t>Convention de Rotterdam sur la procédure de consentement préalable en connaissance de cause applicable à certains produits chimiques et pesticides dangereux qui font l’objet d’un commerce international</w:t>
            </w:r>
          </w:p>
        </w:tc>
        <w:tc>
          <w:tcPr>
            <w:tcW w:w="3289"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both"/>
              <w:rPr>
                <w:rFonts w:eastAsia="Batang"/>
                <w:sz w:val="20"/>
                <w:szCs w:val="22"/>
                <w:lang w:eastAsia="en-US"/>
              </w:rPr>
            </w:pPr>
            <w:r>
              <w:rPr>
                <w:rFonts w:eastAsia="Batang"/>
                <w:sz w:val="20"/>
                <w:szCs w:val="22"/>
                <w:lang w:eastAsia="en-US"/>
              </w:rPr>
              <w:t xml:space="preserve">Protection de la santé des personnes et l’environnement par le partage des responsabilités et la coopération entre les signataires dans le domaine du commerce international de (22) polluants chimiques très dangereux, dont les pesticides et composants chimiques industriels. Elle vise </w:t>
            </w:r>
            <w:r>
              <w:rPr>
                <w:rFonts w:eastAsia="Batang"/>
                <w:sz w:val="20"/>
                <w:szCs w:val="22"/>
                <w:lang w:eastAsia="en-US"/>
              </w:rPr>
              <w:t>entre autres</w:t>
            </w:r>
            <w:r>
              <w:rPr>
                <w:rFonts w:eastAsia="Batang"/>
                <w:sz w:val="20"/>
                <w:szCs w:val="22"/>
                <w:lang w:eastAsia="en-US"/>
              </w:rPr>
              <w:t> :</w:t>
            </w:r>
          </w:p>
          <w:p>
            <w:pPr>
              <w:pStyle w:val="style0"/>
              <w:spacing w:lineRule="auto" w:line="276"/>
              <w:jc w:val="both"/>
              <w:rPr>
                <w:rFonts w:eastAsia="Batang"/>
                <w:sz w:val="20"/>
                <w:szCs w:val="22"/>
                <w:lang w:eastAsia="en-US"/>
              </w:rPr>
            </w:pPr>
            <w:r>
              <w:rPr>
                <w:rFonts w:eastAsia="Batang"/>
                <w:sz w:val="20"/>
                <w:szCs w:val="22"/>
                <w:lang w:eastAsia="en-US"/>
              </w:rPr>
              <w:t xml:space="preserve">-la protection de la santé des personnes; </w:t>
            </w:r>
          </w:p>
          <w:p>
            <w:pPr>
              <w:pStyle w:val="style0"/>
              <w:spacing w:lineRule="auto" w:line="276"/>
              <w:jc w:val="both"/>
              <w:rPr>
                <w:rFonts w:eastAsia="Batang"/>
                <w:sz w:val="20"/>
                <w:szCs w:val="22"/>
                <w:lang w:eastAsia="en-US"/>
              </w:rPr>
            </w:pPr>
            <w:r>
              <w:rPr>
                <w:rFonts w:eastAsia="Batang"/>
                <w:sz w:val="20"/>
                <w:szCs w:val="22"/>
                <w:lang w:eastAsia="en-US"/>
              </w:rPr>
              <w:t>-la protection de l’environnement contre les dommages éventuels;</w:t>
            </w:r>
          </w:p>
          <w:p>
            <w:pPr>
              <w:pStyle w:val="style0"/>
              <w:spacing w:lineRule="auto" w:line="276"/>
              <w:jc w:val="both"/>
              <w:rPr>
                <w:rFonts w:eastAsia="Batang"/>
                <w:sz w:val="20"/>
                <w:szCs w:val="22"/>
                <w:lang w:eastAsia="en-US"/>
              </w:rPr>
            </w:pPr>
            <w:r>
              <w:rPr>
                <w:rFonts w:eastAsia="Batang"/>
                <w:sz w:val="20"/>
                <w:szCs w:val="22"/>
                <w:lang w:eastAsia="en-US"/>
              </w:rPr>
              <w:t>-la contribution à l’utilisation écologiquement rationnelle des produits cités</w:t>
            </w:r>
            <w:r>
              <w:rPr>
                <w:rFonts w:eastAsia="Batang"/>
                <w:sz w:val="20"/>
                <w:szCs w:val="22"/>
                <w:lang w:eastAsia="en-US"/>
              </w:rPr>
              <w:t xml:space="preserve"> ci-</w:t>
            </w:r>
            <w:r>
              <w:rPr>
                <w:rFonts w:eastAsia="Batang"/>
                <w:sz w:val="20"/>
                <w:szCs w:val="22"/>
                <w:lang w:eastAsia="en-US"/>
              </w:rPr>
              <w:t>dessus</w:t>
            </w:r>
            <w:r>
              <w:rPr>
                <w:rFonts w:eastAsia="Batang"/>
                <w:sz w:val="20"/>
                <w:szCs w:val="22"/>
                <w:lang w:eastAsia="en-US"/>
              </w:rPr>
              <w:t>,</w:t>
            </w:r>
          </w:p>
          <w:p>
            <w:pPr>
              <w:pStyle w:val="style0"/>
              <w:spacing w:lineRule="auto" w:line="276"/>
              <w:jc w:val="both"/>
              <w:rPr>
                <w:rFonts w:eastAsia="Batang"/>
                <w:sz w:val="20"/>
                <w:szCs w:val="22"/>
                <w:lang w:eastAsia="en-US"/>
              </w:rPr>
            </w:pPr>
            <w:r>
              <w:rPr>
                <w:rFonts w:eastAsia="Batang"/>
                <w:sz w:val="20"/>
                <w:szCs w:val="22"/>
                <w:lang w:eastAsia="en-US"/>
              </w:rPr>
              <w:t>-</w:t>
            </w:r>
            <w:r>
              <w:rPr>
                <w:rFonts w:eastAsia="Batang"/>
                <w:sz w:val="20"/>
                <w:szCs w:val="22"/>
                <w:lang w:eastAsia="en-US"/>
              </w:rPr>
              <w:t xml:space="preserve"> etc.</w:t>
            </w:r>
          </w:p>
        </w:tc>
        <w:tc>
          <w:tcPr>
            <w:tcW w:w="576" w:type="pct"/>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76"/>
              <w:jc w:val="center"/>
              <w:rPr>
                <w:rFonts w:eastAsia="Batang"/>
                <w:sz w:val="20"/>
                <w:szCs w:val="22"/>
                <w:lang w:eastAsia="en-US"/>
              </w:rPr>
            </w:pPr>
            <w:r>
              <w:rPr>
                <w:rFonts w:eastAsia="Batang"/>
                <w:sz w:val="20"/>
                <w:szCs w:val="22"/>
                <w:lang w:eastAsia="en-US"/>
              </w:rPr>
              <w:t>11-11-2002</w:t>
            </w:r>
          </w:p>
        </w:tc>
      </w:tr>
      <w:tr>
        <w:tblPrEx/>
        <w:trPr>
          <w:trHeight w:val="555" w:hRule="atLeast"/>
          <w:jc w:val="center"/>
        </w:trPr>
        <w:tc>
          <w:tcPr>
            <w:tcW w:w="1135" w:type="pct"/>
            <w:tcBorders>
              <w:top w:val="single" w:sz="4" w:space="0" w:color="auto"/>
              <w:left w:val="single" w:sz="4" w:space="0" w:color="auto"/>
              <w:bottom w:val="single" w:sz="4" w:space="0" w:color="auto"/>
              <w:right w:val="single" w:sz="4" w:space="0" w:color="auto"/>
            </w:tcBorders>
            <w:vAlign w:val="center"/>
          </w:tcPr>
          <w:p>
            <w:pPr>
              <w:pStyle w:val="style0"/>
              <w:spacing w:lineRule="auto" w:line="276"/>
              <w:rPr>
                <w:rFonts w:eastAsia="Batang"/>
                <w:sz w:val="20"/>
                <w:szCs w:val="22"/>
                <w:lang w:eastAsia="en-US"/>
              </w:rPr>
            </w:pPr>
            <w:r>
              <w:rPr>
                <w:rFonts w:eastAsia="Batang"/>
                <w:sz w:val="20"/>
                <w:szCs w:val="22"/>
                <w:lang w:eastAsia="en-US"/>
              </w:rPr>
              <w:t xml:space="preserve">Règlementation commune aux </w:t>
            </w:r>
            <w:r>
              <w:rPr>
                <w:rFonts w:eastAsia="Batang"/>
                <w:sz w:val="20"/>
                <w:szCs w:val="22"/>
                <w:lang w:eastAsia="en-US"/>
              </w:rPr>
              <w:t>E</w:t>
            </w:r>
            <w:r>
              <w:rPr>
                <w:rFonts w:eastAsia="Batang"/>
                <w:sz w:val="20"/>
                <w:szCs w:val="22"/>
                <w:lang w:eastAsia="en-US"/>
              </w:rPr>
              <w:t>tats membres su CILSS sur l’homologation des pesticides</w:t>
            </w:r>
          </w:p>
          <w:p>
            <w:pPr>
              <w:pStyle w:val="style0"/>
              <w:spacing w:lineRule="auto" w:line="276"/>
              <w:rPr>
                <w:rFonts w:eastAsia="Batang"/>
                <w:sz w:val="20"/>
                <w:szCs w:val="22"/>
                <w:lang w:eastAsia="en-US"/>
              </w:rPr>
            </w:pPr>
          </w:p>
          <w:p>
            <w:pPr>
              <w:pStyle w:val="style0"/>
              <w:spacing w:lineRule="auto" w:line="276"/>
              <w:rPr>
                <w:rFonts w:eastAsia="Batang"/>
                <w:sz w:val="20"/>
                <w:szCs w:val="22"/>
                <w:lang w:eastAsia="en-US"/>
              </w:rPr>
            </w:pPr>
          </w:p>
        </w:tc>
        <w:tc>
          <w:tcPr>
            <w:tcW w:w="3289" w:type="pct"/>
            <w:tcBorders>
              <w:top w:val="single" w:sz="4" w:space="0" w:color="auto"/>
              <w:left w:val="single" w:sz="4" w:space="0" w:color="auto"/>
              <w:bottom w:val="single" w:sz="4" w:space="0" w:color="auto"/>
              <w:right w:val="single" w:sz="4" w:space="0" w:color="auto"/>
            </w:tcBorders>
            <w:vAlign w:val="center"/>
          </w:tcPr>
          <w:p>
            <w:pPr>
              <w:pStyle w:val="style0"/>
              <w:spacing w:lineRule="auto" w:line="276"/>
              <w:jc w:val="both"/>
              <w:rPr>
                <w:rFonts w:eastAsia="Batang"/>
                <w:sz w:val="20"/>
                <w:szCs w:val="22"/>
                <w:lang w:eastAsia="en-US"/>
              </w:rPr>
            </w:pPr>
            <w:r>
              <w:rPr>
                <w:rFonts w:eastAsia="Batang"/>
                <w:sz w:val="20"/>
                <w:szCs w:val="22"/>
                <w:lang w:eastAsia="en-US"/>
              </w:rPr>
              <w:t xml:space="preserve">Le PDCA aura recours à l’utilisation des pesticides et produits chimiques sur les différents </w:t>
            </w:r>
            <w:r>
              <w:rPr>
                <w:rFonts w:eastAsia="Batang"/>
                <w:sz w:val="20"/>
                <w:szCs w:val="22"/>
                <w:lang w:eastAsia="en-US"/>
              </w:rPr>
              <w:t xml:space="preserve">sites </w:t>
            </w:r>
            <w:r>
              <w:rPr>
                <w:rFonts w:eastAsia="Batang"/>
                <w:sz w:val="20"/>
                <w:szCs w:val="22"/>
                <w:lang w:eastAsia="en-US"/>
              </w:rPr>
              <w:t>des sous-projets en phase d’exploitation. Il faudra veiller à se conformer aux règles d’homologation définies</w:t>
            </w:r>
            <w:r>
              <w:rPr>
                <w:rFonts w:eastAsia="Batang"/>
                <w:sz w:val="20"/>
                <w:szCs w:val="22"/>
                <w:lang w:eastAsia="en-US"/>
              </w:rPr>
              <w:t xml:space="preserve"> </w:t>
            </w:r>
            <w:r>
              <w:rPr>
                <w:rFonts w:eastAsia="Batang"/>
                <w:sz w:val="20"/>
                <w:szCs w:val="22"/>
                <w:lang w:eastAsia="en-US"/>
              </w:rPr>
              <w:t xml:space="preserve">à travers le </w:t>
            </w:r>
            <w:r>
              <w:rPr>
                <w:rFonts w:eastAsia="Batang"/>
                <w:sz w:val="20"/>
                <w:szCs w:val="22"/>
                <w:lang w:eastAsia="en-US"/>
              </w:rPr>
              <w:t>Comité Sahélien des Pesticides (CSP)</w:t>
            </w:r>
            <w:r>
              <w:rPr>
                <w:rFonts w:eastAsia="Batang"/>
                <w:sz w:val="20"/>
                <w:szCs w:val="22"/>
                <w:lang w:eastAsia="en-US"/>
              </w:rPr>
              <w:t xml:space="preserve"> en matière d’utilisation </w:t>
            </w:r>
            <w:r>
              <w:rPr>
                <w:rFonts w:eastAsia="Batang"/>
                <w:sz w:val="20"/>
                <w:szCs w:val="22"/>
                <w:lang w:eastAsia="en-US"/>
              </w:rPr>
              <w:t>des pesticides</w:t>
            </w:r>
            <w:r>
              <w:rPr>
                <w:rFonts w:eastAsia="Batang"/>
                <w:sz w:val="20"/>
                <w:szCs w:val="22"/>
                <w:lang w:eastAsia="en-US"/>
              </w:rPr>
              <w:t>.</w:t>
            </w:r>
          </w:p>
        </w:tc>
        <w:tc>
          <w:tcPr>
            <w:tcW w:w="576" w:type="pct"/>
            <w:tcBorders>
              <w:top w:val="single" w:sz="4" w:space="0" w:color="auto"/>
              <w:left w:val="single" w:sz="4" w:space="0" w:color="auto"/>
              <w:bottom w:val="single" w:sz="4" w:space="0" w:color="auto"/>
              <w:right w:val="single" w:sz="4" w:space="0" w:color="auto"/>
            </w:tcBorders>
            <w:vAlign w:val="center"/>
          </w:tcPr>
          <w:p>
            <w:pPr>
              <w:pStyle w:val="style0"/>
              <w:spacing w:lineRule="auto" w:line="276"/>
              <w:jc w:val="center"/>
              <w:rPr>
                <w:rFonts w:eastAsia="Batang"/>
                <w:sz w:val="20"/>
                <w:szCs w:val="22"/>
                <w:lang w:eastAsia="en-US"/>
              </w:rPr>
            </w:pPr>
            <w:r>
              <w:rPr>
                <w:rFonts w:eastAsia="Batang"/>
                <w:sz w:val="20"/>
                <w:szCs w:val="22"/>
                <w:lang w:eastAsia="en-US"/>
              </w:rPr>
              <w:t>Décembre 1999</w:t>
            </w:r>
          </w:p>
        </w:tc>
      </w:tr>
    </w:tbl>
    <w:p>
      <w:pPr>
        <w:pStyle w:val="style0"/>
        <w:jc w:val="both"/>
        <w:rPr>
          <w:rFonts w:eastAsia="Calibri"/>
          <w:sz w:val="22"/>
          <w:szCs w:val="22"/>
          <w:lang w:eastAsia="en-US"/>
        </w:rPr>
        <w:sectPr>
          <w:footerReference w:type="default" r:id="rId8"/>
          <w:pgSz w:w="11906" w:h="16838" w:orient="portrait"/>
          <w:pgMar w:top="1418" w:right="1418" w:bottom="1418" w:left="1418" w:header="709" w:footer="709" w:gutter="0"/>
          <w:pgNumType w:start="30"/>
          <w:cols w:space="720"/>
        </w:sectPr>
      </w:pPr>
    </w:p>
    <w:p>
      <w:pPr>
        <w:pStyle w:val="style0"/>
        <w:jc w:val="both"/>
        <w:rPr/>
      </w:pPr>
    </w:p>
    <w:bookmarkStart w:id="105" w:name="_Toc337227616"/>
    <w:bookmarkStart w:id="106" w:name="_Toc382740186"/>
    <w:bookmarkStart w:id="107" w:name="_Toc389724435"/>
    <w:bookmarkStart w:id="108" w:name="_Toc474622384"/>
    <w:bookmarkStart w:id="109" w:name="_Toc511661055"/>
    <w:bookmarkStart w:id="110" w:name="_Toc2780485"/>
    <w:bookmarkStart w:id="111" w:name="_Toc686103"/>
    <w:p>
      <w:pPr>
        <w:pStyle w:val="style3"/>
        <w:numPr>
          <w:ilvl w:val="0"/>
          <w:numId w:val="0"/>
        </w:numPr>
        <w:ind w:left="644" w:hanging="360"/>
        <w:rPr>
          <w:b/>
          <w:u w:val="none"/>
        </w:rPr>
      </w:pPr>
      <w:r>
        <w:rPr>
          <w:b/>
          <w:u w:val="none"/>
        </w:rPr>
        <w:t xml:space="preserve">4.2.3. </w:t>
      </w:r>
      <w:r>
        <w:rPr>
          <w:b/>
          <w:u w:val="none"/>
        </w:rPr>
        <w:t xml:space="preserve">Exigences des politiques de sauvegarde environnementale et sociale </w:t>
      </w:r>
      <w:bookmarkEnd w:id="105"/>
      <w:bookmarkEnd w:id="106"/>
      <w:bookmarkEnd w:id="107"/>
      <w:bookmarkEnd w:id="108"/>
      <w:r>
        <w:rPr>
          <w:b/>
          <w:u w:val="none"/>
        </w:rPr>
        <w:t>déclenchées par le P</w:t>
      </w:r>
      <w:r>
        <w:rPr>
          <w:b/>
          <w:u w:val="none"/>
        </w:rPr>
        <w:t>DCA</w:t>
      </w:r>
      <w:r>
        <w:rPr>
          <w:b/>
          <w:u w:val="none"/>
        </w:rPr>
        <w:t xml:space="preserve"> et dispositions nationales pertinentes</w:t>
      </w:r>
      <w:bookmarkEnd w:id="109"/>
      <w:bookmarkEnd w:id="110"/>
    </w:p>
    <w:p>
      <w:pPr>
        <w:pStyle w:val="style0"/>
        <w:widowControl w:val="false"/>
        <w:shd w:val="clear" w:color="auto" w:fill="ffffff"/>
        <w:autoSpaceDE w:val="false"/>
        <w:autoSpaceDN w:val="false"/>
        <w:adjustRightInd w:val="false"/>
        <w:spacing w:before="120"/>
        <w:jc w:val="both"/>
        <w:rPr>
          <w:sz w:val="4"/>
          <w:szCs w:val="22"/>
        </w:rPr>
      </w:pPr>
    </w:p>
    <w:p>
      <w:pPr>
        <w:pStyle w:val="style0"/>
        <w:widowControl w:val="false"/>
        <w:shd w:val="clear" w:color="auto" w:fill="ffffff"/>
        <w:autoSpaceDE w:val="false"/>
        <w:autoSpaceDN w:val="false"/>
        <w:adjustRightInd w:val="false"/>
        <w:spacing w:before="120"/>
        <w:jc w:val="both"/>
        <w:rPr>
          <w:sz w:val="2"/>
          <w:szCs w:val="22"/>
        </w:rPr>
      </w:pPr>
    </w:p>
    <w:p>
      <w:pPr>
        <w:pStyle w:val="style0"/>
        <w:shd w:val="clear" w:color="auto" w:fill="ffffff"/>
        <w:ind w:left="5"/>
        <w:jc w:val="both"/>
        <w:rPr>
          <w:spacing w:val="1"/>
          <w:sz w:val="22"/>
          <w:szCs w:val="22"/>
        </w:rPr>
      </w:pPr>
      <w:r>
        <w:rPr>
          <w:sz w:val="22"/>
        </w:rPr>
        <w:t xml:space="preserve">L'objectif de l’analyse vise à identifier les insuffisances au niveau de la législation nationale </w:t>
      </w:r>
      <w:r>
        <w:rPr>
          <w:spacing w:val="5"/>
          <w:sz w:val="22"/>
          <w:szCs w:val="22"/>
        </w:rPr>
        <w:t xml:space="preserve">afin de </w:t>
      </w:r>
      <w:r>
        <w:rPr>
          <w:spacing w:val="5"/>
          <w:sz w:val="22"/>
          <w:szCs w:val="22"/>
        </w:rPr>
        <w:t>préconiser des mesures</w:t>
      </w:r>
      <w:r>
        <w:rPr>
          <w:spacing w:val="5"/>
          <w:sz w:val="22"/>
          <w:szCs w:val="22"/>
        </w:rPr>
        <w:t xml:space="preserve"> visant à satisfaire les exigences des politiques de sauvegarde environnementales et socia</w:t>
      </w:r>
      <w:r>
        <w:rPr>
          <w:spacing w:val="5"/>
          <w:sz w:val="22"/>
          <w:szCs w:val="22"/>
        </w:rPr>
        <w:t>les déclenchées par le P</w:t>
      </w:r>
      <w:r>
        <w:rPr>
          <w:spacing w:val="5"/>
          <w:sz w:val="22"/>
          <w:szCs w:val="22"/>
        </w:rPr>
        <w:t>DCA</w:t>
      </w:r>
      <w:r>
        <w:rPr>
          <w:spacing w:val="5"/>
          <w:sz w:val="22"/>
          <w:szCs w:val="22"/>
        </w:rPr>
        <w:t>.</w:t>
      </w:r>
      <w:r>
        <w:rPr>
          <w:spacing w:val="1"/>
          <w:sz w:val="22"/>
          <w:szCs w:val="22"/>
        </w:rPr>
        <w:t xml:space="preserve"> </w:t>
      </w:r>
    </w:p>
    <w:p>
      <w:pPr>
        <w:pStyle w:val="style0"/>
        <w:shd w:val="clear" w:color="auto" w:fill="ffffff"/>
        <w:ind w:left="5"/>
        <w:jc w:val="both"/>
        <w:rPr>
          <w:sz w:val="6"/>
        </w:rPr>
      </w:pPr>
    </w:p>
    <w:p>
      <w:pPr>
        <w:pStyle w:val="style0"/>
        <w:shd w:val="clear" w:color="auto" w:fill="ffffff"/>
        <w:ind w:left="5"/>
        <w:jc w:val="both"/>
        <w:rPr>
          <w:sz w:val="22"/>
        </w:rPr>
      </w:pPr>
    </w:p>
    <w:p>
      <w:pPr>
        <w:pStyle w:val="style0"/>
        <w:shd w:val="clear" w:color="auto" w:fill="ffffff"/>
        <w:ind w:left="5"/>
        <w:jc w:val="both"/>
        <w:rPr>
          <w:sz w:val="22"/>
        </w:rPr>
        <w:sectPr>
          <w:footerReference w:type="default" r:id="rId9"/>
          <w:footerReference w:type="first" r:id="rId10"/>
          <w:pgSz w:w="11906" w:h="16838" w:orient="portrait"/>
          <w:pgMar w:top="1417" w:right="1417" w:bottom="1417" w:left="1417" w:header="113" w:footer="567" w:gutter="0"/>
          <w:pgNumType w:start="43"/>
          <w:cols w:space="708"/>
          <w:titlePg/>
          <w:docGrid w:linePitch="360"/>
        </w:sectPr>
      </w:pPr>
      <w:r>
        <w:rPr>
          <w:sz w:val="22"/>
        </w:rPr>
        <w:t xml:space="preserve">Le tableau </w:t>
      </w:r>
      <w:r>
        <w:rPr>
          <w:sz w:val="22"/>
        </w:rPr>
        <w:t>4</w:t>
      </w:r>
      <w:r>
        <w:rPr>
          <w:sz w:val="22"/>
        </w:rPr>
        <w:t xml:space="preserve"> ci-dessous dresse les points de convergence et de divergence entre la législation environnementale </w:t>
      </w:r>
      <w:r>
        <w:rPr>
          <w:sz w:val="22"/>
        </w:rPr>
        <w:t>burkinabè</w:t>
      </w:r>
      <w:r>
        <w:rPr>
          <w:sz w:val="22"/>
        </w:rPr>
        <w:t xml:space="preserve"> et les politiques opérationnelles déclenchées par le </w:t>
      </w:r>
      <w:r>
        <w:rPr>
          <w:sz w:val="22"/>
        </w:rPr>
        <w:t>P</w:t>
      </w:r>
      <w:r>
        <w:rPr>
          <w:sz w:val="22"/>
        </w:rPr>
        <w:t>DCA</w:t>
      </w:r>
      <w:r>
        <w:rPr>
          <w:sz w:val="22"/>
        </w:rPr>
        <w:t xml:space="preserve"> et propose des mesures de mise en œuvre du </w:t>
      </w:r>
      <w:r>
        <w:rPr>
          <w:sz w:val="22"/>
        </w:rPr>
        <w:t>P</w:t>
      </w:r>
      <w:r>
        <w:rPr>
          <w:sz w:val="22"/>
        </w:rPr>
        <w:t>ro</w:t>
      </w:r>
      <w:r>
        <w:rPr>
          <w:sz w:val="22"/>
        </w:rPr>
        <w:t>gramme</w:t>
      </w:r>
      <w:r>
        <w:rPr>
          <w:sz w:val="22"/>
        </w:rPr>
        <w:t xml:space="preserve"> devant combler les insuffisances relevées.</w:t>
      </w:r>
      <w:bookmarkStart w:id="112" w:name="_Toc474411239"/>
      <w:bookmarkStart w:id="113" w:name="_Toc494904774"/>
    </w:p>
    <w:p>
      <w:pPr>
        <w:pStyle w:val="style0"/>
        <w:shd w:val="clear" w:color="auto" w:fill="ffffff"/>
        <w:jc w:val="both"/>
        <w:rPr>
          <w:sz w:val="12"/>
        </w:rPr>
      </w:pPr>
    </w:p>
    <w:p>
      <w:pPr>
        <w:pStyle w:val="style0"/>
        <w:shd w:val="clear" w:color="auto" w:fill="ffffff"/>
        <w:jc w:val="both"/>
        <w:rPr/>
      </w:pPr>
    </w:p>
    <w:p>
      <w:pPr>
        <w:pStyle w:val="style0"/>
        <w:shd w:val="clear" w:color="auto" w:fill="ffffff"/>
        <w:jc w:val="both"/>
        <w:rPr>
          <w:bCs/>
        </w:rPr>
        <w:sectPr>
          <w:type w:val="continuous"/>
          <w:pgSz w:w="11906" w:h="16838" w:orient="portrait"/>
          <w:pgMar w:top="1417" w:right="1417" w:bottom="1417" w:left="1417" w:header="113" w:footer="567" w:gutter="0"/>
          <w:pgNumType w:start="0"/>
          <w:cols w:space="708"/>
          <w:titlePg/>
          <w:docGrid w:linePitch="360"/>
        </w:sectPr>
      </w:pPr>
    </w:p>
    <w:bookmarkStart w:id="114" w:name="_Toc511660888"/>
    <w:bookmarkStart w:id="115" w:name="_Toc2780538"/>
    <w:p>
      <w:pPr>
        <w:pStyle w:val="style34"/>
        <w:rPr>
          <w:bCs w:val="false"/>
          <w:color w:val="auto"/>
          <w:spacing w:val="-1"/>
          <w:sz w:val="24"/>
          <w:szCs w:val="24"/>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4</w:t>
      </w:r>
      <w:r>
        <w:rPr>
          <w:color w:val="auto"/>
          <w:sz w:val="20"/>
          <w:szCs w:val="20"/>
        </w:rPr>
        <w:fldChar w:fldCharType="end"/>
      </w:r>
      <w:r>
        <w:rPr>
          <w:bCs w:val="false"/>
          <w:color w:val="auto"/>
          <w:sz w:val="20"/>
          <w:szCs w:val="20"/>
        </w:rPr>
        <w:t> :</w:t>
      </w:r>
      <w:r>
        <w:rPr>
          <w:bCs w:val="false"/>
          <w:color w:val="auto"/>
          <w:spacing w:val="-1"/>
          <w:sz w:val="20"/>
          <w:szCs w:val="20"/>
        </w:rPr>
        <w:t xml:space="preserve"> </w:t>
      </w:r>
      <w:bookmarkEnd w:id="112"/>
      <w:bookmarkEnd w:id="113"/>
      <w:r>
        <w:rPr>
          <w:bCs w:val="false"/>
          <w:color w:val="auto"/>
          <w:spacing w:val="-1"/>
          <w:sz w:val="20"/>
          <w:szCs w:val="20"/>
        </w:rPr>
        <w:t>Exigences des politiques de sauvegarde environnementale et sociale déclenchées par le P</w:t>
      </w:r>
      <w:r>
        <w:rPr>
          <w:bCs w:val="false"/>
          <w:color w:val="auto"/>
          <w:spacing w:val="-1"/>
          <w:sz w:val="20"/>
          <w:szCs w:val="20"/>
        </w:rPr>
        <w:t>DCA</w:t>
      </w:r>
      <w:r>
        <w:rPr>
          <w:bCs w:val="false"/>
          <w:color w:val="auto"/>
          <w:spacing w:val="-1"/>
          <w:sz w:val="20"/>
          <w:szCs w:val="20"/>
        </w:rPr>
        <w:t xml:space="preserve"> et les dispositions nationales</w:t>
      </w:r>
      <w:r>
        <w:rPr>
          <w:bCs w:val="false"/>
          <w:color w:val="auto"/>
          <w:spacing w:val="-1"/>
          <w:sz w:val="24"/>
          <w:szCs w:val="24"/>
        </w:rPr>
        <w:t xml:space="preserve"> pertinentes</w:t>
      </w:r>
      <w:bookmarkEnd w:id="114"/>
      <w:bookmarkEnd w:id="115"/>
    </w:p>
    <w:tbl>
      <w:tblPr>
        <w:tblW w:w="14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4436"/>
        <w:gridCol w:w="4961"/>
        <w:gridCol w:w="3383"/>
      </w:tblGrid>
      <w:tr>
        <w:trPr>
          <w:tblHeader/>
          <w:jc w:val="center"/>
        </w:trPr>
        <w:tc>
          <w:tcPr>
            <w:tcW w:w="1513" w:type="dxa"/>
            <w:tcBorders/>
            <w:shd w:val="clear" w:color="auto" w:fill="auto"/>
            <w:vAlign w:val="center"/>
          </w:tcPr>
          <w:p>
            <w:pPr>
              <w:pStyle w:val="style0"/>
              <w:spacing w:before="60" w:after="60"/>
              <w:jc w:val="both"/>
              <w:rPr>
                <w:rFonts w:eastAsia="Calibri"/>
                <w:b/>
                <w:sz w:val="20"/>
                <w:szCs w:val="20"/>
              </w:rPr>
            </w:pPr>
          </w:p>
        </w:tc>
        <w:tc>
          <w:tcPr>
            <w:tcW w:w="4436" w:type="dxa"/>
            <w:tcBorders/>
            <w:shd w:val="clear" w:color="auto" w:fill="auto"/>
            <w:vAlign w:val="center"/>
          </w:tcPr>
          <w:p>
            <w:pPr>
              <w:pStyle w:val="style0"/>
              <w:spacing w:before="60" w:after="60"/>
              <w:jc w:val="both"/>
              <w:rPr>
                <w:rFonts w:eastAsia="Calibri"/>
                <w:b/>
                <w:sz w:val="20"/>
                <w:szCs w:val="20"/>
              </w:rPr>
            </w:pPr>
            <w:r>
              <w:rPr>
                <w:rFonts w:eastAsia="Calibri"/>
                <w:b/>
                <w:sz w:val="20"/>
                <w:szCs w:val="20"/>
              </w:rPr>
              <w:t xml:space="preserve">Exigences </w:t>
            </w:r>
            <w:r>
              <w:rPr>
                <w:rFonts w:eastAsia="Calibri"/>
                <w:b/>
                <w:sz w:val="20"/>
                <w:szCs w:val="20"/>
              </w:rPr>
              <w:t xml:space="preserve">environnementale et sociale </w:t>
            </w:r>
            <w:r>
              <w:rPr>
                <w:rFonts w:eastAsia="Calibri"/>
                <w:b/>
                <w:sz w:val="20"/>
                <w:szCs w:val="20"/>
              </w:rPr>
              <w:t xml:space="preserve">de la </w:t>
            </w:r>
            <w:r>
              <w:rPr>
                <w:rFonts w:eastAsia="Calibri"/>
                <w:b/>
                <w:sz w:val="20"/>
                <w:szCs w:val="20"/>
              </w:rPr>
              <w:t>Banque mondiale</w:t>
            </w:r>
          </w:p>
        </w:tc>
        <w:tc>
          <w:tcPr>
            <w:tcW w:w="4961" w:type="dxa"/>
            <w:tcBorders/>
            <w:shd w:val="clear" w:color="auto" w:fill="auto"/>
            <w:vAlign w:val="center"/>
          </w:tcPr>
          <w:p>
            <w:pPr>
              <w:pStyle w:val="style0"/>
              <w:spacing w:before="60" w:after="60"/>
              <w:jc w:val="both"/>
              <w:rPr>
                <w:rFonts w:eastAsia="Calibri"/>
                <w:b/>
                <w:sz w:val="20"/>
                <w:szCs w:val="20"/>
                <w:lang w:val="en-US"/>
              </w:rPr>
            </w:pPr>
            <w:r>
              <w:rPr>
                <w:rFonts w:eastAsia="Calibri"/>
                <w:b/>
                <w:sz w:val="20"/>
                <w:szCs w:val="20"/>
                <w:lang w:val="en-US"/>
              </w:rPr>
              <w:t>Dispositions nationales pertinentes</w:t>
            </w:r>
          </w:p>
        </w:tc>
        <w:tc>
          <w:tcPr>
            <w:tcW w:w="3383" w:type="dxa"/>
            <w:tcBorders/>
            <w:shd w:val="clear" w:color="auto" w:fill="auto"/>
            <w:vAlign w:val="center"/>
          </w:tcPr>
          <w:p>
            <w:pPr>
              <w:pStyle w:val="style0"/>
              <w:spacing w:before="60" w:after="60"/>
              <w:jc w:val="both"/>
              <w:rPr>
                <w:rFonts w:eastAsia="Calibri"/>
                <w:b/>
                <w:sz w:val="20"/>
                <w:szCs w:val="20"/>
                <w:lang w:val="fr-CA"/>
              </w:rPr>
            </w:pPr>
            <w:r>
              <w:rPr>
                <w:rFonts w:eastAsia="Calibri"/>
                <w:b/>
                <w:sz w:val="20"/>
                <w:szCs w:val="20"/>
                <w:lang w:val="fr-CA"/>
              </w:rPr>
              <w:t xml:space="preserve"> Provision ad’hoc pour compléter </w:t>
            </w:r>
            <w:r>
              <w:rPr>
                <w:rFonts w:eastAsia="Calibri"/>
                <w:b/>
                <w:sz w:val="20"/>
                <w:szCs w:val="20"/>
                <w:lang w:val="fr-CA"/>
              </w:rPr>
              <w:t>le déficit du système national</w:t>
            </w:r>
          </w:p>
        </w:tc>
      </w:tr>
      <w:tr>
        <w:tblPrEx/>
        <w:trPr>
          <w:jc w:val="center"/>
        </w:trPr>
        <w:tc>
          <w:tcPr>
            <w:tcW w:w="1513" w:type="dxa"/>
            <w:vMerge w:val="restart"/>
            <w:tcBorders/>
            <w:shd w:val="clear" w:color="auto" w:fill="auto"/>
            <w:vAlign w:val="center"/>
          </w:tcPr>
          <w:p>
            <w:pPr>
              <w:pStyle w:val="style0"/>
              <w:spacing w:before="60" w:after="60"/>
              <w:jc w:val="both"/>
              <w:rPr>
                <w:rFonts w:eastAsia="Calibri"/>
                <w:sz w:val="20"/>
                <w:szCs w:val="20"/>
                <w:lang w:val="fr-CA"/>
              </w:rPr>
            </w:pPr>
          </w:p>
        </w:tc>
        <w:tc>
          <w:tcPr>
            <w:tcW w:w="4436" w:type="dxa"/>
            <w:tcBorders/>
            <w:shd w:val="clear" w:color="auto" w:fill="auto"/>
            <w:vAlign w:val="center"/>
          </w:tcPr>
          <w:p>
            <w:pPr>
              <w:pStyle w:val="style0"/>
              <w:spacing w:before="60" w:after="60"/>
              <w:jc w:val="both"/>
              <w:rPr>
                <w:rFonts w:eastAsia="Calibri"/>
                <w:i/>
                <w:sz w:val="20"/>
                <w:szCs w:val="20"/>
                <w:u w:val="single"/>
              </w:rPr>
            </w:pPr>
            <w:r>
              <w:rPr>
                <w:rFonts w:eastAsia="Calibri"/>
                <w:i/>
                <w:sz w:val="20"/>
                <w:szCs w:val="20"/>
                <w:u w:val="single"/>
              </w:rPr>
              <w:t>Evaluation environnementale</w:t>
            </w:r>
            <w:r>
              <w:rPr>
                <w:rFonts w:eastAsia="Calibri"/>
                <w:i/>
                <w:sz w:val="20"/>
                <w:szCs w:val="20"/>
                <w:u w:val="single"/>
              </w:rPr>
              <w:t xml:space="preserve"> et sociale</w:t>
            </w:r>
            <w:r>
              <w:rPr>
                <w:rFonts w:eastAsia="Calibri"/>
                <w:i/>
                <w:sz w:val="20"/>
                <w:szCs w:val="20"/>
                <w:u w:val="single"/>
              </w:rPr>
              <w:t xml:space="preserve"> : </w:t>
            </w:r>
            <w:r>
              <w:rPr>
                <w:rFonts w:eastAsia="Calibri"/>
                <w:sz w:val="20"/>
                <w:szCs w:val="20"/>
              </w:rPr>
              <w:t>une</w:t>
            </w:r>
          </w:p>
          <w:p>
            <w:pPr>
              <w:pStyle w:val="style0"/>
              <w:spacing w:before="60" w:after="60"/>
              <w:jc w:val="both"/>
              <w:rPr>
                <w:rFonts w:eastAsia="Calibri"/>
                <w:sz w:val="20"/>
                <w:szCs w:val="20"/>
              </w:rPr>
            </w:pPr>
            <w:r>
              <w:rPr>
                <w:rFonts w:eastAsia="Calibri"/>
                <w:sz w:val="20"/>
                <w:szCs w:val="20"/>
              </w:rPr>
              <w:t xml:space="preserve">Evaluation Environnementale est </w:t>
            </w:r>
            <w:r>
              <w:rPr>
                <w:rFonts w:eastAsia="Calibri"/>
                <w:sz w:val="20"/>
                <w:szCs w:val="20"/>
              </w:rPr>
              <w:t xml:space="preserve">nécessaire toutefois </w:t>
            </w:r>
            <w:r>
              <w:rPr>
                <w:rFonts w:eastAsia="Calibri"/>
                <w:sz w:val="20"/>
                <w:szCs w:val="20"/>
              </w:rPr>
              <w:t xml:space="preserve">si </w:t>
            </w:r>
            <w:r>
              <w:rPr>
                <w:rFonts w:eastAsia="Calibri"/>
                <w:sz w:val="20"/>
                <w:szCs w:val="20"/>
              </w:rPr>
              <w:t>un</w:t>
            </w:r>
            <w:r>
              <w:rPr>
                <w:rFonts w:eastAsia="Calibri"/>
                <w:sz w:val="20"/>
                <w:szCs w:val="20"/>
              </w:rPr>
              <w:t xml:space="preserve"> </w:t>
            </w:r>
            <w:r>
              <w:rPr>
                <w:rFonts w:eastAsia="Calibri"/>
                <w:sz w:val="20"/>
                <w:szCs w:val="20"/>
              </w:rPr>
              <w:t xml:space="preserve"> projet va probablement connaître des risques et des impacts environnementaux potentiels (négatifs) dans sa zone d’influence</w:t>
            </w:r>
          </w:p>
        </w:tc>
        <w:tc>
          <w:tcPr>
            <w:tcW w:w="4961"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w:t>
            </w:r>
            <w:r>
              <w:rPr>
                <w:rFonts w:eastAsia="Calibri"/>
                <w:sz w:val="20"/>
                <w:szCs w:val="20"/>
              </w:rPr>
              <w:t>006-2013</w:t>
            </w:r>
            <w:r>
              <w:rPr>
                <w:rFonts w:eastAsia="Calibri"/>
                <w:sz w:val="20"/>
                <w:szCs w:val="20"/>
              </w:rPr>
              <w:t xml:space="preserve"> du </w:t>
            </w:r>
            <w:r>
              <w:rPr>
                <w:rFonts w:eastAsia="Calibri"/>
                <w:sz w:val="20"/>
                <w:szCs w:val="20"/>
              </w:rPr>
              <w:t>2</w:t>
            </w:r>
            <w:r>
              <w:rPr>
                <w:rFonts w:eastAsia="Calibri"/>
                <w:sz w:val="20"/>
                <w:szCs w:val="20"/>
              </w:rPr>
              <w:t xml:space="preserve"> </w:t>
            </w:r>
            <w:r>
              <w:rPr>
                <w:rFonts w:eastAsia="Calibri"/>
                <w:sz w:val="20"/>
                <w:szCs w:val="20"/>
              </w:rPr>
              <w:t>avril</w:t>
            </w:r>
            <w:r>
              <w:rPr>
                <w:rFonts w:eastAsia="Calibri"/>
                <w:sz w:val="20"/>
                <w:szCs w:val="20"/>
              </w:rPr>
              <w:t xml:space="preserve"> </w:t>
            </w:r>
            <w:r>
              <w:rPr>
                <w:rFonts w:eastAsia="Calibri"/>
                <w:sz w:val="20"/>
                <w:szCs w:val="20"/>
              </w:rPr>
              <w:t>2013</w:t>
            </w:r>
            <w:r>
              <w:rPr>
                <w:rFonts w:eastAsia="Calibri"/>
                <w:sz w:val="20"/>
                <w:szCs w:val="20"/>
              </w:rPr>
              <w:t xml:space="preserve"> portant Code de l’Environnement et le Décret n°</w:t>
            </w:r>
            <w:r>
              <w:rPr>
                <w:rFonts w:eastAsia="Calibri"/>
                <w:sz w:val="20"/>
                <w:szCs w:val="20"/>
              </w:rPr>
              <w:t>2015</w:t>
            </w:r>
            <w:r>
              <w:rPr>
                <w:rFonts w:eastAsia="Calibri"/>
                <w:sz w:val="20"/>
                <w:szCs w:val="20"/>
              </w:rPr>
              <w:t>-</w:t>
            </w:r>
            <w:r>
              <w:rPr>
                <w:rFonts w:eastAsia="Calibri"/>
                <w:sz w:val="20"/>
                <w:szCs w:val="20"/>
              </w:rPr>
              <w:t>1187</w:t>
            </w:r>
            <w:r>
              <w:rPr>
                <w:rFonts w:eastAsia="Calibri"/>
                <w:sz w:val="20"/>
                <w:szCs w:val="20"/>
              </w:rPr>
              <w:t xml:space="preserve"> du </w:t>
            </w:r>
            <w:r>
              <w:rPr>
                <w:rFonts w:eastAsia="Calibri"/>
                <w:sz w:val="20"/>
                <w:szCs w:val="20"/>
              </w:rPr>
              <w:t>22</w:t>
            </w:r>
            <w:r>
              <w:rPr>
                <w:rFonts w:eastAsia="Calibri"/>
                <w:sz w:val="20"/>
                <w:szCs w:val="20"/>
              </w:rPr>
              <w:t xml:space="preserve"> </w:t>
            </w:r>
            <w:r>
              <w:rPr>
                <w:rFonts w:eastAsia="Calibri"/>
                <w:sz w:val="20"/>
                <w:szCs w:val="20"/>
              </w:rPr>
              <w:t>octo</w:t>
            </w:r>
            <w:r>
              <w:rPr>
                <w:rFonts w:eastAsia="Calibri"/>
                <w:sz w:val="20"/>
                <w:szCs w:val="20"/>
              </w:rPr>
              <w:t xml:space="preserve">bre </w:t>
            </w:r>
            <w:r>
              <w:rPr>
                <w:rFonts w:eastAsia="Calibri"/>
                <w:sz w:val="20"/>
                <w:szCs w:val="20"/>
              </w:rPr>
              <w:t>2015</w:t>
            </w:r>
            <w:r>
              <w:rPr>
                <w:rFonts w:eastAsia="Calibri"/>
                <w:sz w:val="20"/>
                <w:szCs w:val="20"/>
              </w:rPr>
              <w:t xml:space="preserve"> </w:t>
            </w:r>
            <w:r>
              <w:rPr>
                <w:color w:val="000000"/>
                <w:sz w:val="20"/>
                <w:szCs w:val="20"/>
              </w:rPr>
              <w:t>portant conditions et procédures de réalisation et de validation de l’évaluation environnementale stratégique, de l’étude et de la notice d’impact environnemental et social</w:t>
            </w:r>
            <w:r>
              <w:rPr>
                <w:rFonts w:ascii="Garamond" w:cs="Calibri" w:hAnsi="Garamond"/>
                <w:color w:val="000000"/>
              </w:rPr>
              <w:t xml:space="preserve"> </w:t>
            </w:r>
            <w:r>
              <w:rPr>
                <w:rFonts w:eastAsia="Calibri"/>
                <w:sz w:val="20"/>
                <w:szCs w:val="20"/>
              </w:rPr>
              <w:t>des projets de développement impose l'évaluation</w:t>
            </w:r>
            <w:r>
              <w:rPr>
                <w:rFonts w:eastAsia="Calibri"/>
                <w:spacing w:val="2"/>
                <w:sz w:val="20"/>
                <w:szCs w:val="20"/>
              </w:rPr>
              <w:t xml:space="preserve"> environnementale</w:t>
            </w:r>
            <w:r>
              <w:rPr>
                <w:rFonts w:eastAsia="Calibri"/>
                <w:spacing w:val="2"/>
                <w:sz w:val="20"/>
                <w:szCs w:val="20"/>
              </w:rPr>
              <w:t xml:space="preserve"> et sociale </w:t>
            </w:r>
            <w:r>
              <w:rPr>
                <w:rFonts w:eastAsia="Calibri"/>
                <w:sz w:val="20"/>
                <w:szCs w:val="20"/>
              </w:rPr>
              <w:t>à tout projet susceptible de porter atteinte à l’environnement</w:t>
            </w:r>
            <w:r>
              <w:rPr>
                <w:rFonts w:eastAsia="Calibri"/>
                <w:sz w:val="20"/>
                <w:szCs w:val="20"/>
              </w:rPr>
              <w:t>.</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 xml:space="preserve">La loi nationale satisfait cette </w:t>
            </w:r>
            <w:r>
              <w:rPr>
                <w:rFonts w:eastAsia="Calibri"/>
                <w:sz w:val="20"/>
                <w:szCs w:val="20"/>
              </w:rPr>
              <w:t>exigence</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rFonts w:eastAsia="Calibri"/>
                <w:i/>
                <w:sz w:val="20"/>
                <w:szCs w:val="20"/>
                <w:u w:val="single"/>
              </w:rPr>
            </w:pPr>
            <w:r>
              <w:rPr>
                <w:rFonts w:eastAsia="Calibri"/>
                <w:i/>
                <w:sz w:val="20"/>
                <w:szCs w:val="20"/>
                <w:u w:val="single"/>
              </w:rPr>
              <w:t>Catégorie environnementale</w:t>
            </w:r>
          </w:p>
          <w:p>
            <w:pPr>
              <w:pStyle w:val="style0"/>
              <w:spacing w:before="60" w:after="60"/>
              <w:jc w:val="both"/>
              <w:rPr>
                <w:rFonts w:eastAsia="Calibri"/>
                <w:sz w:val="20"/>
                <w:szCs w:val="20"/>
              </w:rPr>
            </w:pPr>
            <w:r>
              <w:rPr>
                <w:rFonts w:eastAsia="Calibri"/>
                <w:sz w:val="20"/>
                <w:szCs w:val="20"/>
              </w:rPr>
              <w:t>les projets sont catégorisés en :</w:t>
            </w:r>
          </w:p>
          <w:p>
            <w:pPr>
              <w:pStyle w:val="style0"/>
              <w:spacing w:before="60" w:after="60"/>
              <w:jc w:val="both"/>
              <w:rPr>
                <w:rFonts w:eastAsia="Calibri"/>
                <w:sz w:val="20"/>
                <w:szCs w:val="20"/>
              </w:rPr>
            </w:pPr>
            <w:r>
              <w:rPr>
                <w:rFonts w:eastAsia="Calibri"/>
                <w:sz w:val="20"/>
                <w:szCs w:val="20"/>
              </w:rPr>
              <w:t>- Catégorie A : impact négatif majeur</w:t>
            </w:r>
          </w:p>
          <w:p>
            <w:pPr>
              <w:pStyle w:val="style0"/>
              <w:spacing w:before="60" w:after="60"/>
              <w:jc w:val="both"/>
              <w:rPr>
                <w:rFonts w:eastAsia="Calibri"/>
                <w:sz w:val="20"/>
                <w:szCs w:val="20"/>
              </w:rPr>
            </w:pPr>
            <w:r>
              <w:rPr>
                <w:rFonts w:eastAsia="Calibri"/>
                <w:sz w:val="20"/>
                <w:szCs w:val="20"/>
              </w:rPr>
              <w:t>-Catégorie B : impact négatif modéré et gérable</w:t>
            </w:r>
          </w:p>
          <w:p>
            <w:pPr>
              <w:pStyle w:val="style0"/>
              <w:spacing w:before="60" w:after="60"/>
              <w:jc w:val="both"/>
              <w:rPr>
                <w:rFonts w:eastAsia="Calibri"/>
                <w:sz w:val="20"/>
                <w:szCs w:val="20"/>
                <w:lang w:val="en-US"/>
              </w:rPr>
            </w:pPr>
            <w:r>
              <w:rPr>
                <w:rFonts w:eastAsia="Calibri"/>
                <w:sz w:val="20"/>
                <w:szCs w:val="20"/>
              </w:rPr>
              <w:t>-Catégorie C : Prescriptions environnementales</w:t>
            </w:r>
          </w:p>
        </w:tc>
        <w:tc>
          <w:tcPr>
            <w:tcW w:w="4961"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w:t>
            </w:r>
            <w:r>
              <w:rPr>
                <w:rFonts w:eastAsia="Calibri"/>
                <w:sz w:val="20"/>
                <w:szCs w:val="20"/>
              </w:rPr>
              <w:t>006-2013</w:t>
            </w:r>
            <w:r>
              <w:rPr>
                <w:rFonts w:eastAsia="Calibri"/>
                <w:sz w:val="20"/>
                <w:szCs w:val="20"/>
              </w:rPr>
              <w:t xml:space="preserve"> du </w:t>
            </w:r>
            <w:r>
              <w:rPr>
                <w:rFonts w:eastAsia="Calibri"/>
                <w:sz w:val="20"/>
                <w:szCs w:val="20"/>
              </w:rPr>
              <w:t>2</w:t>
            </w:r>
            <w:r>
              <w:rPr>
                <w:rFonts w:eastAsia="Calibri"/>
                <w:sz w:val="20"/>
                <w:szCs w:val="20"/>
              </w:rPr>
              <w:t xml:space="preserve"> </w:t>
            </w:r>
            <w:r>
              <w:rPr>
                <w:rFonts w:eastAsia="Calibri"/>
                <w:sz w:val="20"/>
                <w:szCs w:val="20"/>
              </w:rPr>
              <w:t>avril</w:t>
            </w:r>
            <w:r>
              <w:rPr>
                <w:rFonts w:eastAsia="Calibri"/>
                <w:sz w:val="20"/>
                <w:szCs w:val="20"/>
              </w:rPr>
              <w:t xml:space="preserve"> </w:t>
            </w:r>
            <w:r>
              <w:rPr>
                <w:rFonts w:eastAsia="Calibri"/>
                <w:sz w:val="20"/>
                <w:szCs w:val="20"/>
              </w:rPr>
              <w:t>2013</w:t>
            </w:r>
            <w:r>
              <w:rPr>
                <w:rFonts w:eastAsia="Calibri"/>
                <w:sz w:val="20"/>
                <w:szCs w:val="20"/>
              </w:rPr>
              <w:t xml:space="preserve"> portant Code de l’Environnement et le Décret n°</w:t>
            </w:r>
            <w:r>
              <w:rPr>
                <w:rFonts w:eastAsia="Calibri"/>
                <w:sz w:val="20"/>
                <w:szCs w:val="20"/>
              </w:rPr>
              <w:t>2015</w:t>
            </w:r>
            <w:r>
              <w:rPr>
                <w:rFonts w:eastAsia="Calibri"/>
                <w:sz w:val="20"/>
                <w:szCs w:val="20"/>
              </w:rPr>
              <w:t>-</w:t>
            </w:r>
            <w:r>
              <w:rPr>
                <w:rFonts w:eastAsia="Calibri"/>
                <w:sz w:val="20"/>
                <w:szCs w:val="20"/>
              </w:rPr>
              <w:t>1187</w:t>
            </w:r>
            <w:r>
              <w:rPr>
                <w:rFonts w:eastAsia="Calibri"/>
                <w:sz w:val="20"/>
                <w:szCs w:val="20"/>
              </w:rPr>
              <w:t xml:space="preserve"> du </w:t>
            </w:r>
            <w:r>
              <w:rPr>
                <w:rFonts w:eastAsia="Calibri"/>
                <w:sz w:val="20"/>
                <w:szCs w:val="20"/>
              </w:rPr>
              <w:t>22</w:t>
            </w:r>
            <w:r>
              <w:rPr>
                <w:rFonts w:eastAsia="Calibri"/>
                <w:sz w:val="20"/>
                <w:szCs w:val="20"/>
              </w:rPr>
              <w:t xml:space="preserve"> </w:t>
            </w:r>
            <w:r>
              <w:rPr>
                <w:rFonts w:eastAsia="Calibri"/>
                <w:sz w:val="20"/>
                <w:szCs w:val="20"/>
              </w:rPr>
              <w:t>octo</w:t>
            </w:r>
            <w:r>
              <w:rPr>
                <w:rFonts w:eastAsia="Calibri"/>
                <w:sz w:val="20"/>
                <w:szCs w:val="20"/>
              </w:rPr>
              <w:t xml:space="preserve">bre </w:t>
            </w:r>
            <w:r>
              <w:rPr>
                <w:rFonts w:eastAsia="Calibri"/>
                <w:sz w:val="20"/>
                <w:szCs w:val="20"/>
              </w:rPr>
              <w:t>2015</w:t>
            </w:r>
            <w:r>
              <w:rPr>
                <w:rFonts w:eastAsia="Calibri"/>
                <w:sz w:val="20"/>
                <w:szCs w:val="20"/>
              </w:rPr>
              <w:t xml:space="preserve"> </w:t>
            </w:r>
            <w:r>
              <w:rPr>
                <w:color w:val="000000"/>
                <w:sz w:val="20"/>
                <w:szCs w:val="20"/>
              </w:rPr>
              <w:t>portant conditions et procédures de réalisation et de validation de l’évaluation environnementale stratégique, de l’étude et de la notice d’impact environnemental et social</w:t>
            </w:r>
            <w:r>
              <w:rPr>
                <w:rFonts w:ascii="Garamond" w:cs="Calibri" w:hAnsi="Garamond"/>
                <w:color w:val="000000"/>
              </w:rPr>
              <w:t xml:space="preserve"> </w:t>
            </w:r>
            <w:r>
              <w:rPr>
                <w:rFonts w:eastAsia="Calibri"/>
                <w:sz w:val="20"/>
                <w:szCs w:val="20"/>
              </w:rPr>
              <w:t xml:space="preserve">des projets de développement </w:t>
            </w:r>
            <w:r>
              <w:rPr>
                <w:rFonts w:eastAsia="Calibri"/>
                <w:sz w:val="20"/>
                <w:szCs w:val="20"/>
              </w:rPr>
              <w:t>indique</w:t>
            </w:r>
            <w:r>
              <w:rPr>
                <w:rFonts w:eastAsia="Calibri"/>
                <w:sz w:val="20"/>
                <w:szCs w:val="20"/>
              </w:rPr>
              <w:t xml:space="preserve"> les catégorisations suivantes :</w:t>
            </w:r>
          </w:p>
          <w:p>
            <w:pPr>
              <w:pStyle w:val="style0"/>
              <w:spacing w:before="60" w:after="60"/>
              <w:jc w:val="both"/>
              <w:rPr>
                <w:rFonts w:eastAsia="Calibri"/>
                <w:sz w:val="20"/>
                <w:szCs w:val="20"/>
              </w:rPr>
            </w:pPr>
            <w:r>
              <w:rPr>
                <w:rFonts w:eastAsia="Calibri"/>
                <w:sz w:val="20"/>
                <w:szCs w:val="20"/>
              </w:rPr>
              <w:t xml:space="preserve">- - Catégorie A : </w:t>
            </w:r>
            <w:r>
              <w:rPr>
                <w:rFonts w:eastAsia="Calibri"/>
                <w:sz w:val="20"/>
                <w:szCs w:val="20"/>
              </w:rPr>
              <w:t>projet soumis à Etude d’Impact Environnemental et Social</w:t>
            </w:r>
          </w:p>
          <w:p>
            <w:pPr>
              <w:pStyle w:val="style0"/>
              <w:spacing w:before="60" w:after="60"/>
              <w:jc w:val="both"/>
              <w:rPr>
                <w:rFonts w:eastAsia="Calibri"/>
                <w:sz w:val="20"/>
                <w:szCs w:val="20"/>
              </w:rPr>
            </w:pPr>
            <w:r>
              <w:rPr>
                <w:rFonts w:eastAsia="Calibri"/>
                <w:sz w:val="20"/>
                <w:szCs w:val="20"/>
              </w:rPr>
              <w:t>- Catégorie B :</w:t>
            </w:r>
            <w:r>
              <w:rPr>
                <w:rFonts w:eastAsia="Calibri"/>
                <w:sz w:val="20"/>
                <w:szCs w:val="20"/>
              </w:rPr>
              <w:t xml:space="preserve"> projet soumis à Notice d’impact Environnemental et Social</w:t>
            </w:r>
          </w:p>
          <w:p>
            <w:pPr>
              <w:pStyle w:val="style0"/>
              <w:spacing w:before="60" w:after="60"/>
              <w:jc w:val="both"/>
              <w:rPr>
                <w:rFonts w:eastAsia="Calibri"/>
                <w:sz w:val="20"/>
                <w:szCs w:val="20"/>
              </w:rPr>
            </w:pPr>
            <w:r>
              <w:rPr>
                <w:rFonts w:eastAsia="Calibri"/>
                <w:sz w:val="20"/>
                <w:szCs w:val="20"/>
              </w:rPr>
              <w:t>-Catégorie C : Prescriptions environnementales.</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 xml:space="preserve">La loi nationale satisfait cette </w:t>
            </w:r>
            <w:r>
              <w:rPr>
                <w:rFonts w:eastAsia="Calibri"/>
                <w:sz w:val="20"/>
                <w:szCs w:val="20"/>
              </w:rPr>
              <w:t>exigence. Les critères de catégorisation sont très détaillés dans le système national.</w:t>
            </w:r>
            <w:r>
              <w:rPr>
                <w:rFonts w:eastAsia="Calibri"/>
                <w:sz w:val="20"/>
                <w:szCs w:val="20"/>
              </w:rPr>
              <w:t xml:space="preserve"> </w:t>
            </w:r>
          </w:p>
          <w:p>
            <w:pPr>
              <w:pStyle w:val="style0"/>
              <w:spacing w:before="60" w:after="60"/>
              <w:jc w:val="both"/>
              <w:rPr>
                <w:rFonts w:eastAsia="Calibri"/>
                <w:sz w:val="20"/>
                <w:szCs w:val="20"/>
              </w:rPr>
            </w:pPr>
          </w:p>
          <w:p>
            <w:pPr>
              <w:pStyle w:val="style0"/>
              <w:spacing w:before="60" w:after="60"/>
              <w:jc w:val="both"/>
              <w:rPr>
                <w:rFonts w:eastAsia="Calibri"/>
                <w:sz w:val="20"/>
                <w:szCs w:val="20"/>
              </w:rPr>
            </w:pP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tabs>
                <w:tab w:val="center" w:leader="none" w:pos="4320"/>
                <w:tab w:val="right" w:leader="none" w:pos="8640"/>
              </w:tabs>
              <w:spacing w:before="60" w:after="60"/>
              <w:jc w:val="both"/>
              <w:rPr>
                <w:rFonts w:eastAsia="Calibri"/>
                <w:sz w:val="20"/>
                <w:szCs w:val="20"/>
              </w:rPr>
            </w:pPr>
            <w:r>
              <w:rPr>
                <w:rFonts w:eastAsia="Calibri"/>
                <w:i/>
                <w:sz w:val="20"/>
                <w:szCs w:val="20"/>
                <w:u w:val="single"/>
              </w:rPr>
              <w:t>Participation publique</w:t>
            </w:r>
            <w:r>
              <w:rPr>
                <w:rFonts w:eastAsia="Calibri"/>
                <w:sz w:val="20"/>
                <w:szCs w:val="20"/>
              </w:rPr>
              <w:t> </w:t>
            </w:r>
          </w:p>
          <w:p>
            <w:pPr>
              <w:pStyle w:val="style0"/>
              <w:spacing w:before="60" w:after="60"/>
              <w:jc w:val="both"/>
              <w:rPr>
                <w:rFonts w:eastAsia="Calibri"/>
                <w:sz w:val="20"/>
                <w:szCs w:val="20"/>
              </w:rPr>
            </w:pPr>
            <w:r>
              <w:rPr>
                <w:rFonts w:eastAsia="Calibri"/>
                <w:sz w:val="20"/>
                <w:szCs w:val="20"/>
              </w:rPr>
              <w:t>T</w:t>
            </w:r>
            <w:r>
              <w:rPr>
                <w:rFonts w:eastAsia="Calibri"/>
                <w:sz w:val="20"/>
                <w:szCs w:val="20"/>
              </w:rPr>
              <w:t>ous les projets de Catégorie A et B, les groupes affectés par le projet et les ONG locales sont consultés sur les aspects environnementaux du projet. Elle insiste également sur le fait que leurs points de vue doivent être pris en compte. Pour les projets de catégorie B, ces groupes sont consultés au moins à deux reprises : a) peu de temps après l’examen environnemental préalable et avant la finalisation des termes de référence de l’EIE ; et b) une fois établi le projet de rapport d’EIE. Par ailleurs, ces groupes sont consultés tout au long de l’exécution du projet, en tant que de besoin.</w:t>
            </w:r>
          </w:p>
        </w:tc>
        <w:tc>
          <w:tcPr>
            <w:tcW w:w="4961" w:type="dxa"/>
            <w:tcBorders/>
            <w:shd w:val="clear" w:color="auto" w:fill="auto"/>
            <w:vAlign w:val="center"/>
          </w:tcPr>
          <w:p>
            <w:pPr>
              <w:pStyle w:val="style0"/>
              <w:spacing w:before="60" w:after="60"/>
              <w:jc w:val="both"/>
              <w:rPr>
                <w:rFonts w:eastAsia="Calibri"/>
                <w:sz w:val="20"/>
                <w:szCs w:val="20"/>
              </w:rPr>
            </w:pPr>
            <w:r>
              <w:rPr>
                <w:rFonts w:eastAsia="Calibri"/>
                <w:sz w:val="20"/>
                <w:szCs w:val="20"/>
              </w:rPr>
              <w:t>Décret n°</w:t>
            </w:r>
            <w:r>
              <w:rPr>
                <w:rFonts w:eastAsia="Calibri"/>
                <w:sz w:val="20"/>
                <w:szCs w:val="20"/>
              </w:rPr>
              <w:t>2015</w:t>
            </w:r>
            <w:r>
              <w:rPr>
                <w:rFonts w:eastAsia="Calibri"/>
                <w:sz w:val="20"/>
                <w:szCs w:val="20"/>
              </w:rPr>
              <w:t>-</w:t>
            </w:r>
            <w:r>
              <w:rPr>
                <w:rFonts w:eastAsia="Calibri"/>
                <w:sz w:val="20"/>
                <w:szCs w:val="20"/>
              </w:rPr>
              <w:t>1187</w:t>
            </w:r>
            <w:r>
              <w:rPr>
                <w:rFonts w:eastAsia="Calibri"/>
                <w:sz w:val="20"/>
                <w:szCs w:val="20"/>
              </w:rPr>
              <w:t xml:space="preserve"> du </w:t>
            </w:r>
            <w:r>
              <w:rPr>
                <w:rFonts w:eastAsia="Calibri"/>
                <w:sz w:val="20"/>
                <w:szCs w:val="20"/>
              </w:rPr>
              <w:t>22</w:t>
            </w:r>
            <w:r>
              <w:rPr>
                <w:rFonts w:eastAsia="Calibri"/>
                <w:sz w:val="20"/>
                <w:szCs w:val="20"/>
              </w:rPr>
              <w:t xml:space="preserve"> </w:t>
            </w:r>
            <w:r>
              <w:rPr>
                <w:rFonts w:eastAsia="Calibri"/>
                <w:sz w:val="20"/>
                <w:szCs w:val="20"/>
              </w:rPr>
              <w:t>octo</w:t>
            </w:r>
            <w:r>
              <w:rPr>
                <w:rFonts w:eastAsia="Calibri"/>
                <w:sz w:val="20"/>
                <w:szCs w:val="20"/>
              </w:rPr>
              <w:t xml:space="preserve">bre </w:t>
            </w:r>
            <w:r>
              <w:rPr>
                <w:rFonts w:eastAsia="Calibri"/>
                <w:sz w:val="20"/>
                <w:szCs w:val="20"/>
              </w:rPr>
              <w:t>2015</w:t>
            </w:r>
            <w:r>
              <w:rPr>
                <w:rFonts w:eastAsia="Calibri"/>
                <w:sz w:val="20"/>
                <w:szCs w:val="20"/>
              </w:rPr>
              <w:t xml:space="preserve"> </w:t>
            </w:r>
            <w:r>
              <w:rPr>
                <w:color w:val="000000"/>
                <w:sz w:val="20"/>
                <w:szCs w:val="20"/>
              </w:rPr>
              <w:t>portant conditions et procédures de réalisation et de validation de l’évaluation environnementale stratégique, de l’étude et de la notice d’impact environnemental et social</w:t>
            </w:r>
            <w:r>
              <w:rPr>
                <w:rFonts w:ascii="Garamond" w:cs="Calibri" w:hAnsi="Garamond"/>
                <w:color w:val="000000"/>
              </w:rPr>
              <w:t xml:space="preserve"> </w:t>
            </w:r>
            <w:r>
              <w:rPr>
                <w:rFonts w:eastAsia="Calibri"/>
                <w:sz w:val="20"/>
                <w:szCs w:val="20"/>
              </w:rPr>
              <w:t>des projets de développement</w:t>
            </w:r>
            <w:r>
              <w:rPr>
                <w:rFonts w:eastAsia="Calibri"/>
                <w:b/>
                <w:bCs/>
                <w:color w:val="000000"/>
                <w:spacing w:val="4"/>
                <w:sz w:val="20"/>
                <w:szCs w:val="20"/>
              </w:rPr>
              <w:t xml:space="preserve"> </w:t>
            </w:r>
            <w:r>
              <w:rPr>
                <w:rFonts w:eastAsia="Calibri"/>
                <w:b/>
                <w:bCs/>
                <w:color w:val="000000"/>
                <w:spacing w:val="4"/>
                <w:sz w:val="20"/>
                <w:szCs w:val="20"/>
              </w:rPr>
              <w:t>:</w:t>
            </w:r>
          </w:p>
          <w:p>
            <w:pPr>
              <w:pStyle w:val="style0"/>
              <w:spacing w:before="60" w:after="60"/>
              <w:jc w:val="both"/>
              <w:rPr>
                <w:rFonts w:eastAsia="Calibri"/>
                <w:b/>
                <w:bCs/>
                <w:color w:val="000000"/>
                <w:sz w:val="20"/>
                <w:szCs w:val="20"/>
              </w:rPr>
            </w:pPr>
          </w:p>
          <w:p>
            <w:pPr>
              <w:pStyle w:val="style0"/>
              <w:autoSpaceDE w:val="false"/>
              <w:autoSpaceDN w:val="false"/>
              <w:adjustRightInd w:val="false"/>
              <w:jc w:val="both"/>
              <w:rPr>
                <w:rFonts w:eastAsia="Calibri"/>
                <w:sz w:val="20"/>
                <w:szCs w:val="20"/>
              </w:rPr>
            </w:pPr>
            <w:r>
              <w:rPr>
                <w:rFonts w:eastAsia="Calibri"/>
                <w:b/>
                <w:bCs/>
                <w:color w:val="000000"/>
                <w:sz w:val="20"/>
                <w:szCs w:val="20"/>
              </w:rPr>
              <w:t xml:space="preserve">Article </w:t>
            </w:r>
            <w:r>
              <w:rPr>
                <w:rFonts w:eastAsia="Calibri"/>
                <w:b/>
                <w:bCs/>
                <w:color w:val="000000"/>
                <w:sz w:val="20"/>
                <w:szCs w:val="20"/>
              </w:rPr>
              <w:t>12</w:t>
            </w:r>
            <w:r>
              <w:rPr>
                <w:rFonts w:eastAsia="Calibri"/>
                <w:b/>
                <w:bCs/>
                <w:color w:val="000000"/>
                <w:sz w:val="20"/>
                <w:szCs w:val="20"/>
              </w:rPr>
              <w:t xml:space="preserve"> </w:t>
            </w:r>
            <w:r>
              <w:rPr>
                <w:rFonts w:eastAsia="Calibri"/>
                <w:color w:val="000000"/>
                <w:sz w:val="20"/>
                <w:szCs w:val="20"/>
              </w:rPr>
              <w:t xml:space="preserve">: </w:t>
            </w:r>
            <w:r>
              <w:rPr>
                <w:rFonts w:eastAsia="Calibri"/>
                <w:color w:val="243333"/>
                <w:sz w:val="20"/>
                <w:szCs w:val="20"/>
                <w:lang w:eastAsia="en-US"/>
              </w:rPr>
              <w:t>Tout initiateur de politique</w:t>
            </w:r>
            <w:r>
              <w:rPr>
                <w:rFonts w:eastAsia="Calibri"/>
                <w:color w:val="3b4b4c"/>
                <w:sz w:val="20"/>
                <w:szCs w:val="20"/>
                <w:lang w:eastAsia="en-US"/>
              </w:rPr>
              <w:t xml:space="preserve">s, </w:t>
            </w:r>
            <w:r>
              <w:rPr>
                <w:rFonts w:eastAsia="Calibri"/>
                <w:color w:val="243333"/>
                <w:sz w:val="20"/>
                <w:szCs w:val="20"/>
                <w:lang w:eastAsia="en-US"/>
              </w:rPr>
              <w:t>plans</w:t>
            </w:r>
            <w:r>
              <w:rPr>
                <w:rFonts w:eastAsia="Calibri"/>
                <w:color w:val="637375"/>
                <w:sz w:val="20"/>
                <w:szCs w:val="20"/>
                <w:lang w:eastAsia="en-US"/>
              </w:rPr>
              <w:t xml:space="preserve">, </w:t>
            </w:r>
            <w:r>
              <w:rPr>
                <w:rFonts w:eastAsia="Calibri"/>
                <w:color w:val="243333"/>
                <w:sz w:val="20"/>
                <w:szCs w:val="20"/>
                <w:lang w:eastAsia="en-US"/>
              </w:rPr>
              <w:t>projets</w:t>
            </w:r>
            <w:r>
              <w:rPr>
                <w:rFonts w:eastAsia="Calibri"/>
                <w:color w:val="3b4b4c"/>
                <w:sz w:val="20"/>
                <w:szCs w:val="20"/>
                <w:lang w:eastAsia="en-US"/>
              </w:rPr>
              <w:t xml:space="preserve">, </w:t>
            </w:r>
            <w:r>
              <w:rPr>
                <w:rFonts w:eastAsia="Calibri"/>
                <w:color w:val="243333"/>
                <w:sz w:val="20"/>
                <w:szCs w:val="20"/>
                <w:lang w:eastAsia="en-US"/>
              </w:rPr>
              <w:t>prog</w:t>
            </w:r>
            <w:r>
              <w:rPr>
                <w:rFonts w:eastAsia="Calibri"/>
                <w:color w:val="3b4b4c"/>
                <w:sz w:val="20"/>
                <w:szCs w:val="20"/>
                <w:lang w:eastAsia="en-US"/>
              </w:rPr>
              <w:t>r</w:t>
            </w:r>
            <w:r>
              <w:rPr>
                <w:rFonts w:eastAsia="Calibri"/>
                <w:color w:val="243333"/>
                <w:sz w:val="20"/>
                <w:szCs w:val="20"/>
                <w:lang w:eastAsia="en-US"/>
              </w:rPr>
              <w:t>ammes</w:t>
            </w:r>
            <w:r>
              <w:rPr>
                <w:rFonts w:eastAsia="Calibri"/>
                <w:color w:val="3b4b4c"/>
                <w:sz w:val="20"/>
                <w:szCs w:val="20"/>
                <w:lang w:eastAsia="en-US"/>
              </w:rPr>
              <w:t xml:space="preserve">, </w:t>
            </w:r>
            <w:r>
              <w:rPr>
                <w:rFonts w:eastAsia="Calibri"/>
                <w:color w:val="243333"/>
                <w:sz w:val="20"/>
                <w:szCs w:val="20"/>
                <w:lang w:eastAsia="en-US"/>
              </w:rPr>
              <w:t>t</w:t>
            </w:r>
            <w:r>
              <w:rPr>
                <w:rFonts w:eastAsia="Calibri"/>
                <w:color w:val="3b4b4c"/>
                <w:sz w:val="20"/>
                <w:szCs w:val="20"/>
                <w:lang w:eastAsia="en-US"/>
              </w:rPr>
              <w:t>r</w:t>
            </w:r>
            <w:r>
              <w:rPr>
                <w:rFonts w:eastAsia="Calibri"/>
                <w:color w:val="243333"/>
                <w:sz w:val="20"/>
                <w:szCs w:val="20"/>
                <w:lang w:eastAsia="en-US"/>
              </w:rPr>
              <w:t>a</w:t>
            </w:r>
            <w:r>
              <w:rPr>
                <w:rFonts w:eastAsia="Calibri"/>
                <w:color w:val="3b4b4c"/>
                <w:sz w:val="20"/>
                <w:szCs w:val="20"/>
                <w:lang w:eastAsia="en-US"/>
              </w:rPr>
              <w:t>v</w:t>
            </w:r>
            <w:r>
              <w:rPr>
                <w:rFonts w:eastAsia="Calibri"/>
                <w:color w:val="243333"/>
                <w:sz w:val="20"/>
                <w:szCs w:val="20"/>
                <w:lang w:eastAsia="en-US"/>
              </w:rPr>
              <w:t>au</w:t>
            </w:r>
            <w:r>
              <w:rPr>
                <w:rFonts w:eastAsia="Calibri"/>
                <w:color w:val="3b4b4c"/>
                <w:sz w:val="20"/>
                <w:szCs w:val="20"/>
                <w:lang w:eastAsia="en-US"/>
              </w:rPr>
              <w:t>x,</w:t>
            </w:r>
            <w:r>
              <w:rPr>
                <w:rFonts w:eastAsia="Calibri"/>
                <w:color w:val="3b4b4c"/>
                <w:sz w:val="20"/>
                <w:szCs w:val="20"/>
                <w:lang w:eastAsia="en-US"/>
              </w:rPr>
              <w:t xml:space="preserve"> </w:t>
            </w:r>
            <w:r>
              <w:rPr>
                <w:rFonts w:eastAsia="Calibri"/>
                <w:color w:val="243333"/>
                <w:sz w:val="20"/>
                <w:szCs w:val="20"/>
                <w:lang w:eastAsia="en-US"/>
              </w:rPr>
              <w:t>ouvrages</w:t>
            </w:r>
            <w:r>
              <w:rPr>
                <w:rFonts w:eastAsia="Calibri"/>
                <w:color w:val="637375"/>
                <w:sz w:val="20"/>
                <w:szCs w:val="20"/>
                <w:lang w:eastAsia="en-US"/>
              </w:rPr>
              <w:t xml:space="preserve">, </w:t>
            </w:r>
            <w:r>
              <w:rPr>
                <w:rFonts w:eastAsia="Calibri"/>
                <w:color w:val="243333"/>
                <w:sz w:val="20"/>
                <w:szCs w:val="20"/>
                <w:lang w:eastAsia="en-US"/>
              </w:rPr>
              <w:t>aménagements</w:t>
            </w:r>
            <w:r>
              <w:rPr>
                <w:rFonts w:eastAsia="Calibri"/>
                <w:color w:val="637375"/>
                <w:sz w:val="20"/>
                <w:szCs w:val="20"/>
                <w:lang w:eastAsia="en-US"/>
              </w:rPr>
              <w:t xml:space="preserve">, </w:t>
            </w:r>
            <w:r>
              <w:rPr>
                <w:rFonts w:eastAsia="Calibri"/>
                <w:color w:val="243333"/>
                <w:sz w:val="20"/>
                <w:szCs w:val="20"/>
                <w:lang w:eastAsia="en-US"/>
              </w:rPr>
              <w:t>acti</w:t>
            </w:r>
            <w:r>
              <w:rPr>
                <w:rFonts w:eastAsia="Calibri"/>
                <w:color w:val="3b4b4c"/>
                <w:sz w:val="20"/>
                <w:szCs w:val="20"/>
                <w:lang w:eastAsia="en-US"/>
              </w:rPr>
              <w:t>v</w:t>
            </w:r>
            <w:r>
              <w:rPr>
                <w:rFonts w:eastAsia="Calibri"/>
                <w:color w:val="243333"/>
                <w:sz w:val="20"/>
                <w:szCs w:val="20"/>
                <w:lang w:eastAsia="en-US"/>
              </w:rPr>
              <w:t>ités ou toute autre initiat</w:t>
            </w:r>
            <w:r>
              <w:rPr>
                <w:rFonts w:eastAsia="Calibri"/>
                <w:color w:val="3b4b4c"/>
                <w:sz w:val="20"/>
                <w:szCs w:val="20"/>
                <w:lang w:eastAsia="en-US"/>
              </w:rPr>
              <w:t>ive</w:t>
            </w:r>
            <w:r>
              <w:rPr>
                <w:rFonts w:eastAsia="Calibri"/>
                <w:color w:val="3b4b4c"/>
                <w:sz w:val="20"/>
                <w:szCs w:val="20"/>
                <w:lang w:eastAsia="en-US"/>
              </w:rPr>
              <w:t xml:space="preserve"> </w:t>
            </w:r>
            <w:r>
              <w:rPr>
                <w:rFonts w:eastAsia="Calibri"/>
                <w:color w:val="243333"/>
                <w:sz w:val="20"/>
                <w:szCs w:val="20"/>
                <w:lang w:eastAsia="en-US"/>
              </w:rPr>
              <w:t>susceptibles d</w:t>
            </w:r>
            <w:r>
              <w:rPr>
                <w:rFonts w:eastAsia="Calibri"/>
                <w:color w:val="3b4b4c"/>
                <w:sz w:val="20"/>
                <w:szCs w:val="20"/>
                <w:lang w:eastAsia="en-US"/>
              </w:rPr>
              <w:t>'</w:t>
            </w:r>
            <w:r>
              <w:rPr>
                <w:rFonts w:eastAsia="Calibri"/>
                <w:color w:val="243333"/>
                <w:sz w:val="20"/>
                <w:szCs w:val="20"/>
                <w:lang w:eastAsia="en-US"/>
              </w:rPr>
              <w:t>a</w:t>
            </w:r>
            <w:r>
              <w:rPr>
                <w:rFonts w:eastAsia="Calibri"/>
                <w:color w:val="3b4b4c"/>
                <w:sz w:val="20"/>
                <w:szCs w:val="20"/>
                <w:lang w:eastAsia="en-US"/>
              </w:rPr>
              <w:t>v</w:t>
            </w:r>
            <w:r>
              <w:rPr>
                <w:rFonts w:eastAsia="Calibri"/>
                <w:color w:val="243333"/>
                <w:sz w:val="20"/>
                <w:szCs w:val="20"/>
                <w:lang w:eastAsia="en-US"/>
              </w:rPr>
              <w:t>oir des impacts significa</w:t>
            </w:r>
            <w:r>
              <w:rPr>
                <w:rFonts w:eastAsia="Calibri"/>
                <w:color w:val="3b4b4c"/>
                <w:sz w:val="20"/>
                <w:szCs w:val="20"/>
                <w:lang w:eastAsia="en-US"/>
              </w:rPr>
              <w:t>t</w:t>
            </w:r>
            <w:r>
              <w:rPr>
                <w:rFonts w:eastAsia="Calibri"/>
                <w:color w:val="243333"/>
                <w:sz w:val="20"/>
                <w:szCs w:val="20"/>
                <w:lang w:eastAsia="en-US"/>
              </w:rPr>
              <w:t>ifs sur l'en</w:t>
            </w:r>
            <w:r>
              <w:rPr>
                <w:rFonts w:eastAsia="Calibri"/>
                <w:color w:val="3b4b4c"/>
                <w:sz w:val="20"/>
                <w:szCs w:val="20"/>
                <w:lang w:eastAsia="en-US"/>
              </w:rPr>
              <w:t>v</w:t>
            </w:r>
            <w:r>
              <w:rPr>
                <w:rFonts w:eastAsia="Calibri"/>
                <w:color w:val="243333"/>
                <w:sz w:val="20"/>
                <w:szCs w:val="20"/>
                <w:lang w:eastAsia="en-US"/>
              </w:rPr>
              <w:t>ironnement</w:t>
            </w:r>
            <w:r>
              <w:rPr>
                <w:rFonts w:eastAsia="Calibri"/>
                <w:color w:val="243333"/>
                <w:sz w:val="20"/>
                <w:szCs w:val="20"/>
                <w:lang w:eastAsia="en-US"/>
              </w:rPr>
              <w:t xml:space="preserve"> </w:t>
            </w:r>
            <w:r>
              <w:rPr>
                <w:rFonts w:eastAsia="Calibri"/>
                <w:color w:val="243333"/>
                <w:sz w:val="20"/>
                <w:szCs w:val="20"/>
                <w:lang w:eastAsia="en-US"/>
              </w:rPr>
              <w:t>informe par tout moyen approprié</w:t>
            </w:r>
            <w:r>
              <w:rPr>
                <w:rFonts w:eastAsia="Calibri"/>
                <w:color w:val="3b4b4c"/>
                <w:sz w:val="20"/>
                <w:szCs w:val="20"/>
                <w:lang w:eastAsia="en-US"/>
              </w:rPr>
              <w:t xml:space="preserve">, </w:t>
            </w:r>
            <w:r>
              <w:rPr>
                <w:rFonts w:eastAsia="Calibri"/>
                <w:color w:val="243333"/>
                <w:sz w:val="20"/>
                <w:szCs w:val="20"/>
                <w:lang w:eastAsia="en-US"/>
              </w:rPr>
              <w:t>l'autorit</w:t>
            </w:r>
            <w:r>
              <w:rPr>
                <w:rFonts w:eastAsia="Calibri"/>
                <w:color w:val="3b4b4c"/>
                <w:sz w:val="20"/>
                <w:szCs w:val="20"/>
                <w:lang w:eastAsia="en-US"/>
              </w:rPr>
              <w:t xml:space="preserve">é </w:t>
            </w:r>
            <w:r>
              <w:rPr>
                <w:rFonts w:eastAsia="Calibri"/>
                <w:color w:val="243333"/>
                <w:sz w:val="20"/>
                <w:szCs w:val="20"/>
                <w:lang w:eastAsia="en-US"/>
              </w:rPr>
              <w:t>administrative locale et</w:t>
            </w:r>
            <w:r>
              <w:rPr>
                <w:rFonts w:eastAsia="Calibri"/>
                <w:color w:val="243333"/>
                <w:sz w:val="20"/>
                <w:szCs w:val="20"/>
                <w:lang w:eastAsia="en-US"/>
              </w:rPr>
              <w:t xml:space="preserve"> </w:t>
            </w:r>
            <w:r>
              <w:rPr>
                <w:rFonts w:eastAsia="Calibri"/>
                <w:color w:val="243333"/>
                <w:sz w:val="20"/>
                <w:szCs w:val="20"/>
                <w:lang w:eastAsia="en-US"/>
              </w:rPr>
              <w:t>la population du lieu d'implantation du projet envisagé d</w:t>
            </w:r>
            <w:r>
              <w:rPr>
                <w:rFonts w:eastAsia="Calibri"/>
                <w:color w:val="3b4b4c"/>
                <w:sz w:val="20"/>
                <w:szCs w:val="20"/>
                <w:lang w:eastAsia="en-US"/>
              </w:rPr>
              <w:t xml:space="preserve">e </w:t>
            </w:r>
            <w:r>
              <w:rPr>
                <w:rFonts w:eastAsia="Calibri"/>
                <w:color w:val="243333"/>
                <w:sz w:val="20"/>
                <w:szCs w:val="20"/>
                <w:lang w:eastAsia="en-US"/>
              </w:rPr>
              <w:t>la</w:t>
            </w:r>
            <w:r>
              <w:rPr>
                <w:rFonts w:eastAsia="Calibri"/>
                <w:color w:val="243333"/>
                <w:sz w:val="20"/>
                <w:szCs w:val="20"/>
                <w:lang w:eastAsia="en-US"/>
              </w:rPr>
              <w:t xml:space="preserve"> </w:t>
            </w:r>
            <w:r>
              <w:rPr>
                <w:rFonts w:eastAsia="Calibri"/>
                <w:color w:val="243333"/>
                <w:sz w:val="20"/>
                <w:szCs w:val="20"/>
                <w:lang w:eastAsia="en-US"/>
              </w:rPr>
              <w:t>réalisation de l'</w:t>
            </w:r>
            <w:r>
              <w:rPr>
                <w:rFonts w:eastAsia="Calibri"/>
                <w:color w:val="3b4b4c"/>
                <w:sz w:val="20"/>
                <w:szCs w:val="20"/>
                <w:lang w:eastAsia="en-US"/>
              </w:rPr>
              <w:t>év</w:t>
            </w:r>
            <w:r>
              <w:rPr>
                <w:rFonts w:eastAsia="Calibri"/>
                <w:color w:val="243333"/>
                <w:sz w:val="20"/>
                <w:szCs w:val="20"/>
                <w:lang w:eastAsia="en-US"/>
              </w:rPr>
              <w:t>aluation environnem</w:t>
            </w:r>
            <w:r>
              <w:rPr>
                <w:rFonts w:eastAsia="Calibri"/>
                <w:color w:val="3b4b4c"/>
                <w:sz w:val="20"/>
                <w:szCs w:val="20"/>
                <w:lang w:eastAsia="en-US"/>
              </w:rPr>
              <w:t>e</w:t>
            </w:r>
            <w:r>
              <w:rPr>
                <w:rFonts w:eastAsia="Calibri"/>
                <w:color w:val="243333"/>
                <w:sz w:val="20"/>
                <w:szCs w:val="20"/>
                <w:lang w:eastAsia="en-US"/>
              </w:rPr>
              <w:t>ntal</w:t>
            </w:r>
            <w:r>
              <w:rPr>
                <w:rFonts w:eastAsia="Calibri"/>
                <w:color w:val="3b4b4c"/>
                <w:sz w:val="20"/>
                <w:szCs w:val="20"/>
                <w:lang w:eastAsia="en-US"/>
              </w:rPr>
              <w:t xml:space="preserve">e </w:t>
            </w:r>
            <w:r>
              <w:rPr>
                <w:rFonts w:eastAsia="Calibri"/>
                <w:color w:val="243333"/>
                <w:sz w:val="20"/>
                <w:szCs w:val="20"/>
                <w:lang w:eastAsia="en-US"/>
              </w:rPr>
              <w:t>s</w:t>
            </w:r>
            <w:r>
              <w:rPr>
                <w:rFonts w:eastAsia="Calibri"/>
                <w:color w:val="3b4b4c"/>
                <w:sz w:val="20"/>
                <w:szCs w:val="20"/>
                <w:lang w:eastAsia="en-US"/>
              </w:rPr>
              <w:t>t</w:t>
            </w:r>
            <w:r>
              <w:rPr>
                <w:rFonts w:eastAsia="Calibri"/>
                <w:color w:val="243333"/>
                <w:sz w:val="20"/>
                <w:szCs w:val="20"/>
                <w:lang w:eastAsia="en-US"/>
              </w:rPr>
              <w:t>ratégique</w:t>
            </w:r>
            <w:r>
              <w:rPr>
                <w:rFonts w:eastAsia="Calibri"/>
                <w:color w:val="3b4b4c"/>
                <w:sz w:val="20"/>
                <w:szCs w:val="20"/>
                <w:lang w:eastAsia="en-US"/>
              </w:rPr>
              <w:t xml:space="preserve">, </w:t>
            </w:r>
            <w:r>
              <w:rPr>
                <w:rFonts w:eastAsia="Calibri"/>
                <w:color w:val="243333"/>
                <w:sz w:val="20"/>
                <w:szCs w:val="20"/>
                <w:lang w:eastAsia="en-US"/>
              </w:rPr>
              <w:t>de l</w:t>
            </w:r>
            <w:r>
              <w:rPr>
                <w:rFonts w:eastAsia="Calibri"/>
                <w:color w:val="3b4b4c"/>
                <w:sz w:val="20"/>
                <w:szCs w:val="20"/>
                <w:lang w:eastAsia="en-US"/>
              </w:rPr>
              <w:t>'</w:t>
            </w:r>
            <w:r>
              <w:rPr>
                <w:rFonts w:eastAsia="Calibri"/>
                <w:color w:val="243333"/>
                <w:sz w:val="20"/>
                <w:szCs w:val="20"/>
                <w:lang w:eastAsia="en-US"/>
              </w:rPr>
              <w:t>étud</w:t>
            </w:r>
            <w:r>
              <w:rPr>
                <w:rFonts w:eastAsia="Calibri"/>
                <w:color w:val="3b4b4c"/>
                <w:sz w:val="20"/>
                <w:szCs w:val="20"/>
                <w:lang w:eastAsia="en-US"/>
              </w:rPr>
              <w:t>e</w:t>
            </w:r>
            <w:r>
              <w:rPr>
                <w:rFonts w:eastAsia="Calibri"/>
                <w:color w:val="3b4b4c"/>
                <w:sz w:val="20"/>
                <w:szCs w:val="20"/>
                <w:lang w:eastAsia="en-US"/>
              </w:rPr>
              <w:t xml:space="preserve"> </w:t>
            </w:r>
            <w:r>
              <w:rPr>
                <w:rFonts w:eastAsia="Calibri"/>
                <w:color w:val="243333"/>
                <w:sz w:val="20"/>
                <w:szCs w:val="20"/>
                <w:lang w:eastAsia="en-US"/>
              </w:rPr>
              <w:t>ou de la notice d</w:t>
            </w:r>
            <w:r>
              <w:rPr>
                <w:rFonts w:eastAsia="Calibri"/>
                <w:color w:val="3b4b4c"/>
                <w:sz w:val="20"/>
                <w:szCs w:val="20"/>
                <w:lang w:eastAsia="en-US"/>
              </w:rPr>
              <w:t>'</w:t>
            </w:r>
            <w:r>
              <w:rPr>
                <w:rFonts w:eastAsia="Calibri"/>
                <w:color w:val="243333"/>
                <w:sz w:val="20"/>
                <w:szCs w:val="20"/>
                <w:lang w:eastAsia="en-US"/>
              </w:rPr>
              <w:t>impact environnemental et social</w:t>
            </w:r>
            <w:r>
              <w:rPr>
                <w:rFonts w:eastAsia="Calibri"/>
                <w:color w:val="000000"/>
                <w:sz w:val="20"/>
                <w:szCs w:val="20"/>
                <w:lang w:eastAsia="en-US"/>
              </w:rPr>
              <w:t>.</w:t>
            </w:r>
            <w:r>
              <w:rPr>
                <w:rFonts w:eastAsia="Calibri"/>
                <w:sz w:val="20"/>
                <w:szCs w:val="20"/>
              </w:rPr>
              <w:t xml:space="preserve"> </w:t>
            </w:r>
          </w:p>
          <w:p>
            <w:pPr>
              <w:pStyle w:val="style0"/>
              <w:autoSpaceDE w:val="false"/>
              <w:autoSpaceDN w:val="false"/>
              <w:adjustRightInd w:val="false"/>
              <w:jc w:val="both"/>
              <w:rPr>
                <w:rFonts w:eastAsia="Calibri"/>
                <w:sz w:val="20"/>
                <w:szCs w:val="20"/>
              </w:rPr>
            </w:pPr>
          </w:p>
          <w:p>
            <w:pPr>
              <w:pStyle w:val="style0"/>
              <w:autoSpaceDE w:val="false"/>
              <w:autoSpaceDN w:val="false"/>
              <w:adjustRightInd w:val="false"/>
              <w:jc w:val="both"/>
              <w:rPr>
                <w:rFonts w:eastAsia="Calibri"/>
                <w:color w:val="1f3031"/>
                <w:sz w:val="20"/>
                <w:szCs w:val="20"/>
                <w:lang w:eastAsia="en-US"/>
              </w:rPr>
            </w:pPr>
            <w:r>
              <w:rPr>
                <w:rFonts w:eastAsia="Calibri"/>
                <w:b/>
                <w:sz w:val="20"/>
                <w:szCs w:val="20"/>
              </w:rPr>
              <w:t>Article 16</w:t>
            </w:r>
            <w:r>
              <w:rPr>
                <w:rFonts w:eastAsia="Calibri"/>
                <w:sz w:val="20"/>
                <w:szCs w:val="20"/>
              </w:rPr>
              <w:t xml:space="preserve"> : </w:t>
            </w:r>
            <w:r>
              <w:rPr>
                <w:rFonts w:eastAsia="Calibri"/>
                <w:color w:val="1f3031"/>
                <w:sz w:val="20"/>
                <w:szCs w:val="20"/>
                <w:lang w:eastAsia="en-US"/>
              </w:rPr>
              <w:t>Le public est informé de la réalisation de l'évaluation</w:t>
            </w:r>
            <w:r>
              <w:rPr>
                <w:rFonts w:eastAsia="Calibri"/>
                <w:color w:val="1f3031"/>
                <w:sz w:val="20"/>
                <w:szCs w:val="20"/>
                <w:lang w:eastAsia="en-US"/>
              </w:rPr>
              <w:t xml:space="preserve"> </w:t>
            </w:r>
            <w:r>
              <w:rPr>
                <w:rFonts w:eastAsia="Calibri"/>
                <w:color w:val="1f3031"/>
                <w:sz w:val="20"/>
                <w:szCs w:val="20"/>
                <w:lang w:eastAsia="en-US"/>
              </w:rPr>
              <w:t>environnementale stratégique, de l'étude ou de la notice d'impact</w:t>
            </w:r>
            <w:r>
              <w:rPr>
                <w:rFonts w:eastAsia="Calibri"/>
                <w:color w:val="1f3031"/>
                <w:sz w:val="20"/>
                <w:szCs w:val="20"/>
                <w:lang w:eastAsia="en-US"/>
              </w:rPr>
              <w:t xml:space="preserve"> </w:t>
            </w:r>
            <w:r>
              <w:rPr>
                <w:rFonts w:eastAsia="Calibri"/>
                <w:color w:val="1f3031"/>
                <w:sz w:val="20"/>
                <w:szCs w:val="20"/>
                <w:lang w:eastAsia="en-US"/>
              </w:rPr>
              <w:t>environnement</w:t>
            </w:r>
            <w:r>
              <w:rPr>
                <w:rFonts w:eastAsia="Calibri"/>
                <w:color w:val="1f3031"/>
                <w:sz w:val="20"/>
                <w:szCs w:val="20"/>
                <w:lang w:eastAsia="en-US"/>
              </w:rPr>
              <w:t xml:space="preserve">al </w:t>
            </w:r>
            <w:r>
              <w:rPr>
                <w:rFonts w:eastAsia="Calibri"/>
                <w:color w:val="475a5d"/>
                <w:sz w:val="20"/>
                <w:szCs w:val="20"/>
                <w:lang w:eastAsia="en-US"/>
              </w:rPr>
              <w:t>e</w:t>
            </w:r>
            <w:r>
              <w:rPr>
                <w:rFonts w:eastAsia="Calibri"/>
                <w:color w:val="1f3031"/>
                <w:sz w:val="20"/>
                <w:szCs w:val="20"/>
                <w:lang w:eastAsia="en-US"/>
              </w:rPr>
              <w:t>t social et y participe en collaboration avec les</w:t>
            </w:r>
            <w:r>
              <w:rPr>
                <w:rFonts w:eastAsia="Calibri"/>
                <w:color w:val="1f3031"/>
                <w:sz w:val="20"/>
                <w:szCs w:val="20"/>
                <w:lang w:eastAsia="en-US"/>
              </w:rPr>
              <w:t xml:space="preserve"> </w:t>
            </w:r>
            <w:r>
              <w:rPr>
                <w:rFonts w:eastAsia="Calibri"/>
                <w:color w:val="1f3031"/>
                <w:sz w:val="20"/>
                <w:szCs w:val="20"/>
                <w:lang w:eastAsia="en-US"/>
              </w:rPr>
              <w:t>organes compétents de la</w:t>
            </w:r>
            <w:r>
              <w:rPr>
                <w:rFonts w:eastAsia="Calibri"/>
                <w:color w:val="1f3031"/>
                <w:sz w:val="20"/>
                <w:szCs w:val="20"/>
                <w:lang w:eastAsia="en-US"/>
              </w:rPr>
              <w:t xml:space="preserve"> </w:t>
            </w:r>
            <w:r>
              <w:rPr>
                <w:rFonts w:eastAsia="Calibri"/>
                <w:color w:val="1f3031"/>
                <w:sz w:val="20"/>
                <w:szCs w:val="20"/>
                <w:lang w:eastAsia="en-US"/>
              </w:rPr>
              <w:t>circonscription administrative et de la</w:t>
            </w:r>
            <w:r>
              <w:rPr>
                <w:rFonts w:eastAsia="Calibri"/>
                <w:color w:val="1f3031"/>
                <w:sz w:val="20"/>
                <w:szCs w:val="20"/>
                <w:lang w:eastAsia="en-US"/>
              </w:rPr>
              <w:t xml:space="preserve"> </w:t>
            </w:r>
            <w:r>
              <w:rPr>
                <w:rFonts w:eastAsia="Calibri"/>
                <w:color w:val="1f3031"/>
                <w:sz w:val="20"/>
                <w:szCs w:val="20"/>
                <w:lang w:eastAsia="en-US"/>
              </w:rPr>
              <w:t>collectivité</w:t>
            </w:r>
            <w:r>
              <w:rPr>
                <w:rFonts w:eastAsia="Calibri"/>
                <w:color w:val="1f3031"/>
                <w:sz w:val="20"/>
                <w:szCs w:val="20"/>
                <w:lang w:eastAsia="en-US"/>
              </w:rPr>
              <w:t xml:space="preserve"> </w:t>
            </w:r>
            <w:r>
              <w:rPr>
                <w:rFonts w:eastAsia="Calibri"/>
                <w:color w:val="1f3031"/>
                <w:sz w:val="20"/>
                <w:szCs w:val="20"/>
                <w:lang w:eastAsia="en-US"/>
              </w:rPr>
              <w:t>territoriale concernés.</w:t>
            </w:r>
          </w:p>
          <w:p>
            <w:pPr>
              <w:pStyle w:val="style0"/>
              <w:autoSpaceDE w:val="false"/>
              <w:autoSpaceDN w:val="false"/>
              <w:adjustRightInd w:val="false"/>
              <w:jc w:val="both"/>
              <w:rPr>
                <w:rFonts w:eastAsia="Calibri"/>
                <w:color w:val="1f3031"/>
                <w:sz w:val="20"/>
                <w:szCs w:val="20"/>
                <w:lang w:eastAsia="en-US"/>
              </w:rPr>
            </w:pPr>
            <w:r>
              <w:rPr>
                <w:rFonts w:eastAsia="Calibri"/>
                <w:color w:val="1f3031"/>
                <w:sz w:val="20"/>
                <w:szCs w:val="20"/>
                <w:lang w:eastAsia="en-US"/>
              </w:rPr>
              <w:t>La participation du public comporte notamment</w:t>
            </w:r>
            <w:r>
              <w:rPr>
                <w:rFonts w:eastAsia="Calibri"/>
                <w:color w:val="1f3031"/>
                <w:sz w:val="20"/>
                <w:szCs w:val="20"/>
                <w:lang w:eastAsia="en-US"/>
              </w:rPr>
              <w:t xml:space="preserve"> </w:t>
            </w:r>
            <w:r>
              <w:rPr>
                <w:rFonts w:eastAsia="Calibri"/>
                <w:color w:val="1f3031"/>
                <w:sz w:val="20"/>
                <w:szCs w:val="20"/>
                <w:lang w:eastAsia="en-US"/>
              </w:rPr>
              <w:t>:</w:t>
            </w:r>
          </w:p>
          <w:p>
            <w:pPr>
              <w:pStyle w:val="style0"/>
              <w:autoSpaceDE w:val="false"/>
              <w:autoSpaceDN w:val="false"/>
              <w:adjustRightInd w:val="false"/>
              <w:jc w:val="both"/>
              <w:rPr>
                <w:rFonts w:eastAsia="Calibri"/>
                <w:color w:val="1f3031"/>
                <w:sz w:val="20"/>
                <w:szCs w:val="20"/>
                <w:lang w:eastAsia="en-US"/>
              </w:rPr>
            </w:pPr>
            <w:r>
              <w:rPr>
                <w:rFonts w:eastAsia="Calibri"/>
                <w:color w:val="1f3031"/>
                <w:sz w:val="20"/>
                <w:szCs w:val="20"/>
                <w:lang w:eastAsia="en-US"/>
              </w:rPr>
              <w:t>une ou plusieurs réunions de présentation du projet</w:t>
            </w:r>
            <w:r>
              <w:rPr>
                <w:rFonts w:eastAsia="Calibri"/>
                <w:color w:val="1f3031"/>
                <w:sz w:val="20"/>
                <w:szCs w:val="20"/>
                <w:lang w:eastAsia="en-US"/>
              </w:rPr>
              <w:t xml:space="preserve"> </w:t>
            </w:r>
            <w:r>
              <w:rPr>
                <w:rFonts w:eastAsia="Calibri"/>
                <w:color w:val="1f3031"/>
                <w:sz w:val="20"/>
                <w:szCs w:val="20"/>
                <w:lang w:eastAsia="en-US"/>
              </w:rPr>
              <w:t>regroupant</w:t>
            </w:r>
            <w:r>
              <w:rPr>
                <w:rFonts w:eastAsia="Calibri"/>
                <w:color w:val="1f3031"/>
                <w:sz w:val="20"/>
                <w:szCs w:val="20"/>
                <w:lang w:eastAsia="en-US"/>
              </w:rPr>
              <w:t xml:space="preserve"> </w:t>
            </w:r>
            <w:r>
              <w:rPr>
                <w:rFonts w:eastAsia="Calibri"/>
                <w:color w:val="1f3031"/>
                <w:sz w:val="20"/>
                <w:szCs w:val="20"/>
                <w:lang w:eastAsia="en-US"/>
              </w:rPr>
              <w:t>les autorités locales, les populations, les organisations non</w:t>
            </w:r>
            <w:r>
              <w:rPr>
                <w:rFonts w:eastAsia="Calibri"/>
                <w:color w:val="1f3031"/>
                <w:sz w:val="20"/>
                <w:szCs w:val="20"/>
                <w:lang w:eastAsia="en-US"/>
              </w:rPr>
              <w:t xml:space="preserve"> </w:t>
            </w:r>
            <w:r>
              <w:rPr>
                <w:rFonts w:eastAsia="Calibri"/>
                <w:color w:val="1f3031"/>
                <w:sz w:val="20"/>
                <w:szCs w:val="20"/>
                <w:lang w:eastAsia="en-US"/>
              </w:rPr>
              <w:t>gouvernementales et les associations conformément au nombre de</w:t>
            </w:r>
            <w:r>
              <w:rPr>
                <w:rFonts w:eastAsia="Calibri"/>
                <w:color w:val="1f3031"/>
                <w:sz w:val="20"/>
                <w:szCs w:val="20"/>
                <w:lang w:eastAsia="en-US"/>
              </w:rPr>
              <w:t xml:space="preserve"> </w:t>
            </w:r>
            <w:r>
              <w:rPr>
                <w:rFonts w:eastAsia="Calibri"/>
                <w:color w:val="475a5d"/>
                <w:sz w:val="20"/>
                <w:szCs w:val="20"/>
                <w:lang w:eastAsia="en-US"/>
              </w:rPr>
              <w:t>.</w:t>
            </w:r>
            <w:r>
              <w:rPr>
                <w:rFonts w:eastAsia="Calibri"/>
                <w:color w:val="1f3031"/>
                <w:sz w:val="20"/>
                <w:szCs w:val="20"/>
                <w:lang w:eastAsia="en-US"/>
              </w:rPr>
              <w:t>réunions prévues dans les termes de référence ;</w:t>
            </w:r>
          </w:p>
          <w:p>
            <w:pPr>
              <w:pStyle w:val="style0"/>
              <w:autoSpaceDE w:val="false"/>
              <w:autoSpaceDN w:val="false"/>
              <w:adjustRightInd w:val="false"/>
              <w:jc w:val="both"/>
              <w:rPr>
                <w:rFonts w:eastAsia="Calibri"/>
                <w:color w:val="475a5d"/>
                <w:sz w:val="20"/>
                <w:szCs w:val="20"/>
                <w:lang w:eastAsia="en-US"/>
              </w:rPr>
            </w:pPr>
            <w:r>
              <w:rPr>
                <w:rFonts w:eastAsia="Calibri"/>
                <w:color w:val="1f3031"/>
                <w:sz w:val="20"/>
                <w:szCs w:val="20"/>
                <w:lang w:eastAsia="en-US"/>
              </w:rPr>
              <w:t>u</w:t>
            </w:r>
            <w:r>
              <w:rPr>
                <w:rFonts w:eastAsia="Calibri"/>
                <w:color w:val="1f3031"/>
                <w:sz w:val="20"/>
                <w:szCs w:val="20"/>
                <w:lang w:eastAsia="en-US"/>
              </w:rPr>
              <w:t xml:space="preserve">ne </w:t>
            </w:r>
            <w:r>
              <w:rPr>
                <w:rFonts w:eastAsia="Calibri"/>
                <w:color w:val="1f3031"/>
                <w:sz w:val="20"/>
                <w:szCs w:val="20"/>
                <w:lang w:eastAsia="en-US"/>
              </w:rPr>
              <w:t>ou plusieurs réunions de restitution des résultats</w:t>
            </w:r>
            <w:r>
              <w:rPr>
                <w:rFonts w:eastAsia="Calibri"/>
                <w:color w:val="1f3031"/>
                <w:sz w:val="20"/>
                <w:szCs w:val="20"/>
                <w:lang w:eastAsia="en-US"/>
              </w:rPr>
              <w:t xml:space="preserve"> </w:t>
            </w:r>
            <w:r>
              <w:rPr>
                <w:rFonts w:eastAsia="Calibri"/>
                <w:color w:val="1f3031"/>
                <w:sz w:val="20"/>
                <w:szCs w:val="20"/>
                <w:lang w:eastAsia="en-US"/>
              </w:rPr>
              <w:t>préliminaires</w:t>
            </w:r>
            <w:r>
              <w:rPr>
                <w:rFonts w:eastAsia="Calibri"/>
                <w:color w:val="1f3031"/>
                <w:sz w:val="20"/>
                <w:szCs w:val="20"/>
                <w:lang w:eastAsia="en-US"/>
              </w:rPr>
              <w:t xml:space="preserve"> </w:t>
            </w:r>
            <w:r>
              <w:rPr>
                <w:rFonts w:eastAsia="Calibri"/>
                <w:color w:val="1f3031"/>
                <w:sz w:val="20"/>
                <w:szCs w:val="20"/>
                <w:lang w:eastAsia="en-US"/>
              </w:rPr>
              <w:t>des rapports d</w:t>
            </w:r>
            <w:r>
              <w:rPr>
                <w:rFonts w:eastAsia="Calibri"/>
                <w:color w:val="1f3031"/>
                <w:sz w:val="20"/>
                <w:szCs w:val="20"/>
                <w:lang w:eastAsia="en-US"/>
              </w:rPr>
              <w:t>’</w:t>
            </w:r>
            <w:r>
              <w:rPr>
                <w:rFonts w:eastAsia="Calibri"/>
                <w:color w:val="1f3031"/>
                <w:sz w:val="20"/>
                <w:szCs w:val="20"/>
                <w:lang w:eastAsia="en-US"/>
              </w:rPr>
              <w:t>évaluation environnementale stratégique, d'étude</w:t>
            </w:r>
            <w:r>
              <w:rPr>
                <w:rFonts w:eastAsia="Calibri"/>
                <w:color w:val="1f3031"/>
                <w:sz w:val="20"/>
                <w:szCs w:val="20"/>
                <w:lang w:eastAsia="en-US"/>
              </w:rPr>
              <w:t xml:space="preserve"> </w:t>
            </w:r>
            <w:r>
              <w:rPr>
                <w:rFonts w:eastAsia="Calibri"/>
                <w:color w:val="1f3031"/>
                <w:sz w:val="20"/>
                <w:szCs w:val="20"/>
                <w:lang w:eastAsia="en-US"/>
              </w:rPr>
              <w:t>ou de notice d'impact environnem</w:t>
            </w:r>
            <w:r>
              <w:rPr>
                <w:rFonts w:eastAsia="Calibri"/>
                <w:color w:val="1f3031"/>
                <w:sz w:val="20"/>
                <w:szCs w:val="20"/>
                <w:lang w:eastAsia="en-US"/>
              </w:rPr>
              <w:t>e</w:t>
            </w:r>
            <w:r>
              <w:rPr>
                <w:rFonts w:eastAsia="Calibri"/>
                <w:color w:val="1f3031"/>
                <w:sz w:val="20"/>
                <w:szCs w:val="20"/>
                <w:lang w:eastAsia="en-US"/>
              </w:rPr>
              <w:t>ntal et social regroupant</w:t>
            </w:r>
            <w:r>
              <w:rPr>
                <w:rFonts w:eastAsia="Calibri"/>
                <w:color w:val="1f3031"/>
                <w:sz w:val="20"/>
                <w:szCs w:val="20"/>
                <w:lang w:eastAsia="en-US"/>
              </w:rPr>
              <w:t xml:space="preserve"> </w:t>
            </w:r>
            <w:r>
              <w:rPr>
                <w:rFonts w:eastAsia="Calibri"/>
                <w:color w:val="1f3031"/>
                <w:sz w:val="20"/>
                <w:szCs w:val="20"/>
                <w:lang w:eastAsia="en-US"/>
              </w:rPr>
              <w:t>les</w:t>
            </w:r>
            <w:r>
              <w:rPr>
                <w:rFonts w:eastAsia="Calibri"/>
                <w:color w:val="1f3031"/>
                <w:sz w:val="20"/>
                <w:szCs w:val="20"/>
                <w:lang w:eastAsia="en-US"/>
              </w:rPr>
              <w:t xml:space="preserve"> </w:t>
            </w:r>
            <w:r>
              <w:rPr>
                <w:rFonts w:eastAsia="Calibri"/>
                <w:color w:val="1f3031"/>
                <w:sz w:val="20"/>
                <w:szCs w:val="20"/>
                <w:lang w:eastAsia="en-US"/>
              </w:rPr>
              <w:t>autorités locales</w:t>
            </w:r>
            <w:r>
              <w:rPr>
                <w:rFonts w:eastAsia="Calibri"/>
                <w:color w:val="000000"/>
                <w:sz w:val="20"/>
                <w:szCs w:val="20"/>
                <w:lang w:eastAsia="en-US"/>
              </w:rPr>
              <w:t xml:space="preserve">, </w:t>
            </w:r>
            <w:r>
              <w:rPr>
                <w:rFonts w:eastAsia="Calibri"/>
                <w:color w:val="1f3031"/>
                <w:sz w:val="20"/>
                <w:szCs w:val="20"/>
                <w:lang w:eastAsia="en-US"/>
              </w:rPr>
              <w:t>les populations, les organisations non</w:t>
            </w:r>
            <w:r>
              <w:rPr>
                <w:rFonts w:eastAsia="Calibri"/>
                <w:color w:val="1f3031"/>
                <w:sz w:val="20"/>
                <w:szCs w:val="20"/>
                <w:lang w:eastAsia="en-US"/>
              </w:rPr>
              <w:t xml:space="preserve"> </w:t>
            </w:r>
            <w:r>
              <w:rPr>
                <w:rFonts w:eastAsia="Calibri"/>
                <w:color w:val="1f3031"/>
                <w:sz w:val="20"/>
                <w:szCs w:val="20"/>
                <w:lang w:eastAsia="en-US"/>
              </w:rPr>
              <w:t>gouvernementales et les associations</w:t>
            </w:r>
            <w:r>
              <w:rPr>
                <w:rFonts w:eastAsia="Calibri"/>
                <w:color w:val="1f3031"/>
                <w:sz w:val="20"/>
                <w:szCs w:val="20"/>
                <w:lang w:eastAsia="en-US"/>
              </w:rPr>
              <w:t>,</w:t>
            </w:r>
            <w:r>
              <w:rPr>
                <w:rFonts w:eastAsia="Calibri"/>
                <w:color w:val="1f3031"/>
                <w:sz w:val="20"/>
                <w:szCs w:val="20"/>
                <w:lang w:eastAsia="en-US"/>
              </w:rPr>
              <w:t xml:space="preserve"> conformément au nombre </w:t>
            </w:r>
            <w:r>
              <w:rPr>
                <w:rFonts w:eastAsia="Calibri"/>
                <w:color w:val="475a5d"/>
                <w:sz w:val="20"/>
                <w:szCs w:val="20"/>
                <w:lang w:eastAsia="en-US"/>
              </w:rPr>
              <w:t>d</w:t>
            </w:r>
            <w:r>
              <w:rPr>
                <w:rFonts w:eastAsia="Calibri"/>
                <w:color w:val="1f3031"/>
                <w:sz w:val="20"/>
                <w:szCs w:val="20"/>
                <w:lang w:eastAsia="en-US"/>
              </w:rPr>
              <w:t>e</w:t>
            </w:r>
            <w:r>
              <w:rPr>
                <w:rFonts w:eastAsia="Calibri"/>
                <w:color w:val="1f3031"/>
                <w:sz w:val="20"/>
                <w:szCs w:val="20"/>
                <w:lang w:eastAsia="en-US"/>
              </w:rPr>
              <w:t xml:space="preserve"> </w:t>
            </w:r>
            <w:r>
              <w:rPr>
                <w:rFonts w:eastAsia="Calibri"/>
                <w:color w:val="1f3031"/>
                <w:sz w:val="20"/>
                <w:szCs w:val="20"/>
                <w:lang w:eastAsia="en-US"/>
              </w:rPr>
              <w:t>réunions prévues dans les termes de référence</w:t>
            </w:r>
            <w:r>
              <w:rPr>
                <w:rFonts w:eastAsia="Calibri"/>
                <w:color w:val="1f3031"/>
                <w:sz w:val="20"/>
                <w:szCs w:val="20"/>
                <w:lang w:eastAsia="en-US"/>
              </w:rPr>
              <w:t xml:space="preserve"> </w:t>
            </w:r>
            <w:r>
              <w:rPr>
                <w:rFonts w:eastAsia="Calibri"/>
                <w:color w:val="475a5d"/>
                <w:sz w:val="20"/>
                <w:szCs w:val="20"/>
                <w:lang w:eastAsia="en-US"/>
              </w:rPr>
              <w:t>;</w:t>
            </w:r>
          </w:p>
          <w:p>
            <w:pPr>
              <w:pStyle w:val="style0"/>
              <w:autoSpaceDE w:val="false"/>
              <w:autoSpaceDN w:val="false"/>
              <w:adjustRightInd w:val="false"/>
              <w:jc w:val="both"/>
              <w:rPr>
                <w:rFonts w:eastAsia="Calibri"/>
                <w:sz w:val="20"/>
                <w:szCs w:val="20"/>
              </w:rPr>
            </w:pPr>
            <w:r>
              <w:rPr>
                <w:rFonts w:eastAsia="Calibri"/>
                <w:color w:val="1f3031"/>
                <w:sz w:val="20"/>
                <w:szCs w:val="20"/>
                <w:lang w:eastAsia="en-US"/>
              </w:rPr>
              <w:t>un registre de consultation ouvert et accessible aux</w:t>
            </w:r>
            <w:r>
              <w:rPr>
                <w:rFonts w:eastAsia="Calibri"/>
                <w:color w:val="1f3031"/>
                <w:sz w:val="20"/>
                <w:szCs w:val="20"/>
                <w:lang w:eastAsia="en-US"/>
              </w:rPr>
              <w:t xml:space="preserve"> </w:t>
            </w:r>
            <w:r>
              <w:rPr>
                <w:rFonts w:eastAsia="Calibri"/>
                <w:color w:val="1f3031"/>
                <w:sz w:val="20"/>
                <w:szCs w:val="20"/>
                <w:lang w:eastAsia="en-US"/>
              </w:rPr>
              <w:t>populations</w:t>
            </w:r>
            <w:r>
              <w:rPr>
                <w:rFonts w:eastAsia="Calibri"/>
                <w:color w:val="1f3031"/>
                <w:sz w:val="20"/>
                <w:szCs w:val="20"/>
                <w:lang w:eastAsia="en-US"/>
              </w:rPr>
              <w:t xml:space="preserve"> </w:t>
            </w:r>
            <w:r>
              <w:rPr>
                <w:rFonts w:eastAsia="Calibri"/>
                <w:color w:val="1f3031"/>
                <w:sz w:val="20"/>
                <w:szCs w:val="20"/>
                <w:lang w:eastAsia="en-US"/>
              </w:rPr>
              <w:t>concernées où sont consignées leurs</w:t>
            </w:r>
            <w:r>
              <w:rPr>
                <w:rFonts w:eastAsia="Calibri"/>
                <w:color w:val="1f3031"/>
                <w:sz w:val="20"/>
                <w:szCs w:val="20"/>
                <w:lang w:eastAsia="en-US"/>
              </w:rPr>
              <w:t xml:space="preserve"> </w:t>
            </w:r>
            <w:r>
              <w:rPr>
                <w:rFonts w:eastAsia="Calibri"/>
                <w:color w:val="1f3031"/>
                <w:sz w:val="20"/>
                <w:szCs w:val="20"/>
                <w:lang w:eastAsia="en-US"/>
              </w:rPr>
              <w:t>appréciations</w:t>
            </w:r>
            <w:r>
              <w:rPr>
                <w:rFonts w:eastAsia="Calibri"/>
                <w:color w:val="475a5d"/>
                <w:sz w:val="20"/>
                <w:szCs w:val="20"/>
                <w:lang w:eastAsia="en-US"/>
              </w:rPr>
              <w:t xml:space="preserve">, </w:t>
            </w:r>
            <w:r>
              <w:rPr>
                <w:rFonts w:eastAsia="Calibri"/>
                <w:color w:val="1f3031"/>
                <w:sz w:val="20"/>
                <w:szCs w:val="20"/>
                <w:lang w:eastAsia="en-US"/>
              </w:rPr>
              <w:t>leurs</w:t>
            </w:r>
            <w:r>
              <w:rPr>
                <w:rFonts w:eastAsia="Calibri"/>
                <w:color w:val="1f3031"/>
                <w:sz w:val="20"/>
                <w:szCs w:val="20"/>
                <w:lang w:eastAsia="en-US"/>
              </w:rPr>
              <w:t xml:space="preserve"> </w:t>
            </w:r>
            <w:r>
              <w:rPr>
                <w:rFonts w:eastAsia="Calibri"/>
                <w:color w:val="1f3031"/>
                <w:sz w:val="20"/>
                <w:szCs w:val="20"/>
                <w:lang w:eastAsia="en-US"/>
              </w:rPr>
              <w:t>observations et leurs suggestions</w:t>
            </w:r>
            <w:r>
              <w:rPr>
                <w:rFonts w:eastAsia="Calibri"/>
                <w:color w:val="1f3031"/>
                <w:sz w:val="20"/>
                <w:szCs w:val="20"/>
                <w:lang w:eastAsia="en-US"/>
              </w:rPr>
              <w:t xml:space="preserve"> </w:t>
            </w:r>
            <w:r>
              <w:rPr>
                <w:rFonts w:eastAsia="Calibri"/>
                <w:color w:val="1f3031"/>
                <w:sz w:val="20"/>
                <w:szCs w:val="20"/>
                <w:lang w:eastAsia="en-US"/>
              </w:rPr>
              <w:t>concernant le projet</w:t>
            </w:r>
            <w:r>
              <w:rPr>
                <w:rFonts w:eastAsia="Calibri"/>
                <w:color w:val="000000"/>
                <w:sz w:val="20"/>
                <w:szCs w:val="20"/>
                <w:lang w:eastAsia="en-US"/>
              </w:rPr>
              <w:t>.</w:t>
            </w:r>
          </w:p>
          <w:p>
            <w:pPr>
              <w:pStyle w:val="style0"/>
              <w:spacing w:before="60" w:after="60"/>
              <w:jc w:val="both"/>
              <w:rPr>
                <w:rFonts w:eastAsia="Calibri"/>
                <w:color w:val="000000"/>
                <w:spacing w:val="-1"/>
                <w:sz w:val="20"/>
                <w:szCs w:val="20"/>
              </w:rPr>
            </w:pPr>
          </w:p>
          <w:p>
            <w:pPr>
              <w:pStyle w:val="style0"/>
              <w:autoSpaceDE w:val="false"/>
              <w:autoSpaceDN w:val="false"/>
              <w:adjustRightInd w:val="false"/>
              <w:jc w:val="both"/>
              <w:rPr>
                <w:rFonts w:eastAsia="Calibri"/>
                <w:color w:val="253534"/>
                <w:sz w:val="20"/>
                <w:szCs w:val="20"/>
                <w:lang w:eastAsia="en-US"/>
              </w:rPr>
            </w:pPr>
            <w:r>
              <w:rPr>
                <w:rFonts w:eastAsia="Calibri"/>
                <w:color w:val="000000"/>
                <w:sz w:val="20"/>
                <w:szCs w:val="20"/>
              </w:rPr>
              <w:t>•</w:t>
            </w:r>
            <w:r>
              <w:rPr>
                <w:rFonts w:eastAsia="Calibri"/>
                <w:b/>
                <w:color w:val="253534"/>
                <w:sz w:val="20"/>
                <w:szCs w:val="20"/>
                <w:lang w:eastAsia="en-US"/>
              </w:rPr>
              <w:t>Article 19</w:t>
            </w:r>
            <w:r>
              <w:rPr>
                <w:rFonts w:eastAsia="Calibri"/>
                <w:color w:val="253534"/>
                <w:sz w:val="20"/>
                <w:szCs w:val="20"/>
                <w:lang w:eastAsia="en-US"/>
              </w:rPr>
              <w:t>: Le Ministre en charge de</w:t>
            </w:r>
            <w:r>
              <w:rPr>
                <w:rFonts w:eastAsia="Calibri"/>
                <w:color w:val="253534"/>
                <w:sz w:val="20"/>
                <w:szCs w:val="20"/>
                <w:lang w:eastAsia="en-US"/>
              </w:rPr>
              <w:t xml:space="preserve"> </w:t>
            </w:r>
            <w:r>
              <w:rPr>
                <w:rFonts w:eastAsia="Calibri"/>
                <w:color w:val="253534"/>
                <w:sz w:val="20"/>
                <w:szCs w:val="20"/>
                <w:lang w:eastAsia="en-US"/>
              </w:rPr>
              <w:t>l'environnement, après réception du rapport</w:t>
            </w:r>
            <w:r>
              <w:rPr>
                <w:rFonts w:eastAsia="Calibri"/>
                <w:color w:val="253534"/>
                <w:sz w:val="20"/>
                <w:szCs w:val="20"/>
                <w:lang w:eastAsia="en-US"/>
              </w:rPr>
              <w:t xml:space="preserve"> </w:t>
            </w:r>
            <w:r>
              <w:rPr>
                <w:rFonts w:eastAsia="Calibri"/>
                <w:color w:val="253534"/>
                <w:sz w:val="20"/>
                <w:szCs w:val="20"/>
                <w:lang w:eastAsia="en-US"/>
              </w:rPr>
              <w:t>de l'étude</w:t>
            </w:r>
            <w:r>
              <w:rPr>
                <w:rFonts w:eastAsia="Calibri"/>
                <w:color w:val="253534"/>
                <w:sz w:val="20"/>
                <w:szCs w:val="20"/>
                <w:lang w:eastAsia="en-US"/>
              </w:rPr>
              <w:t xml:space="preserve"> </w:t>
            </w:r>
            <w:r>
              <w:rPr>
                <w:rFonts w:eastAsia="Calibri"/>
                <w:color w:val="253534"/>
                <w:sz w:val="20"/>
                <w:szCs w:val="20"/>
                <w:lang w:eastAsia="en-US"/>
              </w:rPr>
              <w:t>d'impact</w:t>
            </w:r>
            <w:r>
              <w:rPr>
                <w:rFonts w:eastAsia="Calibri"/>
                <w:color w:val="253534"/>
                <w:sz w:val="20"/>
                <w:szCs w:val="20"/>
                <w:lang w:eastAsia="en-US"/>
              </w:rPr>
              <w:t xml:space="preserve"> </w:t>
            </w:r>
            <w:r>
              <w:rPr>
                <w:rFonts w:eastAsia="Calibri"/>
                <w:color w:val="253534"/>
                <w:sz w:val="20"/>
                <w:szCs w:val="20"/>
                <w:lang w:eastAsia="en-US"/>
              </w:rPr>
              <w:t>environnemental et social</w:t>
            </w:r>
            <w:r>
              <w:rPr>
                <w:rFonts w:eastAsia="Calibri"/>
                <w:color w:val="465657"/>
                <w:sz w:val="20"/>
                <w:szCs w:val="20"/>
                <w:lang w:eastAsia="en-US"/>
              </w:rPr>
              <w:t xml:space="preserve">, </w:t>
            </w:r>
            <w:r>
              <w:rPr>
                <w:rFonts w:eastAsia="Calibri"/>
                <w:color w:val="253534"/>
                <w:sz w:val="20"/>
                <w:szCs w:val="20"/>
                <w:lang w:eastAsia="en-US"/>
              </w:rPr>
              <w:t>nomme des enquêteurs</w:t>
            </w:r>
            <w:r>
              <w:rPr>
                <w:rFonts w:eastAsia="Calibri"/>
                <w:color w:val="253534"/>
                <w:sz w:val="20"/>
                <w:szCs w:val="20"/>
                <w:lang w:eastAsia="en-US"/>
              </w:rPr>
              <w:t xml:space="preserve"> </w:t>
            </w:r>
            <w:r>
              <w:rPr>
                <w:rFonts w:eastAsia="Calibri"/>
                <w:color w:val="253534"/>
                <w:sz w:val="20"/>
                <w:szCs w:val="20"/>
                <w:lang w:eastAsia="en-US"/>
              </w:rPr>
              <w:t>en considération de leurs qualifications et de leurs</w:t>
            </w:r>
            <w:r>
              <w:rPr>
                <w:rFonts w:eastAsia="Calibri"/>
                <w:color w:val="253534"/>
                <w:sz w:val="20"/>
                <w:szCs w:val="20"/>
                <w:lang w:eastAsia="en-US"/>
              </w:rPr>
              <w:t xml:space="preserve"> </w:t>
            </w:r>
            <w:r>
              <w:rPr>
                <w:rFonts w:eastAsia="Calibri"/>
                <w:color w:val="253534"/>
                <w:sz w:val="20"/>
                <w:szCs w:val="20"/>
                <w:lang w:eastAsia="en-US"/>
              </w:rPr>
              <w:t>expériences dans</w:t>
            </w:r>
            <w:r>
              <w:rPr>
                <w:rFonts w:eastAsia="Calibri"/>
                <w:color w:val="253534"/>
                <w:sz w:val="20"/>
                <w:szCs w:val="20"/>
                <w:lang w:eastAsia="en-US"/>
              </w:rPr>
              <w:t xml:space="preserve"> </w:t>
            </w:r>
            <w:r>
              <w:rPr>
                <w:rFonts w:eastAsia="Calibri"/>
                <w:color w:val="253534"/>
                <w:sz w:val="20"/>
                <w:szCs w:val="20"/>
                <w:lang w:eastAsia="en-US"/>
              </w:rPr>
              <w:t>le ou les secteurs et disciplines</w:t>
            </w:r>
            <w:r>
              <w:rPr>
                <w:rFonts w:eastAsia="Calibri"/>
                <w:color w:val="253534"/>
                <w:sz w:val="20"/>
                <w:szCs w:val="20"/>
                <w:lang w:eastAsia="en-US"/>
              </w:rPr>
              <w:t xml:space="preserve"> </w:t>
            </w:r>
            <w:r>
              <w:rPr>
                <w:rFonts w:eastAsia="Calibri"/>
                <w:color w:val="253534"/>
                <w:sz w:val="20"/>
                <w:szCs w:val="20"/>
                <w:lang w:eastAsia="en-US"/>
              </w:rPr>
              <w:t>considérés pour la réalisation d'une</w:t>
            </w:r>
            <w:r>
              <w:rPr>
                <w:rFonts w:eastAsia="Calibri"/>
                <w:color w:val="253534"/>
                <w:sz w:val="20"/>
                <w:szCs w:val="20"/>
                <w:lang w:eastAsia="en-US"/>
              </w:rPr>
              <w:t xml:space="preserve"> </w:t>
            </w:r>
            <w:r>
              <w:rPr>
                <w:rFonts w:eastAsia="Calibri"/>
                <w:color w:val="253534"/>
                <w:sz w:val="20"/>
                <w:szCs w:val="20"/>
                <w:lang w:eastAsia="en-US"/>
              </w:rPr>
              <w:t>enquête publique.</w:t>
            </w:r>
          </w:p>
          <w:p>
            <w:pPr>
              <w:pStyle w:val="style0"/>
              <w:autoSpaceDE w:val="false"/>
              <w:autoSpaceDN w:val="false"/>
              <w:adjustRightInd w:val="false"/>
              <w:jc w:val="both"/>
              <w:rPr>
                <w:rFonts w:eastAsia="Calibri"/>
                <w:color w:val="000000"/>
                <w:sz w:val="20"/>
                <w:szCs w:val="20"/>
                <w:lang w:eastAsia="en-US"/>
              </w:rPr>
            </w:pPr>
            <w:r>
              <w:rPr>
                <w:rFonts w:eastAsia="Calibri"/>
                <w:color w:val="253534"/>
                <w:sz w:val="20"/>
                <w:szCs w:val="20"/>
                <w:lang w:eastAsia="en-US"/>
              </w:rPr>
              <w:t>Il en informe l'autorité administrative locale du lieu</w:t>
            </w:r>
            <w:r>
              <w:rPr>
                <w:rFonts w:eastAsia="Calibri"/>
                <w:color w:val="253534"/>
                <w:sz w:val="20"/>
                <w:szCs w:val="20"/>
                <w:lang w:eastAsia="en-US"/>
              </w:rPr>
              <w:t xml:space="preserve"> </w:t>
            </w:r>
            <w:r>
              <w:rPr>
                <w:rFonts w:eastAsia="Calibri"/>
                <w:color w:val="253534"/>
                <w:sz w:val="20"/>
                <w:szCs w:val="20"/>
                <w:lang w:eastAsia="en-US"/>
              </w:rPr>
              <w:t>d'implantation</w:t>
            </w:r>
            <w:r>
              <w:rPr>
                <w:rFonts w:eastAsia="Calibri"/>
                <w:color w:val="253534"/>
                <w:sz w:val="20"/>
                <w:szCs w:val="20"/>
                <w:lang w:eastAsia="en-US"/>
              </w:rPr>
              <w:t xml:space="preserve"> </w:t>
            </w:r>
            <w:r>
              <w:rPr>
                <w:rFonts w:eastAsia="Calibri"/>
                <w:color w:val="253534"/>
                <w:sz w:val="20"/>
                <w:szCs w:val="20"/>
                <w:lang w:eastAsia="en-US"/>
              </w:rPr>
              <w:t>envisagé du projet</w:t>
            </w:r>
            <w:r>
              <w:rPr>
                <w:rFonts w:eastAsia="Calibri"/>
                <w:color w:val="000000"/>
                <w:sz w:val="20"/>
                <w:szCs w:val="20"/>
                <w:lang w:eastAsia="en-US"/>
              </w:rPr>
              <w:t>.</w:t>
            </w:r>
          </w:p>
          <w:p>
            <w:pPr>
              <w:pStyle w:val="style0"/>
              <w:spacing w:before="60" w:after="60"/>
              <w:jc w:val="both"/>
              <w:rPr>
                <w:rFonts w:eastAsia="Calibri"/>
                <w:sz w:val="20"/>
                <w:szCs w:val="20"/>
              </w:rPr>
            </w:pPr>
            <w:r>
              <w:rPr>
                <w:rFonts w:eastAsia="Calibri"/>
                <w:color w:val="253534"/>
                <w:sz w:val="20"/>
                <w:szCs w:val="20"/>
                <w:lang w:eastAsia="en-US"/>
              </w:rPr>
              <w:t>Le promoteur peut demander à y adjoindre un ou plusieurs experts de</w:t>
            </w:r>
            <w:r>
              <w:rPr>
                <w:rFonts w:eastAsia="Calibri"/>
                <w:color w:val="253534"/>
                <w:sz w:val="20"/>
                <w:szCs w:val="20"/>
                <w:lang w:eastAsia="en-US"/>
              </w:rPr>
              <w:t xml:space="preserve"> </w:t>
            </w:r>
            <w:r>
              <w:rPr>
                <w:rFonts w:eastAsia="Calibri"/>
                <w:color w:val="253534"/>
                <w:sz w:val="20"/>
                <w:szCs w:val="20"/>
                <w:lang w:eastAsia="en-US"/>
              </w:rPr>
              <w:t>son choix à titre d'observateurs</w:t>
            </w:r>
            <w:r>
              <w:rPr>
                <w:rFonts w:eastAsia="Calibri"/>
                <w:color w:val="465657"/>
                <w:sz w:val="20"/>
                <w:szCs w:val="20"/>
                <w:lang w:eastAsia="en-US"/>
              </w:rPr>
              <w:t>.</w:t>
            </w:r>
          </w:p>
        </w:tc>
        <w:tc>
          <w:tcPr>
            <w:tcW w:w="3383" w:type="dxa"/>
            <w:tcBorders/>
            <w:shd w:val="clear" w:color="auto" w:fill="auto"/>
            <w:vAlign w:val="center"/>
          </w:tcPr>
          <w:p>
            <w:pPr>
              <w:pStyle w:val="style0"/>
              <w:spacing w:before="60" w:after="60"/>
              <w:ind w:right="-70" w:hanging="110"/>
              <w:jc w:val="both"/>
              <w:rPr>
                <w:rFonts w:eastAsia="Calibri"/>
                <w:sz w:val="20"/>
                <w:szCs w:val="20"/>
              </w:rPr>
            </w:pPr>
            <w:r>
              <w:rPr>
                <w:rFonts w:eastAsia="Calibri"/>
                <w:sz w:val="20"/>
                <w:szCs w:val="20"/>
              </w:rPr>
              <w:t xml:space="preserve">La </w:t>
            </w:r>
            <w:r>
              <w:rPr>
                <w:rFonts w:eastAsia="Calibri"/>
                <w:sz w:val="20"/>
                <w:szCs w:val="20"/>
              </w:rPr>
              <w:t>règlementation</w:t>
            </w:r>
            <w:r>
              <w:rPr>
                <w:rFonts w:eastAsia="Calibri"/>
                <w:sz w:val="20"/>
                <w:szCs w:val="20"/>
              </w:rPr>
              <w:t xml:space="preserve"> </w:t>
            </w:r>
            <w:r>
              <w:rPr>
                <w:rFonts w:eastAsia="Calibri"/>
                <w:sz w:val="20"/>
                <w:szCs w:val="20"/>
              </w:rPr>
              <w:t xml:space="preserve">nationale </w:t>
            </w:r>
            <w:r>
              <w:rPr>
                <w:rFonts w:eastAsia="Calibri"/>
                <w:sz w:val="20"/>
                <w:szCs w:val="20"/>
              </w:rPr>
              <w:t xml:space="preserve">satisfait partiellement cette exigence. </w:t>
            </w:r>
          </w:p>
          <w:p>
            <w:pPr>
              <w:pStyle w:val="style0"/>
              <w:spacing w:before="60" w:after="60"/>
              <w:ind w:right="-70" w:hanging="110"/>
              <w:jc w:val="both"/>
              <w:rPr>
                <w:rFonts w:eastAsia="Calibri"/>
                <w:sz w:val="20"/>
                <w:szCs w:val="20"/>
              </w:rPr>
            </w:pPr>
            <w:r>
              <w:rPr>
                <w:rFonts w:eastAsia="Calibri"/>
                <w:sz w:val="20"/>
                <w:szCs w:val="20"/>
              </w:rPr>
              <w:t xml:space="preserve">Elle soumet </w:t>
            </w:r>
            <w:r>
              <w:rPr>
                <w:rFonts w:eastAsia="Calibri"/>
                <w:sz w:val="20"/>
                <w:szCs w:val="20"/>
              </w:rPr>
              <w:t>à enquête publique</w:t>
            </w:r>
            <w:r>
              <w:rPr>
                <w:rFonts w:eastAsia="Calibri"/>
                <w:sz w:val="20"/>
                <w:szCs w:val="20"/>
              </w:rPr>
              <w:t xml:space="preserve"> seulement</w:t>
            </w:r>
            <w:r>
              <w:rPr>
                <w:rFonts w:eastAsia="Calibri"/>
                <w:sz w:val="20"/>
                <w:szCs w:val="20"/>
              </w:rPr>
              <w:t xml:space="preserve"> </w:t>
            </w:r>
            <w:r>
              <w:rPr>
                <w:rFonts w:eastAsia="Calibri"/>
                <w:sz w:val="20"/>
                <w:szCs w:val="20"/>
              </w:rPr>
              <w:t>les projets de catégorie A</w:t>
            </w:r>
            <w:r>
              <w:rPr>
                <w:rFonts w:eastAsia="Calibri"/>
                <w:sz w:val="20"/>
                <w:szCs w:val="20"/>
              </w:rPr>
              <w:t>.</w:t>
            </w:r>
          </w:p>
          <w:p>
            <w:pPr>
              <w:pStyle w:val="style0"/>
              <w:spacing w:before="60" w:after="60"/>
              <w:ind w:right="-70" w:hanging="110"/>
              <w:jc w:val="both"/>
              <w:rPr>
                <w:rFonts w:eastAsia="Calibri"/>
                <w:sz w:val="20"/>
                <w:szCs w:val="20"/>
              </w:rPr>
            </w:pPr>
            <w:r>
              <w:rPr>
                <w:rFonts w:eastAsia="Calibri"/>
                <w:sz w:val="20"/>
                <w:szCs w:val="20"/>
              </w:rPr>
              <w:t xml:space="preserve"> </w:t>
            </w:r>
          </w:p>
          <w:p>
            <w:pPr>
              <w:pStyle w:val="style0"/>
              <w:spacing w:before="60" w:after="60"/>
              <w:ind w:right="-70" w:hanging="110"/>
              <w:jc w:val="both"/>
              <w:rPr>
                <w:rFonts w:eastAsia="Calibri"/>
                <w:sz w:val="20"/>
                <w:szCs w:val="20"/>
              </w:rPr>
            </w:pPr>
          </w:p>
          <w:p>
            <w:pPr>
              <w:pStyle w:val="style0"/>
              <w:spacing w:before="60" w:after="60"/>
              <w:ind w:right="-70" w:hanging="110"/>
              <w:jc w:val="both"/>
              <w:rPr>
                <w:rFonts w:eastAsia="Calibri"/>
                <w:sz w:val="20"/>
                <w:szCs w:val="20"/>
              </w:rPr>
            </w:pP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tabs>
                <w:tab w:val="center" w:leader="none" w:pos="4320"/>
                <w:tab w:val="right" w:leader="none" w:pos="8640"/>
              </w:tabs>
              <w:autoSpaceDE w:val="false"/>
              <w:autoSpaceDN w:val="false"/>
              <w:adjustRightInd w:val="false"/>
              <w:spacing w:before="60" w:after="60"/>
              <w:jc w:val="both"/>
              <w:rPr>
                <w:rFonts w:eastAsia="Calibri"/>
                <w:i/>
                <w:sz w:val="20"/>
                <w:szCs w:val="20"/>
                <w:u w:val="single"/>
              </w:rPr>
            </w:pPr>
            <w:r>
              <w:rPr>
                <w:rFonts w:eastAsia="Calibri"/>
                <w:i/>
                <w:sz w:val="20"/>
                <w:szCs w:val="20"/>
                <w:u w:val="single"/>
              </w:rPr>
              <w:t>Diffusion d’information</w:t>
            </w:r>
          </w:p>
          <w:p>
            <w:pPr>
              <w:pStyle w:val="style0"/>
              <w:spacing w:before="60" w:after="60"/>
              <w:jc w:val="both"/>
              <w:rPr>
                <w:rFonts w:eastAsia="Calibri"/>
                <w:sz w:val="20"/>
                <w:szCs w:val="20"/>
              </w:rPr>
            </w:pPr>
            <w:r>
              <w:rPr>
                <w:rFonts w:eastAsia="Calibri"/>
                <w:sz w:val="20"/>
                <w:szCs w:val="20"/>
              </w:rPr>
              <w:t>T</w:t>
            </w:r>
            <w:r>
              <w:rPr>
                <w:rFonts w:eastAsia="Calibri"/>
                <w:sz w:val="20"/>
                <w:szCs w:val="20"/>
              </w:rPr>
              <w:t xml:space="preserve">out rapport EIE </w:t>
            </w:r>
            <w:r>
              <w:rPr>
                <w:rFonts w:eastAsia="Calibri"/>
                <w:sz w:val="20"/>
                <w:szCs w:val="20"/>
              </w:rPr>
              <w:t xml:space="preserve"> doit être rendu accessible </w:t>
            </w:r>
            <w:r>
              <w:rPr>
                <w:rFonts w:eastAsia="Calibri"/>
                <w:sz w:val="20"/>
                <w:szCs w:val="20"/>
              </w:rPr>
              <w:t xml:space="preserve">dans le pays et dans la langue locale à une place publique accessible aux groupes affectés par le projet et aux ONG locales avant l’évaluation. En </w:t>
            </w:r>
            <w:r>
              <w:rPr>
                <w:rFonts w:eastAsia="Calibri"/>
                <w:sz w:val="20"/>
                <w:szCs w:val="20"/>
              </w:rPr>
              <w:t xml:space="preserve">plus, la Banque mondiale diffusera les rapports appropriés sur son site internet </w:t>
            </w:r>
          </w:p>
        </w:tc>
        <w:tc>
          <w:tcPr>
            <w:tcW w:w="4961" w:type="dxa"/>
            <w:tcBorders/>
            <w:shd w:val="clear" w:color="auto" w:fill="auto"/>
            <w:vAlign w:val="center"/>
          </w:tcPr>
          <w:p>
            <w:pPr>
              <w:pStyle w:val="style0"/>
              <w:shd w:val="clear" w:color="auto" w:fill="ffffff"/>
              <w:spacing w:before="60" w:after="60"/>
              <w:ind w:right="34"/>
              <w:jc w:val="both"/>
              <w:rPr>
                <w:rFonts w:eastAsia="Calibri"/>
                <w:sz w:val="20"/>
                <w:szCs w:val="20"/>
              </w:rPr>
            </w:pPr>
            <w:r>
              <w:rPr>
                <w:rFonts w:eastAsia="Calibri"/>
                <w:sz w:val="20"/>
                <w:szCs w:val="20"/>
              </w:rPr>
              <w:t xml:space="preserve">La loi précise que des textes réglementaires fixent les conditions dans lesquelles ces études sont rendues publiques. </w:t>
            </w:r>
          </w:p>
          <w:p>
            <w:pPr>
              <w:pStyle w:val="style0"/>
              <w:shd w:val="clear" w:color="auto" w:fill="ffffff"/>
              <w:spacing w:before="60" w:after="60"/>
              <w:ind w:right="34"/>
              <w:jc w:val="both"/>
              <w:rPr>
                <w:rFonts w:eastAsia="Calibri"/>
                <w:sz w:val="20"/>
                <w:szCs w:val="20"/>
              </w:rPr>
            </w:pPr>
            <w:r>
              <w:rPr>
                <w:rFonts w:eastAsia="Calibri"/>
                <w:sz w:val="20"/>
                <w:szCs w:val="20"/>
              </w:rPr>
              <w:t xml:space="preserve">(Décret EIE en son </w:t>
            </w:r>
            <w:r>
              <w:rPr>
                <w:rFonts w:eastAsia="Calibri"/>
                <w:b/>
                <w:bCs/>
                <w:color w:val="000000"/>
                <w:spacing w:val="-1"/>
                <w:sz w:val="20"/>
                <w:szCs w:val="20"/>
              </w:rPr>
              <w:t>Article 1</w:t>
            </w:r>
            <w:r>
              <w:rPr>
                <w:rFonts w:eastAsia="Calibri"/>
                <w:b/>
                <w:bCs/>
                <w:color w:val="000000"/>
                <w:spacing w:val="-1"/>
                <w:sz w:val="20"/>
                <w:szCs w:val="20"/>
              </w:rPr>
              <w:t>9</w:t>
            </w:r>
            <w:r>
              <w:rPr>
                <w:rFonts w:eastAsia="Calibri"/>
                <w:b/>
                <w:bCs/>
                <w:color w:val="000000"/>
                <w:spacing w:val="-1"/>
                <w:sz w:val="20"/>
                <w:szCs w:val="20"/>
              </w:rPr>
              <w:t xml:space="preserve"> </w:t>
            </w:r>
            <w:r>
              <w:rPr>
                <w:rFonts w:eastAsia="Calibri"/>
                <w:color w:val="000000"/>
                <w:spacing w:val="-1"/>
                <w:sz w:val="20"/>
                <w:szCs w:val="20"/>
              </w:rPr>
              <w:t xml:space="preserve">: </w:t>
            </w:r>
            <w:r>
              <w:rPr>
                <w:rFonts w:eastAsia="Calibri"/>
                <w:sz w:val="20"/>
                <w:szCs w:val="20"/>
              </w:rPr>
              <w:t>Le projet à l'étude est soumis à une enquête publique. L'EIES est rendue publique dans le cadre de ce processus et fait partie du dossier constitué dans ce but.)</w:t>
            </w:r>
          </w:p>
          <w:p>
            <w:pPr>
              <w:pStyle w:val="style0"/>
              <w:spacing w:before="60" w:after="60"/>
              <w:jc w:val="both"/>
              <w:rPr>
                <w:rFonts w:eastAsia="Calibri"/>
                <w:sz w:val="20"/>
                <w:szCs w:val="20"/>
              </w:rPr>
            </w:pP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nationale satisfait cette exigence</w:t>
            </w:r>
            <w:r>
              <w:rPr>
                <w:rFonts w:eastAsia="Calibri"/>
                <w:sz w:val="20"/>
                <w:szCs w:val="20"/>
              </w:rPr>
              <w:t>.</w:t>
            </w:r>
          </w:p>
        </w:tc>
      </w:tr>
      <w:tr>
        <w:tblPrEx/>
        <w:trPr>
          <w:trHeight w:val="1346" w:hRule="atLeast"/>
          <w:jc w:val="center"/>
        </w:trPr>
        <w:tc>
          <w:tcPr>
            <w:tcW w:w="1513" w:type="dxa"/>
            <w:vMerge w:val="restart"/>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tabs>
                <w:tab w:val="center" w:leader="none" w:pos="4320"/>
                <w:tab w:val="right" w:leader="none" w:pos="8640"/>
              </w:tabs>
              <w:autoSpaceDE w:val="false"/>
              <w:autoSpaceDN w:val="false"/>
              <w:adjustRightInd w:val="false"/>
              <w:spacing w:before="60" w:after="60"/>
              <w:jc w:val="both"/>
              <w:rPr>
                <w:rFonts w:eastAsia="Calibri"/>
                <w:sz w:val="20"/>
                <w:szCs w:val="20"/>
              </w:rPr>
            </w:pPr>
            <w:r>
              <w:rPr>
                <w:rFonts w:eastAsia="Calibri"/>
                <w:sz w:val="20"/>
                <w:szCs w:val="20"/>
              </w:rPr>
              <w:t>Tout projet susceptible d’entraîner la dégradation</w:t>
            </w:r>
            <w:r>
              <w:rPr>
                <w:sz w:val="20"/>
                <w:szCs w:val="20"/>
              </w:rPr>
              <w:t xml:space="preserve"> des habitats critiques. Les sites naturels présentent un intérêt particulier et sont importants pour la préservation de la diversité biologique ou à cause de leurs fonctions écologiques. </w:t>
            </w:r>
          </w:p>
        </w:tc>
        <w:tc>
          <w:tcPr>
            <w:tcW w:w="4961" w:type="dxa"/>
            <w:tcBorders/>
            <w:shd w:val="clear" w:color="auto" w:fill="auto"/>
            <w:vAlign w:val="center"/>
          </w:tcPr>
          <w:p>
            <w:pPr>
              <w:pStyle w:val="style0"/>
              <w:spacing w:before="60" w:after="60" w:lineRule="auto" w:line="276"/>
              <w:jc w:val="both"/>
              <w:rPr>
                <w:sz w:val="20"/>
                <w:szCs w:val="20"/>
              </w:rPr>
            </w:pPr>
            <w:r>
              <w:rPr>
                <w:sz w:val="20"/>
                <w:szCs w:val="20"/>
              </w:rPr>
              <w:t>L</w:t>
            </w:r>
            <w:r>
              <w:rPr>
                <w:sz w:val="20"/>
                <w:szCs w:val="20"/>
              </w:rPr>
              <w:t>e</w:t>
            </w:r>
            <w:r>
              <w:rPr>
                <w:sz w:val="20"/>
                <w:szCs w:val="20"/>
              </w:rPr>
              <w:t xml:space="preserve"> </w:t>
            </w:r>
            <w:r>
              <w:rPr>
                <w:sz w:val="20"/>
                <w:szCs w:val="20"/>
              </w:rPr>
              <w:t>Burkina Faso</w:t>
            </w:r>
            <w:r>
              <w:rPr>
                <w:sz w:val="20"/>
                <w:szCs w:val="20"/>
              </w:rPr>
              <w:t xml:space="preserve"> dispose de lois fixant les conditions de gestion et de conservation de la biodiversité ; de gestion de la faune sauvage et de son habitat ; ainsi que les conditions générales de conservation, de protection de mise en valeur et d'exploitation de la faune sauvage et de son habitat :</w:t>
            </w:r>
          </w:p>
          <w:p>
            <w:pPr>
              <w:pStyle w:val="style0"/>
              <w:numPr>
                <w:ilvl w:val="0"/>
                <w:numId w:val="60"/>
              </w:numPr>
              <w:spacing w:before="60" w:after="60" w:lineRule="auto" w:line="276"/>
              <w:ind w:left="321" w:hanging="321"/>
              <w:jc w:val="both"/>
              <w:rPr>
                <w:sz w:val="20"/>
                <w:szCs w:val="20"/>
              </w:rPr>
            </w:pPr>
            <w:r>
              <w:rPr>
                <w:sz w:val="20"/>
                <w:szCs w:val="20"/>
              </w:rPr>
              <w:t>Loi n°</w:t>
            </w:r>
            <w:r>
              <w:rPr>
                <w:sz w:val="20"/>
                <w:szCs w:val="20"/>
              </w:rPr>
              <w:t>005-2011</w:t>
            </w:r>
            <w:r>
              <w:rPr>
                <w:sz w:val="20"/>
                <w:szCs w:val="20"/>
              </w:rPr>
              <w:t xml:space="preserve"> du </w:t>
            </w:r>
            <w:r>
              <w:rPr>
                <w:sz w:val="20"/>
                <w:szCs w:val="20"/>
              </w:rPr>
              <w:t>5</w:t>
            </w:r>
            <w:r>
              <w:rPr>
                <w:sz w:val="20"/>
                <w:szCs w:val="20"/>
              </w:rPr>
              <w:t xml:space="preserve"> </w:t>
            </w:r>
            <w:r>
              <w:rPr>
                <w:sz w:val="20"/>
                <w:szCs w:val="20"/>
              </w:rPr>
              <w:t>avril</w:t>
            </w:r>
            <w:r>
              <w:rPr>
                <w:sz w:val="20"/>
                <w:szCs w:val="20"/>
              </w:rPr>
              <w:t xml:space="preserve"> 201</w:t>
            </w:r>
            <w:r>
              <w:rPr>
                <w:sz w:val="20"/>
                <w:szCs w:val="20"/>
              </w:rPr>
              <w:t>1</w:t>
            </w:r>
            <w:r>
              <w:rPr>
                <w:sz w:val="20"/>
                <w:szCs w:val="20"/>
              </w:rPr>
              <w:t xml:space="preserve"> portant Code forestier.</w:t>
            </w:r>
          </w:p>
          <w:p>
            <w:pPr>
              <w:pStyle w:val="style0"/>
              <w:numPr>
                <w:ilvl w:val="0"/>
                <w:numId w:val="60"/>
              </w:numPr>
              <w:spacing w:before="60" w:after="60" w:lineRule="auto" w:line="276"/>
              <w:ind w:left="321" w:hanging="321"/>
              <w:jc w:val="both"/>
              <w:rPr>
                <w:sz w:val="20"/>
                <w:szCs w:val="20"/>
              </w:rPr>
            </w:pPr>
            <w:r>
              <w:rPr>
                <w:sz w:val="20"/>
                <w:szCs w:val="20"/>
              </w:rPr>
              <w:t>Loi n°</w:t>
            </w:r>
            <w:r>
              <w:rPr>
                <w:sz w:val="20"/>
                <w:szCs w:val="20"/>
              </w:rPr>
              <w:t>006-2013</w:t>
            </w:r>
            <w:r>
              <w:rPr>
                <w:sz w:val="20"/>
                <w:szCs w:val="20"/>
              </w:rPr>
              <w:t xml:space="preserve"> du </w:t>
            </w:r>
            <w:r>
              <w:rPr>
                <w:sz w:val="20"/>
                <w:szCs w:val="20"/>
              </w:rPr>
              <w:t>2</w:t>
            </w:r>
            <w:r>
              <w:rPr>
                <w:sz w:val="20"/>
                <w:szCs w:val="20"/>
              </w:rPr>
              <w:t xml:space="preserve"> </w:t>
            </w:r>
            <w:r>
              <w:rPr>
                <w:sz w:val="20"/>
                <w:szCs w:val="20"/>
              </w:rPr>
              <w:t>avril</w:t>
            </w:r>
            <w:r>
              <w:rPr>
                <w:sz w:val="20"/>
                <w:szCs w:val="20"/>
              </w:rPr>
              <w:t xml:space="preserve"> </w:t>
            </w:r>
            <w:r>
              <w:rPr>
                <w:sz w:val="20"/>
                <w:szCs w:val="20"/>
              </w:rPr>
              <w:t>2013</w:t>
            </w:r>
            <w:r>
              <w:rPr>
                <w:sz w:val="20"/>
                <w:szCs w:val="20"/>
              </w:rPr>
              <w:t xml:space="preserve"> portant Code de l’Environnement</w:t>
            </w:r>
          </w:p>
          <w:p>
            <w:pPr>
              <w:pStyle w:val="style0"/>
              <w:numPr>
                <w:ilvl w:val="0"/>
                <w:numId w:val="60"/>
              </w:numPr>
              <w:spacing w:before="60" w:after="60" w:lineRule="auto" w:line="276"/>
              <w:ind w:left="321" w:hanging="321"/>
              <w:jc w:val="both"/>
              <w:rPr>
                <w:sz w:val="20"/>
                <w:szCs w:val="20"/>
              </w:rPr>
            </w:pPr>
            <w:r>
              <w:rPr>
                <w:sz w:val="20"/>
                <w:szCs w:val="20"/>
              </w:rPr>
              <w:t>Loi n°65-255 du 04 août 1965 relative à la protection de la faune et à l'exercice de la chasse, modifiée en certains articles par la loi n° 94-442 du 16 août 1994.</w:t>
            </w:r>
          </w:p>
          <w:p>
            <w:pPr>
              <w:pStyle w:val="style0"/>
              <w:numPr>
                <w:ilvl w:val="0"/>
                <w:numId w:val="60"/>
              </w:numPr>
              <w:spacing w:before="60" w:after="60" w:lineRule="auto" w:line="276"/>
              <w:ind w:left="321" w:hanging="321"/>
              <w:jc w:val="both"/>
              <w:rPr>
                <w:sz w:val="20"/>
                <w:szCs w:val="20"/>
              </w:rPr>
            </w:pPr>
            <w:r>
              <w:rPr>
                <w:sz w:val="20"/>
                <w:szCs w:val="20"/>
              </w:rPr>
              <w:t>Convention de Londres relative à la conservation de la faune et de la flore à l’état naturel (1933).</w:t>
            </w:r>
          </w:p>
          <w:p>
            <w:pPr>
              <w:pStyle w:val="style0"/>
              <w:numPr>
                <w:ilvl w:val="0"/>
                <w:numId w:val="60"/>
              </w:numPr>
              <w:spacing w:before="60" w:after="60" w:lineRule="auto" w:line="276"/>
              <w:ind w:left="321" w:hanging="321"/>
              <w:jc w:val="both"/>
              <w:rPr>
                <w:sz w:val="20"/>
                <w:szCs w:val="20"/>
              </w:rPr>
            </w:pPr>
            <w:r>
              <w:rPr>
                <w:sz w:val="20"/>
                <w:szCs w:val="20"/>
              </w:rPr>
              <w:t>Convention d’Alger sur la conservation de la nature et des ressources naturelles / 1968.</w:t>
            </w:r>
          </w:p>
          <w:p>
            <w:pPr>
              <w:pStyle w:val="style0"/>
              <w:numPr>
                <w:ilvl w:val="0"/>
                <w:numId w:val="60"/>
              </w:numPr>
              <w:spacing w:before="60" w:after="60" w:lineRule="auto" w:line="276"/>
              <w:ind w:left="321" w:hanging="321"/>
              <w:jc w:val="both"/>
              <w:rPr>
                <w:sz w:val="20"/>
                <w:szCs w:val="20"/>
              </w:rPr>
            </w:pPr>
            <w:r>
              <w:rPr>
                <w:sz w:val="20"/>
                <w:szCs w:val="20"/>
              </w:rPr>
              <w:t>Convention - cadre des Nations Unies sur la diversité biologique / 1992</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nationale satisfait cette exigence</w:t>
            </w:r>
            <w:r>
              <w:rPr>
                <w:rFonts w:eastAsia="Calibri"/>
                <w:sz w:val="20"/>
                <w:szCs w:val="20"/>
              </w:rPr>
              <w:t>.</w:t>
            </w:r>
          </w:p>
        </w:tc>
      </w:tr>
      <w:tr>
        <w:tblPrEx/>
        <w:trPr>
          <w:trHeight w:val="630" w:hRule="atLeast"/>
          <w:jc w:val="center"/>
        </w:trPr>
        <w:tc>
          <w:tcPr>
            <w:tcW w:w="1513" w:type="dxa"/>
            <w:vMerge w:val="continue"/>
            <w:tcBorders/>
            <w:shd w:val="clear" w:color="auto" w:fill="auto"/>
            <w:vAlign w:val="center"/>
          </w:tcPr>
          <w:p>
            <w:pPr>
              <w:pStyle w:val="style0"/>
              <w:spacing w:before="60" w:after="60"/>
              <w:jc w:val="both"/>
              <w:rPr>
                <w:rFonts w:eastAsia="Calibri"/>
                <w:color w:val="ff0000"/>
                <w:sz w:val="20"/>
                <w:szCs w:val="20"/>
              </w:rPr>
            </w:pPr>
          </w:p>
        </w:tc>
        <w:tc>
          <w:tcPr>
            <w:tcW w:w="4436" w:type="dxa"/>
            <w:tcBorders/>
            <w:shd w:val="clear" w:color="auto" w:fill="auto"/>
            <w:vAlign w:val="center"/>
          </w:tcPr>
          <w:p>
            <w:pPr>
              <w:pStyle w:val="style0"/>
              <w:spacing w:before="60" w:after="60"/>
              <w:jc w:val="both"/>
              <w:rPr>
                <w:rFonts w:eastAsia="Calibri"/>
                <w:i/>
                <w:sz w:val="20"/>
                <w:szCs w:val="20"/>
                <w:u w:val="single"/>
              </w:rPr>
            </w:pPr>
            <w:r>
              <w:rPr>
                <w:sz w:val="20"/>
                <w:szCs w:val="20"/>
              </w:rPr>
              <w:t xml:space="preserve"> </w:t>
            </w:r>
            <w:r>
              <w:rPr>
                <w:rFonts w:eastAsia="Calibri"/>
                <w:i/>
                <w:sz w:val="20"/>
                <w:szCs w:val="20"/>
                <w:u w:val="single"/>
              </w:rPr>
              <w:t>Evaluation environnementale</w:t>
            </w:r>
            <w:r>
              <w:rPr>
                <w:rFonts w:eastAsia="Calibri"/>
                <w:i/>
                <w:sz w:val="20"/>
                <w:szCs w:val="20"/>
                <w:u w:val="single"/>
              </w:rPr>
              <w:t xml:space="preserve"> et sociale</w:t>
            </w:r>
          </w:p>
          <w:p>
            <w:pPr>
              <w:pStyle w:val="style0"/>
              <w:tabs>
                <w:tab w:val="center" w:leader="none" w:pos="4320"/>
                <w:tab w:val="right" w:leader="none" w:pos="8640"/>
              </w:tabs>
              <w:autoSpaceDE w:val="false"/>
              <w:autoSpaceDN w:val="false"/>
              <w:adjustRightInd w:val="false"/>
              <w:spacing w:before="60" w:after="60"/>
              <w:jc w:val="both"/>
              <w:rPr>
                <w:rFonts w:eastAsia="Calibri"/>
                <w:sz w:val="20"/>
                <w:szCs w:val="20"/>
              </w:rPr>
            </w:pPr>
            <w:r>
              <w:rPr>
                <w:sz w:val="20"/>
                <w:szCs w:val="20"/>
              </w:rPr>
              <w:t>Les habitats naturels méritent une attention particulière lors de la réalisation d’évaluations d’impacts sur l’environnement.</w:t>
            </w:r>
          </w:p>
        </w:tc>
        <w:tc>
          <w:tcPr>
            <w:tcW w:w="4961" w:type="dxa"/>
            <w:tcBorders/>
            <w:shd w:val="clear" w:color="auto" w:fill="auto"/>
            <w:vAlign w:val="center"/>
          </w:tcPr>
          <w:p>
            <w:pPr>
              <w:pStyle w:val="style0"/>
              <w:shd w:val="clear" w:color="auto" w:fill="ffffff"/>
              <w:spacing w:before="60" w:after="60"/>
              <w:jc w:val="both"/>
              <w:rPr>
                <w:rFonts w:eastAsia="Calibri"/>
                <w:sz w:val="20"/>
                <w:szCs w:val="20"/>
              </w:rPr>
            </w:pPr>
            <w:r>
              <w:rPr>
                <w:rFonts w:eastAsia="Calibri"/>
                <w:sz w:val="20"/>
                <w:szCs w:val="20"/>
              </w:rPr>
              <w:t>La Loi n°</w:t>
            </w:r>
            <w:r>
              <w:rPr>
                <w:rFonts w:eastAsia="Calibri"/>
                <w:sz w:val="20"/>
                <w:szCs w:val="20"/>
              </w:rPr>
              <w:t>006-2013</w:t>
            </w:r>
            <w:r>
              <w:rPr>
                <w:rFonts w:eastAsia="Calibri"/>
                <w:sz w:val="20"/>
                <w:szCs w:val="20"/>
              </w:rPr>
              <w:t xml:space="preserve"> du </w:t>
            </w:r>
            <w:r>
              <w:rPr>
                <w:rFonts w:eastAsia="Calibri"/>
                <w:sz w:val="20"/>
                <w:szCs w:val="20"/>
              </w:rPr>
              <w:t>2</w:t>
            </w:r>
            <w:r>
              <w:rPr>
                <w:rFonts w:eastAsia="Calibri"/>
                <w:sz w:val="20"/>
                <w:szCs w:val="20"/>
              </w:rPr>
              <w:t xml:space="preserve"> </w:t>
            </w:r>
            <w:r>
              <w:rPr>
                <w:rFonts w:eastAsia="Calibri"/>
                <w:sz w:val="20"/>
                <w:szCs w:val="20"/>
              </w:rPr>
              <w:t>avril</w:t>
            </w:r>
            <w:r>
              <w:rPr>
                <w:rFonts w:eastAsia="Calibri"/>
                <w:sz w:val="20"/>
                <w:szCs w:val="20"/>
              </w:rPr>
              <w:t xml:space="preserve"> </w:t>
            </w:r>
            <w:r>
              <w:rPr>
                <w:rFonts w:eastAsia="Calibri"/>
                <w:sz w:val="20"/>
                <w:szCs w:val="20"/>
              </w:rPr>
              <w:t>2013</w:t>
            </w:r>
            <w:r>
              <w:rPr>
                <w:rFonts w:eastAsia="Calibri"/>
                <w:sz w:val="20"/>
                <w:szCs w:val="20"/>
              </w:rPr>
              <w:t xml:space="preserve"> portant Code de l’Environnement et le Décret n°</w:t>
            </w:r>
            <w:r>
              <w:rPr>
                <w:rFonts w:eastAsia="Calibri"/>
                <w:sz w:val="20"/>
                <w:szCs w:val="20"/>
              </w:rPr>
              <w:t>2015</w:t>
            </w:r>
            <w:r>
              <w:rPr>
                <w:rFonts w:eastAsia="Calibri"/>
                <w:sz w:val="20"/>
                <w:szCs w:val="20"/>
              </w:rPr>
              <w:t>-</w:t>
            </w:r>
            <w:r>
              <w:rPr>
                <w:rFonts w:eastAsia="Calibri"/>
                <w:sz w:val="20"/>
                <w:szCs w:val="20"/>
              </w:rPr>
              <w:t>1187</w:t>
            </w:r>
            <w:r>
              <w:rPr>
                <w:rFonts w:eastAsia="Calibri"/>
                <w:sz w:val="20"/>
                <w:szCs w:val="20"/>
              </w:rPr>
              <w:t xml:space="preserve"> du </w:t>
            </w:r>
            <w:r>
              <w:rPr>
                <w:rFonts w:eastAsia="Calibri"/>
                <w:sz w:val="20"/>
                <w:szCs w:val="20"/>
              </w:rPr>
              <w:t>22</w:t>
            </w:r>
            <w:r>
              <w:rPr>
                <w:rFonts w:eastAsia="Calibri"/>
                <w:sz w:val="20"/>
                <w:szCs w:val="20"/>
              </w:rPr>
              <w:t xml:space="preserve"> </w:t>
            </w:r>
            <w:r>
              <w:rPr>
                <w:rFonts w:eastAsia="Calibri"/>
                <w:sz w:val="20"/>
                <w:szCs w:val="20"/>
              </w:rPr>
              <w:t>octo</w:t>
            </w:r>
            <w:r>
              <w:rPr>
                <w:rFonts w:eastAsia="Calibri"/>
                <w:sz w:val="20"/>
                <w:szCs w:val="20"/>
              </w:rPr>
              <w:t xml:space="preserve">bre </w:t>
            </w:r>
            <w:r>
              <w:rPr>
                <w:rFonts w:eastAsia="Calibri"/>
                <w:sz w:val="20"/>
                <w:szCs w:val="20"/>
              </w:rPr>
              <w:t>2015</w:t>
            </w:r>
            <w:r>
              <w:rPr>
                <w:rFonts w:eastAsia="Calibri"/>
                <w:sz w:val="20"/>
                <w:szCs w:val="20"/>
              </w:rPr>
              <w:t xml:space="preserve"> </w:t>
            </w:r>
            <w:r>
              <w:rPr>
                <w:color w:val="000000"/>
                <w:sz w:val="20"/>
                <w:szCs w:val="20"/>
              </w:rPr>
              <w:t>portant conditions et procédures de réalisation et de validation de l’évaluation environnementale stratégique, de l’étude et de la notice d’impact environnemental et social</w:t>
            </w:r>
            <w:r>
              <w:rPr>
                <w:rFonts w:ascii="Garamond" w:cs="Calibri" w:hAnsi="Garamond"/>
                <w:color w:val="000000"/>
              </w:rPr>
              <w:t xml:space="preserve"> </w:t>
            </w:r>
            <w:r>
              <w:rPr>
                <w:rFonts w:eastAsia="Calibri"/>
                <w:sz w:val="20"/>
                <w:szCs w:val="20"/>
              </w:rPr>
              <w:t>des projets de développement stipulent que les projets situés sur ou à proximité de zones à risques ou zones écologiquement sensibles</w:t>
            </w:r>
            <w:r>
              <w:rPr>
                <w:rFonts w:eastAsia="Calibri"/>
                <w:sz w:val="20"/>
                <w:szCs w:val="20"/>
              </w:rPr>
              <w:t xml:space="preserve"> </w:t>
            </w:r>
            <w:r>
              <w:rPr>
                <w:rFonts w:eastAsia="Calibri"/>
                <w:sz w:val="20"/>
                <w:szCs w:val="20"/>
              </w:rPr>
              <w:t>sont soumis à EIES (aires protégées et réserves analogues, zones humides et mangroves, zones définies écologiquement sensibles, etc.)</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nationale satisfait cette exigence de la PO4.04</w:t>
            </w:r>
          </w:p>
        </w:tc>
      </w:tr>
      <w:tr>
        <w:tblPrEx/>
        <w:trPr>
          <w:jc w:val="center"/>
        </w:trPr>
        <w:tc>
          <w:tcPr>
            <w:tcW w:w="1513" w:type="dxa"/>
            <w:tcBorders/>
            <w:shd w:val="clear" w:color="auto" w:fill="auto"/>
            <w:vAlign w:val="center"/>
          </w:tcPr>
          <w:p>
            <w:pPr>
              <w:pStyle w:val="style0"/>
              <w:spacing w:before="60" w:after="60"/>
              <w:jc w:val="both"/>
              <w:rPr>
                <w:rFonts w:eastAsia="Calibri"/>
                <w:color w:val="ff0000"/>
                <w:sz w:val="20"/>
                <w:szCs w:val="20"/>
              </w:rPr>
            </w:pPr>
          </w:p>
        </w:tc>
        <w:tc>
          <w:tcPr>
            <w:tcW w:w="4436" w:type="dxa"/>
            <w:tcBorders/>
            <w:shd w:val="clear" w:color="auto" w:fill="auto"/>
            <w:vAlign w:val="center"/>
          </w:tcPr>
          <w:p>
            <w:pPr>
              <w:pStyle w:val="style0"/>
              <w:tabs>
                <w:tab w:val="center" w:leader="none" w:pos="4320"/>
                <w:tab w:val="right" w:leader="none" w:pos="8640"/>
              </w:tabs>
              <w:autoSpaceDE w:val="false"/>
              <w:autoSpaceDN w:val="false"/>
              <w:adjustRightInd w:val="false"/>
              <w:spacing w:before="60" w:after="60"/>
              <w:jc w:val="both"/>
              <w:rPr>
                <w:rFonts w:eastAsia="Calibri"/>
                <w:sz w:val="20"/>
                <w:szCs w:val="20"/>
              </w:rPr>
            </w:pPr>
            <w:r>
              <w:rPr>
                <w:rFonts w:eastAsia="Calibri"/>
                <w:sz w:val="20"/>
                <w:szCs w:val="20"/>
              </w:rPr>
              <w:t>La PO encourage l’usage de méthodes de lutte biologique ou environnementale, réduit la dépendance des pesticides chimiques synthétique et se conforme à la classification des pesticides recommandés par l’OMS selon les risques qu’ils représentent ainsi que les lignes directrices liées à cette classification. Elle encourage la lutte intégrée et l’utilisation prudente de pesticides agricoles</w:t>
            </w:r>
          </w:p>
        </w:tc>
        <w:tc>
          <w:tcPr>
            <w:tcW w:w="4961" w:type="dxa"/>
            <w:tcBorders/>
            <w:shd w:val="clear" w:color="auto" w:fill="auto"/>
            <w:vAlign w:val="center"/>
          </w:tcPr>
          <w:p>
            <w:pPr>
              <w:pStyle w:val="style0"/>
              <w:spacing w:before="60" w:after="60" w:lineRule="auto" w:line="276"/>
              <w:jc w:val="both"/>
              <w:rPr>
                <w:rFonts w:eastAsia="Calibri"/>
                <w:spacing w:val="-1"/>
                <w:sz w:val="20"/>
                <w:szCs w:val="20"/>
              </w:rPr>
            </w:pPr>
            <w:r>
              <w:rPr>
                <w:rFonts w:eastAsia="Calibri"/>
                <w:sz w:val="20"/>
                <w:szCs w:val="20"/>
              </w:rPr>
              <w:t>L</w:t>
            </w:r>
            <w:r>
              <w:rPr>
                <w:rFonts w:eastAsia="Calibri"/>
                <w:sz w:val="20"/>
                <w:szCs w:val="20"/>
              </w:rPr>
              <w:t xml:space="preserve">e Burkina Faso </w:t>
            </w:r>
            <w:r>
              <w:rPr>
                <w:rFonts w:eastAsia="Calibri"/>
                <w:sz w:val="20"/>
                <w:szCs w:val="20"/>
              </w:rPr>
              <w:t xml:space="preserve">dispose de </w:t>
            </w:r>
            <w:r>
              <w:rPr>
                <w:rFonts w:eastAsia="Calibri"/>
                <w:spacing w:val="-1"/>
                <w:sz w:val="20"/>
                <w:szCs w:val="20"/>
              </w:rPr>
              <w:t xml:space="preserve">plusieurs textes et lois </w:t>
            </w:r>
            <w:r>
              <w:rPr>
                <w:rFonts w:eastAsia="Calibri"/>
                <w:sz w:val="20"/>
                <w:szCs w:val="20"/>
              </w:rPr>
              <w:t xml:space="preserve">relatifs aux pollutions et aux nuisances et </w:t>
            </w:r>
            <w:r>
              <w:rPr>
                <w:rFonts w:eastAsia="Calibri"/>
                <w:spacing w:val="-1"/>
                <w:sz w:val="20"/>
                <w:szCs w:val="20"/>
              </w:rPr>
              <w:t>instituant l'homologation et le contrôle des pestes et pesticides. On peut citer :</w:t>
            </w:r>
          </w:p>
          <w:p>
            <w:pPr>
              <w:pStyle w:val="style0"/>
              <w:numPr>
                <w:ilvl w:val="0"/>
                <w:numId w:val="108"/>
              </w:numPr>
              <w:autoSpaceDE w:val="false"/>
              <w:autoSpaceDN w:val="false"/>
              <w:adjustRightInd w:val="false"/>
              <w:spacing w:before="60" w:after="60" w:lineRule="auto" w:line="276"/>
              <w:ind w:left="330" w:firstLine="30"/>
              <w:jc w:val="both"/>
              <w:rPr>
                <w:rFonts w:eastAsia="Calibri"/>
                <w:color w:val="ff0000"/>
                <w:sz w:val="20"/>
                <w:szCs w:val="20"/>
              </w:rPr>
            </w:pPr>
            <w:r>
              <w:rPr>
                <w:rFonts w:eastAsia="Calibri"/>
                <w:sz w:val="20"/>
                <w:szCs w:val="20"/>
              </w:rPr>
              <w:t>La Loi N°026-2017/AN du 15 mai 2017, portant contrôle de la gestion des pesticides au Burkina Faso vise à s’assurer : la régularité des procédures de production, d’expérimentation, d’importation, d’exportation, de reconditionnement, de transit, de transport, de distribution, de stockage, d’utilisation et de destruction du pesticide ; la qualité des pesticides ; le respect des normes d’étiquetage, d’emballages et de procédures d’homologation en vigueur au Burkina Faso. Elle stipule en son article 4 : « Le contrôle de la gestion des pesticides relève de la compétence du ministère en charge de l’agriculture. A cet effet, il est créé un Comité national de gestion des pesticides, en abrégé CNGP, dont les attributions, la composition et les règles de fonctionnement sont déterminées par décret pris en Conseil des ministres. Il est placé sous la tutelle du ministère en charge de l’agriculture.</w:t>
            </w:r>
          </w:p>
          <w:p>
            <w:pPr>
              <w:pStyle w:val="style0"/>
              <w:numPr>
                <w:ilvl w:val="0"/>
                <w:numId w:val="108"/>
              </w:numPr>
              <w:autoSpaceDE w:val="false"/>
              <w:autoSpaceDN w:val="false"/>
              <w:adjustRightInd w:val="false"/>
              <w:spacing w:before="60" w:after="60" w:lineRule="auto" w:line="276"/>
              <w:ind w:left="390" w:hanging="390"/>
              <w:jc w:val="both"/>
              <w:rPr>
                <w:rFonts w:eastAsia="Calibri"/>
                <w:color w:val="ff0000"/>
                <w:sz w:val="20"/>
                <w:szCs w:val="20"/>
              </w:rPr>
            </w:pPr>
            <w:r>
              <w:rPr>
                <w:sz w:val="20"/>
                <w:szCs w:val="20"/>
              </w:rPr>
              <w:t>Loi n°23-94/ADP du 19 mai 1994 portant Code de Santé Publique : Le Code de la Santé Publique   donne compétence au ministère de la santé pour prendre conjointement avec les ministères en charge de l’environnement et de l’eau les mesures destinées entre autres à prévenir la pollution des eaux potables aux fins de protéger l’environnement et la santé des populations. Le Code met l’accent sur la protection sanitaire de l’environnement, notamment la pollution de l’air et de l’eau (mesures destinées à prévenir la pollution des eaux livrées à la consommation); produits phytosanitaires ; lutte contre toutes formes de déchets ; salubrité des agglomérations. Elle institue la médecine du travail.</w:t>
            </w:r>
          </w:p>
          <w:p>
            <w:pPr>
              <w:pStyle w:val="style0"/>
              <w:numPr>
                <w:ilvl w:val="0"/>
                <w:numId w:val="108"/>
              </w:numPr>
              <w:autoSpaceDE w:val="false"/>
              <w:autoSpaceDN w:val="false"/>
              <w:adjustRightInd w:val="false"/>
              <w:spacing w:before="60" w:after="60" w:lineRule="auto" w:line="276"/>
              <w:ind w:left="390" w:hanging="390"/>
              <w:jc w:val="both"/>
              <w:rPr>
                <w:rFonts w:eastAsia="Calibri"/>
                <w:sz w:val="20"/>
                <w:szCs w:val="20"/>
              </w:rPr>
            </w:pPr>
            <w:r>
              <w:rPr>
                <w:rFonts w:eastAsia="Calibri"/>
                <w:sz w:val="20"/>
                <w:szCs w:val="20"/>
              </w:rPr>
              <w:t xml:space="preserve">La Loi n°006-2013 du 2 avril 2013 portant Code de l’Environnement </w:t>
            </w:r>
          </w:p>
          <w:p>
            <w:pPr>
              <w:pStyle w:val="style0"/>
              <w:numPr>
                <w:ilvl w:val="0"/>
                <w:numId w:val="108"/>
              </w:numPr>
              <w:autoSpaceDE w:val="false"/>
              <w:autoSpaceDN w:val="false"/>
              <w:adjustRightInd w:val="false"/>
              <w:spacing w:before="60" w:after="60" w:lineRule="auto" w:line="276"/>
              <w:ind w:left="390" w:hanging="390"/>
              <w:jc w:val="both"/>
              <w:rPr>
                <w:rFonts w:eastAsia="Calibri"/>
                <w:sz w:val="20"/>
                <w:szCs w:val="20"/>
              </w:rPr>
            </w:pPr>
            <w:r>
              <w:rPr>
                <w:rFonts w:eastAsia="Calibri"/>
                <w:sz w:val="20"/>
                <w:szCs w:val="20"/>
              </w:rPr>
              <w:t>Convention de Rotterdam sur les produits chimiques et pesticides dangereux qui font l'objet d'un commerce international / 1998</w:t>
            </w:r>
          </w:p>
          <w:p>
            <w:pPr>
              <w:pStyle w:val="style0"/>
              <w:numPr>
                <w:ilvl w:val="0"/>
                <w:numId w:val="108"/>
              </w:numPr>
              <w:autoSpaceDE w:val="false"/>
              <w:autoSpaceDN w:val="false"/>
              <w:adjustRightInd w:val="false"/>
              <w:spacing w:before="60" w:after="60" w:lineRule="auto" w:line="276"/>
              <w:ind w:left="390" w:hanging="390"/>
              <w:jc w:val="both"/>
              <w:rPr>
                <w:rFonts w:eastAsia="Calibri"/>
                <w:sz w:val="20"/>
                <w:szCs w:val="20"/>
              </w:rPr>
            </w:pPr>
            <w:r>
              <w:rPr>
                <w:rFonts w:eastAsia="Calibri"/>
                <w:sz w:val="20"/>
                <w:szCs w:val="20"/>
              </w:rPr>
              <w:t>Convention de Stockholm les polluants Organiques Persistants (POPs)/ 2001</w:t>
            </w:r>
            <w:r>
              <w:rPr>
                <w:rFonts w:eastAsia="Calibri"/>
                <w:sz w:val="20"/>
                <w:szCs w:val="20"/>
              </w:rPr>
              <w:t xml:space="preserve"> </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Les lois nationales ne satisfont pas entièrement cette exigence de la PO4.09</w:t>
            </w:r>
          </w:p>
          <w:p>
            <w:pPr>
              <w:pStyle w:val="style0"/>
              <w:spacing w:before="60" w:after="60"/>
              <w:jc w:val="both"/>
              <w:rPr>
                <w:rFonts w:eastAsia="Calibri"/>
                <w:sz w:val="20"/>
                <w:szCs w:val="20"/>
              </w:rPr>
            </w:pPr>
          </w:p>
          <w:p>
            <w:pPr>
              <w:pStyle w:val="style0"/>
              <w:spacing w:before="60" w:after="60"/>
              <w:jc w:val="both"/>
              <w:rPr>
                <w:rFonts w:eastAsia="Calibri"/>
                <w:sz w:val="20"/>
                <w:szCs w:val="20"/>
              </w:rPr>
            </w:pPr>
            <w:r>
              <w:rPr>
                <w:rFonts w:eastAsia="Calibri"/>
                <w:sz w:val="20"/>
                <w:szCs w:val="20"/>
              </w:rPr>
              <w:t>La promotion des moyens de lutte intégrée n’est pas suffisamment vulgarisée. L’accent est mis sur la lutte chimique et l’utilisation des produits phytosanitaires homologués.</w:t>
            </w:r>
          </w:p>
          <w:p>
            <w:pPr>
              <w:pStyle w:val="style0"/>
              <w:spacing w:before="60" w:after="60"/>
              <w:jc w:val="both"/>
              <w:rPr>
                <w:rFonts w:eastAsia="Calibri"/>
                <w:sz w:val="20"/>
                <w:szCs w:val="20"/>
              </w:rPr>
            </w:pPr>
          </w:p>
          <w:p>
            <w:pPr>
              <w:pStyle w:val="style0"/>
              <w:spacing w:before="60" w:after="60"/>
              <w:jc w:val="both"/>
              <w:rPr>
                <w:rFonts w:eastAsia="Calibri"/>
                <w:sz w:val="20"/>
                <w:szCs w:val="20"/>
              </w:rPr>
            </w:pPr>
            <w:r>
              <w:rPr>
                <w:rFonts w:eastAsia="Calibri"/>
                <w:sz w:val="20"/>
                <w:szCs w:val="20"/>
              </w:rPr>
              <w:t>Dans le cas du PDCA</w:t>
            </w:r>
            <w:r>
              <w:rPr>
                <w:rFonts w:eastAsia="Calibri"/>
                <w:sz w:val="20"/>
                <w:szCs w:val="20"/>
              </w:rPr>
              <w:t>, un plan d’action de gestion des pestes</w:t>
            </w:r>
            <w:r>
              <w:rPr>
                <w:rFonts w:eastAsia="Calibri"/>
                <w:sz w:val="20"/>
                <w:szCs w:val="20"/>
              </w:rPr>
              <w:t xml:space="preserve"> et pesticides</w:t>
            </w:r>
            <w:r>
              <w:rPr>
                <w:rFonts w:eastAsia="Calibri"/>
                <w:sz w:val="20"/>
                <w:szCs w:val="20"/>
              </w:rPr>
              <w:t xml:space="preserve"> sera mis en œuvre et veiller</w:t>
            </w:r>
            <w:r>
              <w:rPr>
                <w:rFonts w:eastAsia="Calibri"/>
                <w:sz w:val="20"/>
                <w:szCs w:val="20"/>
              </w:rPr>
              <w:t>a</w:t>
            </w:r>
            <w:r>
              <w:rPr>
                <w:rFonts w:eastAsia="Calibri"/>
                <w:sz w:val="20"/>
                <w:szCs w:val="20"/>
              </w:rPr>
              <w:t xml:space="preserve"> à promouvoir la lutte intégrée à travers des actions de renforcement de capacités et des sensibilisations.</w:t>
            </w:r>
          </w:p>
        </w:tc>
      </w:tr>
      <w:tr>
        <w:tblPrEx/>
        <w:trPr>
          <w:jc w:val="center"/>
        </w:trPr>
        <w:tc>
          <w:tcPr>
            <w:tcW w:w="1513" w:type="dxa"/>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sz w:val="20"/>
                <w:szCs w:val="20"/>
              </w:rPr>
            </w:pPr>
            <w:r>
              <w:rPr>
                <w:sz w:val="20"/>
                <w:szCs w:val="20"/>
              </w:rPr>
              <w:t>La PO 4.11 dispose de promouvoir un développement qui prend ses racines dans les valeurs fondamentales du patrimoine et la diversité des expressions culturelles ; de sauvegarder et promouvoir ce patrimoine et cette diversité afin de forger une dynamique de connaissance et de compréhension, de respect mutuel et de tolérance, facteurs de paix ; d’intégrer les objectifs de la politique culturelle dans les priorités de la stratégie nationale de développement et de la lutte contre la pauvreté ; de renforcer le dialogue interculturel et une coopération cultuelle fondée sur des principes d’égalité et de partage pour un enrichissement mutuel.</w:t>
            </w:r>
          </w:p>
        </w:tc>
        <w:tc>
          <w:tcPr>
            <w:tcW w:w="4961" w:type="dxa"/>
            <w:tcBorders/>
            <w:shd w:val="clear" w:color="auto" w:fill="auto"/>
            <w:vAlign w:val="center"/>
          </w:tcPr>
          <w:p>
            <w:pPr>
              <w:pStyle w:val="style0"/>
              <w:autoSpaceDE w:val="false"/>
              <w:autoSpaceDN w:val="false"/>
              <w:adjustRightInd w:val="false"/>
              <w:jc w:val="both"/>
              <w:rPr>
                <w:rFonts w:eastAsia="Calibri"/>
                <w:sz w:val="20"/>
                <w:szCs w:val="20"/>
              </w:rPr>
            </w:pPr>
            <w:r>
              <w:rPr>
                <w:rFonts w:eastAsia="Calibri"/>
                <w:sz w:val="20"/>
                <w:szCs w:val="20"/>
              </w:rPr>
              <w:t xml:space="preserve">La loi n° 024-2007/AN du 13 novembre 2007 portant protection du patrimoine culturel physique. </w:t>
            </w:r>
            <w:r>
              <w:rPr>
                <w:sz w:val="20"/>
                <w:szCs w:val="20"/>
              </w:rPr>
              <w:t>Cette loi dispose que « L’auteur de toute découverte, fortuite ou non, résultant notamment de fouilles régulièrement autorisées et de travaux publics ou privés, est tenu de le déclarer auprès des Ministres chargés des Affaires Culturelles et des Mines ».</w:t>
            </w:r>
          </w:p>
          <w:p>
            <w:pPr>
              <w:pStyle w:val="style0"/>
              <w:spacing w:before="60" w:after="60"/>
              <w:jc w:val="both"/>
              <w:rPr>
                <w:rFonts w:eastAsia="Calibri"/>
                <w:sz w:val="20"/>
                <w:szCs w:val="20"/>
              </w:rPr>
            </w:pPr>
          </w:p>
        </w:tc>
        <w:tc>
          <w:tcPr>
            <w:tcW w:w="3383" w:type="dxa"/>
            <w:tcBorders/>
            <w:shd w:val="clear" w:color="auto" w:fill="auto"/>
            <w:vAlign w:val="center"/>
          </w:tcPr>
          <w:p>
            <w:pPr>
              <w:pStyle w:val="style0"/>
              <w:shd w:val="clear" w:color="auto" w:fill="ffffff"/>
              <w:tabs>
                <w:tab w:val="left" w:leader="none" w:pos="1990"/>
              </w:tabs>
              <w:spacing w:before="60" w:after="60"/>
              <w:jc w:val="both"/>
              <w:rPr>
                <w:rFonts w:eastAsia="Calibri"/>
                <w:sz w:val="20"/>
                <w:szCs w:val="20"/>
              </w:rPr>
            </w:pPr>
            <w:r>
              <w:rPr>
                <w:rFonts w:eastAsia="Calibri"/>
                <w:sz w:val="20"/>
                <w:szCs w:val="20"/>
              </w:rPr>
              <w:t>Cette Loi satisfait aux exigences de la PO4.11 de la BM.</w:t>
            </w:r>
          </w:p>
        </w:tc>
      </w:tr>
      <w:tr>
        <w:tblPrEx/>
        <w:trPr>
          <w:jc w:val="center"/>
        </w:trPr>
        <w:tc>
          <w:tcPr>
            <w:tcW w:w="1513" w:type="dxa"/>
            <w:vMerge w:val="restart"/>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rFonts w:eastAsia="Calibri"/>
                <w:i/>
                <w:sz w:val="20"/>
                <w:szCs w:val="20"/>
                <w:u w:val="single"/>
              </w:rPr>
            </w:pPr>
            <w:r>
              <w:rPr>
                <w:sz w:val="20"/>
                <w:szCs w:val="20"/>
              </w:rPr>
              <w:t xml:space="preserve"> </w:t>
            </w:r>
            <w:r>
              <w:rPr>
                <w:i/>
                <w:sz w:val="20"/>
                <w:szCs w:val="20"/>
                <w:u w:val="single"/>
              </w:rPr>
              <w:t>Eligibilité à une compensation</w:t>
            </w:r>
          </w:p>
          <w:p>
            <w:pPr>
              <w:pStyle w:val="style0"/>
              <w:spacing w:before="60" w:after="60"/>
              <w:jc w:val="both"/>
              <w:rPr>
                <w:sz w:val="20"/>
                <w:szCs w:val="20"/>
              </w:rPr>
            </w:pPr>
            <w:r>
              <w:rPr>
                <w:rFonts w:eastAsia="Calibri"/>
                <w:sz w:val="20"/>
                <w:szCs w:val="20"/>
              </w:rPr>
              <w:t>La PO 4.12 identifie t</w:t>
            </w:r>
            <w:r>
              <w:rPr>
                <w:sz w:val="20"/>
                <w:szCs w:val="20"/>
                <w:u w:val="single"/>
              </w:rPr>
              <w:t>rois catégories éligibles à la compensation </w:t>
            </w:r>
            <w:r>
              <w:rPr>
                <w:sz w:val="20"/>
                <w:szCs w:val="20"/>
              </w:rPr>
              <w:t>:</w:t>
            </w:r>
          </w:p>
          <w:p>
            <w:pPr>
              <w:pStyle w:val="style0"/>
              <w:widowControl w:val="false"/>
              <w:tabs>
                <w:tab w:val="left" w:leader="none" w:pos="360"/>
              </w:tabs>
              <w:spacing w:before="60" w:after="60"/>
              <w:jc w:val="both"/>
              <w:rPr>
                <w:sz w:val="20"/>
                <w:szCs w:val="20"/>
              </w:rPr>
            </w:pPr>
            <w:r>
              <w:rPr>
                <w:sz w:val="20"/>
                <w:szCs w:val="20"/>
              </w:rPr>
              <w:t>- les détenteurs d’un droit formel sur les terres ;</w:t>
            </w:r>
          </w:p>
          <w:p>
            <w:pPr>
              <w:pStyle w:val="style0"/>
              <w:widowControl w:val="false"/>
              <w:tabs>
                <w:tab w:val="left" w:leader="none" w:pos="360"/>
              </w:tabs>
              <w:overflowPunct w:val="false"/>
              <w:autoSpaceDE w:val="false"/>
              <w:autoSpaceDN w:val="false"/>
              <w:adjustRightInd w:val="false"/>
              <w:spacing w:before="60" w:after="60"/>
              <w:jc w:val="both"/>
              <w:rPr>
                <w:sz w:val="20"/>
                <w:szCs w:val="20"/>
              </w:rPr>
            </w:pPr>
            <w:r>
              <w:rPr>
                <w:sz w:val="20"/>
                <w:szCs w:val="20"/>
              </w:rPr>
              <w:t>- les personnes qui n’ont pas de droit formel sur les terres au moment où le recensement commence, mais qui ont des réclamations sur ces terres ;</w:t>
            </w:r>
          </w:p>
          <w:p>
            <w:pPr>
              <w:pStyle w:val="style0"/>
              <w:spacing w:before="60" w:after="60"/>
              <w:jc w:val="both"/>
              <w:rPr>
                <w:sz w:val="20"/>
                <w:szCs w:val="20"/>
              </w:rPr>
            </w:pPr>
            <w:r>
              <w:rPr>
                <w:sz w:val="20"/>
                <w:szCs w:val="20"/>
              </w:rPr>
              <w:t>- Les personnes qui n’ont ni droit formel ni titres susceptibles d’être reconnus sur les terres qu’elles occupent.</w:t>
            </w:r>
          </w:p>
        </w:tc>
        <w:tc>
          <w:tcPr>
            <w:tcW w:w="4961" w:type="dxa"/>
            <w:tcBorders/>
            <w:shd w:val="clear" w:color="auto" w:fill="auto"/>
            <w:vAlign w:val="center"/>
          </w:tcPr>
          <w:p>
            <w:pPr>
              <w:pStyle w:val="style0"/>
              <w:spacing w:before="60" w:after="60"/>
              <w:jc w:val="both"/>
              <w:rPr>
                <w:sz w:val="20"/>
                <w:szCs w:val="20"/>
              </w:rPr>
            </w:pPr>
          </w:p>
          <w:p>
            <w:pPr>
              <w:pStyle w:val="style0"/>
              <w:spacing w:before="60" w:after="60"/>
              <w:jc w:val="both"/>
              <w:rPr>
                <w:rFonts w:eastAsia="Calibri"/>
                <w:sz w:val="20"/>
                <w:szCs w:val="20"/>
              </w:rPr>
            </w:pPr>
            <w:r>
              <w:rPr>
                <w:sz w:val="20"/>
                <w:szCs w:val="20"/>
              </w:rPr>
              <w:t>L</w:t>
            </w:r>
            <w:r>
              <w:rPr>
                <w:sz w:val="20"/>
                <w:szCs w:val="20"/>
              </w:rPr>
              <w:t>a loi n°009-2018 relative à l’</w:t>
            </w:r>
            <w:r>
              <w:rPr>
                <w:sz w:val="20"/>
                <w:szCs w:val="20"/>
              </w:rPr>
              <w:t xml:space="preserve">expropriation pour cause d’utilité publique spécifie tout ce qui peut faire objet d’expropriation  pour cause d’utilité publique pourvu que la PAP </w:t>
            </w:r>
            <w:r>
              <w:rPr>
                <w:sz w:val="20"/>
                <w:szCs w:val="20"/>
              </w:rPr>
              <w:t>ai</w:t>
            </w:r>
            <w:r>
              <w:rPr>
                <w:sz w:val="20"/>
                <w:szCs w:val="20"/>
              </w:rPr>
              <w:t>t un droit de propriété légale ou coutumière</w:t>
            </w:r>
          </w:p>
        </w:tc>
        <w:tc>
          <w:tcPr>
            <w:tcW w:w="3383" w:type="dxa"/>
            <w:tcBorders/>
            <w:shd w:val="clear" w:color="auto" w:fill="auto"/>
            <w:vAlign w:val="center"/>
          </w:tcPr>
          <w:p>
            <w:pPr>
              <w:pStyle w:val="style0"/>
              <w:spacing w:before="60" w:after="60"/>
              <w:jc w:val="both"/>
              <w:rPr>
                <w:rFonts w:eastAsia="Calibri"/>
                <w:sz w:val="20"/>
                <w:szCs w:val="20"/>
              </w:rPr>
            </w:pPr>
          </w:p>
          <w:p>
            <w:pPr>
              <w:pStyle w:val="style0"/>
              <w:spacing w:before="60" w:after="60"/>
              <w:jc w:val="both"/>
              <w:rPr>
                <w:rFonts w:eastAsia="Calibri"/>
                <w:sz w:val="20"/>
                <w:szCs w:val="20"/>
              </w:rPr>
            </w:pPr>
            <w:r>
              <w:rPr>
                <w:rFonts w:eastAsia="Calibri"/>
                <w:sz w:val="20"/>
                <w:szCs w:val="20"/>
              </w:rPr>
              <w:t>La loi ne satisfait pas totalement aux exigences de la PO 4.12. Dans la mise en œuvre du projet, toutes personnes identifiées sur les différents sites seront prises en compte dans le dédommagement.</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 xml:space="preserve">Date limite d’éligibilité </w:t>
            </w:r>
          </w:p>
          <w:p>
            <w:pPr>
              <w:pStyle w:val="style0"/>
              <w:spacing w:before="60" w:after="60"/>
              <w:jc w:val="both"/>
              <w:rPr>
                <w:sz w:val="20"/>
                <w:szCs w:val="20"/>
              </w:rPr>
            </w:pPr>
            <w:r>
              <w:rPr>
                <w:sz w:val="20"/>
                <w:szCs w:val="20"/>
              </w:rPr>
              <w:t>La PO 4.12 stipule que la date limite d’éligibilité  est la  fin de l’opération de recensement des personnes et de leurs biens, de la publication du répertoire des PAP et du règlement de toutes les plaintes.</w:t>
            </w:r>
          </w:p>
        </w:tc>
        <w:tc>
          <w:tcPr>
            <w:tcW w:w="4961" w:type="dxa"/>
            <w:tcBorders/>
            <w:shd w:val="clear" w:color="auto" w:fill="auto"/>
            <w:vAlign w:val="center"/>
          </w:tcPr>
          <w:p>
            <w:pPr>
              <w:pStyle w:val="style0"/>
              <w:spacing w:before="60" w:after="60"/>
              <w:jc w:val="both"/>
              <w:rPr>
                <w:sz w:val="20"/>
                <w:szCs w:val="20"/>
              </w:rPr>
            </w:pPr>
            <w:r>
              <w:rPr>
                <w:sz w:val="20"/>
                <w:szCs w:val="20"/>
              </w:rPr>
              <w:t xml:space="preserve">La date limite d’éligibilité est selon la loi n°009-2018 </w:t>
            </w:r>
            <w:r>
              <w:rPr>
                <w:bCs/>
                <w:sz w:val="20"/>
                <w:szCs w:val="20"/>
              </w:rPr>
              <w:t>portant expropriation pour cause d’utilité publique et indemnisation des personnes affectées par les aménagements et projets d’utilité publique et d’intérêt général au Burkina Faso</w:t>
            </w:r>
            <w:r>
              <w:rPr>
                <w:sz w:val="20"/>
                <w:szCs w:val="20"/>
              </w:rPr>
              <w:t xml:space="preserve"> celle se situant dans les délais fixés par arrêté de l’autorité expropriante. </w:t>
            </w:r>
          </w:p>
          <w:p>
            <w:pPr>
              <w:pStyle w:val="style0"/>
              <w:spacing w:before="60" w:after="60"/>
              <w:jc w:val="both"/>
              <w:rPr>
                <w:sz w:val="20"/>
                <w:szCs w:val="20"/>
              </w:rPr>
            </w:pPr>
            <w:r>
              <w:rPr>
                <w:sz w:val="20"/>
                <w:szCs w:val="20"/>
              </w:rPr>
              <w:t xml:space="preserve">Toute transaction, toute plantation même saisonnière, toute construction nouvelle même précaire, tous travaux de nature à modifier l’état du sol sont interdits à compter de la prise du décret. </w:t>
            </w:r>
          </w:p>
          <w:p>
            <w:pPr>
              <w:pStyle w:val="style0"/>
              <w:spacing w:before="60" w:after="60"/>
              <w:jc w:val="both"/>
              <w:rPr>
                <w:rFonts w:eastAsia="Calibri"/>
                <w:sz w:val="20"/>
                <w:szCs w:val="20"/>
              </w:rPr>
            </w:pPr>
          </w:p>
        </w:tc>
        <w:tc>
          <w:tcPr>
            <w:tcW w:w="3383" w:type="dxa"/>
            <w:tcBorders/>
            <w:shd w:val="clear" w:color="auto" w:fill="auto"/>
            <w:vAlign w:val="center"/>
          </w:tcPr>
          <w:p>
            <w:pPr>
              <w:pStyle w:val="style0"/>
              <w:spacing w:before="60" w:after="60"/>
              <w:jc w:val="both"/>
              <w:rPr>
                <w:rFonts w:eastAsia="Calibri"/>
                <w:sz w:val="20"/>
                <w:szCs w:val="20"/>
              </w:rPr>
            </w:pPr>
          </w:p>
          <w:p>
            <w:pPr>
              <w:pStyle w:val="style0"/>
              <w:spacing w:before="60" w:after="60"/>
              <w:jc w:val="both"/>
              <w:rPr>
                <w:rFonts w:eastAsia="Calibri"/>
                <w:sz w:val="20"/>
                <w:szCs w:val="20"/>
              </w:rPr>
            </w:pPr>
            <w:r>
              <w:rPr>
                <w:rFonts w:eastAsia="Calibri"/>
                <w:sz w:val="20"/>
                <w:szCs w:val="20"/>
              </w:rPr>
              <w:t>Ce</w:t>
            </w:r>
            <w:r>
              <w:rPr>
                <w:rFonts w:eastAsia="Calibri"/>
                <w:sz w:val="20"/>
                <w:szCs w:val="20"/>
              </w:rPr>
              <w:t>tte loi</w:t>
            </w:r>
            <w:r>
              <w:rPr>
                <w:rFonts w:eastAsia="Calibri"/>
                <w:sz w:val="20"/>
                <w:szCs w:val="20"/>
              </w:rPr>
              <w:t xml:space="preserve"> ne satisfait pas totalement à l’OP 4.12. </w:t>
            </w:r>
          </w:p>
          <w:p>
            <w:pPr>
              <w:pStyle w:val="style0"/>
              <w:spacing w:before="60" w:after="60"/>
              <w:jc w:val="both"/>
              <w:rPr>
                <w:rFonts w:eastAsia="Calibri"/>
                <w:sz w:val="20"/>
                <w:szCs w:val="20"/>
              </w:rPr>
            </w:pPr>
            <w:r>
              <w:rPr>
                <w:rFonts w:eastAsia="Calibri"/>
                <w:sz w:val="20"/>
                <w:szCs w:val="20"/>
              </w:rPr>
              <w:t>Le Gouvernement proposera</w:t>
            </w:r>
            <w:r>
              <w:rPr>
                <w:rFonts w:eastAsia="Calibri"/>
                <w:sz w:val="20"/>
                <w:szCs w:val="20"/>
              </w:rPr>
              <w:t xml:space="preserve"> de concert avec les PAP et certaines personnes ressources une date de début et de fin de recensement des PAP et de leurs biens. Cette date sera publiée au niveau des radios locales et largement diffusés par les crieurs publics.</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Compensation en espèces ou en nature</w:t>
            </w:r>
          </w:p>
          <w:p>
            <w:pPr>
              <w:pStyle w:val="style0"/>
              <w:spacing w:before="60" w:after="60"/>
              <w:jc w:val="both"/>
              <w:rPr>
                <w:rFonts w:eastAsia="Calibri"/>
                <w:sz w:val="20"/>
                <w:szCs w:val="20"/>
              </w:rPr>
            </w:pPr>
            <w:r>
              <w:rPr>
                <w:sz w:val="20"/>
                <w:szCs w:val="20"/>
              </w:rPr>
              <w:t>La PO 4.12 autorise un paiement en espèces d’une compensation pour perte de biens et privilégie les stratégies de réinstallation sur des terres en ce qui concerne les populations déplacées dont les moyens d’existence sont tirés de la terre.</w:t>
            </w:r>
          </w:p>
        </w:tc>
        <w:tc>
          <w:tcPr>
            <w:tcW w:w="4961" w:type="dxa"/>
            <w:tcBorders/>
            <w:shd w:val="clear" w:color="auto" w:fill="auto"/>
            <w:vAlign w:val="center"/>
          </w:tcPr>
          <w:p>
            <w:pPr>
              <w:pStyle w:val="style0"/>
              <w:spacing w:before="60" w:after="60"/>
              <w:jc w:val="both"/>
              <w:rPr>
                <w:sz w:val="20"/>
                <w:szCs w:val="20"/>
              </w:rPr>
            </w:pPr>
            <w:r>
              <w:rPr>
                <w:sz w:val="20"/>
                <w:szCs w:val="20"/>
              </w:rPr>
              <w:t xml:space="preserve">Selon l’article 38 de la loi n°009-2018 </w:t>
            </w:r>
            <w:r>
              <w:rPr>
                <w:bCs/>
                <w:sz w:val="20"/>
                <w:szCs w:val="20"/>
              </w:rPr>
              <w:t>portant expropriation pour cause d’utilité publique et indemnisation des personnes affectées par les aménagements et projets d’utilité publique et d’intérêt général au Burkina Faso</w:t>
            </w:r>
            <w:r>
              <w:rPr>
                <w:sz w:val="20"/>
                <w:szCs w:val="20"/>
              </w:rPr>
              <w:t xml:space="preserve">, l’indemnisation des personnes affectées s’effectue selon les modes suivants : l’indemnisation en espèces ; l’indemnisation en nature qui vise à remplacer le bien perdu ou affecté par un bien de même nature et de qualité au moins égale ; l’indemnisation mixte associant à la fois l’indemnisation en nature et en espèces. </w:t>
            </w:r>
          </w:p>
          <w:p>
            <w:pPr>
              <w:pStyle w:val="style0"/>
              <w:spacing w:before="60" w:after="60"/>
              <w:jc w:val="both"/>
              <w:rPr>
                <w:rFonts w:eastAsia="Calibri"/>
                <w:sz w:val="20"/>
                <w:szCs w:val="20"/>
              </w:rPr>
            </w:pP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Cette loi satisfait partiellement aux exigences de la PO 4.12. Elle n’apporte pas de précision sur les conditions requises pour l’option de réinstallation des PAP.</w:t>
            </w:r>
          </w:p>
          <w:p>
            <w:pPr>
              <w:pStyle w:val="style0"/>
              <w:spacing w:before="60" w:after="60"/>
              <w:jc w:val="both"/>
              <w:rPr>
                <w:rFonts w:eastAsia="Calibri"/>
                <w:sz w:val="20"/>
                <w:szCs w:val="20"/>
              </w:rPr>
            </w:pPr>
            <w:r>
              <w:rPr>
                <w:rFonts w:eastAsia="Calibri"/>
                <w:sz w:val="20"/>
                <w:szCs w:val="20"/>
              </w:rPr>
              <w:t>Dans le cas de ce projet, en cas d’expropriation des sites de réinstallation seront identifiés et proposés à l’appréciation des PAP.</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Assistance à la réinstallation des personnes déplacées</w:t>
            </w:r>
          </w:p>
          <w:p>
            <w:pPr>
              <w:pStyle w:val="style0"/>
              <w:spacing w:before="60" w:after="60"/>
              <w:jc w:val="both"/>
              <w:rPr>
                <w:sz w:val="20"/>
                <w:szCs w:val="20"/>
              </w:rPr>
            </w:pPr>
            <w:r>
              <w:rPr>
                <w:rFonts w:eastAsia="Calibri"/>
                <w:sz w:val="20"/>
                <w:szCs w:val="20"/>
              </w:rPr>
              <w:t>La PO 4.12 dispose que l</w:t>
            </w:r>
            <w:r>
              <w:rPr>
                <w:sz w:val="20"/>
                <w:szCs w:val="20"/>
              </w:rPr>
              <w:t>es personnes affectées par le projet doivent bénéficier en plus de l’indemnité de déménagement d’une assistance pendant la réinstallation et d’un suivi après la réinstallation</w:t>
            </w:r>
          </w:p>
        </w:tc>
        <w:tc>
          <w:tcPr>
            <w:tcW w:w="4961" w:type="dxa"/>
            <w:tcBorders/>
            <w:shd w:val="clear" w:color="auto" w:fill="auto"/>
            <w:vAlign w:val="center"/>
          </w:tcPr>
          <w:p>
            <w:pPr>
              <w:pStyle w:val="style0"/>
              <w:spacing w:before="60" w:after="60"/>
              <w:jc w:val="both"/>
              <w:rPr>
                <w:rFonts w:eastAsia="Calibri"/>
                <w:sz w:val="20"/>
                <w:szCs w:val="20"/>
              </w:rPr>
            </w:pPr>
            <w:r>
              <w:rPr>
                <w:sz w:val="20"/>
                <w:szCs w:val="20"/>
              </w:rPr>
              <w:t>Non prévue de façon explicite par la législation</w:t>
            </w:r>
          </w:p>
        </w:tc>
        <w:tc>
          <w:tcPr>
            <w:tcW w:w="3383" w:type="dxa"/>
            <w:tcBorders/>
            <w:shd w:val="clear" w:color="auto" w:fill="auto"/>
            <w:vAlign w:val="center"/>
          </w:tcPr>
          <w:p>
            <w:pPr>
              <w:pStyle w:val="style0"/>
              <w:widowControl w:val="false"/>
              <w:spacing w:before="60" w:after="60"/>
              <w:jc w:val="both"/>
              <w:rPr>
                <w:rFonts w:eastAsia="Calibri"/>
                <w:sz w:val="20"/>
                <w:szCs w:val="20"/>
              </w:rPr>
            </w:pPr>
            <w:r>
              <w:rPr>
                <w:sz w:val="20"/>
                <w:szCs w:val="20"/>
              </w:rPr>
              <w:t xml:space="preserve">La loi nationale ne satisfait pas cette exigence de la PO4.12. Ainsi dans la mise en œuvre du projet, </w:t>
            </w:r>
            <w:r>
              <w:rPr>
                <w:sz w:val="20"/>
                <w:szCs w:val="20"/>
              </w:rPr>
              <w:t>le Gouvernement prendr</w:t>
            </w:r>
            <w:r>
              <w:rPr>
                <w:sz w:val="20"/>
                <w:szCs w:val="20"/>
              </w:rPr>
              <w:t>a</w:t>
            </w:r>
            <w:r>
              <w:rPr>
                <w:sz w:val="20"/>
                <w:szCs w:val="20"/>
              </w:rPr>
              <w:t xml:space="preserve"> les dispositions pour </w:t>
            </w:r>
            <w:r>
              <w:rPr>
                <w:sz w:val="20"/>
                <w:szCs w:val="20"/>
              </w:rPr>
              <w:t>étudi</w:t>
            </w:r>
            <w:r>
              <w:rPr>
                <w:sz w:val="20"/>
                <w:szCs w:val="20"/>
              </w:rPr>
              <w:t>er</w:t>
            </w:r>
            <w:r>
              <w:rPr>
                <w:sz w:val="20"/>
                <w:szCs w:val="20"/>
              </w:rPr>
              <w:t xml:space="preserve"> au cas par cas</w:t>
            </w:r>
            <w:r>
              <w:rPr>
                <w:sz w:val="20"/>
                <w:szCs w:val="20"/>
              </w:rPr>
              <w:t>,</w:t>
            </w:r>
            <w:r>
              <w:rPr>
                <w:sz w:val="20"/>
                <w:szCs w:val="20"/>
              </w:rPr>
              <w:t xml:space="preserve"> les appuis </w:t>
            </w:r>
            <w:r>
              <w:rPr>
                <w:sz w:val="20"/>
                <w:szCs w:val="20"/>
              </w:rPr>
              <w:t xml:space="preserve">spécifiques </w:t>
            </w:r>
            <w:r>
              <w:rPr>
                <w:sz w:val="20"/>
                <w:szCs w:val="20"/>
              </w:rPr>
              <w:t>dont bénéficieront les PAP.</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Evaluations des compensations</w:t>
            </w:r>
          </w:p>
          <w:p>
            <w:pPr>
              <w:pStyle w:val="style0"/>
              <w:spacing w:before="60" w:after="60"/>
              <w:jc w:val="both"/>
              <w:rPr>
                <w:b/>
                <w:sz w:val="20"/>
                <w:szCs w:val="20"/>
                <w:u w:val="single"/>
              </w:rPr>
            </w:pPr>
          </w:p>
          <w:p>
            <w:pPr>
              <w:pStyle w:val="style0"/>
              <w:spacing w:before="60" w:after="60"/>
              <w:jc w:val="both"/>
              <w:rPr>
                <w:b/>
                <w:sz w:val="20"/>
                <w:szCs w:val="20"/>
              </w:rPr>
            </w:pPr>
            <w:r>
              <w:rPr>
                <w:sz w:val="20"/>
                <w:szCs w:val="20"/>
              </w:rPr>
              <w:t>La PO 4.12 dispose que l’évaluation de tout bien se fait sur la base de la valeur au prix du marché actuel</w:t>
            </w:r>
          </w:p>
          <w:p>
            <w:pPr>
              <w:pStyle w:val="style0"/>
              <w:spacing w:before="60" w:after="60"/>
              <w:jc w:val="both"/>
              <w:rPr>
                <w:sz w:val="20"/>
                <w:szCs w:val="20"/>
              </w:rPr>
            </w:pPr>
          </w:p>
          <w:p>
            <w:pPr>
              <w:pStyle w:val="style0"/>
              <w:spacing w:before="60" w:after="60"/>
              <w:jc w:val="both"/>
              <w:rPr>
                <w:sz w:val="20"/>
                <w:szCs w:val="20"/>
              </w:rPr>
            </w:pPr>
          </w:p>
        </w:tc>
        <w:tc>
          <w:tcPr>
            <w:tcW w:w="4961" w:type="dxa"/>
            <w:tcBorders/>
            <w:shd w:val="clear" w:color="auto" w:fill="auto"/>
            <w:vAlign w:val="center"/>
          </w:tcPr>
          <w:p>
            <w:pPr>
              <w:pStyle w:val="style0"/>
              <w:spacing w:before="60" w:after="60"/>
              <w:jc w:val="both"/>
              <w:rPr>
                <w:sz w:val="20"/>
                <w:szCs w:val="20"/>
              </w:rPr>
            </w:pPr>
            <w:r>
              <w:rPr>
                <w:sz w:val="20"/>
                <w:szCs w:val="20"/>
              </w:rPr>
              <w:t>La législation prévoit une indemnisation juste et préalable</w:t>
            </w:r>
            <w:r>
              <w:rPr>
                <w:sz w:val="20"/>
                <w:szCs w:val="20"/>
              </w:rPr>
              <w:t xml:space="preserve">. L’article 42 de la loi </w:t>
            </w:r>
            <w:r>
              <w:rPr>
                <w:sz w:val="20"/>
                <w:szCs w:val="20"/>
              </w:rPr>
              <w:t xml:space="preserve">n°009-2018 </w:t>
            </w:r>
            <w:r>
              <w:rPr>
                <w:bCs/>
                <w:sz w:val="20"/>
                <w:szCs w:val="20"/>
              </w:rPr>
              <w:t xml:space="preserve">sus-mentionnée </w:t>
            </w:r>
            <w:r>
              <w:rPr>
                <w:sz w:val="20"/>
                <w:szCs w:val="20"/>
              </w:rPr>
              <w:t>dispose que les barèmes d’indemnisation sont fixés par voie réglementaire.</w:t>
            </w:r>
          </w:p>
        </w:tc>
        <w:tc>
          <w:tcPr>
            <w:tcW w:w="3383" w:type="dxa"/>
            <w:tcBorders/>
            <w:shd w:val="clear" w:color="auto" w:fill="auto"/>
            <w:vAlign w:val="center"/>
          </w:tcPr>
          <w:p>
            <w:pPr>
              <w:pStyle w:val="style0"/>
              <w:spacing w:before="60" w:after="60"/>
              <w:jc w:val="both"/>
              <w:rPr>
                <w:rFonts w:eastAsia="Calibri"/>
                <w:sz w:val="20"/>
                <w:szCs w:val="20"/>
              </w:rPr>
            </w:pPr>
            <w:r>
              <w:rPr>
                <w:sz w:val="20"/>
                <w:szCs w:val="20"/>
              </w:rPr>
              <w:t xml:space="preserve">La loi nationale ne satisfait pas cette exigence de la PO4.12. </w:t>
            </w:r>
            <w:r>
              <w:rPr>
                <w:sz w:val="20"/>
                <w:szCs w:val="20"/>
              </w:rPr>
              <w:t xml:space="preserve">Le Gouvernement veillera à ce que les résultats des travaux de la </w:t>
            </w:r>
            <w:r>
              <w:rPr>
                <w:sz w:val="20"/>
                <w:szCs w:val="20"/>
              </w:rPr>
              <w:t xml:space="preserve">commission </w:t>
            </w:r>
            <w:r>
              <w:rPr>
                <w:sz w:val="20"/>
                <w:szCs w:val="20"/>
              </w:rPr>
              <w:t>nationale sur les barèmes soient adoptés. En attente, l</w:t>
            </w:r>
            <w:r>
              <w:rPr>
                <w:sz w:val="20"/>
                <w:szCs w:val="20"/>
              </w:rPr>
              <w:t xml:space="preserve">’évaluation des biens se fera à partir des coûts unitaires actuels </w:t>
            </w:r>
            <w:r>
              <w:rPr>
                <w:sz w:val="20"/>
                <w:szCs w:val="20"/>
              </w:rPr>
              <w:t xml:space="preserve">pratiqués dans les projets similaires </w:t>
            </w:r>
            <w:r>
              <w:rPr>
                <w:sz w:val="20"/>
                <w:szCs w:val="20"/>
              </w:rPr>
              <w:t>en impliquant les PAP</w:t>
            </w:r>
            <w:r>
              <w:rPr>
                <w:sz w:val="20"/>
                <w:szCs w:val="20"/>
              </w:rPr>
              <w:t>.</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rFonts w:eastAsia="Calibri"/>
                <w:i/>
                <w:sz w:val="20"/>
                <w:szCs w:val="20"/>
                <w:u w:val="single"/>
              </w:rPr>
            </w:pPr>
            <w:r>
              <w:rPr>
                <w:rFonts w:eastAsia="Calibri"/>
                <w:i/>
                <w:sz w:val="20"/>
                <w:szCs w:val="20"/>
                <w:u w:val="single"/>
              </w:rPr>
              <w:t>Système de recueil et de gestion des plaintes</w:t>
            </w:r>
          </w:p>
          <w:p>
            <w:pPr>
              <w:pStyle w:val="style0"/>
              <w:spacing w:before="60" w:after="60"/>
              <w:jc w:val="both"/>
              <w:rPr>
                <w:sz w:val="20"/>
                <w:szCs w:val="20"/>
              </w:rPr>
            </w:pPr>
          </w:p>
          <w:p>
            <w:pPr>
              <w:pStyle w:val="style0"/>
              <w:spacing w:before="60" w:after="60"/>
              <w:jc w:val="both"/>
              <w:rPr>
                <w:rFonts w:eastAsia="Calibri"/>
                <w:b/>
                <w:sz w:val="20"/>
                <w:szCs w:val="20"/>
                <w:u w:val="single"/>
              </w:rPr>
            </w:pPr>
            <w:r>
              <w:rPr>
                <w:sz w:val="20"/>
                <w:szCs w:val="20"/>
              </w:rPr>
              <w:t>La PO 4.12 prévoit les mécanismes alternatifs tels que la conciliation, la médiation ou le recours à certaines autorités coutumières. Toutefois, en cas de non satisfaction, la PO4.12 prévoit les procédures judiciaires avec des délais raisonnables, un coût abordable et à la portée des plaignants.</w:t>
            </w:r>
          </w:p>
        </w:tc>
        <w:tc>
          <w:tcPr>
            <w:tcW w:w="4961" w:type="dxa"/>
            <w:tcBorders/>
            <w:shd w:val="clear" w:color="auto" w:fill="auto"/>
            <w:vAlign w:val="center"/>
          </w:tcPr>
          <w:p>
            <w:pPr>
              <w:pStyle w:val="style0"/>
              <w:shd w:val="clear" w:color="auto" w:fill="ffffff"/>
              <w:spacing w:before="60" w:after="60"/>
              <w:ind w:left="5"/>
              <w:jc w:val="both"/>
              <w:rPr>
                <w:spacing w:val="5"/>
                <w:sz w:val="20"/>
                <w:szCs w:val="20"/>
              </w:rPr>
            </w:pPr>
            <w:r>
              <w:rPr>
                <w:sz w:val="20"/>
                <w:szCs w:val="20"/>
              </w:rPr>
              <w:t>La loi prévoit la saisine du tribunal de grande instance en cas de litige après une tentative de conciliation obligatoire au niveau local (article 96 et 97 de la loi 034 sur le régime foncier rural)</w:t>
            </w:r>
          </w:p>
        </w:tc>
        <w:tc>
          <w:tcPr>
            <w:tcW w:w="3383" w:type="dxa"/>
            <w:tcBorders/>
            <w:shd w:val="clear" w:color="auto" w:fill="auto"/>
            <w:vAlign w:val="center"/>
          </w:tcPr>
          <w:p>
            <w:pPr>
              <w:pStyle w:val="style0"/>
              <w:spacing w:before="60" w:after="60"/>
              <w:jc w:val="both"/>
              <w:rPr>
                <w:rFonts w:eastAsia="Calibri"/>
                <w:sz w:val="20"/>
                <w:szCs w:val="20"/>
              </w:rPr>
            </w:pPr>
            <w:r>
              <w:rPr>
                <w:sz w:val="20"/>
                <w:szCs w:val="20"/>
              </w:rPr>
              <w:t>En ce qui concerne les litiges nés des actes administratifs et de la compétence du juge administratif, la conciliation préalable n’est pas prévue.</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Payement des compensations</w:t>
            </w:r>
          </w:p>
          <w:p>
            <w:pPr>
              <w:pStyle w:val="style0"/>
              <w:spacing w:before="60" w:after="60"/>
              <w:jc w:val="both"/>
              <w:rPr>
                <w:sz w:val="20"/>
                <w:szCs w:val="20"/>
              </w:rPr>
            </w:pPr>
          </w:p>
          <w:p>
            <w:pPr>
              <w:pStyle w:val="style0"/>
              <w:spacing w:before="60" w:after="60"/>
              <w:jc w:val="both"/>
              <w:rPr>
                <w:sz w:val="20"/>
                <w:szCs w:val="20"/>
              </w:rPr>
            </w:pPr>
            <w:r>
              <w:rPr>
                <w:sz w:val="20"/>
                <w:szCs w:val="20"/>
              </w:rPr>
              <w:t xml:space="preserve">La PO 4.12 dispose que le règlement intégral des indemnisations se fait avant le déplacement ou l'occupation des terres autrement dit, avant le début des travaux. </w:t>
            </w:r>
          </w:p>
        </w:tc>
        <w:tc>
          <w:tcPr>
            <w:tcW w:w="4961"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w:t>
            </w:r>
            <w:r>
              <w:rPr>
                <w:rFonts w:eastAsia="Calibri"/>
                <w:sz w:val="20"/>
                <w:szCs w:val="20"/>
              </w:rPr>
              <w:t xml:space="preserve"> Constitution du BF, </w:t>
            </w:r>
            <w:r>
              <w:rPr>
                <w:rFonts w:eastAsia="Calibri"/>
                <w:sz w:val="20"/>
                <w:szCs w:val="20"/>
              </w:rPr>
              <w:t>l</w:t>
            </w:r>
            <w:r>
              <w:rPr>
                <w:rFonts w:eastAsia="Calibri"/>
                <w:sz w:val="20"/>
                <w:szCs w:val="20"/>
              </w:rPr>
              <w:t xml:space="preserve">a Loi RAF ainsi que la loi  n°009-2018 </w:t>
            </w:r>
            <w:r>
              <w:rPr>
                <w:rFonts w:eastAsia="Calibri"/>
                <w:bCs/>
                <w:sz w:val="20"/>
                <w:szCs w:val="20"/>
              </w:rPr>
              <w:t>portant expropriation pour cause d’utilité publique et indemnisation des personnes affectées par les aménagements et projets d’utilité publique et d’intérêt général au Burkina Faso,</w:t>
            </w:r>
            <w:r>
              <w:rPr>
                <w:rFonts w:eastAsia="Calibri"/>
                <w:sz w:val="20"/>
                <w:szCs w:val="20"/>
              </w:rPr>
              <w:t xml:space="preserve"> prévoient une juste et </w:t>
            </w:r>
            <w:r>
              <w:rPr>
                <w:rFonts w:eastAsia="Calibri"/>
                <w:b/>
                <w:sz w:val="20"/>
                <w:szCs w:val="20"/>
              </w:rPr>
              <w:t>préalable</w:t>
            </w:r>
            <w:r>
              <w:rPr>
                <w:rFonts w:eastAsia="Calibri"/>
                <w:sz w:val="20"/>
                <w:szCs w:val="20"/>
              </w:rPr>
              <w:t xml:space="preserve"> indemnisation.</w:t>
            </w:r>
          </w:p>
        </w:tc>
        <w:tc>
          <w:tcPr>
            <w:tcW w:w="3383" w:type="dxa"/>
            <w:tcBorders/>
            <w:shd w:val="clear" w:color="auto" w:fill="auto"/>
            <w:vAlign w:val="center"/>
          </w:tcPr>
          <w:p>
            <w:pPr>
              <w:pStyle w:val="style0"/>
              <w:spacing w:before="60" w:after="60" w:lineRule="auto" w:line="259"/>
              <w:jc w:val="both"/>
              <w:rPr>
                <w:rFonts w:eastAsia="Calibri"/>
                <w:sz w:val="20"/>
                <w:szCs w:val="20"/>
              </w:rPr>
            </w:pPr>
            <w:r>
              <w:rPr>
                <w:rFonts w:eastAsia="Calibri"/>
                <w:sz w:val="20"/>
                <w:szCs w:val="20"/>
              </w:rPr>
              <w:t>La législation nationale satisfait cette exigence.</w:t>
            </w:r>
          </w:p>
          <w:p>
            <w:pPr>
              <w:pStyle w:val="style0"/>
              <w:spacing w:before="60" w:after="60" w:lineRule="auto" w:line="259"/>
              <w:jc w:val="both"/>
              <w:rPr>
                <w:rFonts w:eastAsia="Calibri"/>
                <w:sz w:val="20"/>
                <w:szCs w:val="20"/>
              </w:rPr>
            </w:pPr>
            <w:r>
              <w:rPr>
                <w:rFonts w:eastAsia="Calibri"/>
                <w:sz w:val="20"/>
                <w:szCs w:val="20"/>
              </w:rPr>
              <w:t>Des provision</w:t>
            </w:r>
            <w:r>
              <w:rPr>
                <w:rFonts w:eastAsia="Calibri"/>
                <w:sz w:val="20"/>
                <w:szCs w:val="20"/>
              </w:rPr>
              <w:t>s seront faites et allouées aux payements des compensations</w:t>
            </w:r>
            <w:r>
              <w:rPr>
                <w:rFonts w:eastAsia="Calibri"/>
                <w:sz w:val="20"/>
                <w:szCs w:val="20"/>
              </w:rPr>
              <w:t xml:space="preserve"> avant le début de la mise en œuvre des PAR.</w:t>
            </w:r>
          </w:p>
        </w:tc>
      </w:tr>
      <w:tr>
        <w:tblPrEx/>
        <w:trPr>
          <w:trHeight w:val="2366" w:hRule="atLeast"/>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Groupes vulnérables</w:t>
            </w:r>
          </w:p>
          <w:p>
            <w:pPr>
              <w:pStyle w:val="style0"/>
              <w:spacing w:before="60" w:after="60"/>
              <w:jc w:val="both"/>
              <w:rPr>
                <w:sz w:val="20"/>
                <w:szCs w:val="20"/>
              </w:rPr>
            </w:pPr>
          </w:p>
          <w:p>
            <w:pPr>
              <w:pStyle w:val="style0"/>
              <w:spacing w:before="60" w:after="60"/>
              <w:jc w:val="both"/>
              <w:rPr>
                <w:sz w:val="20"/>
                <w:szCs w:val="20"/>
              </w:rPr>
            </w:pPr>
            <w:r>
              <w:rPr>
                <w:sz w:val="20"/>
                <w:szCs w:val="20"/>
              </w:rPr>
              <w:t>La PO 4.12 recommande une attention particulière à porter aux groupes vulnérables au sein des populations déplacées, notamment les personnes vivant en deçà du seuil de pauvreté, les personnes vivant avec un handicap sévère, les travai</w:t>
            </w:r>
            <w:r>
              <w:rPr>
                <w:sz w:val="20"/>
                <w:szCs w:val="20"/>
              </w:rPr>
              <w:t>lleurs sans terre,</w:t>
            </w:r>
            <w:r>
              <w:rPr>
                <w:sz w:val="20"/>
                <w:szCs w:val="20"/>
              </w:rPr>
              <w:t xml:space="preserve"> les enfants, les personnes âgées, les minorités ethniques, etc.</w:t>
            </w:r>
          </w:p>
        </w:tc>
        <w:tc>
          <w:tcPr>
            <w:tcW w:w="4961" w:type="dxa"/>
            <w:tcBorders/>
            <w:shd w:val="clear" w:color="auto" w:fill="auto"/>
            <w:vAlign w:val="center"/>
          </w:tcPr>
          <w:p>
            <w:pPr>
              <w:pStyle w:val="style0"/>
              <w:widowControl w:val="false"/>
              <w:spacing w:before="60" w:after="60"/>
              <w:jc w:val="both"/>
              <w:rPr>
                <w:rFonts w:eastAsia="Calibri"/>
                <w:sz w:val="20"/>
                <w:szCs w:val="20"/>
              </w:rPr>
            </w:pPr>
            <w:r>
              <w:rPr>
                <w:sz w:val="20"/>
                <w:szCs w:val="20"/>
              </w:rPr>
              <w:t>L’article 4</w:t>
            </w:r>
            <w:r>
              <w:rPr>
                <w:sz w:val="20"/>
                <w:szCs w:val="20"/>
              </w:rPr>
              <w:t xml:space="preserve"> de la RAF définit aussi le « Principe de genre qui est l’analyse du genre sous l’angle des inégalités et des disparités entre hommes et femmes en examinant les différentes catégories sociales dans le but d’une plus grande justice sociale et d’un développement équitable » ; le Principe de solidarité nationale qui est «  l’obligation pour la communauté nationale de venir en aide aux régions et aux personnes en difficulté, de lutter contre les exclusions, d’apporter une attention particulière aux groupes défavorisés. Ce principe implique la lutte contre les inégalités régionales, la garantie de l’égalité des chances aux citoyens en assurant leur égal accès aux services sociaux de base</w:t>
            </w:r>
            <w:r>
              <w:rPr>
                <w:sz w:val="20"/>
                <w:szCs w:val="20"/>
              </w:rPr>
              <w:t>.</w:t>
            </w:r>
            <w:r>
              <w:rPr>
                <w:sz w:val="20"/>
                <w:szCs w:val="20"/>
              </w:rPr>
              <w:t> </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 xml:space="preserve">Il n’y a pas de divergence notable entre la législation nationale et la P.O 4.12 de la Banque </w:t>
            </w:r>
            <w:r>
              <w:rPr>
                <w:rFonts w:eastAsia="Calibri"/>
                <w:sz w:val="20"/>
                <w:szCs w:val="20"/>
              </w:rPr>
              <w:t>m</w:t>
            </w:r>
            <w:r>
              <w:rPr>
                <w:rFonts w:eastAsia="Calibri"/>
                <w:sz w:val="20"/>
                <w:szCs w:val="20"/>
              </w:rPr>
              <w:t>ondiale</w:t>
            </w:r>
            <w:r>
              <w:rPr>
                <w:rFonts w:eastAsia="Calibri"/>
                <w:sz w:val="20"/>
                <w:szCs w:val="20"/>
              </w:rPr>
              <w:t xml:space="preserve">. </w:t>
            </w:r>
          </w:p>
          <w:p>
            <w:pPr>
              <w:pStyle w:val="style0"/>
              <w:spacing w:before="60" w:after="60"/>
              <w:jc w:val="both"/>
              <w:rPr>
                <w:rFonts w:eastAsia="Calibri"/>
                <w:sz w:val="20"/>
                <w:szCs w:val="20"/>
              </w:rPr>
            </w:pPr>
            <w:r>
              <w:rPr>
                <w:rFonts w:eastAsia="Calibri"/>
                <w:sz w:val="20"/>
                <w:szCs w:val="20"/>
              </w:rPr>
              <w:t>Le Gouvernement est déjà engagé dans un processus pilote d’élaboration d’un répertoire des personnes vulnérables à travers le Ministère en charge des affaires sociales. Les résultats déjà disponibles seront valorisés dans le cadre du projet pour un meilleur ciblage de groupes vulnérables.</w:t>
            </w:r>
          </w:p>
        </w:tc>
      </w:tr>
      <w:tr>
        <w:tblPrEx/>
        <w:trPr>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Consultation</w:t>
            </w:r>
          </w:p>
          <w:p>
            <w:pPr>
              <w:pStyle w:val="style0"/>
              <w:spacing w:before="60" w:after="60"/>
              <w:jc w:val="both"/>
              <w:rPr>
                <w:sz w:val="20"/>
                <w:szCs w:val="20"/>
              </w:rPr>
            </w:pPr>
            <w:r>
              <w:rPr>
                <w:sz w:val="20"/>
                <w:szCs w:val="20"/>
              </w:rPr>
              <w:t xml:space="preserve">La PO4.12 stipule que la consultation publique se fait avant le déplacement </w:t>
            </w:r>
          </w:p>
        </w:tc>
        <w:tc>
          <w:tcPr>
            <w:tcW w:w="4961" w:type="dxa"/>
            <w:tcBorders/>
            <w:shd w:val="clear" w:color="auto" w:fill="auto"/>
            <w:vAlign w:val="center"/>
          </w:tcPr>
          <w:p>
            <w:pPr>
              <w:pStyle w:val="style0"/>
              <w:spacing w:before="60" w:after="60"/>
              <w:jc w:val="both"/>
              <w:rPr>
                <w:rFonts w:eastAsia="Calibri"/>
                <w:sz w:val="20"/>
                <w:szCs w:val="20"/>
              </w:rPr>
            </w:pPr>
            <w:r>
              <w:rPr>
                <w:sz w:val="20"/>
                <w:szCs w:val="20"/>
              </w:rPr>
              <w:t>La loi nationale</w:t>
            </w:r>
            <w:r>
              <w:rPr>
                <w:sz w:val="20"/>
                <w:szCs w:val="20"/>
              </w:rPr>
              <w:t xml:space="preserve"> (code de l’environnement, </w:t>
            </w:r>
            <w:r>
              <w:rPr>
                <w:sz w:val="20"/>
                <w:szCs w:val="20"/>
              </w:rPr>
              <w:t>la loi portant</w:t>
            </w:r>
            <w:r>
              <w:rPr>
                <w:sz w:val="20"/>
                <w:szCs w:val="20"/>
              </w:rPr>
              <w:t xml:space="preserve"> expropriation pour cause d’utilité publique et indemnisation des personnes affectées par les aménagements et projets d’utilité publique ou d’intérêt général au Burkina Faso</w:t>
            </w:r>
            <w:r>
              <w:rPr>
                <w:sz w:val="20"/>
                <w:szCs w:val="20"/>
              </w:rPr>
              <w:t>)</w:t>
            </w:r>
            <w:r>
              <w:rPr>
                <w:sz w:val="20"/>
                <w:szCs w:val="20"/>
              </w:rPr>
              <w:t xml:space="preserve"> prévoit la consultation publique et des enquêtes avant le déplacement</w:t>
            </w:r>
            <w:r>
              <w:rPr>
                <w:sz w:val="20"/>
                <w:szCs w:val="20"/>
              </w:rPr>
              <w:t>.</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La loi nationale satisfait cette exigence de la PO4.12.</w:t>
            </w:r>
          </w:p>
        </w:tc>
      </w:tr>
      <w:tr>
        <w:tblPrEx/>
        <w:trPr>
          <w:trHeight w:val="1302" w:hRule="atLeast"/>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Suivi et évaluation</w:t>
            </w:r>
          </w:p>
          <w:p>
            <w:pPr>
              <w:pStyle w:val="style0"/>
              <w:spacing w:before="60" w:after="60"/>
              <w:jc w:val="both"/>
              <w:rPr>
                <w:sz w:val="20"/>
                <w:szCs w:val="20"/>
              </w:rPr>
            </w:pPr>
          </w:p>
          <w:p>
            <w:pPr>
              <w:pStyle w:val="style0"/>
              <w:spacing w:before="60" w:after="60"/>
              <w:jc w:val="both"/>
              <w:rPr>
                <w:sz w:val="20"/>
                <w:szCs w:val="20"/>
              </w:rPr>
            </w:pPr>
            <w:r>
              <w:rPr>
                <w:sz w:val="20"/>
                <w:szCs w:val="20"/>
              </w:rPr>
              <w:t>La PO 4.12 rend obligatoire le suivi évaluation de la réinstallation</w:t>
            </w:r>
          </w:p>
        </w:tc>
        <w:tc>
          <w:tcPr>
            <w:tcW w:w="4961" w:type="dxa"/>
            <w:tcBorders/>
            <w:shd w:val="clear" w:color="auto" w:fill="auto"/>
            <w:vAlign w:val="center"/>
          </w:tcPr>
          <w:p>
            <w:pPr>
              <w:pStyle w:val="style0"/>
              <w:widowControl w:val="false"/>
              <w:tabs>
                <w:tab w:val="left" w:leader="none" w:pos="720"/>
              </w:tabs>
              <w:overflowPunct w:val="false"/>
              <w:autoSpaceDE w:val="false"/>
              <w:autoSpaceDN w:val="false"/>
              <w:adjustRightInd w:val="false"/>
              <w:spacing w:before="60" w:after="60"/>
              <w:jc w:val="both"/>
              <w:rPr>
                <w:sz w:val="20"/>
                <w:szCs w:val="20"/>
              </w:rPr>
            </w:pPr>
            <w:r>
              <w:rPr>
                <w:sz w:val="20"/>
                <w:szCs w:val="20"/>
              </w:rPr>
              <w:t>L’Article</w:t>
            </w:r>
            <w:r>
              <w:rPr>
                <w:sz w:val="20"/>
                <w:szCs w:val="20"/>
              </w:rPr>
              <w:t xml:space="preserve"> 45</w:t>
            </w:r>
            <w:r>
              <w:rPr>
                <w:b/>
                <w:sz w:val="20"/>
                <w:szCs w:val="20"/>
              </w:rPr>
              <w:t xml:space="preserve"> </w:t>
            </w:r>
            <w:r>
              <w:rPr>
                <w:sz w:val="20"/>
                <w:szCs w:val="20"/>
              </w:rPr>
              <w:t>de la loi 009-2018/AN portant</w:t>
            </w:r>
            <w:r>
              <w:rPr>
                <w:b/>
                <w:sz w:val="20"/>
                <w:szCs w:val="20"/>
              </w:rPr>
              <w:t xml:space="preserve"> </w:t>
            </w:r>
            <w:r>
              <w:rPr>
                <w:sz w:val="20"/>
                <w:szCs w:val="20"/>
              </w:rPr>
              <w:t>expropriation pour cause d’utilité publique et indemnisation des personnes affectées par les aménagements et projets d’utilité publique ou d’intérêt général au Burkina Faso précise qu’une</w:t>
            </w:r>
            <w:r>
              <w:rPr>
                <w:sz w:val="20"/>
                <w:szCs w:val="20"/>
              </w:rPr>
              <w:t xml:space="preserve"> structure nationale assure le suivi-évaluation des opérations d’indemnisation et de réinstallation.</w:t>
            </w:r>
          </w:p>
          <w:p>
            <w:pPr>
              <w:pStyle w:val="style0"/>
              <w:widowControl w:val="false"/>
              <w:tabs>
                <w:tab w:val="left" w:leader="none" w:pos="720"/>
              </w:tabs>
              <w:overflowPunct w:val="false"/>
              <w:autoSpaceDE w:val="false"/>
              <w:autoSpaceDN w:val="false"/>
              <w:adjustRightInd w:val="false"/>
              <w:spacing w:before="60" w:after="60"/>
              <w:jc w:val="both"/>
              <w:rPr>
                <w:sz w:val="20"/>
                <w:szCs w:val="20"/>
              </w:rPr>
            </w:pPr>
            <w:r>
              <w:rPr>
                <w:sz w:val="20"/>
                <w:szCs w:val="20"/>
              </w:rPr>
              <w:t>Ses attributions, sa composition et son fonctionnement sont précisés par décret pris en Conseil des ministres.</w:t>
            </w:r>
          </w:p>
          <w:p>
            <w:pPr>
              <w:pStyle w:val="style0"/>
              <w:spacing w:before="60" w:after="60"/>
              <w:jc w:val="both"/>
              <w:rPr>
                <w:sz w:val="20"/>
                <w:szCs w:val="20"/>
              </w:rPr>
            </w:pP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 xml:space="preserve">La structure de de suivi-évaluation prévue au niveau nationale semble assez loin des préoccupations des PAP au niveau local. Il convient de disposer dans les PAR d’un dispositif de suivi-évaluation. </w:t>
            </w:r>
          </w:p>
        </w:tc>
      </w:tr>
      <w:tr>
        <w:tblPrEx/>
        <w:trPr>
          <w:trHeight w:val="2622" w:hRule="atLeast"/>
          <w:jc w:val="center"/>
        </w:trPr>
        <w:tc>
          <w:tcPr>
            <w:tcW w:w="1513" w:type="dxa"/>
            <w:vMerge w:val="restart"/>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sz w:val="20"/>
                <w:szCs w:val="20"/>
              </w:rPr>
            </w:pPr>
            <w:r>
              <w:rPr>
                <w:sz w:val="20"/>
                <w:szCs w:val="20"/>
              </w:rPr>
              <w:t>La PO 4.36 apporte l’appui à la sylviculture durable et orientée sur la conservation de la forêt. Elle n’appuie pas l’exploitation commerciale dans les forêts tropicales humides primaires. Son objectif global vise à réduire le déboisement, à renforcer la contribution des zones boisées à l’environnement, à promouvoir le boisement.</w:t>
            </w:r>
          </w:p>
        </w:tc>
        <w:tc>
          <w:tcPr>
            <w:tcW w:w="4961" w:type="dxa"/>
            <w:tcBorders/>
            <w:shd w:val="clear" w:color="auto" w:fill="auto"/>
            <w:vAlign w:val="center"/>
          </w:tcPr>
          <w:p>
            <w:pPr>
              <w:pStyle w:val="style0"/>
              <w:widowControl w:val="false"/>
              <w:tabs>
                <w:tab w:val="left" w:leader="none" w:pos="720"/>
              </w:tabs>
              <w:overflowPunct w:val="false"/>
              <w:autoSpaceDE w:val="false"/>
              <w:autoSpaceDN w:val="false"/>
              <w:adjustRightInd w:val="false"/>
              <w:spacing w:before="60" w:after="60"/>
              <w:jc w:val="both"/>
              <w:rPr>
                <w:sz w:val="20"/>
                <w:szCs w:val="20"/>
              </w:rPr>
            </w:pPr>
            <w:r>
              <w:rPr>
                <w:sz w:val="20"/>
                <w:szCs w:val="20"/>
              </w:rPr>
              <w:t>La Côte d’Ivoire dispose de lois fixant les conditions de gestion des forêts.</w:t>
            </w:r>
          </w:p>
          <w:p>
            <w:pPr>
              <w:pStyle w:val="style0"/>
              <w:numPr>
                <w:ilvl w:val="0"/>
                <w:numId w:val="65"/>
              </w:numPr>
              <w:spacing w:before="60" w:after="60" w:lineRule="auto" w:line="276"/>
              <w:ind w:left="321"/>
              <w:jc w:val="both"/>
              <w:rPr>
                <w:sz w:val="20"/>
                <w:szCs w:val="20"/>
              </w:rPr>
            </w:pPr>
            <w:r>
              <w:rPr>
                <w:rFonts w:eastAsia="Calibri"/>
                <w:b/>
                <w:sz w:val="20"/>
                <w:szCs w:val="20"/>
              </w:rPr>
              <w:t>Convention d’Alger</w:t>
            </w:r>
            <w:r>
              <w:rPr>
                <w:rFonts w:ascii="Arial" w:cs="Arial" w:eastAsia="Calibri" w:hAnsi="Arial"/>
                <w:sz w:val="20"/>
                <w:szCs w:val="20"/>
              </w:rPr>
              <w:t xml:space="preserve"> </w:t>
            </w:r>
            <w:r>
              <w:rPr>
                <w:sz w:val="20"/>
                <w:szCs w:val="20"/>
              </w:rPr>
              <w:t xml:space="preserve">sur la conservation de la nature et des ressources naturelles </w:t>
            </w:r>
            <w:r>
              <w:rPr>
                <w:sz w:val="20"/>
                <w:szCs w:val="20"/>
              </w:rPr>
              <w:t xml:space="preserve">ratifiée par décret N°68-227 du 23 Novembre </w:t>
            </w:r>
            <w:r>
              <w:rPr>
                <w:sz w:val="20"/>
                <w:szCs w:val="20"/>
              </w:rPr>
              <w:t>1968.</w:t>
            </w:r>
          </w:p>
          <w:p>
            <w:pPr>
              <w:pStyle w:val="style0"/>
              <w:numPr>
                <w:ilvl w:val="0"/>
                <w:numId w:val="65"/>
              </w:numPr>
              <w:tabs>
                <w:tab w:val="left" w:leader="none" w:pos="0"/>
              </w:tabs>
              <w:spacing w:before="60" w:after="60" w:lineRule="auto" w:line="276"/>
              <w:ind w:left="321"/>
              <w:jc w:val="both"/>
              <w:rPr>
                <w:sz w:val="20"/>
                <w:szCs w:val="20"/>
              </w:rPr>
            </w:pPr>
            <w:r>
              <w:rPr>
                <w:sz w:val="20"/>
                <w:szCs w:val="20"/>
              </w:rPr>
              <w:t>Convention - cadre des Nations Unies sur la diversité biologique /</w:t>
            </w:r>
            <w:r>
              <w:rPr>
                <w:sz w:val="20"/>
                <w:szCs w:val="20"/>
              </w:rPr>
              <w:t xml:space="preserve">ratifiée par </w:t>
            </w:r>
            <w:r>
              <w:rPr>
                <w:sz w:val="20"/>
                <w:szCs w:val="20"/>
              </w:rPr>
              <w:t xml:space="preserve"> </w:t>
            </w:r>
            <w:r>
              <w:rPr>
                <w:sz w:val="20"/>
                <w:szCs w:val="20"/>
              </w:rPr>
              <w:t>décret 93-292 RU du 20 Septembre 1993</w:t>
            </w:r>
          </w:p>
          <w:p>
            <w:pPr>
              <w:pStyle w:val="style0"/>
              <w:numPr>
                <w:ilvl w:val="0"/>
                <w:numId w:val="65"/>
              </w:numPr>
              <w:tabs>
                <w:tab w:val="left" w:leader="none" w:pos="0"/>
              </w:tabs>
              <w:spacing w:before="60" w:after="60" w:lineRule="auto" w:line="276"/>
              <w:ind w:left="321"/>
              <w:jc w:val="both"/>
              <w:rPr>
                <w:sz w:val="20"/>
                <w:szCs w:val="20"/>
              </w:rPr>
            </w:pPr>
            <w:r>
              <w:rPr>
                <w:sz w:val="20"/>
                <w:szCs w:val="20"/>
              </w:rPr>
              <w:t>la loi 006-2013/AN du 2 avril 2013. Le Code de l’Environnemen</w:t>
            </w:r>
            <w:r>
              <w:rPr>
                <w:sz w:val="20"/>
                <w:szCs w:val="20"/>
              </w:rPr>
              <w:t>t</w:t>
            </w:r>
            <w:r>
              <w:rPr>
                <w:sz w:val="20"/>
                <w:szCs w:val="20"/>
              </w:rPr>
              <w:t xml:space="preserve">      </w:t>
            </w:r>
          </w:p>
          <w:p>
            <w:pPr>
              <w:pStyle w:val="style0"/>
              <w:numPr>
                <w:ilvl w:val="0"/>
                <w:numId w:val="65"/>
              </w:numPr>
              <w:tabs>
                <w:tab w:val="left" w:leader="none" w:pos="0"/>
              </w:tabs>
              <w:spacing w:before="60" w:after="60" w:lineRule="auto" w:line="276"/>
              <w:ind w:left="321"/>
              <w:jc w:val="both"/>
              <w:rPr>
                <w:sz w:val="20"/>
                <w:szCs w:val="20"/>
              </w:rPr>
            </w:pPr>
            <w:r>
              <w:rPr>
                <w:sz w:val="20"/>
                <w:szCs w:val="20"/>
              </w:rPr>
              <w:t>La loi n°003-2011/AN du 05 Avril 2011 portant code forestier</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L</w:t>
            </w:r>
            <w:r>
              <w:rPr>
                <w:rFonts w:eastAsia="Calibri"/>
                <w:sz w:val="20"/>
                <w:szCs w:val="20"/>
              </w:rPr>
              <w:t xml:space="preserve">es textes nationaux </w:t>
            </w:r>
            <w:r>
              <w:rPr>
                <w:rFonts w:eastAsia="Calibri"/>
                <w:sz w:val="20"/>
                <w:szCs w:val="20"/>
              </w:rPr>
              <w:t>s</w:t>
            </w:r>
            <w:r>
              <w:rPr>
                <w:rFonts w:eastAsia="Calibri"/>
                <w:sz w:val="20"/>
                <w:szCs w:val="20"/>
              </w:rPr>
              <w:t>atisf</w:t>
            </w:r>
            <w:r>
              <w:rPr>
                <w:rFonts w:eastAsia="Calibri"/>
                <w:sz w:val="20"/>
                <w:szCs w:val="20"/>
              </w:rPr>
              <w:t>ont</w:t>
            </w:r>
            <w:r>
              <w:rPr>
                <w:rFonts w:eastAsia="Calibri"/>
                <w:sz w:val="20"/>
                <w:szCs w:val="20"/>
              </w:rPr>
              <w:t xml:space="preserve"> à</w:t>
            </w:r>
            <w:r>
              <w:rPr>
                <w:rFonts w:eastAsia="Calibri"/>
                <w:sz w:val="20"/>
                <w:szCs w:val="20"/>
              </w:rPr>
              <w:t xml:space="preserve"> cette exigence de la PO4.36</w:t>
            </w:r>
          </w:p>
        </w:tc>
      </w:tr>
      <w:tr>
        <w:tblPrEx/>
        <w:trPr>
          <w:trHeight w:val="238" w:hRule="atLeast"/>
          <w:jc w:val="center"/>
        </w:trPr>
        <w:tc>
          <w:tcPr>
            <w:tcW w:w="1513" w:type="dxa"/>
            <w:vMerge w:val="continue"/>
            <w:tcBorders/>
            <w:shd w:val="clear" w:color="auto" w:fill="auto"/>
            <w:vAlign w:val="center"/>
          </w:tcPr>
          <w:p>
            <w:pPr>
              <w:pStyle w:val="style0"/>
              <w:spacing w:before="60" w:after="60"/>
              <w:jc w:val="both"/>
              <w:rPr>
                <w:rFonts w:eastAsia="Calibri"/>
                <w:sz w:val="20"/>
                <w:szCs w:val="20"/>
              </w:rPr>
            </w:pPr>
          </w:p>
        </w:tc>
        <w:tc>
          <w:tcPr>
            <w:tcW w:w="4436" w:type="dxa"/>
            <w:tcBorders/>
            <w:shd w:val="clear" w:color="auto" w:fill="auto"/>
            <w:vAlign w:val="center"/>
          </w:tcPr>
          <w:p>
            <w:pPr>
              <w:pStyle w:val="style0"/>
              <w:spacing w:before="60" w:after="60"/>
              <w:jc w:val="both"/>
              <w:rPr>
                <w:i/>
                <w:sz w:val="20"/>
                <w:szCs w:val="20"/>
                <w:u w:val="single"/>
              </w:rPr>
            </w:pPr>
            <w:r>
              <w:rPr>
                <w:i/>
                <w:sz w:val="20"/>
                <w:szCs w:val="20"/>
                <w:u w:val="single"/>
              </w:rPr>
              <w:t xml:space="preserve">Gestion forestière et développement communautaire  </w:t>
            </w:r>
          </w:p>
          <w:p>
            <w:pPr>
              <w:pStyle w:val="style0"/>
              <w:spacing w:before="60" w:after="60"/>
              <w:jc w:val="both"/>
              <w:rPr>
                <w:i/>
                <w:sz w:val="20"/>
                <w:szCs w:val="20"/>
                <w:u w:val="single"/>
              </w:rPr>
            </w:pPr>
          </w:p>
          <w:p>
            <w:pPr>
              <w:pStyle w:val="style0"/>
              <w:spacing w:before="60" w:after="60"/>
              <w:jc w:val="both"/>
              <w:rPr>
                <w:sz w:val="20"/>
                <w:szCs w:val="20"/>
              </w:rPr>
            </w:pPr>
            <w:r>
              <w:rPr>
                <w:sz w:val="20"/>
                <w:szCs w:val="20"/>
              </w:rPr>
              <w:t>La PO 4.36 recommande que les  approches de gestion communautaire et à petite échelle soient privilégiées là où elles fournissent au patrimoine forestier la plus forte opportunité de réduire la pauvreté de manière durable.</w:t>
            </w:r>
          </w:p>
        </w:tc>
        <w:tc>
          <w:tcPr>
            <w:tcW w:w="4961" w:type="dxa"/>
            <w:tcBorders/>
            <w:shd w:val="clear" w:color="auto" w:fill="auto"/>
            <w:vAlign w:val="center"/>
          </w:tcPr>
          <w:p>
            <w:pPr>
              <w:pStyle w:val="style0"/>
              <w:widowControl w:val="false"/>
              <w:tabs>
                <w:tab w:val="left" w:leader="none" w:pos="720"/>
              </w:tabs>
              <w:overflowPunct w:val="false"/>
              <w:autoSpaceDE w:val="false"/>
              <w:autoSpaceDN w:val="false"/>
              <w:adjustRightInd w:val="false"/>
              <w:spacing w:before="60" w:after="60"/>
              <w:jc w:val="both"/>
              <w:rPr>
                <w:sz w:val="20"/>
                <w:szCs w:val="20"/>
              </w:rPr>
            </w:pPr>
            <w:r>
              <w:rPr>
                <w:sz w:val="20"/>
                <w:szCs w:val="20"/>
              </w:rPr>
              <w:t>La</w:t>
            </w:r>
            <w:r>
              <w:rPr>
                <w:rFonts w:eastAsia="Calibri"/>
                <w:b/>
                <w:sz w:val="20"/>
                <w:szCs w:val="20"/>
              </w:rPr>
              <w:t xml:space="preserve"> </w:t>
            </w:r>
            <w:r>
              <w:rPr>
                <w:rFonts w:eastAsia="Calibri"/>
                <w:b/>
                <w:sz w:val="20"/>
                <w:szCs w:val="20"/>
              </w:rPr>
              <w:t xml:space="preserve">n°003-2011/AN du 05 Avril 2011 </w:t>
            </w:r>
            <w:r>
              <w:rPr>
                <w:sz w:val="20"/>
                <w:szCs w:val="20"/>
              </w:rPr>
              <w:t>portant Code Forestier prévoit :</w:t>
            </w:r>
          </w:p>
          <w:p>
            <w:pPr>
              <w:pStyle w:val="style0"/>
              <w:spacing w:before="60" w:after="60"/>
              <w:jc w:val="both"/>
              <w:rPr>
                <w:sz w:val="20"/>
                <w:szCs w:val="20"/>
              </w:rPr>
            </w:pPr>
            <w:r>
              <w:rPr>
                <w:rFonts w:eastAsia="Calibri"/>
                <w:b/>
                <w:bCs/>
                <w:color w:val="000000"/>
                <w:spacing w:val="-1"/>
                <w:sz w:val="20"/>
                <w:szCs w:val="20"/>
              </w:rPr>
              <w:t>Article 57 :</w:t>
            </w:r>
            <w:r>
              <w:rPr>
                <w:rFonts w:eastAsia="Calibri"/>
                <w:b/>
                <w:bCs/>
                <w:color w:val="000000"/>
                <w:spacing w:val="-1"/>
                <w:sz w:val="20"/>
                <w:szCs w:val="20"/>
              </w:rPr>
              <w:t xml:space="preserve"> </w:t>
            </w:r>
            <w:r>
              <w:rPr>
                <w:rFonts w:eastAsia="Calibri"/>
                <w:bCs/>
                <w:color w:val="000000"/>
                <w:spacing w:val="-1"/>
                <w:sz w:val="20"/>
                <w:szCs w:val="20"/>
              </w:rPr>
              <w:t>L'exercice des droits d'usage traditionnels est limité à la satisfaction des besoins</w:t>
            </w:r>
            <w:r>
              <w:rPr>
                <w:rFonts w:eastAsia="Calibri"/>
                <w:bCs/>
                <w:color w:val="000000"/>
                <w:spacing w:val="-1"/>
                <w:sz w:val="20"/>
                <w:szCs w:val="20"/>
              </w:rPr>
              <w:t xml:space="preserve"> </w:t>
            </w:r>
            <w:r>
              <w:rPr>
                <w:rFonts w:eastAsia="Calibri"/>
                <w:bCs/>
                <w:color w:val="000000"/>
                <w:spacing w:val="-1"/>
                <w:sz w:val="20"/>
                <w:szCs w:val="20"/>
              </w:rPr>
              <w:t>personnels, individuels ou familiaux des usagers. Il se fait à titre gratuit et sans permis,</w:t>
            </w:r>
            <w:r>
              <w:rPr>
                <w:rFonts w:eastAsia="Calibri"/>
                <w:bCs/>
                <w:color w:val="000000"/>
                <w:spacing w:val="-1"/>
                <w:sz w:val="20"/>
                <w:szCs w:val="20"/>
              </w:rPr>
              <w:t xml:space="preserve"> </w:t>
            </w:r>
            <w:r>
              <w:rPr>
                <w:rFonts w:eastAsia="Calibri"/>
                <w:bCs/>
                <w:color w:val="000000"/>
                <w:spacing w:val="-1"/>
                <w:sz w:val="20"/>
                <w:szCs w:val="20"/>
              </w:rPr>
              <w:t>dans le respect de la réglementation en vigueur ; il ne peut donner lieu à une</w:t>
            </w:r>
            <w:r>
              <w:rPr>
                <w:rFonts w:eastAsia="Calibri"/>
                <w:bCs/>
                <w:color w:val="000000"/>
                <w:spacing w:val="-1"/>
                <w:sz w:val="20"/>
                <w:szCs w:val="20"/>
              </w:rPr>
              <w:t xml:space="preserve"> </w:t>
            </w:r>
            <w:r>
              <w:rPr>
                <w:rFonts w:eastAsia="Calibri"/>
                <w:bCs/>
                <w:color w:val="000000"/>
                <w:spacing w:val="-1"/>
                <w:sz w:val="20"/>
                <w:szCs w:val="20"/>
              </w:rPr>
              <w:t>exploitation commerciale.</w:t>
            </w:r>
            <w:r>
              <w:rPr>
                <w:sz w:val="20"/>
                <w:szCs w:val="20"/>
              </w:rPr>
              <w:t xml:space="preserve"> </w:t>
            </w:r>
          </w:p>
        </w:tc>
        <w:tc>
          <w:tcPr>
            <w:tcW w:w="3383" w:type="dxa"/>
            <w:tcBorders/>
            <w:shd w:val="clear" w:color="auto" w:fill="auto"/>
            <w:vAlign w:val="center"/>
          </w:tcPr>
          <w:p>
            <w:pPr>
              <w:pStyle w:val="style0"/>
              <w:spacing w:before="60" w:after="60"/>
              <w:jc w:val="both"/>
              <w:rPr>
                <w:rFonts w:eastAsia="Calibri"/>
                <w:sz w:val="20"/>
                <w:szCs w:val="20"/>
              </w:rPr>
            </w:pPr>
            <w:r>
              <w:rPr>
                <w:rFonts w:eastAsia="Calibri"/>
                <w:sz w:val="20"/>
                <w:szCs w:val="20"/>
              </w:rPr>
              <w:t xml:space="preserve">La gestion des forêts est réservée à l’Administration forestière. Les forêts sacrées des communautés rurales sont inscrites en leur nom dans un registre tenu par l’Administration </w:t>
            </w:r>
          </w:p>
          <w:p>
            <w:pPr>
              <w:pStyle w:val="style0"/>
              <w:spacing w:before="60" w:after="60"/>
              <w:jc w:val="both"/>
              <w:rPr>
                <w:rFonts w:eastAsia="Calibri"/>
                <w:sz w:val="20"/>
                <w:szCs w:val="20"/>
              </w:rPr>
            </w:pPr>
            <w:r>
              <w:rPr>
                <w:rFonts w:eastAsia="Calibri"/>
                <w:sz w:val="20"/>
                <w:szCs w:val="20"/>
              </w:rPr>
              <w:t>Forestière.</w:t>
            </w:r>
          </w:p>
          <w:p>
            <w:pPr>
              <w:pStyle w:val="style0"/>
              <w:spacing w:before="60" w:after="60"/>
              <w:jc w:val="both"/>
              <w:rPr>
                <w:rFonts w:eastAsia="Calibri"/>
                <w:sz w:val="20"/>
                <w:szCs w:val="20"/>
              </w:rPr>
            </w:pPr>
            <w:r>
              <w:rPr>
                <w:rFonts w:eastAsia="Calibri"/>
                <w:sz w:val="20"/>
                <w:szCs w:val="20"/>
              </w:rPr>
              <w:t xml:space="preserve">Le développement communautaire devant découler de la gestion des forêts afin de réduire la pauvreté des communautés riveraines n’est pas </w:t>
            </w:r>
            <w:r>
              <w:rPr>
                <w:rFonts w:eastAsia="Calibri"/>
                <w:sz w:val="20"/>
                <w:szCs w:val="20"/>
              </w:rPr>
              <w:t>abordée de façon explicite</w:t>
            </w:r>
            <w:r>
              <w:rPr>
                <w:rFonts w:eastAsia="Calibri"/>
                <w:sz w:val="20"/>
                <w:szCs w:val="20"/>
              </w:rPr>
              <w:t xml:space="preserve"> dans la législation nationale.</w:t>
            </w:r>
          </w:p>
          <w:p>
            <w:pPr>
              <w:pStyle w:val="style0"/>
              <w:spacing w:before="60" w:after="60"/>
              <w:jc w:val="both"/>
              <w:rPr>
                <w:rFonts w:eastAsia="Calibri"/>
                <w:sz w:val="20"/>
                <w:szCs w:val="20"/>
              </w:rPr>
            </w:pPr>
            <w:r>
              <w:rPr>
                <w:rFonts w:eastAsia="Calibri"/>
                <w:sz w:val="20"/>
                <w:szCs w:val="20"/>
              </w:rPr>
              <w:t>Dans le cadre de la mise en oe</w:t>
            </w:r>
            <w:r>
              <w:rPr>
                <w:rFonts w:eastAsia="Calibri"/>
                <w:sz w:val="20"/>
                <w:szCs w:val="20"/>
              </w:rPr>
              <w:t>uvre du programme</w:t>
            </w:r>
            <w:r>
              <w:rPr>
                <w:rFonts w:eastAsia="Calibri"/>
                <w:sz w:val="20"/>
                <w:szCs w:val="20"/>
              </w:rPr>
              <w:t xml:space="preserve">, </w:t>
            </w:r>
            <w:r>
              <w:rPr>
                <w:rFonts w:eastAsia="Calibri"/>
                <w:sz w:val="20"/>
                <w:szCs w:val="20"/>
              </w:rPr>
              <w:t xml:space="preserve">le Gouvernement </w:t>
            </w:r>
            <w:r>
              <w:rPr>
                <w:rFonts w:eastAsia="Calibri"/>
                <w:sz w:val="20"/>
                <w:szCs w:val="20"/>
              </w:rPr>
              <w:t>veiller</w:t>
            </w:r>
            <w:r>
              <w:rPr>
                <w:rFonts w:eastAsia="Calibri"/>
                <w:sz w:val="20"/>
                <w:szCs w:val="20"/>
              </w:rPr>
              <w:t>a</w:t>
            </w:r>
            <w:r>
              <w:rPr>
                <w:rFonts w:eastAsia="Calibri"/>
                <w:sz w:val="20"/>
                <w:szCs w:val="20"/>
              </w:rPr>
              <w:t xml:space="preserve"> à l’implication effective des communautés riveraines des </w:t>
            </w:r>
            <w:r>
              <w:rPr>
                <w:rFonts w:eastAsia="Calibri"/>
                <w:sz w:val="20"/>
                <w:szCs w:val="20"/>
              </w:rPr>
              <w:t>forêts classées (</w:t>
            </w:r>
            <w:r>
              <w:rPr>
                <w:rFonts w:eastAsia="Calibri"/>
                <w:sz w:val="20"/>
                <w:szCs w:val="20"/>
              </w:rPr>
              <w:t>FC</w:t>
            </w:r>
            <w:r>
              <w:rPr>
                <w:rFonts w:eastAsia="Calibri"/>
                <w:sz w:val="20"/>
                <w:szCs w:val="20"/>
              </w:rPr>
              <w:t>)</w:t>
            </w:r>
            <w:r>
              <w:rPr>
                <w:rFonts w:eastAsia="Calibri"/>
                <w:sz w:val="20"/>
                <w:szCs w:val="20"/>
              </w:rPr>
              <w:t xml:space="preserve"> et des parcs </w:t>
            </w:r>
            <w:r>
              <w:rPr>
                <w:rFonts w:eastAsia="Calibri"/>
                <w:sz w:val="20"/>
                <w:szCs w:val="20"/>
              </w:rPr>
              <w:t>en vue de la diffusion des technologies intensives d’amélioration de la productivité et de la production agricole.</w:t>
            </w:r>
          </w:p>
        </w:tc>
      </w:tr>
    </w:tbl>
    <w:p>
      <w:pPr>
        <w:pStyle w:val="style0"/>
        <w:rPr>
          <w:lang w:val="fr-CA"/>
        </w:rPr>
        <w:sectPr>
          <w:pgSz w:w="16838" w:h="11906" w:orient="landscape"/>
          <w:pgMar w:top="1077" w:right="1412" w:bottom="1077" w:left="1412" w:header="720" w:footer="720" w:gutter="0"/>
          <w:pgNumType w:start="44"/>
          <w:cols w:space="720"/>
          <w:titlePg/>
          <w:docGrid w:linePitch="360"/>
        </w:sectPr>
      </w:pPr>
    </w:p>
    <w:bookmarkStart w:id="116" w:name="_Toc2780486"/>
    <w:p>
      <w:pPr>
        <w:pStyle w:val="style4307"/>
        <w:numPr>
          <w:ilvl w:val="0"/>
          <w:numId w:val="0"/>
        </w:numPr>
        <w:ind w:left="390"/>
        <w:rPr/>
      </w:pPr>
      <w:r>
        <w:t xml:space="preserve">4.3. Cadre institutionnel </w:t>
      </w:r>
      <w:r>
        <w:t xml:space="preserve">de la mise en </w:t>
      </w:r>
      <w:r>
        <w:t>œuvre</w:t>
      </w:r>
      <w:r>
        <w:t xml:space="preserve"> du Programme</w:t>
      </w:r>
      <w:bookmarkEnd w:id="111"/>
      <w:bookmarkEnd w:id="116"/>
    </w:p>
    <w:p>
      <w:pPr>
        <w:pStyle w:val="style4214"/>
        <w:rPr>
          <w:rFonts w:eastAsia="MS Mincho"/>
          <w:sz w:val="22"/>
          <w:szCs w:val="22"/>
          <w:lang w:val="fr-FR"/>
        </w:rPr>
      </w:pPr>
      <w:r>
        <w:rPr>
          <w:rFonts w:eastAsia="MS Mincho"/>
          <w:sz w:val="22"/>
          <w:szCs w:val="22"/>
          <w:lang w:val="fr-FR"/>
        </w:rPr>
        <w:t xml:space="preserve">Cette section présente les </w:t>
      </w:r>
      <w:r>
        <w:rPr>
          <w:rFonts w:eastAsia="MS Mincho"/>
          <w:sz w:val="22"/>
          <w:szCs w:val="22"/>
        </w:rPr>
        <w:t>acteurs institutionnels de mise en œuvre du Programme</w:t>
      </w:r>
      <w:r>
        <w:rPr>
          <w:rFonts w:eastAsia="MS Mincho"/>
          <w:sz w:val="22"/>
          <w:szCs w:val="22"/>
          <w:lang w:val="fr-FR"/>
        </w:rPr>
        <w:t xml:space="preserve"> ainsi que l’analyse de leurs capacités en matière environnementale et sociale.</w:t>
      </w:r>
    </w:p>
    <w:p>
      <w:pPr>
        <w:pStyle w:val="style4214"/>
        <w:rPr>
          <w:rFonts w:eastAsia="MS Mincho"/>
          <w:lang w:val="fr-FR"/>
        </w:rPr>
      </w:pPr>
    </w:p>
    <w:bookmarkStart w:id="117" w:name="_Toc686104"/>
    <w:bookmarkStart w:id="118" w:name="_Toc2780487"/>
    <w:p>
      <w:pPr>
        <w:pStyle w:val="style3"/>
        <w:numPr>
          <w:ilvl w:val="0"/>
          <w:numId w:val="0"/>
        </w:numPr>
        <w:ind w:left="644" w:hanging="360"/>
        <w:rPr>
          <w:b/>
          <w:u w:val="none"/>
        </w:rPr>
      </w:pPr>
      <w:r>
        <w:rPr>
          <w:b/>
          <w:u w:val="none"/>
        </w:rPr>
        <w:t xml:space="preserve">4.3.1. </w:t>
      </w:r>
      <w:r>
        <w:rPr>
          <w:b/>
          <w:u w:val="none"/>
        </w:rPr>
        <w:t>A</w:t>
      </w:r>
      <w:r>
        <w:rPr>
          <w:b/>
          <w:u w:val="none"/>
        </w:rPr>
        <w:t>cteurs institutionnels de mise en œuvre du Programme</w:t>
      </w:r>
      <w:bookmarkEnd w:id="117"/>
      <w:bookmarkEnd w:id="118"/>
    </w:p>
    <w:p>
      <w:pPr>
        <w:pStyle w:val="style4"/>
        <w:numPr>
          <w:ilvl w:val="0"/>
          <w:numId w:val="0"/>
        </w:numPr>
        <w:rPr>
          <w:lang w:val="fr-FR" w:eastAsia="fr-FR"/>
        </w:rPr>
      </w:pPr>
      <w:r>
        <w:rPr>
          <w:lang w:val="fr-FR" w:eastAsia="fr-FR"/>
        </w:rPr>
        <w:t>Les acteurs institutionnels impliqués dans la mise en œuvre du PDCA sont constitués des départements ministériels, des collectivités territoriales, des organisations de la société civile</w:t>
      </w:r>
      <w:r>
        <w:rPr>
          <w:lang w:val="fr-FR" w:eastAsia="fr-FR"/>
        </w:rPr>
        <w:t>,</w:t>
      </w:r>
      <w:r>
        <w:rPr>
          <w:lang w:val="fr-FR" w:eastAsia="fr-FR"/>
        </w:rPr>
        <w:t xml:space="preserve"> des institutions privées</w:t>
      </w:r>
      <w:r>
        <w:rPr>
          <w:lang w:val="fr-FR" w:eastAsia="fr-FR"/>
        </w:rPr>
        <w:t xml:space="preserve"> et des laboratoires d’analyse</w:t>
      </w:r>
      <w:r>
        <w:rPr>
          <w:lang w:val="fr-FR" w:eastAsia="fr-FR"/>
        </w:rPr>
        <w:t>.</w:t>
      </w:r>
    </w:p>
    <w:p>
      <w:pPr>
        <w:pStyle w:val="style157"/>
        <w:rPr>
          <w:rFonts w:ascii="Times New Roman" w:hAnsi="Times New Roman"/>
          <w:b/>
          <w:sz w:val="22"/>
          <w:szCs w:val="22"/>
          <w:lang w:val="fr-FR"/>
        </w:rPr>
      </w:pPr>
      <w:r>
        <w:rPr>
          <w:rFonts w:ascii="Times New Roman" w:hAnsi="Times New Roman"/>
          <w:b/>
          <w:sz w:val="22"/>
          <w:szCs w:val="22"/>
          <w:lang w:val="fr-FR"/>
        </w:rPr>
        <w:t>4.3.1.1. Départements ministériels</w:t>
      </w:r>
    </w:p>
    <w:p>
      <w:pPr>
        <w:pStyle w:val="style0"/>
        <w:jc w:val="both"/>
        <w:rPr>
          <w:sz w:val="22"/>
          <w:szCs w:val="22"/>
        </w:rPr>
      </w:pPr>
      <w:r>
        <w:rPr>
          <w:sz w:val="22"/>
          <w:szCs w:val="22"/>
        </w:rPr>
        <w:t>Au total, près d’une dizaine de ministères seront impliqués dans la mise en œuvre et le suivi du PDCA.</w:t>
      </w:r>
    </w:p>
    <w:p>
      <w:pPr>
        <w:pStyle w:val="style0"/>
        <w:jc w:val="both"/>
        <w:rPr>
          <w:sz w:val="22"/>
          <w:szCs w:val="22"/>
        </w:rPr>
      </w:pPr>
    </w:p>
    <w:p>
      <w:pPr>
        <w:pStyle w:val="style0"/>
        <w:numPr>
          <w:ilvl w:val="0"/>
          <w:numId w:val="14"/>
        </w:numPr>
        <w:spacing w:after="200" w:lineRule="auto" w:line="276"/>
        <w:contextualSpacing/>
        <w:rPr>
          <w:b/>
          <w:sz w:val="22"/>
          <w:szCs w:val="22"/>
        </w:rPr>
      </w:pPr>
      <w:r>
        <w:rPr>
          <w:b/>
          <w:sz w:val="22"/>
          <w:szCs w:val="22"/>
        </w:rPr>
        <w:t xml:space="preserve">Ministère de l'Agriculture et des Aménagements Hydrauliques (MAAH) </w:t>
      </w:r>
    </w:p>
    <w:p>
      <w:pPr>
        <w:pStyle w:val="style0"/>
        <w:jc w:val="both"/>
        <w:rPr>
          <w:sz w:val="22"/>
          <w:szCs w:val="22"/>
        </w:rPr>
      </w:pPr>
      <w:r>
        <w:rPr>
          <w:sz w:val="22"/>
          <w:szCs w:val="22"/>
        </w:rPr>
        <w:t>L’un des acteurs majeurs impliqués dans la mise en œuvre du projet est le Ministère de l’Agriculture et des Aménagements Hydrauliques (MAAH) dont l’organisation est régie par le décret N°2016-293/PM/SG/MAAH du 28 avril 2016.</w:t>
      </w:r>
      <w:r>
        <w:rPr>
          <w:sz w:val="22"/>
          <w:szCs w:val="22"/>
        </w:rPr>
        <w:t xml:space="preserve"> Il assure la tutelle technique du Programme.</w:t>
      </w:r>
    </w:p>
    <w:p>
      <w:pPr>
        <w:pStyle w:val="style0"/>
        <w:jc w:val="both"/>
        <w:rPr>
          <w:sz w:val="22"/>
          <w:szCs w:val="22"/>
        </w:rPr>
      </w:pPr>
    </w:p>
    <w:p>
      <w:pPr>
        <w:pStyle w:val="style0"/>
        <w:jc w:val="both"/>
        <w:rPr>
          <w:sz w:val="22"/>
          <w:szCs w:val="22"/>
        </w:rPr>
      </w:pPr>
      <w:r>
        <w:rPr>
          <w:sz w:val="22"/>
          <w:szCs w:val="22"/>
        </w:rPr>
        <w:t xml:space="preserve">Le MAAH est chargé de conduire la politique agricole au Burkina Faso ; il est organisé en plusieurs directions générales. Toutefois, celles qui ont un lien étroit avec la mise en œuvre du PNBF sont la Direction Générale des Aménagements Hydrauliques et du Développement de l’Irrigation (DGAHDI), la Direction Générale des Productions Végétales (DGPV), la Direction Générale de la Formation et de l’Organisation du Monde Rural (DGFOMR), la Direction Générale de la Promotion de l’Economie Rurale (DGPER) et la Direction Générale des Etudes et des Statistiques Sectorielles (DGESS). Ces différentes structures interviennent respectivement dans l’aménagement agricole et le développement de l’irrigation, la protection des végétaux (gestion des pesticides), l’organisation et la formation des producteurs, la promotion des produits agricoles et le suivi-évaluation. </w:t>
      </w:r>
    </w:p>
    <w:p>
      <w:pPr>
        <w:pStyle w:val="style0"/>
        <w:jc w:val="both"/>
        <w:rPr>
          <w:sz w:val="22"/>
          <w:szCs w:val="22"/>
        </w:rPr>
      </w:pPr>
    </w:p>
    <w:p>
      <w:pPr>
        <w:pStyle w:val="style0"/>
        <w:jc w:val="both"/>
        <w:rPr>
          <w:sz w:val="22"/>
          <w:szCs w:val="22"/>
        </w:rPr>
      </w:pPr>
      <w:r>
        <w:rPr>
          <w:sz w:val="22"/>
          <w:szCs w:val="22"/>
        </w:rPr>
        <w:t xml:space="preserve">Au niveau déconcentré, l’encadrement et le conseil seront apportés par les agents </w:t>
      </w:r>
      <w:r>
        <w:rPr>
          <w:sz w:val="22"/>
          <w:szCs w:val="22"/>
        </w:rPr>
        <w:t>des directions</w:t>
      </w:r>
      <w:r>
        <w:rPr>
          <w:sz w:val="22"/>
          <w:szCs w:val="22"/>
        </w:rPr>
        <w:t xml:space="preserve"> régionales et provinciales. Dans les départements, l’appui technique en matière agricole est assuré par les Zones d’Appui Techniques (ZAT) et les Unités d’Appui Techniques (UAT).</w:t>
      </w:r>
    </w:p>
    <w:p>
      <w:pPr>
        <w:pStyle w:val="style0"/>
        <w:jc w:val="both"/>
        <w:rPr>
          <w:sz w:val="22"/>
          <w:szCs w:val="22"/>
        </w:rPr>
      </w:pPr>
    </w:p>
    <w:p>
      <w:pPr>
        <w:pStyle w:val="style0"/>
        <w:jc w:val="both"/>
        <w:rPr>
          <w:sz w:val="22"/>
          <w:szCs w:val="22"/>
        </w:rPr>
      </w:pPr>
      <w:r>
        <w:rPr>
          <w:sz w:val="22"/>
          <w:szCs w:val="22"/>
        </w:rPr>
        <w:t>Le MAAH abrite également les organes de coordination et d’approbation des décisions relatives au Programme :</w:t>
      </w:r>
    </w:p>
    <w:p>
      <w:pPr>
        <w:pStyle w:val="style0"/>
        <w:numPr>
          <w:ilvl w:val="0"/>
          <w:numId w:val="70"/>
        </w:numPr>
        <w:spacing w:after="200" w:lineRule="auto" w:line="276"/>
        <w:jc w:val="both"/>
        <w:rPr>
          <w:sz w:val="22"/>
          <w:szCs w:val="22"/>
        </w:rPr>
      </w:pPr>
      <w:r>
        <w:rPr>
          <w:sz w:val="22"/>
          <w:szCs w:val="22"/>
        </w:rPr>
        <w:t xml:space="preserve">le Comité de Revue (CR) du programme budgétaire « Aménagements hydroagricoles et irrigation » dans lequel s’inscrit le Programme. Il assure la coordination et la supervision des activités du Programme. Présidé par le Directeur Général </w:t>
      </w:r>
      <w:r>
        <w:rPr>
          <w:rFonts w:eastAsia="Calibri"/>
          <w:sz w:val="22"/>
          <w:szCs w:val="22"/>
        </w:rPr>
        <w:t>des Aménagements Hydrauliques et du Développement de l’Irrigation (DGAHDI)</w:t>
      </w:r>
      <w:r>
        <w:rPr>
          <w:sz w:val="22"/>
          <w:szCs w:val="22"/>
        </w:rPr>
        <w:t xml:space="preserve">, il assure la coordination et la supervision des activités du Programme et se réunit deux (2) fois l’an; </w:t>
      </w:r>
    </w:p>
    <w:p>
      <w:pPr>
        <w:pStyle w:val="style0"/>
        <w:numPr>
          <w:ilvl w:val="0"/>
          <w:numId w:val="70"/>
        </w:numPr>
        <w:spacing w:after="200" w:lineRule="auto" w:line="276"/>
        <w:jc w:val="both"/>
        <w:rPr>
          <w:sz w:val="22"/>
          <w:szCs w:val="22"/>
        </w:rPr>
      </w:pPr>
      <w:r>
        <w:rPr>
          <w:sz w:val="22"/>
          <w:szCs w:val="22"/>
        </w:rPr>
        <w:t xml:space="preserve">l’Unité Nationale de Coordination du Programme (UNC) : Une </w:t>
      </w:r>
      <w:r>
        <w:rPr>
          <w:b/>
          <w:sz w:val="22"/>
          <w:szCs w:val="22"/>
        </w:rPr>
        <w:t>Unité nationale de coordination (UNC)</w:t>
      </w:r>
      <w:r>
        <w:rPr>
          <w:sz w:val="22"/>
          <w:szCs w:val="22"/>
        </w:rPr>
        <w:t xml:space="preserve"> sera mise en place pour la mise en œuvre du programme. Cette unité est chargée d’assurer la gestion globale et la coordination des activités du programme, de suivre la mise en œuvre des orientations et décisions prises par le Comité de Revue. </w:t>
      </w:r>
    </w:p>
    <w:p>
      <w:pPr>
        <w:pStyle w:val="style0"/>
        <w:numPr>
          <w:ilvl w:val="0"/>
          <w:numId w:val="70"/>
        </w:numPr>
        <w:spacing w:after="200" w:lineRule="auto" w:line="276"/>
        <w:jc w:val="both"/>
        <w:rPr>
          <w:sz w:val="22"/>
          <w:szCs w:val="22"/>
        </w:rPr>
      </w:pPr>
      <w:r>
        <w:rPr>
          <w:sz w:val="22"/>
          <w:szCs w:val="22"/>
        </w:rPr>
        <w:t>Des Unités Régionales de Coordination (URC) : elles seront déployées dans chacune des régions d’intervention du Programme et travailleront en collaboration permanente avec les acteurs régionaux, provinciaux et communaux de leur ressort.</w:t>
      </w:r>
    </w:p>
    <w:p>
      <w:pPr>
        <w:pStyle w:val="style0"/>
        <w:numPr>
          <w:ilvl w:val="0"/>
          <w:numId w:val="14"/>
        </w:numPr>
        <w:spacing w:after="200" w:lineRule="auto" w:line="276"/>
        <w:contextualSpacing/>
        <w:rPr>
          <w:b/>
          <w:sz w:val="22"/>
          <w:szCs w:val="22"/>
        </w:rPr>
      </w:pPr>
      <w:r>
        <w:rPr>
          <w:b/>
          <w:sz w:val="22"/>
          <w:szCs w:val="22"/>
        </w:rPr>
        <w:t>Ministère de l’Eau et de l’Assainissement (MEA)</w:t>
      </w:r>
    </w:p>
    <w:p>
      <w:pPr>
        <w:pStyle w:val="style0"/>
        <w:jc w:val="both"/>
        <w:rPr>
          <w:sz w:val="22"/>
          <w:szCs w:val="22"/>
        </w:rPr>
      </w:pPr>
      <w:r>
        <w:rPr>
          <w:sz w:val="22"/>
          <w:szCs w:val="22"/>
        </w:rPr>
        <w:t>Le Ministère de l’Eau et de l’Assainissement comprend entre autres les directions générales suivantes : Direction Générale des Etudes et des Statistiques Sectorielles (DGESS), Direction Générale de l’Assainissement (DGA), Direction Générale de l’Eau Potable (DGEP), la Direction Générale des Ressources en Eau (DGRE) et la Direction Générale de l’Assainissement des Eaux Usées et Excreta (DGAEUE). Aussi, l’une des structures intervenant dans le cadre du Programme est le Secrétariat Permanent de la Gestion Intégrée des Ressources en Eau (SP-GIRE).</w:t>
      </w:r>
    </w:p>
    <w:p>
      <w:pPr>
        <w:pStyle w:val="style0"/>
        <w:jc w:val="both"/>
        <w:rPr>
          <w:sz w:val="22"/>
          <w:szCs w:val="22"/>
        </w:rPr>
      </w:pPr>
    </w:p>
    <w:p>
      <w:pPr>
        <w:pStyle w:val="style0"/>
        <w:jc w:val="both"/>
        <w:rPr>
          <w:sz w:val="22"/>
          <w:szCs w:val="22"/>
        </w:rPr>
      </w:pPr>
      <w:r>
        <w:rPr>
          <w:sz w:val="22"/>
          <w:szCs w:val="22"/>
        </w:rPr>
        <w:t>L’implication au plan institutionnel de ce ministère, permettra d’assurer les missions qui lui sont dévolues à savoir la prise en compte spécifiquement des préoccupations relatives entre autres à la mobilisation de l’eau pour l’irrigation, la protection et la gestion des ouvrages hydrauliques. En outre, l’une des missions de ce ministère à savoir l’assainissement, lui fait une place de choix dans la mise en œuvre des actions de prévention et de traitement des problèmes de pollution liée à l’utilisation de l’eau sur les sites aménagés.</w:t>
      </w:r>
    </w:p>
    <w:p>
      <w:pPr>
        <w:pStyle w:val="style0"/>
        <w:jc w:val="both"/>
        <w:rPr>
          <w:sz w:val="22"/>
          <w:szCs w:val="22"/>
        </w:rPr>
      </w:pPr>
    </w:p>
    <w:p>
      <w:pPr>
        <w:pStyle w:val="style0"/>
        <w:numPr>
          <w:ilvl w:val="0"/>
          <w:numId w:val="14"/>
        </w:numPr>
        <w:spacing w:after="200" w:lineRule="auto" w:line="276"/>
        <w:contextualSpacing/>
        <w:rPr>
          <w:b/>
          <w:sz w:val="22"/>
          <w:szCs w:val="22"/>
        </w:rPr>
      </w:pPr>
      <w:r>
        <w:rPr>
          <w:b/>
          <w:sz w:val="22"/>
          <w:szCs w:val="22"/>
        </w:rPr>
        <w:t>Ministère de l’Economie, des Finances et du Développement (MINEFID)</w:t>
      </w:r>
    </w:p>
    <w:p>
      <w:pPr>
        <w:pStyle w:val="style0"/>
        <w:jc w:val="both"/>
        <w:rPr>
          <w:sz w:val="22"/>
          <w:szCs w:val="22"/>
        </w:rPr>
      </w:pPr>
      <w:r>
        <w:rPr>
          <w:sz w:val="22"/>
          <w:szCs w:val="22"/>
        </w:rPr>
        <w:t xml:space="preserve">Il assure la tutelle financière du Programme et intervient à travers la </w:t>
      </w:r>
      <w:r>
        <w:rPr>
          <w:sz w:val="22"/>
          <w:szCs w:val="22"/>
        </w:rPr>
        <w:t>Direction générale des études et statistiques sectorielles (DGESS), la Direction générale des études et de la planification (DGEP) et la Direction générale de la coopération (DGCOOP).</w:t>
      </w:r>
    </w:p>
    <w:p>
      <w:pPr>
        <w:pStyle w:val="style0"/>
        <w:jc w:val="both"/>
        <w:rPr>
          <w:sz w:val="22"/>
          <w:szCs w:val="22"/>
        </w:rPr>
      </w:pPr>
    </w:p>
    <w:p>
      <w:pPr>
        <w:pStyle w:val="style0"/>
        <w:numPr>
          <w:ilvl w:val="0"/>
          <w:numId w:val="14"/>
        </w:numPr>
        <w:spacing w:after="200" w:lineRule="auto" w:line="276"/>
        <w:contextualSpacing/>
        <w:rPr>
          <w:b/>
          <w:sz w:val="22"/>
          <w:szCs w:val="22"/>
        </w:rPr>
      </w:pPr>
      <w:r>
        <w:rPr>
          <w:b/>
          <w:sz w:val="22"/>
          <w:szCs w:val="22"/>
        </w:rPr>
        <w:t xml:space="preserve"> Ministère des Ressources Animales et Halieutiques (MRAH)</w:t>
      </w:r>
    </w:p>
    <w:p>
      <w:pPr>
        <w:pStyle w:val="style0"/>
        <w:jc w:val="both"/>
        <w:rPr>
          <w:sz w:val="22"/>
          <w:szCs w:val="22"/>
        </w:rPr>
      </w:pPr>
      <w:r>
        <w:rPr>
          <w:sz w:val="22"/>
          <w:szCs w:val="22"/>
        </w:rPr>
        <w:t>Les activités envisagées dans le cadre du Programme se dérouleront essentiellement en milieu rural où est pratiqué l’élevage. Tout comme les départements ministériels précédents, les directions générales du MRAH pouvant être impliquées dans la mise en œuvre du projet sont : la Direction Générale des Espaces et des Aménagements Pastoraux (DGEAP), la Direction Générale des Productions Animales (DGPA), la Direction Générale des Services Vétérinaires (DGSV) et la Direction Générale des Ressources Halieutiques</w:t>
      </w:r>
      <w:r>
        <w:rPr>
          <w:sz w:val="22"/>
          <w:szCs w:val="22"/>
        </w:rPr>
        <w:t xml:space="preserve"> </w:t>
      </w:r>
      <w:r>
        <w:rPr>
          <w:sz w:val="22"/>
          <w:szCs w:val="22"/>
        </w:rPr>
        <w:t>(DGRH).</w:t>
      </w:r>
    </w:p>
    <w:p>
      <w:pPr>
        <w:pStyle w:val="style0"/>
        <w:jc w:val="both"/>
        <w:rPr>
          <w:sz w:val="22"/>
          <w:szCs w:val="22"/>
        </w:rPr>
      </w:pPr>
      <w:r>
        <w:rPr>
          <w:sz w:val="22"/>
          <w:szCs w:val="22"/>
        </w:rPr>
        <w:t>Au niveau déconcentré, les directions régionales et provinciales ainsi que les ZATE dans les départements concernés, sont chargés chacun en ce qui concerne son niveau de compétence de traduire en réalité, la politique du pays dans ce domaine.</w:t>
      </w:r>
    </w:p>
    <w:p>
      <w:pPr>
        <w:pStyle w:val="style0"/>
        <w:spacing w:before="120" w:after="120"/>
        <w:jc w:val="both"/>
        <w:rPr>
          <w:sz w:val="22"/>
          <w:szCs w:val="22"/>
        </w:rPr>
      </w:pPr>
    </w:p>
    <w:p>
      <w:pPr>
        <w:pStyle w:val="style0"/>
        <w:spacing w:before="120" w:after="120"/>
        <w:jc w:val="both"/>
        <w:rPr>
          <w:sz w:val="22"/>
          <w:szCs w:val="22"/>
        </w:rPr>
      </w:pPr>
      <w:r>
        <w:rPr>
          <w:sz w:val="22"/>
          <w:szCs w:val="22"/>
        </w:rPr>
        <w:t xml:space="preserve">Ce ministère, à travers ses structures déconcentrées locales, est également concerné par le Programme parce qu’il est appelé à veiller à la conciliation entre l’activité d’élevage et l’agriculture. Il s’agit notamment du respect lors de travaux agricoles, des pistes à bétail, de l’accès aux points d’abreuvement et des espaces destinés au pâturage. </w:t>
      </w:r>
    </w:p>
    <w:p>
      <w:pPr>
        <w:pStyle w:val="style0"/>
        <w:rPr>
          <w:b/>
          <w:sz w:val="22"/>
          <w:szCs w:val="22"/>
        </w:rPr>
      </w:pPr>
    </w:p>
    <w:p>
      <w:pPr>
        <w:pStyle w:val="style0"/>
        <w:numPr>
          <w:ilvl w:val="0"/>
          <w:numId w:val="14"/>
        </w:numPr>
        <w:spacing w:after="200" w:lineRule="auto" w:line="276"/>
        <w:contextualSpacing/>
        <w:rPr>
          <w:b/>
          <w:sz w:val="22"/>
          <w:szCs w:val="22"/>
        </w:rPr>
      </w:pPr>
      <w:r>
        <w:rPr>
          <w:b/>
          <w:sz w:val="22"/>
          <w:szCs w:val="22"/>
        </w:rPr>
        <w:t xml:space="preserve"> Ministère des Infrastructures (MI) </w:t>
      </w:r>
    </w:p>
    <w:p>
      <w:pPr>
        <w:pStyle w:val="style0"/>
        <w:spacing w:after="120"/>
        <w:jc w:val="both"/>
        <w:rPr>
          <w:sz w:val="22"/>
          <w:szCs w:val="22"/>
        </w:rPr>
      </w:pPr>
      <w:r>
        <w:rPr>
          <w:sz w:val="22"/>
          <w:szCs w:val="22"/>
        </w:rPr>
        <w:t>Il s’impliquera dans la mise en œuvre des travaux d’aménagement des pistes retenues à travers la Direction générale des Pistes Rurales.</w:t>
      </w:r>
    </w:p>
    <w:p>
      <w:pPr>
        <w:pStyle w:val="style0"/>
        <w:rPr>
          <w:b/>
          <w:sz w:val="22"/>
          <w:szCs w:val="22"/>
        </w:rPr>
      </w:pPr>
    </w:p>
    <w:p>
      <w:pPr>
        <w:pStyle w:val="style0"/>
        <w:numPr>
          <w:ilvl w:val="0"/>
          <w:numId w:val="14"/>
        </w:numPr>
        <w:spacing w:after="200" w:lineRule="auto" w:line="276"/>
        <w:contextualSpacing/>
        <w:rPr>
          <w:b/>
          <w:sz w:val="22"/>
          <w:szCs w:val="22"/>
        </w:rPr>
      </w:pPr>
      <w:r>
        <w:rPr>
          <w:b/>
          <w:sz w:val="22"/>
          <w:szCs w:val="22"/>
        </w:rPr>
        <w:t xml:space="preserve"> Ministère de la Santé (MS)</w:t>
      </w:r>
    </w:p>
    <w:p>
      <w:pPr>
        <w:pStyle w:val="style0"/>
        <w:jc w:val="both"/>
        <w:rPr>
          <w:sz w:val="22"/>
          <w:szCs w:val="22"/>
        </w:rPr>
      </w:pPr>
      <w:r>
        <w:rPr>
          <w:sz w:val="22"/>
          <w:szCs w:val="22"/>
        </w:rPr>
        <w:t xml:space="preserve">Dans le cadre du </w:t>
      </w:r>
      <w:r>
        <w:rPr>
          <w:sz w:val="22"/>
          <w:szCs w:val="22"/>
        </w:rPr>
        <w:t>pro</w:t>
      </w:r>
      <w:r>
        <w:rPr>
          <w:sz w:val="22"/>
          <w:szCs w:val="22"/>
        </w:rPr>
        <w:t>gramme</w:t>
      </w:r>
      <w:r>
        <w:rPr>
          <w:sz w:val="22"/>
          <w:szCs w:val="22"/>
        </w:rPr>
        <w:t>, le ministère de la santé à travers ses services déconcentrés, développera des activités de lutte anti-vectorielle liées au</w:t>
      </w:r>
      <w:r>
        <w:rPr>
          <w:sz w:val="22"/>
          <w:szCs w:val="22"/>
        </w:rPr>
        <w:t>x maladies hydriques dans le cadre des aménagements hydro-agricoles, contre les maladies capables de passer de l’animal à l’homme (embouche et élevage de volaille),de protection contre les risques d’intoxication (pesticides, engrais, et les périmètres irrigués).</w:t>
      </w:r>
    </w:p>
    <w:p>
      <w:pPr>
        <w:pStyle w:val="style0"/>
        <w:jc w:val="both"/>
        <w:rPr>
          <w:sz w:val="22"/>
          <w:szCs w:val="22"/>
        </w:rPr>
      </w:pPr>
    </w:p>
    <w:p>
      <w:pPr>
        <w:pStyle w:val="style0"/>
        <w:numPr>
          <w:ilvl w:val="0"/>
          <w:numId w:val="14"/>
        </w:numPr>
        <w:spacing w:after="200" w:lineRule="auto" w:line="276"/>
        <w:contextualSpacing/>
        <w:rPr>
          <w:b/>
          <w:sz w:val="22"/>
          <w:szCs w:val="22"/>
        </w:rPr>
      </w:pPr>
      <w:r>
        <w:rPr>
          <w:b/>
          <w:sz w:val="22"/>
          <w:szCs w:val="22"/>
        </w:rPr>
        <w:t xml:space="preserve">Ministère l’Enseignement Supérieur, de la Recherche Scientifique et de </w:t>
      </w:r>
      <w:r>
        <w:rPr>
          <w:b/>
          <w:sz w:val="22"/>
          <w:szCs w:val="22"/>
        </w:rPr>
        <w:t>l’</w:t>
      </w:r>
      <w:r>
        <w:rPr>
          <w:b/>
          <w:sz w:val="22"/>
          <w:szCs w:val="22"/>
        </w:rPr>
        <w:t>Innovation (MESRI)</w:t>
      </w:r>
    </w:p>
    <w:p>
      <w:pPr>
        <w:pStyle w:val="style0"/>
        <w:jc w:val="both"/>
        <w:rPr>
          <w:sz w:val="22"/>
          <w:szCs w:val="22"/>
        </w:rPr>
      </w:pPr>
      <w:r>
        <w:rPr>
          <w:sz w:val="22"/>
          <w:szCs w:val="22"/>
        </w:rPr>
        <w:t>Ce ministère constitue un acteur non négligeable dans le cadre de la mise en œuvre du Programme ce, à travers  ses structures de recherche de référence en matière de Développement Participatif de Technologies (DPT) avec les producteurs et/ou les transformateurs ou transformatrices dans le domaine agro-sylvo-pastoral (technologies de production ou de transformation des produits, etc.) sur le plan national. Il s’agit de l’Institut de l’Environnement et des Recherches Agricoles (INERA) et de l’Institut de Recherche en Sciences Appliquées et Technologies (IRSAT), qui pourront mettre à la  disposition du Programme des variétés plus performantes et plus productives et des technologies de production et transformation des produits.</w:t>
      </w:r>
    </w:p>
    <w:p>
      <w:pPr>
        <w:pStyle w:val="style0"/>
        <w:jc w:val="both"/>
        <w:rPr>
          <w:sz w:val="22"/>
          <w:szCs w:val="22"/>
        </w:rPr>
      </w:pPr>
    </w:p>
    <w:p>
      <w:pPr>
        <w:pStyle w:val="style0"/>
        <w:numPr>
          <w:ilvl w:val="0"/>
          <w:numId w:val="14"/>
        </w:numPr>
        <w:spacing w:after="200" w:lineRule="auto" w:line="276"/>
        <w:contextualSpacing/>
        <w:rPr>
          <w:b/>
          <w:sz w:val="22"/>
          <w:szCs w:val="22"/>
        </w:rPr>
      </w:pPr>
      <w:r>
        <w:rPr>
          <w:b/>
          <w:sz w:val="22"/>
          <w:szCs w:val="22"/>
        </w:rPr>
        <w:t>Ministère de l’Administration Territoriale et de la Décentralisation (MATD)</w:t>
      </w:r>
    </w:p>
    <w:p>
      <w:pPr>
        <w:pStyle w:val="style0"/>
        <w:autoSpaceDE w:val="false"/>
        <w:autoSpaceDN w:val="false"/>
        <w:adjustRightInd w:val="false"/>
        <w:jc w:val="both"/>
        <w:rPr>
          <w:sz w:val="22"/>
          <w:szCs w:val="22"/>
        </w:rPr>
      </w:pPr>
      <w:r>
        <w:rPr>
          <w:sz w:val="22"/>
          <w:szCs w:val="22"/>
        </w:rPr>
        <w:t xml:space="preserve">Ce ministère interviendra dans la mise en œuvre du projet à travers les collectivités décentralisées. En effet, dans ce contexte de la décentralisation, rien ou presque ne peut être envisagé sans une implication des collectivités locales. Mieux le Code Général des Collectivités Territoriales confère à ces entités, le pouvoir de s’administrer librement ; ce qui s’entend que toute initiative à laquelle ils ne sont pas associés, est susceptible de connaître des difficultés majeures dans sa mise en œuvre. </w:t>
      </w:r>
    </w:p>
    <w:p>
      <w:pPr>
        <w:pStyle w:val="style0"/>
        <w:autoSpaceDE w:val="false"/>
        <w:autoSpaceDN w:val="false"/>
        <w:adjustRightInd w:val="false"/>
        <w:jc w:val="both"/>
        <w:rPr>
          <w:sz w:val="22"/>
          <w:szCs w:val="22"/>
        </w:rPr>
      </w:pPr>
    </w:p>
    <w:p>
      <w:pPr>
        <w:pStyle w:val="style0"/>
        <w:numPr>
          <w:ilvl w:val="0"/>
          <w:numId w:val="14"/>
        </w:numPr>
        <w:spacing w:after="200" w:lineRule="auto" w:line="276"/>
        <w:contextualSpacing/>
        <w:rPr>
          <w:b/>
          <w:sz w:val="22"/>
          <w:szCs w:val="22"/>
        </w:rPr>
      </w:pPr>
      <w:r>
        <w:rPr>
          <w:b/>
          <w:sz w:val="22"/>
          <w:szCs w:val="22"/>
        </w:rPr>
        <w:t>Ministère de l’Environnement, de l’Economie Verte et du Changement Climatique (MEEVCC)</w:t>
      </w:r>
    </w:p>
    <w:p>
      <w:pPr>
        <w:pStyle w:val="style0"/>
        <w:jc w:val="both"/>
        <w:rPr>
          <w:sz w:val="22"/>
          <w:szCs w:val="22"/>
        </w:rPr>
      </w:pPr>
      <w:r>
        <w:rPr>
          <w:sz w:val="22"/>
          <w:szCs w:val="22"/>
        </w:rPr>
        <w:t>Le Ministère de l’Environnement, de l’Economie Verte et du Changement Climatique (MEEVCC) est le principal garant institutionnel en matière de gestion de l’environnement et des ressources naturelles au Burkina Faso. Ce ministère comprend cinq principales structures en charge des questions environnementales et de gestion des ressources naturelles d’une part et de la procédure EIE/NIE et EES d’autre part : la Direction Générale de la Préservation de l’Environnement (DGPE), la Direction Générale des Eaux et Forêts (DGEF), la Direction du Développement Institutionnel et des Affaires Juridiques (DDIAJ et le Bureau National des Evaluations Environnementales (BUNEE), les directions régionales et provinciales concernées.</w:t>
      </w:r>
    </w:p>
    <w:p>
      <w:pPr>
        <w:pStyle w:val="style0"/>
        <w:jc w:val="both"/>
        <w:rPr>
          <w:sz w:val="22"/>
          <w:szCs w:val="22"/>
        </w:rPr>
      </w:pPr>
    </w:p>
    <w:p>
      <w:pPr>
        <w:pStyle w:val="style0"/>
        <w:jc w:val="both"/>
        <w:rPr>
          <w:sz w:val="22"/>
          <w:szCs w:val="22"/>
        </w:rPr>
      </w:pPr>
      <w:r>
        <w:rPr>
          <w:sz w:val="22"/>
          <w:szCs w:val="22"/>
        </w:rPr>
        <w:t xml:space="preserve">Toutes ces directions disposent de compétences à travers les ingénieurs et techniciens environnementalistes qui ont en charge les questions de gestion des ressources naturelles et du cadre de vie des circonscriptions dont ils relèvent. </w:t>
      </w:r>
    </w:p>
    <w:p>
      <w:pPr>
        <w:pStyle w:val="style0"/>
        <w:jc w:val="both"/>
        <w:rPr>
          <w:sz w:val="22"/>
          <w:szCs w:val="22"/>
        </w:rPr>
      </w:pPr>
    </w:p>
    <w:p>
      <w:pPr>
        <w:pStyle w:val="style0"/>
        <w:jc w:val="both"/>
        <w:rPr>
          <w:sz w:val="22"/>
          <w:szCs w:val="22"/>
        </w:rPr>
      </w:pPr>
      <w:r>
        <w:rPr>
          <w:sz w:val="22"/>
          <w:szCs w:val="22"/>
        </w:rPr>
        <w:t xml:space="preserve">Sur le plan opérationnel, le Bureau National des Evaluations Environnementales (BUNEE) assure l’examen et l’approbation de la classification environnementale des projets ainsi que l’approbation </w:t>
      </w:r>
      <w:r>
        <w:rPr>
          <w:sz w:val="22"/>
          <w:szCs w:val="22"/>
        </w:rPr>
        <w:t>des rapports EIES/NIES au niveau central. Il participe au suivi externe (les inspections), notamment en ce qui concerne les pollutions et nuisances, et l’amélioration de l’habitat et du cadre de vie. Pour le niveau régional, il s’appuie sur les directions régionales de l’environnement.</w:t>
      </w:r>
    </w:p>
    <w:p>
      <w:pPr>
        <w:pStyle w:val="style0"/>
        <w:jc w:val="both"/>
        <w:rPr>
          <w:sz w:val="23"/>
          <w:szCs w:val="23"/>
        </w:rPr>
      </w:pPr>
    </w:p>
    <w:p>
      <w:pPr>
        <w:pStyle w:val="style157"/>
        <w:rPr>
          <w:rFonts w:ascii="Times New Roman" w:hAnsi="Times New Roman"/>
          <w:b/>
          <w:lang w:val="fr-FR"/>
        </w:rPr>
      </w:pPr>
      <w:r>
        <w:rPr>
          <w:rFonts w:ascii="Times New Roman" w:hAnsi="Times New Roman"/>
          <w:b/>
          <w:lang w:val="fr-FR"/>
        </w:rPr>
        <w:t>4.3.1.2. Collectivités territoriales</w:t>
      </w:r>
    </w:p>
    <w:p>
      <w:pPr>
        <w:pStyle w:val="style0"/>
        <w:jc w:val="both"/>
        <w:rPr>
          <w:sz w:val="22"/>
          <w:szCs w:val="22"/>
        </w:rPr>
      </w:pPr>
      <w:r>
        <w:rPr>
          <w:sz w:val="22"/>
          <w:szCs w:val="22"/>
        </w:rPr>
        <w:t>Les collectivités territoriales selon les zones de couverture du Programme, seront impliquées dans la mise en œuvre des sous-projets du PDCA. Leur concours sera requis dans la conduite des tâches suivantes sur le terrain :</w:t>
      </w:r>
    </w:p>
    <w:p>
      <w:pPr>
        <w:pStyle w:val="style0"/>
        <w:numPr>
          <w:ilvl w:val="0"/>
          <w:numId w:val="116"/>
        </w:numPr>
        <w:spacing w:after="200" w:lineRule="auto" w:line="276"/>
        <w:jc w:val="both"/>
        <w:rPr>
          <w:sz w:val="22"/>
          <w:szCs w:val="22"/>
        </w:rPr>
      </w:pPr>
      <w:r>
        <w:rPr>
          <w:sz w:val="22"/>
          <w:szCs w:val="22"/>
        </w:rPr>
        <w:t>mise en place et application de procédures formelles relatives à l'acquisition et l'occupation des terrains par les sous-projets ;</w:t>
      </w:r>
    </w:p>
    <w:p>
      <w:pPr>
        <w:pStyle w:val="style0"/>
        <w:numPr>
          <w:ilvl w:val="0"/>
          <w:numId w:val="116"/>
        </w:numPr>
        <w:spacing w:after="200" w:lineRule="auto" w:line="276"/>
        <w:jc w:val="both"/>
        <w:rPr>
          <w:sz w:val="22"/>
          <w:szCs w:val="22"/>
        </w:rPr>
      </w:pPr>
      <w:r>
        <w:rPr>
          <w:sz w:val="22"/>
          <w:szCs w:val="22"/>
        </w:rPr>
        <w:t>mobilisation sociale</w:t>
      </w:r>
      <w:r>
        <w:rPr>
          <w:color w:val="ff0000"/>
          <w:sz w:val="22"/>
          <w:szCs w:val="22"/>
        </w:rPr>
        <w:t xml:space="preserve"> </w:t>
      </w:r>
      <w:r>
        <w:rPr>
          <w:sz w:val="22"/>
          <w:szCs w:val="22"/>
        </w:rPr>
        <w:t>pour la contribution effective et l’engagement des populations ;</w:t>
      </w:r>
    </w:p>
    <w:p>
      <w:pPr>
        <w:pStyle w:val="style0"/>
        <w:numPr>
          <w:ilvl w:val="0"/>
          <w:numId w:val="116"/>
        </w:numPr>
        <w:spacing w:after="200" w:lineRule="auto" w:line="276"/>
        <w:jc w:val="both"/>
        <w:rPr>
          <w:sz w:val="22"/>
          <w:szCs w:val="22"/>
        </w:rPr>
      </w:pPr>
      <w:r>
        <w:rPr>
          <w:sz w:val="22"/>
          <w:szCs w:val="22"/>
        </w:rPr>
        <w:t>identification des bénéficiaires des parcelles irriguées;</w:t>
      </w:r>
    </w:p>
    <w:p>
      <w:pPr>
        <w:pStyle w:val="style0"/>
        <w:numPr>
          <w:ilvl w:val="0"/>
          <w:numId w:val="116"/>
        </w:numPr>
        <w:spacing w:after="200" w:lineRule="auto" w:line="276"/>
        <w:jc w:val="both"/>
        <w:rPr>
          <w:sz w:val="22"/>
          <w:szCs w:val="22"/>
        </w:rPr>
      </w:pPr>
      <w:r>
        <w:rPr>
          <w:sz w:val="22"/>
          <w:szCs w:val="22"/>
        </w:rPr>
        <w:t>suivi-évaluation ;</w:t>
      </w:r>
    </w:p>
    <w:p>
      <w:pPr>
        <w:pStyle w:val="style0"/>
        <w:numPr>
          <w:ilvl w:val="0"/>
          <w:numId w:val="116"/>
        </w:numPr>
        <w:spacing w:after="200" w:lineRule="auto" w:line="276"/>
        <w:jc w:val="both"/>
        <w:rPr>
          <w:sz w:val="20"/>
          <w:szCs w:val="20"/>
        </w:rPr>
      </w:pPr>
      <w:r>
        <w:rPr>
          <w:sz w:val="22"/>
          <w:szCs w:val="22"/>
        </w:rPr>
        <w:t>recueil et résolution des plaintes à travers les structures habilitées.</w:t>
      </w:r>
    </w:p>
    <w:p>
      <w:pPr>
        <w:pStyle w:val="style0"/>
        <w:spacing w:after="200" w:lineRule="auto" w:line="276"/>
        <w:jc w:val="both"/>
        <w:rPr>
          <w:sz w:val="22"/>
          <w:szCs w:val="22"/>
        </w:rPr>
      </w:pPr>
    </w:p>
    <w:p>
      <w:pPr>
        <w:pStyle w:val="style0"/>
        <w:spacing w:after="200" w:lineRule="auto" w:line="276"/>
        <w:jc w:val="both"/>
        <w:rPr>
          <w:sz w:val="20"/>
          <w:szCs w:val="20"/>
        </w:rPr>
      </w:pPr>
      <w:r>
        <w:rPr>
          <w:sz w:val="22"/>
          <w:szCs w:val="22"/>
        </w:rPr>
        <w:t xml:space="preserve">Outre </w:t>
      </w:r>
      <w:r>
        <w:rPr>
          <w:sz w:val="22"/>
          <w:szCs w:val="22"/>
        </w:rPr>
        <w:t>la sécurisation foncière</w:t>
      </w:r>
      <w:r>
        <w:rPr>
          <w:sz w:val="22"/>
          <w:szCs w:val="22"/>
        </w:rPr>
        <w:t xml:space="preserve">, </w:t>
      </w:r>
      <w:r>
        <w:rPr>
          <w:sz w:val="22"/>
          <w:szCs w:val="22"/>
        </w:rPr>
        <w:t xml:space="preserve">les collectivités territoriales </w:t>
      </w:r>
      <w:r>
        <w:rPr>
          <w:sz w:val="22"/>
          <w:szCs w:val="22"/>
        </w:rPr>
        <w:t>participeront</w:t>
      </w:r>
      <w:r>
        <w:rPr>
          <w:sz w:val="22"/>
          <w:szCs w:val="22"/>
        </w:rPr>
        <w:t xml:space="preserve"> aux instances d’orientation du </w:t>
      </w:r>
      <w:r>
        <w:rPr>
          <w:sz w:val="22"/>
          <w:szCs w:val="22"/>
        </w:rPr>
        <w:t>P</w:t>
      </w:r>
      <w:r>
        <w:rPr>
          <w:sz w:val="22"/>
          <w:szCs w:val="22"/>
        </w:rPr>
        <w:t>rogramme.</w:t>
      </w:r>
    </w:p>
    <w:bookmarkStart w:id="119" w:name="_Toc534535518"/>
    <w:p>
      <w:pPr>
        <w:pStyle w:val="style157"/>
        <w:rPr>
          <w:rFonts w:ascii="Times New Roman" w:hAnsi="Times New Roman"/>
          <w:b/>
          <w:lang w:val="fr-FR"/>
        </w:rPr>
      </w:pPr>
      <w:r>
        <w:rPr>
          <w:rFonts w:ascii="Times New Roman" w:hAnsi="Times New Roman"/>
          <w:b/>
          <w:lang w:val="fr-FR"/>
        </w:rPr>
        <w:t>4.3.1.3. Chambres d’Agriculture, Organisations faîtières et Organisations des Producteurs</w:t>
      </w:r>
      <w:bookmarkEnd w:id="119"/>
    </w:p>
    <w:p>
      <w:pPr>
        <w:pStyle w:val="style0"/>
        <w:jc w:val="both"/>
        <w:rPr>
          <w:sz w:val="22"/>
          <w:szCs w:val="22"/>
        </w:rPr>
      </w:pPr>
      <w:r>
        <w:rPr>
          <w:sz w:val="22"/>
          <w:szCs w:val="22"/>
        </w:rPr>
        <w:t xml:space="preserve">Conscientes de leur rôle dans l’encadrement, le conseil et le renforcement des capacités des acteurs du monde rural dans le but d’améliorer les performances de la mise en œuvre des projets et programmes, ces différentes structures occupent une place de choix dans ce dispositif institutionnel du </w:t>
      </w:r>
      <w:r>
        <w:rPr>
          <w:sz w:val="22"/>
          <w:szCs w:val="22"/>
        </w:rPr>
        <w:t>pro</w:t>
      </w:r>
      <w:r>
        <w:rPr>
          <w:sz w:val="22"/>
          <w:szCs w:val="22"/>
        </w:rPr>
        <w:t>gramme</w:t>
      </w:r>
      <w:r>
        <w:rPr>
          <w:sz w:val="22"/>
          <w:szCs w:val="22"/>
        </w:rPr>
        <w:t>. Organisées tant au plan national que local et présentes dans tous les secteurs d’activités, les structures regroupant les producteurs interviennent aussi dans la mobilisation, l’organisation en filière, l’appréciation des activités et la protection des producteurs.</w:t>
      </w:r>
    </w:p>
    <w:p>
      <w:pPr>
        <w:pStyle w:val="style0"/>
        <w:jc w:val="both"/>
        <w:rPr>
          <w:sz w:val="22"/>
          <w:szCs w:val="22"/>
        </w:rPr>
      </w:pPr>
      <w:r>
        <w:rPr>
          <w:sz w:val="22"/>
          <w:szCs w:val="22"/>
        </w:rPr>
        <w:t xml:space="preserve"> </w:t>
      </w:r>
    </w:p>
    <w:p>
      <w:pPr>
        <w:pStyle w:val="style0"/>
        <w:jc w:val="both"/>
        <w:rPr>
          <w:sz w:val="22"/>
          <w:szCs w:val="22"/>
        </w:rPr>
      </w:pPr>
      <w:r>
        <w:rPr>
          <w:sz w:val="22"/>
          <w:szCs w:val="22"/>
        </w:rPr>
        <w:t>Il s’agit au niveau national de la Chambre Nationale d’Agriculture (CNA) et au niveau déconcentré, des Chambres Régionales d’Agriculture (CRA) dans leur</w:t>
      </w:r>
      <w:r>
        <w:rPr>
          <w:b/>
          <w:bCs/>
          <w:sz w:val="22"/>
          <w:szCs w:val="22"/>
        </w:rPr>
        <w:t xml:space="preserve"> </w:t>
      </w:r>
      <w:r>
        <w:rPr>
          <w:sz w:val="22"/>
          <w:szCs w:val="22"/>
        </w:rPr>
        <w:t xml:space="preserve">rôle de maître d’ouvrage délégué dans le cadre de la mise en œuvre des activités d’appui-conseil dans le cadre du Programme. Il y </w:t>
      </w:r>
      <w:r>
        <w:rPr>
          <w:sz w:val="22"/>
          <w:szCs w:val="22"/>
        </w:rPr>
        <w:t>a également les organisations des producteurs qui accomplissent un rôle plus actif dans le transfert de technologies et la mise en marché des produits agricoles.</w:t>
      </w:r>
    </w:p>
    <w:p>
      <w:pPr>
        <w:pStyle w:val="style0"/>
        <w:rPr>
          <w:b/>
          <w:sz w:val="23"/>
          <w:szCs w:val="23"/>
        </w:rPr>
      </w:pPr>
    </w:p>
    <w:bookmarkStart w:id="120" w:name="_Toc534535519"/>
    <w:p>
      <w:pPr>
        <w:pStyle w:val="style157"/>
        <w:rPr>
          <w:rFonts w:ascii="Times New Roman" w:hAnsi="Times New Roman"/>
          <w:b/>
          <w:lang w:val="fr-FR"/>
        </w:rPr>
      </w:pPr>
      <w:r>
        <w:rPr>
          <w:rFonts w:ascii="Times New Roman" w:hAnsi="Times New Roman"/>
          <w:b/>
          <w:lang w:val="fr-FR"/>
        </w:rPr>
        <w:t>4.3.1.4. Organisations Non Gouvernementales (ONG) et Associations</w:t>
      </w:r>
      <w:bookmarkEnd w:id="120"/>
    </w:p>
    <w:p>
      <w:pPr>
        <w:pStyle w:val="style0"/>
        <w:jc w:val="both"/>
        <w:rPr>
          <w:sz w:val="22"/>
          <w:szCs w:val="22"/>
        </w:rPr>
      </w:pPr>
      <w:r>
        <w:rPr>
          <w:sz w:val="22"/>
          <w:szCs w:val="22"/>
        </w:rPr>
        <w:t xml:space="preserve">Ces organisations non gouvernementales et celles de la société civile  sont des partenaires de choix du Programme. En effet, elles interviennent pour outiller le plus souvent les bénéficiaires du </w:t>
      </w:r>
      <w:r>
        <w:rPr>
          <w:sz w:val="22"/>
          <w:szCs w:val="22"/>
        </w:rPr>
        <w:t>pro</w:t>
      </w:r>
      <w:r>
        <w:rPr>
          <w:sz w:val="22"/>
          <w:szCs w:val="22"/>
        </w:rPr>
        <w:t>gramme</w:t>
      </w:r>
      <w:r>
        <w:rPr>
          <w:sz w:val="22"/>
          <w:szCs w:val="22"/>
        </w:rPr>
        <w:t>, lui permettant ainsi d’avoir plus d’impacts dans sa mise en œuvre. Que ce soit dans la production végétale, de l’irrigation ou de gestion environnementale, il existe de nombreuses ONG et associations tant au niveau national que local qui y interviennent et qui sont de véritables partenaires de mobilisation et de suivi de proximité des activités.</w:t>
      </w:r>
    </w:p>
    <w:p>
      <w:pPr>
        <w:pStyle w:val="style0"/>
        <w:jc w:val="both"/>
        <w:rPr>
          <w:sz w:val="23"/>
          <w:szCs w:val="23"/>
        </w:rPr>
      </w:pPr>
    </w:p>
    <w:bookmarkStart w:id="121" w:name="_Toc534535520"/>
    <w:p>
      <w:pPr>
        <w:pStyle w:val="style157"/>
        <w:rPr>
          <w:rFonts w:ascii="Times New Roman" w:hAnsi="Times New Roman"/>
          <w:b/>
          <w:lang w:val="fr-FR"/>
        </w:rPr>
      </w:pPr>
      <w:r>
        <w:rPr>
          <w:rFonts w:ascii="Times New Roman" w:hAnsi="Times New Roman"/>
          <w:b/>
          <w:lang w:val="fr-FR"/>
        </w:rPr>
        <w:t>4.3.1.5. Organisations de producteurs</w:t>
      </w:r>
      <w:bookmarkEnd w:id="121"/>
    </w:p>
    <w:p>
      <w:pPr>
        <w:pStyle w:val="style0"/>
        <w:jc w:val="both"/>
        <w:rPr>
          <w:rFonts w:eastAsia="Calibri"/>
          <w:sz w:val="22"/>
          <w:szCs w:val="22"/>
        </w:rPr>
      </w:pPr>
      <w:r>
        <w:rPr>
          <w:sz w:val="22"/>
          <w:szCs w:val="22"/>
        </w:rPr>
        <w:t>Le Programme s’appuiera au niveau local sur les organisations professionnelles des producteurs dont les groupements mis en place pour la production agrosylvopastorale.</w:t>
      </w:r>
    </w:p>
    <w:p>
      <w:pPr>
        <w:pStyle w:val="style4"/>
        <w:numPr>
          <w:ilvl w:val="0"/>
          <w:numId w:val="0"/>
        </w:numPr>
        <w:rPr>
          <w:lang w:val="fr-FR" w:eastAsia="fr-FR"/>
        </w:rPr>
      </w:pPr>
    </w:p>
    <w:p>
      <w:pPr>
        <w:pStyle w:val="style157"/>
        <w:rPr>
          <w:rFonts w:ascii="Times New Roman" w:hAnsi="Times New Roman"/>
          <w:b/>
          <w:lang w:val="fr-FR"/>
        </w:rPr>
      </w:pPr>
      <w:r>
        <w:rPr>
          <w:rFonts w:ascii="Times New Roman" w:hAnsi="Times New Roman"/>
          <w:b/>
          <w:lang w:val="fr-FR"/>
        </w:rPr>
        <w:t>4.3.1.6. Laboratoires d’analyse</w:t>
      </w:r>
    </w:p>
    <w:p>
      <w:pPr>
        <w:pStyle w:val="style0"/>
        <w:jc w:val="both"/>
        <w:rPr>
          <w:sz w:val="22"/>
          <w:szCs w:val="22"/>
        </w:rPr>
      </w:pPr>
      <w:r>
        <w:rPr>
          <w:sz w:val="22"/>
          <w:szCs w:val="22"/>
        </w:rPr>
        <w:t xml:space="preserve">Le suivi de la qualité des eaux des cours et plans à partir desquelles l’irrigation des périmètres est </w:t>
      </w:r>
      <w:r>
        <w:rPr>
          <w:sz w:val="22"/>
          <w:szCs w:val="22"/>
        </w:rPr>
        <w:t xml:space="preserve">faite, s’impose au PDCA. Il en est de même pour ce qui est du sol, des aliments et des produits maraichers. C’est donc dire que des laboratoires seront sollicités pour des travaux de contrôle et d’analyse en vue d’un suivi environnemental et sanitaire des activités du </w:t>
      </w:r>
      <w:r>
        <w:rPr>
          <w:sz w:val="22"/>
          <w:szCs w:val="22"/>
        </w:rPr>
        <w:t>pro</w:t>
      </w:r>
      <w:r>
        <w:rPr>
          <w:sz w:val="22"/>
          <w:szCs w:val="22"/>
        </w:rPr>
        <w:t>gramme</w:t>
      </w:r>
      <w:r>
        <w:rPr>
          <w:sz w:val="22"/>
          <w:szCs w:val="22"/>
        </w:rPr>
        <w:t>. Parmi ces laboratoires, on peut citer, le Laboratoire National de Santé Publique (MS), le Laboratoire National d’Analyse des Eaux (MEEVCC) et le Laboratoire d’analyse des sols du BUNASOLS (MAAH).</w:t>
      </w:r>
    </w:p>
    <w:p>
      <w:pPr>
        <w:pStyle w:val="style0"/>
        <w:jc w:val="both"/>
        <w:rPr>
          <w:sz w:val="22"/>
          <w:szCs w:val="22"/>
        </w:rPr>
      </w:pPr>
    </w:p>
    <w:p>
      <w:pPr>
        <w:pStyle w:val="style0"/>
        <w:numPr>
          <w:ilvl w:val="0"/>
          <w:numId w:val="26"/>
        </w:numPr>
        <w:jc w:val="both"/>
        <w:rPr>
          <w:b/>
          <w:sz w:val="22"/>
          <w:szCs w:val="22"/>
        </w:rPr>
      </w:pPr>
      <w:r>
        <w:rPr>
          <w:b/>
          <w:sz w:val="22"/>
          <w:szCs w:val="22"/>
        </w:rPr>
        <w:t xml:space="preserve"> Laboratoire National de Santé Publique (LNSP)</w:t>
      </w:r>
    </w:p>
    <w:p>
      <w:pPr>
        <w:pStyle w:val="style0"/>
        <w:ind w:left="720"/>
        <w:jc w:val="both"/>
        <w:rPr>
          <w:sz w:val="22"/>
          <w:szCs w:val="22"/>
        </w:rPr>
      </w:pPr>
    </w:p>
    <w:bookmarkStart w:id="122" w:name="_Toc305961100"/>
    <w:bookmarkStart w:id="123" w:name="_Toc326773348"/>
    <w:bookmarkStart w:id="124" w:name="_Toc326883644"/>
    <w:bookmarkStart w:id="125" w:name="_Toc326885173"/>
    <w:bookmarkStart w:id="126" w:name="_Toc327028011"/>
    <w:bookmarkStart w:id="127" w:name="_Toc327098605"/>
    <w:bookmarkStart w:id="128" w:name="_Toc327101732"/>
    <w:bookmarkStart w:id="129" w:name="_Toc327310728"/>
    <w:p>
      <w:pPr>
        <w:pStyle w:val="style0"/>
        <w:jc w:val="both"/>
        <w:rPr>
          <w:sz w:val="22"/>
          <w:szCs w:val="22"/>
        </w:rPr>
      </w:pPr>
      <w:r>
        <w:rPr>
          <w:sz w:val="22"/>
          <w:szCs w:val="22"/>
        </w:rPr>
        <w:t>Placé sous la tutelle technique et hiérarchique de la Direction Générale de Santé Publique qui elle-même relève du Ministère de la Santé (MS), le Laboratoire National de Santé Publique pourrait être sollicité dans la mise en œuvre des activités du PDCA. Cette structure chargée de veiller sur la qualité des produits de consommation humaine au plan national pourra apporter son expertise dans l’analyse des eaux</w:t>
      </w:r>
      <w:bookmarkEnd w:id="122"/>
      <w:bookmarkEnd w:id="123"/>
      <w:bookmarkEnd w:id="124"/>
      <w:bookmarkEnd w:id="125"/>
      <w:bookmarkEnd w:id="126"/>
      <w:bookmarkEnd w:id="127"/>
      <w:bookmarkEnd w:id="128"/>
      <w:bookmarkEnd w:id="129"/>
      <w:r>
        <w:rPr>
          <w:sz w:val="22"/>
          <w:szCs w:val="22"/>
        </w:rPr>
        <w:t>.</w:t>
      </w:r>
    </w:p>
    <w:p>
      <w:pPr>
        <w:pStyle w:val="style0"/>
        <w:jc w:val="both"/>
        <w:rPr>
          <w:sz w:val="22"/>
          <w:szCs w:val="22"/>
        </w:rPr>
      </w:pPr>
    </w:p>
    <w:p>
      <w:pPr>
        <w:pStyle w:val="style0"/>
        <w:numPr>
          <w:ilvl w:val="0"/>
          <w:numId w:val="26"/>
        </w:numPr>
        <w:rPr>
          <w:b/>
          <w:sz w:val="22"/>
          <w:szCs w:val="22"/>
        </w:rPr>
      </w:pPr>
      <w:r>
        <w:rPr>
          <w:b/>
          <w:sz w:val="22"/>
          <w:szCs w:val="22"/>
        </w:rPr>
        <w:t xml:space="preserve"> Laboratoire d’Analyse des Eaux du MEEVCC</w:t>
      </w:r>
    </w:p>
    <w:p>
      <w:pPr>
        <w:pStyle w:val="style0"/>
        <w:ind w:left="720"/>
        <w:rPr>
          <w:sz w:val="22"/>
          <w:szCs w:val="22"/>
        </w:rPr>
      </w:pPr>
    </w:p>
    <w:bookmarkStart w:id="130" w:name="_Toc305961101"/>
    <w:bookmarkStart w:id="131" w:name="_Toc326773349"/>
    <w:bookmarkStart w:id="132" w:name="_Toc326883645"/>
    <w:bookmarkStart w:id="133" w:name="_Toc326885174"/>
    <w:bookmarkStart w:id="134" w:name="_Toc327028012"/>
    <w:bookmarkStart w:id="135" w:name="_Toc327098606"/>
    <w:bookmarkStart w:id="136" w:name="_Toc327101733"/>
    <w:bookmarkStart w:id="137" w:name="_Toc327310729"/>
    <w:p>
      <w:pPr>
        <w:pStyle w:val="style0"/>
        <w:jc w:val="both"/>
        <w:rPr>
          <w:sz w:val="22"/>
          <w:szCs w:val="22"/>
        </w:rPr>
      </w:pPr>
      <w:r>
        <w:rPr>
          <w:sz w:val="22"/>
          <w:szCs w:val="22"/>
        </w:rPr>
        <w:t>Le laboratoire d’Analyse des Eaux est une structure du MEEVCC qui interviendra  à travers l’analyse des eaux des sites de mise en œuvre du PDCA</w:t>
      </w:r>
      <w:bookmarkEnd w:id="130"/>
      <w:bookmarkEnd w:id="131"/>
      <w:r>
        <w:rPr>
          <w:sz w:val="22"/>
          <w:szCs w:val="22"/>
        </w:rPr>
        <w:t>.</w:t>
      </w:r>
      <w:bookmarkEnd w:id="132"/>
      <w:bookmarkEnd w:id="133"/>
      <w:bookmarkEnd w:id="134"/>
      <w:bookmarkEnd w:id="135"/>
      <w:bookmarkEnd w:id="136"/>
      <w:bookmarkEnd w:id="137"/>
    </w:p>
    <w:p>
      <w:pPr>
        <w:pStyle w:val="style0"/>
        <w:rPr>
          <w:sz w:val="22"/>
          <w:szCs w:val="22"/>
        </w:rPr>
      </w:pPr>
    </w:p>
    <w:p>
      <w:pPr>
        <w:pStyle w:val="style0"/>
        <w:numPr>
          <w:ilvl w:val="0"/>
          <w:numId w:val="45"/>
        </w:numPr>
        <w:rPr>
          <w:b/>
          <w:sz w:val="22"/>
          <w:szCs w:val="22"/>
        </w:rPr>
      </w:pPr>
      <w:r>
        <w:rPr>
          <w:b/>
          <w:sz w:val="22"/>
          <w:szCs w:val="22"/>
        </w:rPr>
        <w:t xml:space="preserve"> Bureau National des Sols (BUNASOLS)</w:t>
      </w:r>
      <w:bookmarkStart w:id="138" w:name="_Toc305961102"/>
      <w:bookmarkStart w:id="139" w:name="_Toc326773350"/>
      <w:bookmarkStart w:id="140" w:name="_Toc326883646"/>
      <w:bookmarkStart w:id="141" w:name="_Toc326885175"/>
      <w:bookmarkStart w:id="142" w:name="_Toc327028013"/>
      <w:bookmarkStart w:id="143" w:name="_Toc327098607"/>
      <w:bookmarkStart w:id="144" w:name="_Toc327101734"/>
      <w:bookmarkStart w:id="145" w:name="_Toc327310730"/>
    </w:p>
    <w:p>
      <w:pPr>
        <w:pStyle w:val="style0"/>
        <w:rPr>
          <w:sz w:val="22"/>
          <w:szCs w:val="22"/>
        </w:rPr>
      </w:pPr>
    </w:p>
    <w:p>
      <w:pPr>
        <w:pStyle w:val="style0"/>
        <w:jc w:val="both"/>
        <w:rPr/>
      </w:pPr>
      <w:r>
        <w:rPr>
          <w:sz w:val="22"/>
          <w:szCs w:val="22"/>
        </w:rPr>
        <w:t>Rattaché directement au Secrétariat Général du MAAH), le BUNASOLS se chargera de l’analyse des sols dans les zones d’intervention du PDCA en cas de besoin.</w:t>
      </w:r>
      <w:bookmarkEnd w:id="138"/>
      <w:bookmarkEnd w:id="139"/>
      <w:bookmarkEnd w:id="140"/>
      <w:bookmarkEnd w:id="141"/>
      <w:bookmarkEnd w:id="142"/>
      <w:bookmarkEnd w:id="143"/>
      <w:bookmarkEnd w:id="144"/>
      <w:bookmarkEnd w:id="145"/>
    </w:p>
    <w:p>
      <w:pPr>
        <w:pStyle w:val="style66"/>
        <w:rPr>
          <w:lang w:val="fr-FR" w:eastAsia="fr-FR"/>
        </w:rPr>
      </w:pPr>
    </w:p>
    <w:p>
      <w:pPr>
        <w:pStyle w:val="style66"/>
        <w:numPr>
          <w:ilvl w:val="0"/>
          <w:numId w:val="26"/>
        </w:numPr>
        <w:rPr/>
      </w:pPr>
      <w:r>
        <w:rPr>
          <w:b/>
          <w:szCs w:val="22"/>
        </w:rPr>
        <w:t xml:space="preserve"> Bureau National des Sols (BUNASOLS)</w:t>
      </w:r>
    </w:p>
    <w:p>
      <w:pPr>
        <w:pStyle w:val="style66"/>
        <w:rPr>
          <w:lang w:val="fr-FR" w:eastAsia="fr-FR"/>
        </w:rPr>
      </w:pPr>
      <w:r>
        <w:rPr>
          <w:lang w:val="fr-FR" w:eastAsia="fr-FR"/>
        </w:rPr>
        <w:t>Pour les laboratoires privés, on peut citer entre autre</w:t>
      </w:r>
      <w:r>
        <w:rPr>
          <w:lang w:val="fr-FR" w:eastAsia="fr-FR"/>
        </w:rPr>
        <w:t>s</w:t>
      </w:r>
      <w:r>
        <w:rPr>
          <w:lang w:val="fr-FR" w:eastAsia="fr-FR"/>
        </w:rPr>
        <w:t> :</w:t>
      </w:r>
    </w:p>
    <w:p>
      <w:pPr>
        <w:pStyle w:val="style66"/>
        <w:numPr>
          <w:ilvl w:val="0"/>
          <w:numId w:val="131"/>
        </w:numPr>
        <w:rPr>
          <w:lang w:val="fr-FR" w:eastAsia="fr-FR"/>
        </w:rPr>
      </w:pPr>
      <w:r>
        <w:rPr>
          <w:lang w:val="fr-FR" w:eastAsia="fr-FR"/>
        </w:rPr>
        <w:t xml:space="preserve">le </w:t>
      </w:r>
      <w:r>
        <w:rPr>
          <w:lang w:val="fr-FR" w:eastAsia="fr-FR"/>
        </w:rPr>
        <w:t xml:space="preserve">laboratoire </w:t>
      </w:r>
      <w:r>
        <w:rPr>
          <w:lang w:val="fr-FR" w:eastAsia="fr-FR"/>
        </w:rPr>
        <w:t>H</w:t>
      </w:r>
      <w:r>
        <w:rPr>
          <w:vertAlign w:val="subscript"/>
          <w:lang w:val="fr-FR" w:eastAsia="fr-FR"/>
        </w:rPr>
        <w:t>2</w:t>
      </w:r>
      <w:r>
        <w:rPr>
          <w:lang w:val="fr-FR" w:eastAsia="fr-FR"/>
        </w:rPr>
        <w:t>O</w:t>
      </w:r>
      <w:r>
        <w:rPr>
          <w:lang w:val="fr-FR" w:eastAsia="fr-FR"/>
        </w:rPr>
        <w:t> ;</w:t>
      </w:r>
    </w:p>
    <w:p>
      <w:pPr>
        <w:pStyle w:val="style66"/>
        <w:numPr>
          <w:ilvl w:val="0"/>
          <w:numId w:val="131"/>
        </w:numPr>
        <w:rPr>
          <w:lang w:val="fr-FR" w:eastAsia="fr-FR"/>
        </w:rPr>
      </w:pPr>
      <w:r>
        <w:rPr>
          <w:lang w:val="fr-FR" w:eastAsia="fr-FR"/>
        </w:rPr>
        <w:t>le laboratoire du Faso ;</w:t>
      </w:r>
    </w:p>
    <w:p>
      <w:pPr>
        <w:pStyle w:val="style66"/>
        <w:numPr>
          <w:ilvl w:val="0"/>
          <w:numId w:val="131"/>
        </w:numPr>
        <w:rPr>
          <w:lang w:val="fr-FR" w:eastAsia="fr-FR"/>
        </w:rPr>
      </w:pPr>
      <w:r>
        <w:rPr>
          <w:lang w:val="fr-FR" w:eastAsia="fr-FR"/>
        </w:rPr>
        <w:t>1</w:t>
      </w:r>
      <w:r>
        <w:rPr>
          <w:lang w:val="fr-FR" w:eastAsia="fr-FR"/>
        </w:rPr>
        <w:t xml:space="preserve">e laboratoire </w:t>
      </w:r>
      <w:r>
        <w:rPr>
          <w:lang w:val="fr-FR" w:eastAsia="fr-FR"/>
        </w:rPr>
        <w:t>Aina, etc</w:t>
      </w:r>
      <w:r>
        <w:rPr>
          <w:lang w:val="fr-FR" w:eastAsia="fr-FR"/>
        </w:rPr>
        <w:t>.</w:t>
      </w:r>
    </w:p>
    <w:p>
      <w:pPr>
        <w:pStyle w:val="style0"/>
        <w:rPr>
          <w:rFonts w:eastAsia="Calibri"/>
          <w:color w:val="222222"/>
          <w:sz w:val="22"/>
          <w:szCs w:val="22"/>
        </w:rPr>
      </w:pPr>
    </w:p>
    <w:p>
      <w:pPr>
        <w:pStyle w:val="style0"/>
        <w:rPr>
          <w:rFonts w:eastAsia="Calibri"/>
          <w:color w:val="222222"/>
          <w:sz w:val="22"/>
          <w:szCs w:val="22"/>
        </w:rPr>
      </w:pPr>
      <w:r>
        <w:rPr>
          <w:rFonts w:eastAsia="Calibri"/>
          <w:color w:val="222222"/>
          <w:sz w:val="22"/>
          <w:szCs w:val="22"/>
        </w:rPr>
        <w:br w:type="page"/>
      </w:r>
    </w:p>
    <w:p>
      <w:pPr>
        <w:pStyle w:val="style0"/>
        <w:rPr>
          <w:rFonts w:eastAsia="Calibri"/>
          <w:color w:val="222222"/>
          <w:sz w:val="22"/>
          <w:szCs w:val="22"/>
        </w:rPr>
      </w:pPr>
    </w:p>
    <w:bookmarkStart w:id="146" w:name="_Toc347651"/>
    <w:bookmarkStart w:id="147" w:name="_Toc533662476"/>
    <w:bookmarkStart w:id="148" w:name="_Toc533662720"/>
    <w:bookmarkStart w:id="149" w:name="_Toc533664433"/>
    <w:bookmarkStart w:id="150" w:name="_Toc533664519"/>
    <w:bookmarkStart w:id="151" w:name="_Toc533669534"/>
    <w:bookmarkStart w:id="152" w:name="_Toc533670847"/>
    <w:bookmarkStart w:id="153" w:name="_Toc533671379"/>
    <w:bookmarkStart w:id="154" w:name="_Toc533671835"/>
    <w:bookmarkStart w:id="155" w:name="_Toc533674507"/>
    <w:bookmarkStart w:id="156" w:name="_Toc533674932"/>
    <w:bookmarkStart w:id="157" w:name="_Toc533675191"/>
    <w:bookmarkStart w:id="158" w:name="_Toc533675325"/>
    <w:bookmarkStart w:id="159" w:name="_Toc533675757"/>
    <w:bookmarkStart w:id="160" w:name="_Toc533690152"/>
    <w:bookmarkStart w:id="161" w:name="_Toc533690296"/>
    <w:bookmarkStart w:id="162" w:name="_Toc533691876"/>
    <w:bookmarkStart w:id="163" w:name="_Toc533636035"/>
    <w:bookmarkStart w:id="164" w:name="_Toc533636118"/>
    <w:bookmarkStart w:id="165" w:name="_Toc533662477"/>
    <w:bookmarkStart w:id="166" w:name="_Toc533662721"/>
    <w:bookmarkStart w:id="167" w:name="_Toc533664434"/>
    <w:bookmarkStart w:id="168" w:name="_Toc533664520"/>
    <w:bookmarkStart w:id="169" w:name="_Toc533669535"/>
    <w:bookmarkStart w:id="170" w:name="_Toc533670848"/>
    <w:bookmarkStart w:id="171" w:name="_Toc533671380"/>
    <w:bookmarkStart w:id="172" w:name="_Toc533671836"/>
    <w:bookmarkStart w:id="173" w:name="_Toc533674508"/>
    <w:bookmarkStart w:id="174" w:name="_Toc533674933"/>
    <w:bookmarkStart w:id="175" w:name="_Toc533675192"/>
    <w:bookmarkStart w:id="176" w:name="_Toc533675326"/>
    <w:bookmarkStart w:id="177" w:name="_Toc533675758"/>
    <w:bookmarkStart w:id="178" w:name="_Toc533690153"/>
    <w:bookmarkStart w:id="179" w:name="_Toc533690297"/>
    <w:bookmarkStart w:id="180" w:name="_Toc533691877"/>
    <w:bookmarkStart w:id="181" w:name="_Toc536385725"/>
    <w:bookmarkStart w:id="182" w:name="_Toc536385945"/>
    <w:bookmarkStart w:id="183" w:name="_Toc536386056"/>
    <w:bookmarkStart w:id="184" w:name="_Toc536386598"/>
    <w:bookmarkStart w:id="185" w:name="_Toc536386689"/>
    <w:bookmarkStart w:id="186" w:name="_Toc536392364"/>
    <w:bookmarkStart w:id="187" w:name="_Toc536399027"/>
    <w:bookmarkStart w:id="188" w:name="_Toc536399205"/>
    <w:bookmarkStart w:id="189" w:name="_Toc536399324"/>
    <w:bookmarkStart w:id="190" w:name="_Toc536399417"/>
    <w:bookmarkStart w:id="191" w:name="_Toc347652"/>
    <w:bookmarkStart w:id="192" w:name="_Toc347653"/>
    <w:bookmarkStart w:id="193" w:name="_Toc347654"/>
    <w:bookmarkStart w:id="194" w:name="_Toc347655"/>
    <w:bookmarkStart w:id="195" w:name="_Toc347656"/>
    <w:bookmarkStart w:id="196" w:name="_Toc347658"/>
    <w:bookmarkStart w:id="197" w:name="_Toc347660"/>
    <w:bookmarkStart w:id="198" w:name="_Toc347662"/>
    <w:bookmarkStart w:id="199" w:name="_Toc347663"/>
    <w:bookmarkStart w:id="200" w:name="_Toc347664"/>
    <w:bookmarkStart w:id="201" w:name="_Toc347667"/>
    <w:bookmarkStart w:id="202" w:name="_Toc347669"/>
    <w:bookmarkStart w:id="203" w:name="_Toc347671"/>
    <w:bookmarkStart w:id="204" w:name="_Toc347673"/>
    <w:bookmarkStart w:id="205" w:name="_Toc347674"/>
    <w:bookmarkStart w:id="206" w:name="_Toc347675"/>
    <w:bookmarkStart w:id="207" w:name="_Toc347676"/>
    <w:bookmarkStart w:id="208" w:name="_Toc347678"/>
    <w:bookmarkStart w:id="209" w:name="_Toc347680"/>
    <w:bookmarkStart w:id="210" w:name="_Toc347682"/>
    <w:bookmarkStart w:id="211" w:name="_Toc347683"/>
    <w:bookmarkStart w:id="212" w:name="_Toc347684"/>
    <w:bookmarkStart w:id="213" w:name="_Toc347685"/>
    <w:bookmarkStart w:id="214" w:name="_Toc347687"/>
    <w:bookmarkStart w:id="215" w:name="_Toc347689"/>
    <w:bookmarkStart w:id="216" w:name="_Toc347691"/>
    <w:bookmarkStart w:id="217" w:name="_Toc347692"/>
    <w:bookmarkStart w:id="218" w:name="_Toc347693"/>
    <w:bookmarkStart w:id="219" w:name="_Toc347695"/>
    <w:bookmarkStart w:id="220" w:name="_Toc347696"/>
    <w:bookmarkStart w:id="221" w:name="_Toc347697"/>
    <w:bookmarkStart w:id="222" w:name="_Toc347698"/>
    <w:bookmarkStart w:id="223" w:name="_Toc347700"/>
    <w:bookmarkStart w:id="224" w:name="_Toc347702"/>
    <w:bookmarkStart w:id="225" w:name="_Toc347705"/>
    <w:bookmarkStart w:id="226" w:name="_Toc347706"/>
    <w:bookmarkStart w:id="227" w:name="_Toc347708"/>
    <w:bookmarkStart w:id="228" w:name="_Toc347709"/>
    <w:bookmarkStart w:id="229" w:name="_Toc347712"/>
    <w:bookmarkStart w:id="230" w:name="_Toc347714"/>
    <w:bookmarkStart w:id="231" w:name="_Toc347716"/>
    <w:bookmarkStart w:id="232" w:name="_Toc347718"/>
    <w:bookmarkStart w:id="233" w:name="_Toc347720"/>
    <w:bookmarkStart w:id="234" w:name="_Toc347722"/>
    <w:bookmarkStart w:id="235" w:name="_Toc347724"/>
    <w:bookmarkStart w:id="236" w:name="_Toc347725"/>
    <w:bookmarkStart w:id="237" w:name="_Toc347726"/>
    <w:bookmarkStart w:id="238" w:name="_Toc347727"/>
    <w:bookmarkStart w:id="239" w:name="_Toc347728"/>
    <w:bookmarkStart w:id="240" w:name="_Toc347730"/>
    <w:bookmarkStart w:id="241" w:name="_Toc347733"/>
    <w:bookmarkStart w:id="242" w:name="_Toc347735"/>
    <w:bookmarkStart w:id="243" w:name="_Toc347737"/>
    <w:bookmarkStart w:id="244" w:name="_Toc347738"/>
    <w:bookmarkStart w:id="245" w:name="_Toc347739"/>
    <w:bookmarkStart w:id="246" w:name="_Toc347740"/>
    <w:bookmarkStart w:id="247" w:name="_Toc347741"/>
    <w:bookmarkStart w:id="248" w:name="_Toc347744"/>
    <w:bookmarkStart w:id="249" w:name="_Toc347751"/>
    <w:bookmarkStart w:id="250" w:name="_Toc347752"/>
    <w:bookmarkStart w:id="251" w:name="_Toc347753"/>
    <w:bookmarkStart w:id="252" w:name="_Toc347755"/>
    <w:bookmarkStart w:id="253" w:name="_Toc347756"/>
    <w:bookmarkStart w:id="254" w:name="_Toc347757"/>
    <w:bookmarkStart w:id="255" w:name="_Toc347758"/>
    <w:bookmarkStart w:id="256" w:name="_Toc347760"/>
    <w:bookmarkStart w:id="257" w:name="_Toc347767"/>
    <w:bookmarkStart w:id="258" w:name="_Toc347768"/>
    <w:bookmarkStart w:id="259" w:name="_Toc347769"/>
    <w:bookmarkStart w:id="260" w:name="_Toc347770"/>
    <w:bookmarkStart w:id="261" w:name="_Toc347772"/>
    <w:bookmarkStart w:id="262" w:name="_Toc347774"/>
    <w:bookmarkStart w:id="263" w:name="_Toc347776"/>
    <w:bookmarkStart w:id="264" w:name="_Toc347778"/>
    <w:bookmarkStart w:id="265" w:name="_Toc347780"/>
    <w:bookmarkStart w:id="266" w:name="_Toc347782"/>
    <w:bookmarkStart w:id="267" w:name="_Toc347784"/>
    <w:bookmarkStart w:id="268" w:name="_Toc347786"/>
    <w:bookmarkStart w:id="269" w:name="_Toc347788"/>
    <w:bookmarkStart w:id="270" w:name="_Toc347790"/>
    <w:bookmarkStart w:id="271" w:name="_Toc347791"/>
    <w:bookmarkStart w:id="272" w:name="_Toc347792"/>
    <w:bookmarkStart w:id="273" w:name="_Toc347793"/>
    <w:bookmarkStart w:id="274" w:name="_Toc347795"/>
    <w:bookmarkStart w:id="275" w:name="_Toc347797"/>
    <w:bookmarkStart w:id="276" w:name="_Toc347799"/>
    <w:bookmarkStart w:id="277" w:name="_Toc347801"/>
    <w:bookmarkStart w:id="278" w:name="_Toc347803"/>
    <w:bookmarkStart w:id="279" w:name="_Toc347810"/>
    <w:bookmarkStart w:id="280" w:name="_Toc347811"/>
    <w:bookmarkStart w:id="281" w:name="_Toc347812"/>
    <w:bookmarkStart w:id="282" w:name="_Toc533662736"/>
    <w:bookmarkStart w:id="283" w:name="_Toc533664449"/>
    <w:bookmarkStart w:id="284" w:name="_Toc533664535"/>
    <w:bookmarkStart w:id="285" w:name="_Toc533669550"/>
    <w:bookmarkStart w:id="286" w:name="_Toc533670863"/>
    <w:bookmarkStart w:id="287" w:name="_Toc533671395"/>
    <w:bookmarkStart w:id="288" w:name="_Toc533671851"/>
    <w:bookmarkStart w:id="289" w:name="_Toc533674523"/>
    <w:bookmarkStart w:id="290" w:name="_Toc533674948"/>
    <w:bookmarkStart w:id="291" w:name="_Toc533675207"/>
    <w:bookmarkStart w:id="292" w:name="_Toc533675341"/>
    <w:bookmarkStart w:id="293" w:name="_Toc533675773"/>
    <w:bookmarkStart w:id="294" w:name="_Toc533690168"/>
    <w:bookmarkStart w:id="295" w:name="_Toc533690312"/>
    <w:bookmarkStart w:id="296" w:name="_Toc533691892"/>
    <w:bookmarkStart w:id="297" w:name="_Toc536385739"/>
    <w:bookmarkStart w:id="298" w:name="_Toc536385959"/>
    <w:bookmarkStart w:id="299" w:name="_Toc536386070"/>
    <w:bookmarkStart w:id="300" w:name="_Toc536386612"/>
    <w:bookmarkStart w:id="301" w:name="_Toc536386703"/>
    <w:bookmarkStart w:id="302" w:name="_Toc536392378"/>
    <w:bookmarkStart w:id="303" w:name="_Toc536399041"/>
    <w:bookmarkStart w:id="304" w:name="_Toc536399219"/>
    <w:bookmarkStart w:id="305" w:name="_Toc536399338"/>
    <w:bookmarkStart w:id="306" w:name="_Toc536399431"/>
    <w:bookmarkStart w:id="307" w:name="_Toc347813"/>
    <w:bookmarkStart w:id="308" w:name="_Toc533662737"/>
    <w:bookmarkStart w:id="309" w:name="_Toc533664450"/>
    <w:bookmarkStart w:id="310" w:name="_Toc533664536"/>
    <w:bookmarkStart w:id="311" w:name="_Toc533669551"/>
    <w:bookmarkStart w:id="312" w:name="_Toc533670864"/>
    <w:bookmarkStart w:id="313" w:name="_Toc533671396"/>
    <w:bookmarkStart w:id="314" w:name="_Toc533671852"/>
    <w:bookmarkStart w:id="315" w:name="_Toc533674524"/>
    <w:bookmarkStart w:id="316" w:name="_Toc533674949"/>
    <w:bookmarkStart w:id="317" w:name="_Toc533675208"/>
    <w:bookmarkStart w:id="318" w:name="_Toc533675342"/>
    <w:bookmarkStart w:id="319" w:name="_Toc533675774"/>
    <w:bookmarkStart w:id="320" w:name="_Toc533690169"/>
    <w:bookmarkStart w:id="321" w:name="_Toc533690313"/>
    <w:bookmarkStart w:id="322" w:name="_Toc533691893"/>
    <w:bookmarkStart w:id="323" w:name="_Toc536385740"/>
    <w:bookmarkStart w:id="324" w:name="_Toc536385960"/>
    <w:bookmarkStart w:id="325" w:name="_Toc536386071"/>
    <w:bookmarkStart w:id="326" w:name="_Toc536386613"/>
    <w:bookmarkStart w:id="327" w:name="_Toc536386704"/>
    <w:bookmarkStart w:id="328" w:name="_Toc536392379"/>
    <w:bookmarkStart w:id="329" w:name="_Toc536399042"/>
    <w:bookmarkStart w:id="330" w:name="_Toc536399220"/>
    <w:bookmarkStart w:id="331" w:name="_Toc536399339"/>
    <w:bookmarkStart w:id="332" w:name="_Toc536399432"/>
    <w:bookmarkStart w:id="333" w:name="_Toc347814"/>
    <w:bookmarkStart w:id="334" w:name="_Toc347815"/>
    <w:bookmarkStart w:id="335" w:name="_Toc347816"/>
    <w:bookmarkStart w:id="336" w:name="_Toc347818"/>
    <w:bookmarkStart w:id="337" w:name="_Toc347820"/>
    <w:bookmarkStart w:id="338" w:name="_Toc347821"/>
    <w:bookmarkStart w:id="339" w:name="_Toc347822"/>
    <w:bookmarkStart w:id="340" w:name="_Toc347861"/>
    <w:bookmarkStart w:id="341" w:name="_Toc347885"/>
    <w:bookmarkStart w:id="342" w:name="_Toc347886"/>
    <w:bookmarkStart w:id="343" w:name="_Toc347887"/>
    <w:bookmarkStart w:id="344" w:name="_Toc347888"/>
    <w:bookmarkStart w:id="345" w:name="_Toc347890"/>
    <w:bookmarkStart w:id="346" w:name="_Toc347892"/>
    <w:bookmarkStart w:id="347" w:name="_Toc347894"/>
    <w:bookmarkStart w:id="348" w:name="_Toc347896"/>
    <w:bookmarkStart w:id="349" w:name="_Toc347897"/>
    <w:bookmarkStart w:id="350" w:name="_Toc347898"/>
    <w:bookmarkStart w:id="351" w:name="_Toc347900"/>
    <w:bookmarkStart w:id="352" w:name="_Toc347903"/>
    <w:bookmarkStart w:id="353" w:name="_Toc347905"/>
    <w:bookmarkStart w:id="354" w:name="_Toc347906"/>
    <w:bookmarkStart w:id="355" w:name="_Toc347907"/>
    <w:bookmarkStart w:id="356" w:name="_Toc347909"/>
    <w:bookmarkStart w:id="357" w:name="_Toc347912"/>
    <w:bookmarkStart w:id="358" w:name="_Toc347914"/>
    <w:bookmarkStart w:id="359" w:name="_Toc347916"/>
    <w:bookmarkStart w:id="360" w:name="_Toc347920"/>
    <w:bookmarkStart w:id="361" w:name="_Toc347922"/>
    <w:bookmarkStart w:id="362" w:name="_Toc347924"/>
    <w:bookmarkStart w:id="363" w:name="_Toc347927"/>
    <w:bookmarkStart w:id="364" w:name="_Toc347929"/>
    <w:bookmarkStart w:id="365" w:name="_Toc347930"/>
    <w:bookmarkStart w:id="366" w:name="_Toc347931"/>
    <w:bookmarkStart w:id="367" w:name="_Toc347933"/>
    <w:bookmarkStart w:id="368" w:name="_Toc347934"/>
    <w:bookmarkStart w:id="369" w:name="_Toc347936"/>
    <w:bookmarkStart w:id="370" w:name="_Toc347939"/>
    <w:bookmarkStart w:id="371" w:name="_Toc347940"/>
    <w:bookmarkStart w:id="372" w:name="_Toc347942"/>
    <w:bookmarkStart w:id="373" w:name="_Toc347943"/>
    <w:bookmarkStart w:id="374" w:name="_Toc347945"/>
    <w:bookmarkStart w:id="375" w:name="_Toc347953"/>
    <w:bookmarkStart w:id="376" w:name="_Toc347954"/>
    <w:bookmarkStart w:id="377" w:name="_Toc347955"/>
    <w:bookmarkStart w:id="378" w:name="_Toc347956"/>
    <w:bookmarkStart w:id="379" w:name="_Toc347958"/>
    <w:bookmarkStart w:id="380" w:name="_Toc347959"/>
    <w:bookmarkStart w:id="381" w:name="_Toc347962"/>
    <w:bookmarkStart w:id="382" w:name="_Toc347963"/>
    <w:bookmarkStart w:id="383" w:name="_Toc347965"/>
    <w:bookmarkStart w:id="384" w:name="_Toc347968"/>
    <w:bookmarkStart w:id="385" w:name="_Toc347971"/>
    <w:bookmarkStart w:id="386" w:name="_Toc347972"/>
    <w:bookmarkStart w:id="387" w:name="_Toc347974"/>
    <w:bookmarkStart w:id="388" w:name="_Toc347975"/>
    <w:bookmarkStart w:id="389" w:name="_Toc347977"/>
    <w:bookmarkStart w:id="390" w:name="_Toc347978"/>
    <w:bookmarkStart w:id="391" w:name="_Toc347979"/>
    <w:bookmarkStart w:id="392" w:name="_Toc347981"/>
    <w:bookmarkStart w:id="393" w:name="_Toc347982"/>
    <w:bookmarkStart w:id="394" w:name="_Toc347984"/>
    <w:bookmarkStart w:id="395" w:name="_Toc347986"/>
    <w:bookmarkStart w:id="396" w:name="_Toc347987"/>
    <w:bookmarkStart w:id="397" w:name="_Toc347988"/>
    <w:bookmarkStart w:id="398" w:name="_Toc347989"/>
    <w:bookmarkStart w:id="399" w:name="_Toc347991"/>
    <w:bookmarkStart w:id="400" w:name="_Toc347994"/>
    <w:bookmarkStart w:id="401" w:name="_Toc347996"/>
    <w:bookmarkStart w:id="402" w:name="_Toc347997"/>
    <w:bookmarkStart w:id="403" w:name="_Toc347998"/>
    <w:bookmarkStart w:id="404" w:name="_Toc347999"/>
    <w:bookmarkStart w:id="405" w:name="_Toc348001"/>
    <w:bookmarkStart w:id="406" w:name="_Toc348003"/>
    <w:bookmarkStart w:id="407" w:name="_Toc348009"/>
    <w:bookmarkStart w:id="408" w:name="_Toc348011"/>
    <w:bookmarkStart w:id="409" w:name="_Toc348019"/>
    <w:bookmarkStart w:id="410" w:name="_Toc348020"/>
    <w:bookmarkStart w:id="411" w:name="_Toc348023"/>
    <w:bookmarkStart w:id="412" w:name="_Toc348025"/>
    <w:bookmarkStart w:id="413" w:name="_Toc348027"/>
    <w:bookmarkStart w:id="414" w:name="_Toc348029"/>
    <w:bookmarkStart w:id="415" w:name="_Toc348030"/>
    <w:bookmarkStart w:id="416" w:name="_Toc348031"/>
    <w:bookmarkStart w:id="417" w:name="_Toc348032"/>
    <w:bookmarkStart w:id="418" w:name="_Toc348033"/>
    <w:bookmarkStart w:id="419" w:name="_Toc348034"/>
    <w:bookmarkStart w:id="420" w:name="_Toc348035"/>
    <w:bookmarkStart w:id="421" w:name="_Toc348037"/>
    <w:bookmarkStart w:id="422" w:name="_Toc348038"/>
    <w:bookmarkStart w:id="423" w:name="_Toc348040"/>
    <w:bookmarkStart w:id="424" w:name="_Toc348043"/>
    <w:bookmarkStart w:id="425" w:name="_Toc348044"/>
    <w:bookmarkStart w:id="426" w:name="_Toc348047"/>
    <w:bookmarkStart w:id="427" w:name="_Toc348050"/>
    <w:bookmarkStart w:id="428" w:name="_Toc348051"/>
    <w:bookmarkStart w:id="429" w:name="_Toc348052"/>
    <w:bookmarkStart w:id="430" w:name="_Toc348053"/>
    <w:bookmarkStart w:id="431" w:name="_Toc348054"/>
    <w:bookmarkStart w:id="432" w:name="_Toc348056"/>
    <w:bookmarkStart w:id="433" w:name="_Toc348057"/>
    <w:bookmarkStart w:id="434" w:name="_Toc348060"/>
    <w:bookmarkStart w:id="435" w:name="_Toc348061"/>
    <w:bookmarkStart w:id="436" w:name="_Toc348064"/>
    <w:bookmarkStart w:id="437" w:name="_Toc348067"/>
    <w:bookmarkStart w:id="438" w:name="_Toc348069"/>
    <w:bookmarkStart w:id="439" w:name="_Toc348070"/>
    <w:bookmarkStart w:id="440" w:name="_Toc348071"/>
    <w:bookmarkStart w:id="441" w:name="_Toc348072"/>
    <w:bookmarkStart w:id="442" w:name="_Toc348074"/>
    <w:bookmarkStart w:id="443" w:name="_Toc348077"/>
    <w:bookmarkStart w:id="444" w:name="_Toc348084"/>
    <w:bookmarkStart w:id="445" w:name="_Toc348087"/>
    <w:bookmarkStart w:id="446" w:name="_Toc348091"/>
    <w:bookmarkStart w:id="447" w:name="_Toc348092"/>
    <w:bookmarkStart w:id="448" w:name="_Toc348093"/>
    <w:bookmarkStart w:id="449" w:name="_Toc348094"/>
    <w:bookmarkStart w:id="450" w:name="_Toc348095"/>
    <w:bookmarkStart w:id="451" w:name="_Toc348097"/>
    <w:bookmarkStart w:id="452" w:name="_Toc348099"/>
    <w:bookmarkStart w:id="453" w:name="_Toc348103"/>
    <w:bookmarkStart w:id="454" w:name="_Toc348106"/>
    <w:bookmarkStart w:id="455" w:name="_Toc348108"/>
    <w:bookmarkStart w:id="456" w:name="_Toc348110"/>
    <w:bookmarkStart w:id="457" w:name="_Toc348111"/>
    <w:bookmarkStart w:id="458" w:name="_Toc348112"/>
    <w:bookmarkStart w:id="459" w:name="_Toc348113"/>
    <w:bookmarkStart w:id="460" w:name="_Toc348115"/>
    <w:bookmarkStart w:id="461" w:name="_Toc348120"/>
    <w:bookmarkStart w:id="462" w:name="_Toc348122"/>
    <w:bookmarkStart w:id="463" w:name="_Toc348124"/>
    <w:bookmarkStart w:id="464" w:name="_Toc348140"/>
    <w:bookmarkStart w:id="465" w:name="_Toc348141"/>
    <w:bookmarkStart w:id="466" w:name="_Toc348142"/>
    <w:bookmarkStart w:id="467" w:name="_Toc348151"/>
    <w:bookmarkStart w:id="468" w:name="_Toc348153"/>
    <w:bookmarkStart w:id="469" w:name="_Toc348154"/>
    <w:bookmarkStart w:id="470" w:name="_Toc348155"/>
    <w:bookmarkStart w:id="471" w:name="_Toc348156"/>
    <w:bookmarkStart w:id="472" w:name="_Toc348158"/>
    <w:bookmarkStart w:id="473" w:name="_Toc348164"/>
    <w:bookmarkStart w:id="474" w:name="_Toc348166"/>
    <w:bookmarkStart w:id="475" w:name="_Toc348170"/>
    <w:bookmarkStart w:id="476" w:name="_Toc348172"/>
    <w:bookmarkStart w:id="477" w:name="_Toc348174"/>
    <w:bookmarkStart w:id="478" w:name="_Toc348176"/>
    <w:bookmarkStart w:id="479" w:name="_Toc348177"/>
    <w:bookmarkStart w:id="480" w:name="_Toc348178"/>
    <w:bookmarkStart w:id="481" w:name="_Toc348179"/>
    <w:bookmarkStart w:id="482" w:name="_Toc348181"/>
    <w:bookmarkStart w:id="483" w:name="_Toc348183"/>
    <w:bookmarkStart w:id="484" w:name="_Toc348184"/>
    <w:bookmarkStart w:id="485" w:name="_Toc348185"/>
    <w:bookmarkStart w:id="486" w:name="_Toc348187"/>
    <w:bookmarkStart w:id="487" w:name="_Toc348189"/>
    <w:bookmarkStart w:id="488" w:name="_Toc348191"/>
    <w:bookmarkStart w:id="489" w:name="_Toc348193"/>
    <w:bookmarkStart w:id="490" w:name="_Toc348194"/>
    <w:bookmarkStart w:id="491" w:name="_Toc348195"/>
    <w:bookmarkStart w:id="492" w:name="_Toc348197"/>
    <w:bookmarkStart w:id="493" w:name="_Toc348200"/>
    <w:bookmarkStart w:id="494" w:name="_Toc348201"/>
    <w:bookmarkStart w:id="495" w:name="_Toc348202"/>
    <w:bookmarkStart w:id="496" w:name="_Toc348204"/>
    <w:bookmarkStart w:id="497" w:name="_Toc348206"/>
    <w:bookmarkStart w:id="498" w:name="_Toc348208"/>
    <w:bookmarkStart w:id="499" w:name="_Toc348210"/>
    <w:bookmarkStart w:id="500" w:name="_Toc348212"/>
    <w:bookmarkStart w:id="501" w:name="_Toc348214"/>
    <w:bookmarkStart w:id="502" w:name="_Toc348216"/>
    <w:bookmarkStart w:id="503" w:name="_Toc348217"/>
    <w:bookmarkStart w:id="504" w:name="_Toc348218"/>
    <w:bookmarkStart w:id="505" w:name="_Toc348220"/>
    <w:bookmarkStart w:id="506" w:name="_Toc348222"/>
    <w:bookmarkStart w:id="507" w:name="_Toc348224"/>
    <w:bookmarkStart w:id="508" w:name="_Toc348226"/>
    <w:bookmarkStart w:id="509" w:name="_Toc348227"/>
    <w:bookmarkStart w:id="510" w:name="_Toc348228"/>
    <w:bookmarkStart w:id="511" w:name="_Toc348230"/>
    <w:bookmarkStart w:id="512" w:name="_Toc348232"/>
    <w:bookmarkStart w:id="513" w:name="_Toc348234"/>
    <w:bookmarkStart w:id="514" w:name="_Toc348236"/>
    <w:bookmarkStart w:id="515" w:name="_Toc348237"/>
    <w:bookmarkStart w:id="516" w:name="_Toc348238"/>
    <w:bookmarkStart w:id="517" w:name="_Toc348239"/>
    <w:bookmarkStart w:id="518" w:name="_Toc348240"/>
    <w:bookmarkStart w:id="519" w:name="_Toc348242"/>
    <w:bookmarkStart w:id="520" w:name="_Toc348244"/>
    <w:bookmarkStart w:id="521" w:name="_Toc348246"/>
    <w:bookmarkStart w:id="522" w:name="_Toc348247"/>
    <w:bookmarkStart w:id="523" w:name="_Toc348248"/>
    <w:bookmarkStart w:id="524" w:name="_Toc348250"/>
    <w:bookmarkStart w:id="525" w:name="_Toc348251"/>
    <w:bookmarkStart w:id="526" w:name="_Toc348253"/>
    <w:bookmarkStart w:id="527" w:name="_Toc466889"/>
    <w:bookmarkStart w:id="528" w:name="_Toc348255"/>
    <w:bookmarkStart w:id="529" w:name="_Toc348258"/>
    <w:bookmarkStart w:id="530" w:name="_Toc348259"/>
    <w:bookmarkStart w:id="531" w:name="_Toc348263"/>
    <w:bookmarkStart w:id="532" w:name="_Toc466899"/>
    <w:bookmarkStart w:id="533" w:name="_Toc348264"/>
    <w:bookmarkStart w:id="534" w:name="_Toc466900"/>
    <w:bookmarkStart w:id="535" w:name="_Toc348266"/>
    <w:bookmarkStart w:id="536" w:name="_Toc348268"/>
    <w:bookmarkStart w:id="537" w:name="_Toc466904"/>
    <w:bookmarkStart w:id="538" w:name="_Toc348269"/>
    <w:bookmarkStart w:id="539" w:name="_Toc348271"/>
    <w:bookmarkStart w:id="540" w:name="_Toc466907"/>
    <w:bookmarkStart w:id="541" w:name="_Toc348273"/>
    <w:bookmarkStart w:id="542" w:name="_Toc466909"/>
    <w:bookmarkStart w:id="543" w:name="_Toc348277"/>
    <w:bookmarkStart w:id="544" w:name="_Toc466913"/>
    <w:bookmarkStart w:id="545" w:name="_Toc348278"/>
    <w:bookmarkStart w:id="546" w:name="_Toc348280"/>
    <w:bookmarkStart w:id="547" w:name="_Toc466916"/>
    <w:bookmarkStart w:id="548" w:name="_Toc348283"/>
    <w:bookmarkStart w:id="549" w:name="_Toc466919"/>
    <w:bookmarkStart w:id="550" w:name="_Toc348284"/>
    <w:bookmarkStart w:id="551" w:name="_Toc348285"/>
    <w:bookmarkStart w:id="552" w:name="_Toc348286"/>
    <w:bookmarkStart w:id="553" w:name="_Toc466922"/>
    <w:bookmarkStart w:id="554" w:name="_Toc348287"/>
    <w:bookmarkStart w:id="555" w:name="_Toc348288"/>
    <w:bookmarkStart w:id="556" w:name="_Toc348291"/>
    <w:bookmarkStart w:id="557" w:name="_Toc466927"/>
    <w:bookmarkStart w:id="558" w:name="_Toc348294"/>
    <w:bookmarkStart w:id="559" w:name="_Toc466930"/>
    <w:bookmarkStart w:id="560" w:name="_Toc348295"/>
    <w:bookmarkStart w:id="561" w:name="_Toc466931"/>
    <w:bookmarkStart w:id="562" w:name="_Toc348300"/>
    <w:bookmarkStart w:id="563" w:name="_Toc466936"/>
    <w:bookmarkStart w:id="564" w:name="_Toc348302"/>
    <w:bookmarkStart w:id="565" w:name="_Toc348303"/>
    <w:bookmarkStart w:id="566" w:name="_Toc348304"/>
    <w:bookmarkStart w:id="567" w:name="_Toc348305"/>
    <w:bookmarkStart w:id="568" w:name="_Toc466941"/>
    <w:bookmarkStart w:id="569" w:name="_Toc348306"/>
    <w:bookmarkStart w:id="570" w:name="_Toc466942"/>
    <w:bookmarkStart w:id="571" w:name="_Toc348310"/>
    <w:bookmarkStart w:id="572" w:name="_Toc466946"/>
    <w:bookmarkStart w:id="573" w:name="_Toc348313"/>
    <w:bookmarkStart w:id="574" w:name="_Toc466949"/>
    <w:bookmarkStart w:id="575" w:name="_Toc348314"/>
    <w:bookmarkStart w:id="576" w:name="_Toc466950"/>
    <w:bookmarkStart w:id="577" w:name="_Toc348315"/>
    <w:bookmarkStart w:id="578" w:name="_Toc466951"/>
    <w:bookmarkStart w:id="579" w:name="_Toc348316"/>
    <w:bookmarkStart w:id="580" w:name="_Toc348317"/>
    <w:bookmarkStart w:id="581" w:name="_Toc466953"/>
    <w:bookmarkStart w:id="582" w:name="_Toc348318"/>
    <w:bookmarkStart w:id="583" w:name="_Toc348319"/>
    <w:bookmarkStart w:id="584" w:name="_Toc466955"/>
    <w:bookmarkStart w:id="585" w:name="_Toc348320"/>
    <w:bookmarkStart w:id="586" w:name="_Toc466956"/>
    <w:bookmarkStart w:id="587" w:name="_Toc348321"/>
    <w:bookmarkStart w:id="588" w:name="_Toc348322"/>
    <w:bookmarkStart w:id="589" w:name="_Toc466958"/>
    <w:bookmarkStart w:id="590" w:name="_Toc348325"/>
    <w:bookmarkStart w:id="591" w:name="_Toc466961"/>
    <w:bookmarkStart w:id="592" w:name="_Toc348330"/>
    <w:bookmarkStart w:id="593" w:name="_Toc466966"/>
    <w:bookmarkStart w:id="594" w:name="_Toc348332"/>
    <w:bookmarkStart w:id="595" w:name="_Toc466968"/>
    <w:bookmarkStart w:id="596" w:name="_Toc348338"/>
    <w:bookmarkStart w:id="597" w:name="_Toc466974"/>
    <w:bookmarkStart w:id="598" w:name="_Toc348340"/>
    <w:bookmarkStart w:id="599" w:name="_Toc466976"/>
    <w:bookmarkStart w:id="600" w:name="_Toc348341"/>
    <w:bookmarkStart w:id="601" w:name="_Toc466977"/>
    <w:bookmarkStart w:id="602" w:name="_Toc348342"/>
    <w:bookmarkStart w:id="603" w:name="_Toc466978"/>
    <w:bookmarkStart w:id="604" w:name="_Toc348343"/>
    <w:bookmarkStart w:id="605" w:name="_Toc466979"/>
    <w:bookmarkStart w:id="606" w:name="_Toc533669568"/>
    <w:bookmarkStart w:id="607" w:name="_Toc533670881"/>
    <w:bookmarkStart w:id="608" w:name="_Toc533671413"/>
    <w:bookmarkStart w:id="609" w:name="_Toc533671869"/>
    <w:bookmarkStart w:id="610" w:name="_Toc533674541"/>
    <w:bookmarkStart w:id="611" w:name="_Toc533674966"/>
    <w:bookmarkStart w:id="612" w:name="_Toc533675225"/>
    <w:bookmarkStart w:id="613" w:name="_Toc533675359"/>
    <w:bookmarkStart w:id="614" w:name="_Toc533675791"/>
    <w:bookmarkStart w:id="615" w:name="_Toc533690186"/>
    <w:bookmarkStart w:id="616" w:name="_Toc533690330"/>
    <w:bookmarkStart w:id="617" w:name="_Toc533691912"/>
    <w:bookmarkStart w:id="618" w:name="_Toc348344"/>
    <w:bookmarkStart w:id="619" w:name="_Toc348345"/>
    <w:bookmarkStart w:id="620" w:name="_Toc466981"/>
    <w:bookmarkStart w:id="621" w:name="_Toc348347"/>
    <w:bookmarkStart w:id="622" w:name="_Toc466983"/>
    <w:bookmarkStart w:id="623" w:name="_Toc348349"/>
    <w:bookmarkStart w:id="624" w:name="_Toc466985"/>
    <w:bookmarkStart w:id="625" w:name="_Toc348350"/>
    <w:bookmarkStart w:id="626" w:name="_Toc466986"/>
    <w:bookmarkStart w:id="627" w:name="_Toc348351"/>
    <w:bookmarkStart w:id="628" w:name="_Toc348352"/>
    <w:bookmarkStart w:id="629" w:name="_Toc466988"/>
    <w:bookmarkStart w:id="630" w:name="_Toc348354"/>
    <w:bookmarkStart w:id="631" w:name="_Toc466990"/>
    <w:bookmarkStart w:id="632" w:name="_Toc348356"/>
    <w:bookmarkStart w:id="633" w:name="_Toc466992"/>
    <w:bookmarkStart w:id="634" w:name="_Toc348358"/>
    <w:bookmarkStart w:id="635" w:name="_Toc466994"/>
    <w:bookmarkStart w:id="636" w:name="_Toc348360"/>
    <w:bookmarkStart w:id="637" w:name="_Toc466996"/>
    <w:bookmarkStart w:id="638" w:name="_Toc348362"/>
    <w:bookmarkStart w:id="639" w:name="_Toc466998"/>
    <w:bookmarkStart w:id="640" w:name="_Toc348364"/>
    <w:bookmarkStart w:id="641" w:name="_Toc467000"/>
    <w:bookmarkStart w:id="642" w:name="_Toc348367"/>
    <w:bookmarkStart w:id="643" w:name="_Toc467003"/>
    <w:bookmarkStart w:id="644" w:name="_Toc348368"/>
    <w:bookmarkStart w:id="645" w:name="_Toc467004"/>
    <w:bookmarkStart w:id="646" w:name="_Toc348370"/>
    <w:bookmarkStart w:id="647" w:name="_Toc467006"/>
    <w:bookmarkStart w:id="648" w:name="_Toc348372"/>
    <w:bookmarkStart w:id="649" w:name="_Toc467008"/>
    <w:bookmarkStart w:id="650" w:name="_Toc348375"/>
    <w:bookmarkStart w:id="651" w:name="_Toc348383"/>
    <w:bookmarkStart w:id="652" w:name="_Toc348385"/>
    <w:bookmarkStart w:id="653" w:name="_Toc348387"/>
    <w:bookmarkStart w:id="654" w:name="_Toc348388"/>
    <w:bookmarkStart w:id="655" w:name="_Toc348389"/>
    <w:bookmarkStart w:id="656" w:name="_Toc348390"/>
    <w:bookmarkStart w:id="657" w:name="_Toc348391"/>
    <w:bookmarkStart w:id="658" w:name="_Toc348393"/>
    <w:bookmarkStart w:id="659" w:name="_Toc348394"/>
    <w:bookmarkStart w:id="660" w:name="_Toc348395"/>
    <w:bookmarkStart w:id="661" w:name="_Toc348397"/>
    <w:bookmarkStart w:id="662" w:name="_Toc348399"/>
    <w:bookmarkStart w:id="663" w:name="_Toc348400"/>
    <w:bookmarkStart w:id="664" w:name="_Toc348402"/>
    <w:bookmarkStart w:id="665" w:name="_Toc348403"/>
    <w:bookmarkStart w:id="666" w:name="_Toc348405"/>
    <w:bookmarkStart w:id="667" w:name="_Toc348407"/>
    <w:bookmarkStart w:id="668" w:name="_Toc348409"/>
    <w:bookmarkStart w:id="669" w:name="_Toc348410"/>
    <w:bookmarkStart w:id="670" w:name="_Toc348411"/>
    <w:bookmarkStart w:id="671" w:name="_Toc348412"/>
    <w:bookmarkStart w:id="672" w:name="_Toc348413"/>
    <w:bookmarkStart w:id="673" w:name="_Toc348415"/>
    <w:bookmarkStart w:id="674" w:name="_Toc348416"/>
    <w:bookmarkStart w:id="675" w:name="_Toc348417"/>
    <w:bookmarkStart w:id="676" w:name="_Toc348419"/>
    <w:bookmarkStart w:id="677" w:name="_Toc348420"/>
    <w:bookmarkStart w:id="678" w:name="_Toc348421"/>
    <w:bookmarkStart w:id="679" w:name="_Toc348422"/>
    <w:bookmarkStart w:id="680" w:name="_Toc348423"/>
    <w:bookmarkStart w:id="681" w:name="_Toc348424"/>
    <w:bookmarkStart w:id="682" w:name="_Toc348425"/>
    <w:bookmarkStart w:id="683" w:name="_Toc348427"/>
    <w:bookmarkStart w:id="684" w:name="_Toc348428"/>
    <w:bookmarkStart w:id="685" w:name="_Toc348429"/>
    <w:bookmarkStart w:id="686" w:name="_Toc467015"/>
    <w:bookmarkStart w:id="687" w:name="_Toc533671878"/>
    <w:bookmarkStart w:id="688" w:name="_Toc533674550"/>
    <w:bookmarkStart w:id="689" w:name="_Toc533674975"/>
    <w:bookmarkStart w:id="690" w:name="_Toc533675234"/>
    <w:bookmarkStart w:id="691" w:name="_Toc533675368"/>
    <w:bookmarkStart w:id="692" w:name="_Toc533675800"/>
    <w:bookmarkStart w:id="693" w:name="_Toc533690195"/>
    <w:bookmarkStart w:id="694" w:name="_Toc533690339"/>
    <w:bookmarkStart w:id="695" w:name="_Toc533691921"/>
    <w:bookmarkStart w:id="696" w:name="_Toc536385766"/>
    <w:bookmarkStart w:id="697" w:name="_Toc536385986"/>
    <w:bookmarkStart w:id="698" w:name="_Toc536386097"/>
    <w:bookmarkStart w:id="699" w:name="_Toc536386639"/>
    <w:bookmarkStart w:id="700" w:name="_Toc536386730"/>
    <w:bookmarkStart w:id="701" w:name="_Toc536392405"/>
    <w:bookmarkStart w:id="702" w:name="_Toc536399068"/>
    <w:bookmarkStart w:id="703" w:name="_Toc536399246"/>
    <w:bookmarkStart w:id="704" w:name="_Toc536399365"/>
    <w:bookmarkStart w:id="705" w:name="_Toc536399458"/>
    <w:bookmarkStart w:id="706" w:name="_Toc348430"/>
    <w:bookmarkStart w:id="707" w:name="_Toc467016"/>
    <w:bookmarkStart w:id="708" w:name="_Toc348431"/>
    <w:bookmarkStart w:id="709" w:name="_Toc348432"/>
    <w:bookmarkStart w:id="710" w:name="_Toc467018"/>
    <w:bookmarkStart w:id="711" w:name="_Toc348447"/>
    <w:bookmarkStart w:id="712" w:name="_Toc467028"/>
    <w:bookmarkStart w:id="713" w:name="_Toc348448"/>
    <w:bookmarkStart w:id="714" w:name="_Toc467029"/>
    <w:bookmarkStart w:id="715" w:name="_Toc348450"/>
    <w:bookmarkStart w:id="716" w:name="_Toc467031"/>
    <w:bookmarkStart w:id="717" w:name="_Toc348451"/>
    <w:bookmarkStart w:id="718" w:name="_Toc348452"/>
    <w:bookmarkStart w:id="719" w:name="_Toc467033"/>
    <w:bookmarkStart w:id="720" w:name="_Toc348453"/>
    <w:bookmarkStart w:id="721" w:name="_Toc467034"/>
    <w:bookmarkStart w:id="722" w:name="_Toc348454"/>
    <w:bookmarkStart w:id="723" w:name="_Toc348455"/>
    <w:bookmarkStart w:id="724" w:name="_Toc467036"/>
    <w:bookmarkStart w:id="725" w:name="_Toc348456"/>
    <w:bookmarkStart w:id="726" w:name="_Toc467037"/>
    <w:bookmarkStart w:id="727" w:name="_Toc348457"/>
    <w:bookmarkStart w:id="728" w:name="_Toc348458"/>
    <w:bookmarkStart w:id="729" w:name="_Toc467039"/>
    <w:bookmarkStart w:id="730" w:name="_Toc348463"/>
    <w:bookmarkStart w:id="731" w:name="_Toc467044"/>
    <w:bookmarkStart w:id="732" w:name="_Toc348464"/>
    <w:bookmarkStart w:id="733" w:name="_Toc467045"/>
    <w:bookmarkStart w:id="734" w:name="_Toc348465"/>
    <w:bookmarkStart w:id="735" w:name="_Toc467046"/>
    <w:bookmarkStart w:id="736" w:name="_Toc348467"/>
    <w:bookmarkStart w:id="737" w:name="_Toc467048"/>
    <w:bookmarkStart w:id="738" w:name="_Toc348469"/>
    <w:bookmarkStart w:id="739" w:name="_Toc467050"/>
    <w:bookmarkStart w:id="740" w:name="_Toc348473"/>
    <w:bookmarkStart w:id="741" w:name="_Toc467054"/>
    <w:bookmarkStart w:id="742" w:name="_Toc348474"/>
    <w:bookmarkStart w:id="743" w:name="_Toc467055"/>
    <w:bookmarkStart w:id="744" w:name="_Toc348476"/>
    <w:bookmarkStart w:id="745" w:name="_Toc467057"/>
    <w:bookmarkStart w:id="746" w:name="_Toc348477"/>
    <w:bookmarkStart w:id="747" w:name="_Toc467058"/>
    <w:bookmarkStart w:id="748" w:name="_Toc348479"/>
    <w:bookmarkStart w:id="749" w:name="_Toc467060"/>
    <w:bookmarkStart w:id="750" w:name="_Toc348485"/>
    <w:bookmarkStart w:id="751" w:name="_Toc348486"/>
    <w:bookmarkStart w:id="752" w:name="_Toc467067"/>
    <w:bookmarkStart w:id="753" w:name="_Toc348494"/>
    <w:bookmarkStart w:id="754" w:name="_Toc467075"/>
    <w:bookmarkStart w:id="755" w:name="_Toc348495"/>
    <w:bookmarkStart w:id="756" w:name="_Toc348496"/>
    <w:bookmarkStart w:id="757" w:name="_Toc467077"/>
    <w:bookmarkStart w:id="758" w:name="_Toc348507"/>
    <w:bookmarkStart w:id="759" w:name="_Toc467088"/>
    <w:bookmarkStart w:id="760" w:name="_Toc348512"/>
    <w:bookmarkStart w:id="761" w:name="_Toc467093"/>
    <w:bookmarkStart w:id="762" w:name="_Toc348514"/>
    <w:bookmarkStart w:id="763" w:name="_Toc348515"/>
    <w:bookmarkStart w:id="764" w:name="_Toc467096"/>
    <w:bookmarkStart w:id="765" w:name="_Toc348516"/>
    <w:bookmarkStart w:id="766" w:name="_Toc348519"/>
    <w:bookmarkStart w:id="767" w:name="_Toc348520"/>
    <w:bookmarkStart w:id="768" w:name="_Toc467101"/>
    <w:bookmarkStart w:id="769" w:name="_Toc348526"/>
    <w:bookmarkStart w:id="770" w:name="_Toc348527"/>
    <w:bookmarkStart w:id="771" w:name="_Toc467108"/>
    <w:bookmarkStart w:id="772" w:name="_Toc348529"/>
    <w:bookmarkStart w:id="773" w:name="_Toc348530"/>
    <w:bookmarkStart w:id="774" w:name="_Toc467111"/>
    <w:bookmarkStart w:id="775" w:name="_Toc348534"/>
    <w:bookmarkStart w:id="776" w:name="_Toc467115"/>
    <w:bookmarkStart w:id="777" w:name="_Toc348537"/>
    <w:bookmarkStart w:id="778" w:name="_Toc467118"/>
    <w:bookmarkStart w:id="779" w:name="_Toc348542"/>
    <w:bookmarkStart w:id="780" w:name="_Toc348543"/>
    <w:bookmarkStart w:id="781" w:name="_Toc467124"/>
    <w:bookmarkStart w:id="782" w:name="_Toc348545"/>
    <w:bookmarkStart w:id="783" w:name="_Toc348546"/>
    <w:bookmarkStart w:id="784" w:name="_Toc467127"/>
    <w:bookmarkStart w:id="785" w:name="_Toc348548"/>
    <w:bookmarkStart w:id="786" w:name="_Toc348549"/>
    <w:bookmarkStart w:id="787" w:name="_Toc467130"/>
    <w:bookmarkStart w:id="788" w:name="_Toc348555"/>
    <w:bookmarkStart w:id="789" w:name="_Toc467136"/>
    <w:bookmarkStart w:id="790" w:name="_Toc348556"/>
    <w:bookmarkStart w:id="791" w:name="_Toc348557"/>
    <w:bookmarkStart w:id="792" w:name="_Toc348558"/>
    <w:bookmarkStart w:id="793" w:name="_Toc348559"/>
    <w:bookmarkStart w:id="794" w:name="_Toc348560"/>
    <w:bookmarkStart w:id="795" w:name="_Toc348561"/>
    <w:bookmarkStart w:id="796" w:name="_Toc348562"/>
    <w:bookmarkStart w:id="797" w:name="_Toc348563"/>
    <w:bookmarkStart w:id="798" w:name="_Toc348564"/>
    <w:bookmarkStart w:id="799" w:name="_Toc348565"/>
    <w:bookmarkStart w:id="800" w:name="_Toc348566"/>
    <w:bookmarkStart w:id="801" w:name="_Toc348567"/>
    <w:bookmarkStart w:id="802" w:name="_Toc348568"/>
    <w:bookmarkStart w:id="803" w:name="_Toc348569"/>
    <w:bookmarkStart w:id="804" w:name="_Toc348570"/>
    <w:bookmarkStart w:id="805" w:name="_Toc348571"/>
    <w:bookmarkStart w:id="806" w:name="_Toc348572"/>
    <w:bookmarkStart w:id="807" w:name="_Toc348573"/>
    <w:bookmarkStart w:id="808" w:name="_Toc348574"/>
    <w:bookmarkStart w:id="809" w:name="_Toc348575"/>
    <w:bookmarkStart w:id="810" w:name="_Toc348576"/>
    <w:bookmarkStart w:id="811" w:name="_Toc348577"/>
    <w:bookmarkStart w:id="812" w:name="_Toc348578"/>
    <w:bookmarkStart w:id="813" w:name="_Toc348579"/>
    <w:bookmarkStart w:id="814" w:name="_Toc348580"/>
    <w:bookmarkStart w:id="815" w:name="_Toc348581"/>
    <w:bookmarkStart w:id="816" w:name="_Toc348582"/>
    <w:bookmarkStart w:id="817" w:name="_Toc348583"/>
    <w:bookmarkStart w:id="818" w:name="_Toc348584"/>
    <w:bookmarkStart w:id="819" w:name="_Toc348585"/>
    <w:bookmarkStart w:id="820" w:name="_Toc348586"/>
    <w:bookmarkStart w:id="821" w:name="_Toc348587"/>
    <w:bookmarkStart w:id="822" w:name="_Toc348588"/>
    <w:bookmarkStart w:id="823" w:name="_Toc348589"/>
    <w:bookmarkStart w:id="824" w:name="_Toc348590"/>
    <w:bookmarkStart w:id="825" w:name="_Toc348591"/>
    <w:bookmarkStart w:id="826" w:name="_Toc348592"/>
    <w:bookmarkStart w:id="827" w:name="_Toc467138"/>
    <w:bookmarkStart w:id="828" w:name="_Toc348593"/>
    <w:bookmarkStart w:id="829" w:name="_Toc348598"/>
    <w:bookmarkStart w:id="830" w:name="_Toc348599"/>
    <w:bookmarkStart w:id="831" w:name="_Toc348600"/>
    <w:bookmarkStart w:id="832" w:name="_Toc348602"/>
    <w:bookmarkStart w:id="833" w:name="_Toc348604"/>
    <w:bookmarkStart w:id="834" w:name="_Toc348605"/>
    <w:bookmarkStart w:id="835" w:name="_Toc467139"/>
    <w:bookmarkStart w:id="836" w:name="_Toc348606"/>
    <w:bookmarkStart w:id="837" w:name="_Toc348607"/>
    <w:bookmarkStart w:id="838" w:name="_Toc536385772"/>
    <w:bookmarkStart w:id="839" w:name="_Toc536385992"/>
    <w:bookmarkStart w:id="840" w:name="_Toc536386103"/>
    <w:bookmarkStart w:id="841" w:name="_Toc536386645"/>
    <w:bookmarkStart w:id="842" w:name="_Toc536386736"/>
    <w:bookmarkStart w:id="843" w:name="_Toc536392411"/>
    <w:bookmarkStart w:id="844" w:name="_Toc536399074"/>
    <w:bookmarkStart w:id="845" w:name="_Toc536399252"/>
    <w:bookmarkStart w:id="846" w:name="_Toc536399371"/>
    <w:bookmarkStart w:id="847" w:name="_Toc536399464"/>
    <w:bookmarkStart w:id="848" w:name="_Toc348608"/>
    <w:bookmarkStart w:id="849" w:name="_Toc467141"/>
    <w:bookmarkStart w:id="850" w:name="_Toc536385773"/>
    <w:bookmarkStart w:id="851" w:name="_Toc536385993"/>
    <w:bookmarkStart w:id="852" w:name="_Toc536386104"/>
    <w:bookmarkStart w:id="853" w:name="_Toc536386646"/>
    <w:bookmarkStart w:id="854" w:name="_Toc536386737"/>
    <w:bookmarkStart w:id="855" w:name="_Toc536392412"/>
    <w:bookmarkStart w:id="856" w:name="_Toc536399075"/>
    <w:bookmarkStart w:id="857" w:name="_Toc536399253"/>
    <w:bookmarkStart w:id="858" w:name="_Toc536399372"/>
    <w:bookmarkStart w:id="859" w:name="_Toc536399465"/>
    <w:bookmarkStart w:id="860" w:name="_Toc348609"/>
    <w:bookmarkStart w:id="861" w:name="_Toc467142"/>
    <w:bookmarkStart w:id="862" w:name="_Toc536385774"/>
    <w:bookmarkStart w:id="863" w:name="_Toc536385994"/>
    <w:bookmarkStart w:id="864" w:name="_Toc536386105"/>
    <w:bookmarkStart w:id="865" w:name="_Toc536386647"/>
    <w:bookmarkStart w:id="866" w:name="_Toc536386738"/>
    <w:bookmarkStart w:id="867" w:name="_Toc536392413"/>
    <w:bookmarkStart w:id="868" w:name="_Toc536399076"/>
    <w:bookmarkStart w:id="869" w:name="_Toc536399254"/>
    <w:bookmarkStart w:id="870" w:name="_Toc536399373"/>
    <w:bookmarkStart w:id="871" w:name="_Toc536399466"/>
    <w:bookmarkStart w:id="872" w:name="_Toc348610"/>
    <w:bookmarkStart w:id="873" w:name="_Toc467143"/>
    <w:bookmarkStart w:id="874" w:name="_Toc348611"/>
    <w:bookmarkStart w:id="875" w:name="_Toc348612"/>
    <w:bookmarkStart w:id="876" w:name="_Toc348613"/>
    <w:bookmarkStart w:id="877" w:name="_Toc348614"/>
    <w:bookmarkStart w:id="878" w:name="_Toc348615"/>
    <w:bookmarkStart w:id="879" w:name="_Toc348616"/>
    <w:bookmarkStart w:id="880" w:name="_Toc348617"/>
    <w:bookmarkStart w:id="881" w:name="_Toc348618"/>
    <w:bookmarkStart w:id="882" w:name="_Toc348619"/>
    <w:bookmarkStart w:id="883" w:name="_Toc348620"/>
    <w:bookmarkStart w:id="884" w:name="_Toc348621"/>
    <w:bookmarkStart w:id="885" w:name="_Toc348622"/>
    <w:bookmarkStart w:id="886" w:name="_Toc348623"/>
    <w:bookmarkStart w:id="887" w:name="_Toc348626"/>
    <w:bookmarkStart w:id="888" w:name="_Toc348628"/>
    <w:bookmarkStart w:id="889" w:name="_Toc348630"/>
    <w:bookmarkStart w:id="890" w:name="_Toc348631"/>
    <w:bookmarkStart w:id="891" w:name="_Toc348634"/>
    <w:bookmarkStart w:id="892" w:name="_Toc348637"/>
    <w:bookmarkStart w:id="893" w:name="_Toc348641"/>
    <w:bookmarkStart w:id="894" w:name="_Toc348643"/>
    <w:bookmarkStart w:id="895" w:name="_Toc348644"/>
    <w:bookmarkStart w:id="896" w:name="_Toc348645"/>
    <w:bookmarkStart w:id="897" w:name="_Toc348646"/>
    <w:bookmarkStart w:id="898" w:name="_Toc348648"/>
    <w:bookmarkStart w:id="899" w:name="_Toc348650"/>
    <w:bookmarkStart w:id="900" w:name="_Toc348651"/>
    <w:bookmarkStart w:id="901" w:name="_Toc348652"/>
    <w:bookmarkStart w:id="902" w:name="_Toc348653"/>
    <w:bookmarkStart w:id="903" w:name="_Toc348654"/>
    <w:bookmarkStart w:id="904" w:name="_Toc348655"/>
    <w:bookmarkStart w:id="905" w:name="_Toc348657"/>
    <w:bookmarkStart w:id="906" w:name="_Toc348658"/>
    <w:bookmarkStart w:id="907" w:name="_Toc348661"/>
    <w:bookmarkStart w:id="908" w:name="_Toc348662"/>
    <w:bookmarkStart w:id="909" w:name="_Toc348663"/>
    <w:bookmarkStart w:id="910" w:name="_Toc348664"/>
    <w:bookmarkStart w:id="911" w:name="_Toc348665"/>
    <w:bookmarkStart w:id="912" w:name="_Toc348667"/>
    <w:bookmarkStart w:id="913" w:name="_Toc348671"/>
    <w:bookmarkStart w:id="914" w:name="_Toc348674"/>
    <w:bookmarkStart w:id="915" w:name="_Toc348676"/>
    <w:bookmarkStart w:id="916" w:name="_Toc348678"/>
    <w:bookmarkStart w:id="917" w:name="_Toc348679"/>
    <w:bookmarkStart w:id="918" w:name="_Toc348681"/>
    <w:bookmarkStart w:id="919" w:name="_Toc348682"/>
    <w:bookmarkStart w:id="920" w:name="_Toc348683"/>
    <w:bookmarkStart w:id="921" w:name="_Toc348684"/>
    <w:bookmarkStart w:id="922" w:name="_Toc467147"/>
    <w:bookmarkStart w:id="923" w:name="_Toc348685"/>
    <w:bookmarkStart w:id="924" w:name="_Toc348686"/>
    <w:bookmarkStart w:id="925" w:name="_Toc348687"/>
    <w:bookmarkStart w:id="926" w:name="_Toc536385779"/>
    <w:bookmarkStart w:id="927" w:name="_Toc536385999"/>
    <w:bookmarkStart w:id="928" w:name="_Toc536386110"/>
    <w:bookmarkStart w:id="929" w:name="_Toc536386652"/>
    <w:bookmarkStart w:id="930" w:name="_Toc536386743"/>
    <w:bookmarkStart w:id="931" w:name="_Toc536392418"/>
    <w:bookmarkStart w:id="932" w:name="_Toc536399081"/>
    <w:bookmarkStart w:id="933" w:name="_Toc536399259"/>
    <w:bookmarkStart w:id="934" w:name="_Toc536399378"/>
    <w:bookmarkStart w:id="935" w:name="_Toc536399471"/>
    <w:bookmarkStart w:id="936" w:name="_Toc348688"/>
    <w:bookmarkStart w:id="937" w:name="_Toc467149"/>
    <w:bookmarkStart w:id="938" w:name="_Toc536385780"/>
    <w:bookmarkStart w:id="939" w:name="_Toc536386000"/>
    <w:bookmarkStart w:id="940" w:name="_Toc536386111"/>
    <w:bookmarkStart w:id="941" w:name="_Toc536386653"/>
    <w:bookmarkStart w:id="942" w:name="_Toc536386744"/>
    <w:bookmarkStart w:id="943" w:name="_Toc536392419"/>
    <w:bookmarkStart w:id="944" w:name="_Toc536399082"/>
    <w:bookmarkStart w:id="945" w:name="_Toc536399260"/>
    <w:bookmarkStart w:id="946" w:name="_Toc536399379"/>
    <w:bookmarkStart w:id="947" w:name="_Toc536399472"/>
    <w:bookmarkStart w:id="948" w:name="_Toc348689"/>
    <w:bookmarkStart w:id="949" w:name="_Toc467150"/>
    <w:bookmarkStart w:id="950" w:name="_Toc348690"/>
    <w:bookmarkStart w:id="951" w:name="_Toc348691"/>
    <w:bookmarkStart w:id="952" w:name="_Toc348693"/>
    <w:bookmarkStart w:id="953" w:name="_Toc348694"/>
    <w:bookmarkStart w:id="954" w:name="_Toc348695"/>
    <w:bookmarkStart w:id="955" w:name="_Toc348696"/>
    <w:bookmarkStart w:id="956" w:name="_Toc348697"/>
    <w:bookmarkStart w:id="957" w:name="_Toc348698"/>
    <w:bookmarkStart w:id="958" w:name="_Toc348699"/>
    <w:bookmarkStart w:id="959" w:name="_Toc348700"/>
    <w:bookmarkStart w:id="960" w:name="_Toc348701"/>
    <w:bookmarkStart w:id="961" w:name="_Toc348702"/>
    <w:bookmarkStart w:id="962" w:name="_Toc348703"/>
    <w:bookmarkStart w:id="963" w:name="_Toc348704"/>
    <w:bookmarkStart w:id="964" w:name="_Toc348705"/>
    <w:bookmarkStart w:id="965" w:name="_Toc536385782"/>
    <w:bookmarkStart w:id="966" w:name="_Toc536386002"/>
    <w:bookmarkStart w:id="967" w:name="_Toc536386113"/>
    <w:bookmarkStart w:id="968" w:name="_Toc536386655"/>
    <w:bookmarkStart w:id="969" w:name="_Toc536386746"/>
    <w:bookmarkStart w:id="970" w:name="_Toc536392421"/>
    <w:bookmarkStart w:id="971" w:name="_Toc536399084"/>
    <w:bookmarkStart w:id="972" w:name="_Toc536399262"/>
    <w:bookmarkStart w:id="973" w:name="_Toc536399381"/>
    <w:bookmarkStart w:id="974" w:name="_Toc536399474"/>
    <w:bookmarkStart w:id="975" w:name="_Toc348706"/>
    <w:bookmarkStart w:id="976" w:name="_Toc467152"/>
    <w:bookmarkStart w:id="977" w:name="_Toc536385783"/>
    <w:bookmarkStart w:id="978" w:name="_Toc536386003"/>
    <w:bookmarkStart w:id="979" w:name="_Toc536386114"/>
    <w:bookmarkStart w:id="980" w:name="_Toc536386656"/>
    <w:bookmarkStart w:id="981" w:name="_Toc536386747"/>
    <w:bookmarkStart w:id="982" w:name="_Toc536392422"/>
    <w:bookmarkStart w:id="983" w:name="_Toc536399085"/>
    <w:bookmarkStart w:id="984" w:name="_Toc536399263"/>
    <w:bookmarkStart w:id="985" w:name="_Toc536399382"/>
    <w:bookmarkStart w:id="986" w:name="_Toc536399475"/>
    <w:bookmarkStart w:id="987" w:name="_Toc348707"/>
    <w:bookmarkStart w:id="988" w:name="_Toc467153"/>
    <w:bookmarkStart w:id="989" w:name="_Toc348708"/>
    <w:bookmarkStart w:id="990" w:name="_Toc348709"/>
    <w:bookmarkStart w:id="991" w:name="_Toc348712"/>
    <w:bookmarkStart w:id="992" w:name="_Toc348715"/>
    <w:bookmarkStart w:id="993" w:name="_Toc348716"/>
    <w:bookmarkStart w:id="994" w:name="_Toc348718"/>
    <w:bookmarkStart w:id="995" w:name="_Toc348721"/>
    <w:bookmarkStart w:id="996" w:name="_Toc348723"/>
    <w:bookmarkStart w:id="997" w:name="_Toc348725"/>
    <w:bookmarkStart w:id="998" w:name="_Toc348728"/>
    <w:bookmarkStart w:id="999" w:name="_Toc348729"/>
    <w:bookmarkStart w:id="1000" w:name="_Toc348731"/>
    <w:bookmarkStart w:id="1001" w:name="_Toc348733"/>
    <w:bookmarkStart w:id="1002" w:name="_Toc348738"/>
    <w:bookmarkStart w:id="1003" w:name="_Toc348740"/>
    <w:bookmarkStart w:id="1004" w:name="_Toc348741"/>
    <w:bookmarkStart w:id="1005" w:name="_Toc348743"/>
    <w:bookmarkStart w:id="1006" w:name="_Toc348746"/>
    <w:bookmarkStart w:id="1007" w:name="_Toc348749"/>
    <w:bookmarkStart w:id="1008" w:name="_Toc348750"/>
    <w:bookmarkStart w:id="1009" w:name="_Toc348751"/>
    <w:bookmarkStart w:id="1010" w:name="_Toc348752"/>
    <w:bookmarkStart w:id="1011" w:name="_Toc348753"/>
    <w:bookmarkStart w:id="1012" w:name="_Toc348754"/>
    <w:bookmarkStart w:id="1013" w:name="_Toc348755"/>
    <w:bookmarkStart w:id="1014" w:name="_Toc348759"/>
    <w:bookmarkStart w:id="1015" w:name="_Toc348761"/>
    <w:bookmarkStart w:id="1016" w:name="_Toc348763"/>
    <w:bookmarkStart w:id="1017" w:name="_Toc348765"/>
    <w:bookmarkStart w:id="1018" w:name="_Toc348768"/>
    <w:bookmarkStart w:id="1019" w:name="_Toc348770"/>
    <w:bookmarkStart w:id="1020" w:name="_Toc348772"/>
    <w:bookmarkStart w:id="1021" w:name="_Toc348775"/>
    <w:bookmarkStart w:id="1022" w:name="_Toc348778"/>
    <w:bookmarkStart w:id="1023" w:name="_Toc348779"/>
    <w:bookmarkStart w:id="1024" w:name="_Toc348780"/>
    <w:bookmarkStart w:id="1025" w:name="_Toc348783"/>
    <w:bookmarkStart w:id="1026" w:name="_Toc348785"/>
    <w:bookmarkStart w:id="1027" w:name="_Toc348786"/>
    <w:bookmarkStart w:id="1028" w:name="_Toc348788"/>
    <w:bookmarkStart w:id="1029" w:name="_Toc348789"/>
    <w:bookmarkStart w:id="1030" w:name="_Toc348790"/>
    <w:bookmarkStart w:id="1031" w:name="_Toc348791"/>
    <w:bookmarkStart w:id="1032" w:name="_Toc348792"/>
    <w:bookmarkStart w:id="1033" w:name="_Toc348793"/>
    <w:bookmarkStart w:id="1034" w:name="_Toc348794"/>
    <w:bookmarkStart w:id="1035" w:name="_Toc348795"/>
    <w:bookmarkStart w:id="1036" w:name="_Toc533675809"/>
    <w:bookmarkStart w:id="1037" w:name="_Toc533690204"/>
    <w:bookmarkStart w:id="1038" w:name="_Toc533690348"/>
    <w:bookmarkStart w:id="1039" w:name="_Toc533691930"/>
    <w:bookmarkStart w:id="1040" w:name="_Toc533675810"/>
    <w:bookmarkStart w:id="1041" w:name="_Toc533690205"/>
    <w:bookmarkStart w:id="1042" w:name="_Toc533690349"/>
    <w:bookmarkStart w:id="1043" w:name="_Toc533691931"/>
    <w:bookmarkStart w:id="1044" w:name="_Toc533675811"/>
    <w:bookmarkStart w:id="1045" w:name="_Toc533690206"/>
    <w:bookmarkStart w:id="1046" w:name="_Toc533690350"/>
    <w:bookmarkStart w:id="1047" w:name="_Toc533691932"/>
    <w:bookmarkStart w:id="1048" w:name="_Toc348796"/>
    <w:bookmarkStart w:id="1049" w:name="_Toc536410656"/>
    <w:bookmarkStart w:id="1050" w:name="_Toc686109"/>
    <w:bookmarkStart w:id="1051" w:name="_Toc2780488"/>
    <w:bookmarkStart w:id="1052" w:name="_Toc7811261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Pr>
        <w:pStyle w:val="style1"/>
        <w:numPr>
          <w:ilvl w:val="0"/>
          <w:numId w:val="47"/>
        </w:numPr>
        <w:rPr>
          <w:iCs/>
        </w:rPr>
      </w:pPr>
      <w:r>
        <w:rPr>
          <w:iCs/>
        </w:rPr>
        <w:t>EVALUATION DES RISQUES</w:t>
      </w:r>
      <w:r>
        <w:rPr>
          <w:iCs/>
        </w:rPr>
        <w:t>,</w:t>
      </w:r>
      <w:r>
        <w:rPr>
          <w:iCs/>
        </w:rPr>
        <w:t xml:space="preserve"> IMPACTS ENVIRONNEMENTAUX ET SOCIAUX POTENTIELS </w:t>
      </w:r>
      <w:r>
        <w:rPr>
          <w:iCs/>
        </w:rPr>
        <w:t xml:space="preserve">GENERIQUES </w:t>
      </w:r>
      <w:r>
        <w:rPr>
          <w:iCs/>
        </w:rPr>
        <w:t>DU PRO</w:t>
      </w:r>
      <w:r>
        <w:rPr>
          <w:iCs/>
        </w:rPr>
        <w:t>GRAMME</w:t>
      </w:r>
      <w:bookmarkEnd w:id="1049"/>
      <w:bookmarkEnd w:id="1050"/>
      <w:bookmarkEnd w:id="1051"/>
    </w:p>
    <w:bookmarkEnd w:id="1052"/>
    <w:p>
      <w:pPr>
        <w:pStyle w:val="style0"/>
        <w:jc w:val="both"/>
        <w:rPr>
          <w:iCs/>
          <w:sz w:val="22"/>
          <w:szCs w:val="22"/>
        </w:rPr>
      </w:pPr>
    </w:p>
    <w:p>
      <w:pPr>
        <w:pStyle w:val="style0"/>
        <w:jc w:val="both"/>
        <w:rPr>
          <w:iCs/>
          <w:sz w:val="22"/>
          <w:szCs w:val="22"/>
        </w:rPr>
      </w:pPr>
      <w:r>
        <w:rPr>
          <w:iCs/>
          <w:sz w:val="22"/>
          <w:szCs w:val="22"/>
        </w:rPr>
        <w:t xml:space="preserve">La méthodologie choisie pour l’identification des </w:t>
      </w:r>
      <w:r>
        <w:rPr>
          <w:iCs/>
          <w:sz w:val="22"/>
          <w:szCs w:val="22"/>
        </w:rPr>
        <w:t xml:space="preserve">risques/dangers, </w:t>
      </w:r>
      <w:r>
        <w:rPr>
          <w:iCs/>
          <w:sz w:val="22"/>
          <w:szCs w:val="22"/>
        </w:rPr>
        <w:t xml:space="preserve">impacts potentiels du </w:t>
      </w:r>
      <w:r>
        <w:rPr>
          <w:iCs/>
          <w:sz w:val="22"/>
          <w:szCs w:val="22"/>
        </w:rPr>
        <w:t>P</w:t>
      </w:r>
      <w:r>
        <w:rPr>
          <w:iCs/>
          <w:sz w:val="22"/>
          <w:szCs w:val="22"/>
        </w:rPr>
        <w:t xml:space="preserve">rogramme sur les composantes biophysiques </w:t>
      </w:r>
      <w:r>
        <w:rPr>
          <w:iCs/>
          <w:sz w:val="22"/>
          <w:szCs w:val="22"/>
        </w:rPr>
        <w:t xml:space="preserve">et socioéconomiques </w:t>
      </w:r>
      <w:r>
        <w:rPr>
          <w:iCs/>
          <w:sz w:val="22"/>
          <w:szCs w:val="22"/>
        </w:rPr>
        <w:t>de l’environnement  s’est basée sur les expériences de programmes similaires tels que le Programme de Productivité Agricole en Afrique de l’Ouest (PPAO</w:t>
      </w:r>
      <w:r>
        <w:rPr>
          <w:iCs/>
          <w:sz w:val="22"/>
          <w:szCs w:val="22"/>
        </w:rPr>
        <w:t>)</w:t>
      </w:r>
      <w:r>
        <w:rPr>
          <w:iCs/>
          <w:sz w:val="22"/>
          <w:szCs w:val="22"/>
        </w:rPr>
        <w:t xml:space="preserve"> et le </w:t>
      </w:r>
      <w:r>
        <w:rPr>
          <w:iCs/>
          <w:sz w:val="22"/>
          <w:szCs w:val="22"/>
        </w:rPr>
        <w:t>Projet d’Amélioration de la Productivité et de la Sécurité Alimentaire (PAPSA)</w:t>
      </w:r>
      <w:r>
        <w:rPr>
          <w:iCs/>
          <w:sz w:val="22"/>
          <w:szCs w:val="22"/>
        </w:rPr>
        <w:t xml:space="preserve">. </w:t>
      </w:r>
    </w:p>
    <w:p>
      <w:pPr>
        <w:pStyle w:val="style0"/>
        <w:jc w:val="both"/>
        <w:rPr>
          <w:iCs/>
          <w:sz w:val="22"/>
          <w:szCs w:val="22"/>
        </w:rPr>
      </w:pPr>
    </w:p>
    <w:p>
      <w:pPr>
        <w:pStyle w:val="style0"/>
        <w:jc w:val="both"/>
        <w:rPr>
          <w:sz w:val="23"/>
          <w:szCs w:val="23"/>
          <w:lang w:eastAsia="en-US"/>
        </w:rPr>
      </w:pPr>
      <w:r>
        <w:rPr>
          <w:sz w:val="23"/>
          <w:szCs w:val="23"/>
          <w:lang w:eastAsia="en-US"/>
        </w:rPr>
        <w:t xml:space="preserve">La mise en œuvre du </w:t>
      </w:r>
      <w:r>
        <w:rPr>
          <w:sz w:val="23"/>
          <w:szCs w:val="23"/>
          <w:lang w:eastAsia="en-US"/>
        </w:rPr>
        <w:t>pro</w:t>
      </w:r>
      <w:r>
        <w:rPr>
          <w:sz w:val="23"/>
          <w:szCs w:val="23"/>
          <w:lang w:eastAsia="en-US"/>
        </w:rPr>
        <w:t>gramme</w:t>
      </w:r>
      <w:r>
        <w:rPr>
          <w:sz w:val="23"/>
          <w:szCs w:val="23"/>
          <w:lang w:eastAsia="en-US"/>
        </w:rPr>
        <w:t xml:space="preserve"> </w:t>
      </w:r>
      <w:r>
        <w:rPr>
          <w:sz w:val="23"/>
          <w:szCs w:val="23"/>
          <w:lang w:eastAsia="en-US"/>
        </w:rPr>
        <w:t>comporte une série de risques et impacts environnementaux et sociaux</w:t>
      </w:r>
      <w:r>
        <w:rPr>
          <w:sz w:val="23"/>
          <w:szCs w:val="23"/>
          <w:lang w:eastAsia="en-US"/>
        </w:rPr>
        <w:t xml:space="preserve"> génériques potentiels</w:t>
      </w:r>
      <w:r>
        <w:rPr>
          <w:sz w:val="23"/>
          <w:szCs w:val="23"/>
          <w:lang w:eastAsia="en-US"/>
        </w:rPr>
        <w:t xml:space="preserve"> pour lesquels des mesures d’anticipation et de mitigation doivent être envisagées.</w:t>
      </w:r>
      <w:r>
        <w:rPr>
          <w:sz w:val="23"/>
          <w:szCs w:val="23"/>
          <w:lang w:eastAsia="en-US"/>
        </w:rPr>
        <w:t xml:space="preserve"> L’é</w:t>
      </w:r>
      <w:r>
        <w:rPr>
          <w:sz w:val="23"/>
          <w:szCs w:val="23"/>
          <w:lang w:eastAsia="en-US"/>
        </w:rPr>
        <w:t>valuation est faite en rapport avec la composante 3.</w:t>
      </w:r>
    </w:p>
    <w:p>
      <w:pPr>
        <w:pStyle w:val="style0"/>
        <w:jc w:val="both"/>
        <w:rPr>
          <w:sz w:val="23"/>
          <w:szCs w:val="23"/>
          <w:lang w:eastAsia="en-US"/>
        </w:rPr>
      </w:pPr>
    </w:p>
    <w:bookmarkStart w:id="1053" w:name="_Toc536410657"/>
    <w:bookmarkStart w:id="1054" w:name="_Toc686110"/>
    <w:bookmarkStart w:id="1055" w:name="_Toc2780489"/>
    <w:p>
      <w:pPr>
        <w:pStyle w:val="style4307"/>
        <w:numPr>
          <w:ilvl w:val="0"/>
          <w:numId w:val="0"/>
        </w:numPr>
        <w:ind w:left="390"/>
        <w:rPr/>
      </w:pPr>
      <w:r>
        <w:t>5</w:t>
      </w:r>
      <w:r>
        <w:t>.</w:t>
      </w:r>
      <w:r>
        <w:t>1</w:t>
      </w:r>
      <w:r>
        <w:t>.</w:t>
      </w:r>
      <w:r>
        <w:t xml:space="preserve"> Risques</w:t>
      </w:r>
      <w:r>
        <w:t xml:space="preserve"> environnementaux et sociaux</w:t>
      </w:r>
      <w:bookmarkEnd w:id="1053"/>
      <w:bookmarkEnd w:id="1054"/>
      <w:r>
        <w:t xml:space="preserve"> génériques potentiels</w:t>
      </w:r>
      <w:bookmarkEnd w:id="1055"/>
    </w:p>
    <w:bookmarkStart w:id="1056" w:name="_Toc536410658"/>
    <w:bookmarkStart w:id="1057" w:name="_Toc686111"/>
    <w:bookmarkStart w:id="1058" w:name="_Toc2780490"/>
    <w:p>
      <w:pPr>
        <w:pStyle w:val="style3"/>
        <w:numPr>
          <w:ilvl w:val="0"/>
          <w:numId w:val="0"/>
        </w:numPr>
        <w:rPr>
          <w:b/>
          <w:u w:val="none"/>
        </w:rPr>
      </w:pPr>
      <w:r>
        <w:rPr>
          <w:b/>
          <w:u w:val="none"/>
        </w:rPr>
        <w:t>5</w:t>
      </w:r>
      <w:r>
        <w:rPr>
          <w:b/>
          <w:u w:val="none"/>
        </w:rPr>
        <w:t>.</w:t>
      </w:r>
      <w:r>
        <w:rPr>
          <w:b/>
          <w:u w:val="none"/>
        </w:rPr>
        <w:t>1</w:t>
      </w:r>
      <w:r>
        <w:rPr>
          <w:b/>
          <w:u w:val="none"/>
        </w:rPr>
        <w:t>.1.</w:t>
      </w:r>
      <w:r>
        <w:rPr>
          <w:b/>
          <w:u w:val="none"/>
        </w:rPr>
        <w:t xml:space="preserve"> Activités</w:t>
      </w:r>
      <w:r>
        <w:rPr>
          <w:b/>
          <w:u w:val="none"/>
        </w:rPr>
        <w:t xml:space="preserve"> sources de risques</w:t>
      </w:r>
      <w:bookmarkEnd w:id="1056"/>
      <w:bookmarkEnd w:id="1057"/>
      <w:r>
        <w:rPr>
          <w:b/>
          <w:u w:val="none"/>
        </w:rPr>
        <w:t xml:space="preserve"> potentiels</w:t>
      </w:r>
      <w:bookmarkEnd w:id="1058"/>
    </w:p>
    <w:p>
      <w:pPr>
        <w:pStyle w:val="style0"/>
        <w:jc w:val="both"/>
        <w:rPr>
          <w:rFonts w:eastAsia="Calibri"/>
          <w:color w:val="222222"/>
          <w:sz w:val="23"/>
          <w:szCs w:val="23"/>
          <w:lang w:eastAsia="en-US"/>
        </w:rPr>
      </w:pPr>
      <w:r>
        <w:rPr>
          <w:sz w:val="23"/>
          <w:szCs w:val="23"/>
          <w:lang w:eastAsia="en-US"/>
        </w:rPr>
        <w:t xml:space="preserve">La mise en œuvre du </w:t>
      </w:r>
      <w:r>
        <w:rPr>
          <w:sz w:val="23"/>
          <w:szCs w:val="23"/>
          <w:lang w:eastAsia="en-US"/>
        </w:rPr>
        <w:t xml:space="preserve">Programme </w:t>
      </w:r>
      <w:r>
        <w:rPr>
          <w:sz w:val="23"/>
          <w:szCs w:val="23"/>
          <w:lang w:eastAsia="en-US"/>
        </w:rPr>
        <w:t>à travers sa c</w:t>
      </w:r>
      <w:r>
        <w:rPr>
          <w:rFonts w:eastAsia="Calibri"/>
          <w:b/>
          <w:color w:val="222222"/>
          <w:sz w:val="23"/>
          <w:szCs w:val="23"/>
          <w:lang w:eastAsia="en-US"/>
        </w:rPr>
        <w:t xml:space="preserve">omposante </w:t>
      </w:r>
      <w:r>
        <w:rPr>
          <w:rFonts w:eastAsia="Calibri"/>
          <w:b/>
          <w:color w:val="222222"/>
          <w:sz w:val="23"/>
          <w:szCs w:val="23"/>
          <w:lang w:eastAsia="en-US"/>
        </w:rPr>
        <w:t>1</w:t>
      </w:r>
      <w:r>
        <w:rPr>
          <w:rFonts w:eastAsia="Calibri"/>
          <w:b/>
          <w:color w:val="222222"/>
          <w:sz w:val="23"/>
          <w:szCs w:val="23"/>
          <w:lang w:eastAsia="en-US"/>
        </w:rPr>
        <w:t xml:space="preserve"> « </w:t>
      </w:r>
      <w:r>
        <w:rPr>
          <w:b/>
          <w:sz w:val="20"/>
          <w:szCs w:val="20"/>
        </w:rPr>
        <w:t>amélioration de la productivité et de la production agricole</w:t>
      </w:r>
      <w:r>
        <w:rPr>
          <w:rFonts w:eastAsia="Calibri"/>
          <w:color w:val="222222"/>
          <w:sz w:val="23"/>
          <w:szCs w:val="23"/>
          <w:lang w:eastAsia="en-US"/>
        </w:rPr>
        <w:t>» qui est susceptible d’accroître l'</w:t>
      </w:r>
      <w:r>
        <w:rPr>
          <w:rFonts w:eastAsia="Calibri"/>
          <w:color w:val="222222"/>
          <w:sz w:val="23"/>
          <w:szCs w:val="23"/>
          <w:lang w:eastAsia="en-US"/>
        </w:rPr>
        <w:t xml:space="preserve">utilisation des engrais chimiques et des pesticides, générer des pollutions diverses, entraîner la destruction de la végétation et de la faune. </w:t>
      </w:r>
    </w:p>
    <w:p>
      <w:pPr>
        <w:pStyle w:val="style0"/>
        <w:jc w:val="both"/>
        <w:rPr>
          <w:rFonts w:eastAsia="Calibri"/>
          <w:sz w:val="23"/>
          <w:szCs w:val="23"/>
          <w:lang w:eastAsia="en-US"/>
        </w:rPr>
      </w:pPr>
    </w:p>
    <w:p>
      <w:pPr>
        <w:pStyle w:val="style0"/>
        <w:spacing w:lineRule="auto" w:line="276"/>
        <w:jc w:val="both"/>
        <w:rPr>
          <w:rFonts w:eastAsia="Calibri"/>
          <w:sz w:val="23"/>
          <w:szCs w:val="23"/>
          <w:lang w:eastAsia="en-US"/>
        </w:rPr>
      </w:pPr>
      <w:r>
        <w:rPr>
          <w:rFonts w:eastAsia="Calibri"/>
          <w:sz w:val="23"/>
          <w:szCs w:val="23"/>
          <w:lang w:eastAsia="en-US"/>
        </w:rPr>
        <w:t xml:space="preserve">Les principales sources de </w:t>
      </w:r>
      <w:r>
        <w:rPr>
          <w:rFonts w:eastAsia="Calibri"/>
          <w:sz w:val="23"/>
          <w:szCs w:val="23"/>
          <w:lang w:eastAsia="en-US"/>
        </w:rPr>
        <w:t>risques en phase d’exploitation des périmètres irrigués</w:t>
      </w:r>
      <w:r>
        <w:rPr>
          <w:rFonts w:eastAsia="Calibri"/>
          <w:sz w:val="23"/>
          <w:szCs w:val="23"/>
          <w:lang w:eastAsia="en-US"/>
        </w:rPr>
        <w:t xml:space="preserve"> sont liées aux activités </w:t>
      </w:r>
      <w:r>
        <w:rPr>
          <w:rFonts w:eastAsia="Calibri"/>
          <w:sz w:val="23"/>
          <w:szCs w:val="23"/>
          <w:lang w:eastAsia="en-US"/>
        </w:rPr>
        <w:t>suivantes</w:t>
      </w:r>
      <w:r>
        <w:rPr>
          <w:rFonts w:eastAsia="Calibri"/>
          <w:sz w:val="23"/>
          <w:szCs w:val="23"/>
          <w:lang w:eastAsia="en-US"/>
        </w:rPr>
        <w:t> :</w:t>
      </w:r>
    </w:p>
    <w:p>
      <w:pPr>
        <w:pStyle w:val="style0"/>
        <w:numPr>
          <w:ilvl w:val="0"/>
          <w:numId w:val="8"/>
        </w:numPr>
        <w:spacing w:after="200" w:lineRule="auto" w:line="276"/>
        <w:jc w:val="both"/>
        <w:rPr>
          <w:rFonts w:eastAsia="Calibri"/>
          <w:sz w:val="23"/>
          <w:szCs w:val="23"/>
          <w:lang w:eastAsia="en-US"/>
        </w:rPr>
      </w:pPr>
      <w:r>
        <w:rPr>
          <w:rFonts w:eastAsia="Calibri"/>
          <w:sz w:val="23"/>
          <w:szCs w:val="23"/>
          <w:lang w:eastAsia="en-US"/>
        </w:rPr>
        <w:t>le transport des pesticides ;</w:t>
      </w:r>
    </w:p>
    <w:p>
      <w:pPr>
        <w:pStyle w:val="style0"/>
        <w:numPr>
          <w:ilvl w:val="0"/>
          <w:numId w:val="8"/>
        </w:numPr>
        <w:spacing w:after="200" w:lineRule="auto" w:line="276"/>
        <w:jc w:val="both"/>
        <w:rPr>
          <w:rFonts w:eastAsia="Calibri"/>
          <w:sz w:val="23"/>
          <w:szCs w:val="23"/>
          <w:lang w:eastAsia="en-US"/>
        </w:rPr>
      </w:pPr>
      <w:r>
        <w:rPr>
          <w:rFonts w:eastAsia="Calibri"/>
          <w:sz w:val="23"/>
          <w:szCs w:val="23"/>
          <w:lang w:eastAsia="en-US"/>
        </w:rPr>
        <w:t>le stockage des pesticides ;</w:t>
      </w:r>
    </w:p>
    <w:p>
      <w:pPr>
        <w:pStyle w:val="style0"/>
        <w:numPr>
          <w:ilvl w:val="0"/>
          <w:numId w:val="8"/>
        </w:numPr>
        <w:spacing w:after="200" w:lineRule="auto" w:line="276"/>
        <w:jc w:val="both"/>
        <w:rPr>
          <w:rFonts w:eastAsia="Calibri"/>
          <w:sz w:val="23"/>
          <w:szCs w:val="23"/>
          <w:lang w:eastAsia="en-US"/>
        </w:rPr>
      </w:pPr>
      <w:r>
        <w:rPr>
          <w:rFonts w:eastAsia="Calibri"/>
          <w:sz w:val="23"/>
          <w:szCs w:val="23"/>
          <w:lang w:eastAsia="en-US"/>
        </w:rPr>
        <w:t>l’utilisation des pesticides ;</w:t>
      </w:r>
    </w:p>
    <w:p>
      <w:pPr>
        <w:pStyle w:val="style0"/>
        <w:numPr>
          <w:ilvl w:val="0"/>
          <w:numId w:val="8"/>
        </w:numPr>
        <w:spacing w:after="200" w:lineRule="auto" w:line="276"/>
        <w:jc w:val="both"/>
        <w:rPr>
          <w:rFonts w:eastAsia="Calibri"/>
          <w:sz w:val="23"/>
          <w:szCs w:val="23"/>
          <w:lang w:eastAsia="en-US"/>
        </w:rPr>
      </w:pPr>
      <w:r>
        <w:rPr>
          <w:rFonts w:eastAsia="Calibri"/>
          <w:sz w:val="23"/>
          <w:szCs w:val="23"/>
          <w:lang w:eastAsia="en-US"/>
        </w:rPr>
        <w:t>la gestion des pesticides obsolètes et des résidus.</w:t>
      </w:r>
    </w:p>
    <w:bookmarkStart w:id="1059" w:name="_Toc536410659"/>
    <w:bookmarkStart w:id="1060" w:name="_Toc686112"/>
    <w:bookmarkStart w:id="1061" w:name="_Toc2780491"/>
    <w:p>
      <w:pPr>
        <w:pStyle w:val="style3"/>
        <w:numPr>
          <w:ilvl w:val="0"/>
          <w:numId w:val="0"/>
        </w:numPr>
        <w:ind w:left="644" w:hanging="360"/>
        <w:rPr>
          <w:b/>
          <w:u w:val="none"/>
        </w:rPr>
      </w:pPr>
      <w:r>
        <w:rPr>
          <w:b/>
          <w:u w:val="none"/>
        </w:rPr>
        <w:t>5</w:t>
      </w:r>
      <w:r>
        <w:rPr>
          <w:b/>
          <w:u w:val="none"/>
        </w:rPr>
        <w:t>.</w:t>
      </w:r>
      <w:r>
        <w:rPr>
          <w:b/>
          <w:u w:val="none"/>
        </w:rPr>
        <w:t>1</w:t>
      </w:r>
      <w:r>
        <w:rPr>
          <w:b/>
          <w:u w:val="none"/>
        </w:rPr>
        <w:t>.2.</w:t>
      </w:r>
      <w:r>
        <w:rPr>
          <w:b/>
          <w:u w:val="none"/>
        </w:rPr>
        <w:t xml:space="preserve"> Identification</w:t>
      </w:r>
      <w:r>
        <w:rPr>
          <w:b/>
          <w:u w:val="none"/>
        </w:rPr>
        <w:t xml:space="preserve"> des </w:t>
      </w:r>
      <w:r>
        <w:rPr>
          <w:b/>
          <w:u w:val="none"/>
        </w:rPr>
        <w:t xml:space="preserve"> </w:t>
      </w:r>
      <w:r>
        <w:rPr>
          <w:b/>
          <w:u w:val="none"/>
        </w:rPr>
        <w:t>risques</w:t>
      </w:r>
      <w:r>
        <w:rPr>
          <w:b/>
          <w:u w:val="none"/>
        </w:rPr>
        <w:t xml:space="preserve"> potentiels </w:t>
      </w:r>
      <w:r>
        <w:rPr>
          <w:b/>
          <w:u w:val="none"/>
        </w:rPr>
        <w:t xml:space="preserve"> liés aux activités du </w:t>
      </w:r>
      <w:bookmarkEnd w:id="1059"/>
      <w:r>
        <w:rPr>
          <w:b/>
          <w:u w:val="none"/>
        </w:rPr>
        <w:t>Programme</w:t>
      </w:r>
      <w:bookmarkEnd w:id="1060"/>
      <w:bookmarkEnd w:id="1061"/>
    </w:p>
    <w:p>
      <w:pPr>
        <w:pStyle w:val="style0"/>
        <w:spacing w:lineRule="auto" w:line="276"/>
        <w:jc w:val="both"/>
        <w:rPr>
          <w:rFonts w:eastAsia="Calibri"/>
          <w:sz w:val="22"/>
          <w:szCs w:val="22"/>
          <w:lang w:eastAsia="en-US"/>
        </w:rPr>
      </w:pPr>
      <w:r>
        <w:rPr>
          <w:rFonts w:eastAsia="Calibri"/>
          <w:sz w:val="22"/>
          <w:szCs w:val="22"/>
          <w:lang w:eastAsia="en-US"/>
        </w:rPr>
        <w:t>Les risques</w:t>
      </w:r>
      <w:r>
        <w:rPr>
          <w:rFonts w:eastAsia="Calibri"/>
          <w:sz w:val="22"/>
          <w:szCs w:val="22"/>
          <w:lang w:eastAsia="en-US"/>
        </w:rPr>
        <w:t xml:space="preserve"> potentiels</w:t>
      </w:r>
      <w:r>
        <w:rPr>
          <w:rFonts w:eastAsia="Calibri"/>
          <w:sz w:val="22"/>
          <w:szCs w:val="22"/>
          <w:lang w:eastAsia="en-US"/>
        </w:rPr>
        <w:t xml:space="preserve"> liés </w:t>
      </w:r>
      <w:r>
        <w:rPr>
          <w:sz w:val="22"/>
          <w:szCs w:val="22"/>
          <w:lang w:eastAsia="en-US"/>
        </w:rPr>
        <w:t xml:space="preserve">aux activités du </w:t>
      </w:r>
      <w:r>
        <w:rPr>
          <w:sz w:val="22"/>
          <w:szCs w:val="22"/>
          <w:lang w:eastAsia="en-US"/>
        </w:rPr>
        <w:t xml:space="preserve">Programme </w:t>
      </w:r>
      <w:r>
        <w:rPr>
          <w:sz w:val="22"/>
          <w:szCs w:val="22"/>
          <w:lang w:eastAsia="en-US"/>
        </w:rPr>
        <w:t xml:space="preserve">découlent de </w:t>
      </w:r>
      <w:r>
        <w:rPr>
          <w:rFonts w:eastAsia="Calibri"/>
          <w:sz w:val="22"/>
          <w:szCs w:val="22"/>
          <w:lang w:eastAsia="en-US"/>
        </w:rPr>
        <w:t xml:space="preserve">l’utilisation des pesticides par </w:t>
      </w:r>
      <w:r>
        <w:rPr>
          <w:rFonts w:eastAsia="Calibri"/>
          <w:color w:val="222222"/>
          <w:sz w:val="22"/>
          <w:szCs w:val="22"/>
          <w:lang w:eastAsia="en-US"/>
        </w:rPr>
        <w:t xml:space="preserve">les </w:t>
      </w:r>
      <w:r>
        <w:rPr>
          <w:rFonts w:eastAsia="Calibri"/>
          <w:color w:val="222222"/>
          <w:sz w:val="22"/>
          <w:szCs w:val="22"/>
          <w:lang w:eastAsia="en-US"/>
        </w:rPr>
        <w:t>producteurs agricoles qui exploiteront les périmètres irrigués</w:t>
      </w:r>
      <w:r>
        <w:rPr>
          <w:rFonts w:eastAsia="Calibri"/>
          <w:sz w:val="22"/>
          <w:szCs w:val="22"/>
          <w:lang w:eastAsia="en-US"/>
        </w:rPr>
        <w:t xml:space="preserve">. Les principaux </w:t>
      </w:r>
      <w:r>
        <w:rPr>
          <w:rFonts w:eastAsia="Calibri"/>
          <w:sz w:val="22"/>
          <w:szCs w:val="22"/>
          <w:lang w:eastAsia="en-US"/>
        </w:rPr>
        <w:t xml:space="preserve"> </w:t>
      </w:r>
      <w:r>
        <w:rPr>
          <w:rFonts w:eastAsia="Calibri"/>
          <w:sz w:val="22"/>
          <w:szCs w:val="22"/>
          <w:lang w:eastAsia="en-US"/>
        </w:rPr>
        <w:t>risques sont :</w:t>
      </w:r>
    </w:p>
    <w:p>
      <w:pPr>
        <w:pStyle w:val="style0"/>
        <w:numPr>
          <w:ilvl w:val="0"/>
          <w:numId w:val="8"/>
        </w:numPr>
        <w:ind w:left="360"/>
        <w:jc w:val="both"/>
        <w:rPr>
          <w:rFonts w:eastAsia="Calibri"/>
          <w:sz w:val="22"/>
          <w:szCs w:val="22"/>
          <w:lang w:eastAsia="en-US"/>
        </w:rPr>
      </w:pPr>
      <w:r>
        <w:rPr>
          <w:rFonts w:eastAsia="Calibri"/>
          <w:sz w:val="22"/>
          <w:szCs w:val="22"/>
          <w:lang w:eastAsia="en-US"/>
        </w:rPr>
        <w:t>intoxication des usagers  et des animaux ;</w:t>
      </w:r>
    </w:p>
    <w:p>
      <w:pPr>
        <w:pStyle w:val="style0"/>
        <w:numPr>
          <w:ilvl w:val="0"/>
          <w:numId w:val="8"/>
        </w:numPr>
        <w:ind w:left="360"/>
        <w:jc w:val="both"/>
        <w:rPr>
          <w:rFonts w:eastAsia="Calibri"/>
          <w:sz w:val="22"/>
          <w:szCs w:val="22"/>
          <w:lang w:eastAsia="en-US"/>
        </w:rPr>
      </w:pPr>
      <w:r>
        <w:rPr>
          <w:rFonts w:eastAsia="Calibri"/>
          <w:sz w:val="22"/>
          <w:szCs w:val="22"/>
          <w:lang w:eastAsia="en-US"/>
        </w:rPr>
        <w:t>contamination du sol et des cours d’eau ;</w:t>
      </w:r>
    </w:p>
    <w:p>
      <w:pPr>
        <w:pStyle w:val="style0"/>
        <w:numPr>
          <w:ilvl w:val="0"/>
          <w:numId w:val="8"/>
        </w:numPr>
        <w:ind w:left="360"/>
        <w:jc w:val="both"/>
        <w:rPr>
          <w:rFonts w:eastAsia="Calibri"/>
          <w:sz w:val="22"/>
          <w:szCs w:val="22"/>
          <w:lang w:eastAsia="en-US"/>
        </w:rPr>
      </w:pPr>
      <w:r>
        <w:rPr>
          <w:rFonts w:eastAsia="Calibri"/>
          <w:sz w:val="22"/>
          <w:szCs w:val="22"/>
          <w:lang w:eastAsia="en-US"/>
        </w:rPr>
        <w:t>déversement accidentel de pesticides dans l’environnement par une mauvaise manutention ou manipulation;</w:t>
      </w:r>
    </w:p>
    <w:p>
      <w:pPr>
        <w:pStyle w:val="style0"/>
        <w:numPr>
          <w:ilvl w:val="0"/>
          <w:numId w:val="8"/>
        </w:numPr>
        <w:ind w:left="360"/>
        <w:jc w:val="both"/>
        <w:rPr>
          <w:rFonts w:eastAsia="Calibri"/>
          <w:sz w:val="22"/>
          <w:szCs w:val="22"/>
          <w:lang w:eastAsia="en-US"/>
        </w:rPr>
      </w:pPr>
      <w:r>
        <w:rPr>
          <w:rFonts w:eastAsia="Calibri"/>
          <w:sz w:val="22"/>
          <w:szCs w:val="22"/>
          <w:lang w:eastAsia="en-US"/>
        </w:rPr>
        <w:t>risque de déversement accidentel de pesticides sur l’organisme humain ;</w:t>
      </w:r>
    </w:p>
    <w:p>
      <w:pPr>
        <w:pStyle w:val="style0"/>
        <w:numPr>
          <w:ilvl w:val="0"/>
          <w:numId w:val="8"/>
        </w:numPr>
        <w:ind w:left="360"/>
        <w:jc w:val="both"/>
        <w:rPr>
          <w:rFonts w:eastAsia="Calibri"/>
          <w:sz w:val="22"/>
          <w:szCs w:val="22"/>
          <w:lang w:eastAsia="en-US"/>
        </w:rPr>
      </w:pPr>
      <w:r>
        <w:rPr>
          <w:rFonts w:eastAsia="Calibri"/>
          <w:sz w:val="22"/>
          <w:szCs w:val="22"/>
          <w:lang w:eastAsia="en-US"/>
        </w:rPr>
        <w:t>risque d’ingestion accidentel de pesticides ;</w:t>
      </w:r>
    </w:p>
    <w:p>
      <w:pPr>
        <w:pStyle w:val="style0"/>
        <w:numPr>
          <w:ilvl w:val="0"/>
          <w:numId w:val="8"/>
        </w:numPr>
        <w:ind w:left="360"/>
        <w:jc w:val="both"/>
        <w:rPr>
          <w:rFonts w:eastAsia="Calibri"/>
          <w:sz w:val="22"/>
          <w:szCs w:val="22"/>
          <w:lang w:eastAsia="en-US"/>
        </w:rPr>
      </w:pPr>
      <w:r>
        <w:rPr>
          <w:rFonts w:eastAsia="Calibri"/>
          <w:sz w:val="22"/>
          <w:szCs w:val="22"/>
          <w:lang w:eastAsia="en-US"/>
        </w:rPr>
        <w:t>risques d’accident de la circulation lors du transport des pesticides ;</w:t>
      </w:r>
    </w:p>
    <w:p>
      <w:pPr>
        <w:pStyle w:val="style0"/>
        <w:numPr>
          <w:ilvl w:val="0"/>
          <w:numId w:val="8"/>
        </w:numPr>
        <w:ind w:left="360"/>
        <w:jc w:val="both"/>
        <w:rPr>
          <w:rFonts w:eastAsia="Calibri"/>
          <w:sz w:val="22"/>
          <w:szCs w:val="22"/>
          <w:lang w:eastAsia="en-US"/>
        </w:rPr>
      </w:pPr>
      <w:r>
        <w:rPr>
          <w:rFonts w:eastAsia="Calibri"/>
          <w:sz w:val="22"/>
          <w:szCs w:val="22"/>
          <w:lang w:eastAsia="en-US"/>
        </w:rPr>
        <w:t>risque d’inhalation des pesticides dans les voies respiratoires ;</w:t>
      </w:r>
    </w:p>
    <w:p>
      <w:pPr>
        <w:pStyle w:val="style0"/>
        <w:numPr>
          <w:ilvl w:val="0"/>
          <w:numId w:val="8"/>
        </w:numPr>
        <w:ind w:left="360"/>
        <w:jc w:val="both"/>
        <w:rPr>
          <w:rFonts w:eastAsia="Calibri"/>
          <w:sz w:val="22"/>
          <w:szCs w:val="22"/>
          <w:lang w:eastAsia="en-US"/>
        </w:rPr>
      </w:pPr>
      <w:r>
        <w:rPr>
          <w:rFonts w:eastAsia="Calibri"/>
          <w:sz w:val="22"/>
          <w:szCs w:val="22"/>
          <w:lang w:eastAsia="en-US"/>
        </w:rPr>
        <w:t>contamination des faunes aquatiques ;</w:t>
      </w:r>
    </w:p>
    <w:p>
      <w:pPr>
        <w:pStyle w:val="style0"/>
        <w:numPr>
          <w:ilvl w:val="0"/>
          <w:numId w:val="8"/>
        </w:numPr>
        <w:ind w:left="360"/>
        <w:jc w:val="both"/>
        <w:rPr>
          <w:rFonts w:eastAsia="Calibri"/>
          <w:sz w:val="22"/>
          <w:szCs w:val="22"/>
          <w:lang w:eastAsia="en-US"/>
        </w:rPr>
      </w:pPr>
      <w:r>
        <w:rPr>
          <w:rFonts w:eastAsia="Calibri"/>
          <w:sz w:val="22"/>
          <w:szCs w:val="22"/>
          <w:lang w:eastAsia="en-US"/>
        </w:rPr>
        <w:t>contamination de produits vivriers et alimentaires ;</w:t>
      </w:r>
    </w:p>
    <w:p>
      <w:pPr>
        <w:pStyle w:val="style0"/>
        <w:numPr>
          <w:ilvl w:val="0"/>
          <w:numId w:val="8"/>
        </w:numPr>
        <w:ind w:left="360"/>
        <w:jc w:val="both"/>
        <w:rPr>
          <w:rFonts w:eastAsia="Calibri"/>
          <w:sz w:val="23"/>
          <w:szCs w:val="23"/>
          <w:lang w:eastAsia="en-US"/>
        </w:rPr>
      </w:pPr>
      <w:r>
        <w:rPr>
          <w:rFonts w:eastAsia="Calibri"/>
          <w:sz w:val="23"/>
          <w:szCs w:val="23"/>
          <w:lang w:eastAsia="en-US"/>
        </w:rPr>
        <w:t>pollution de la nappe phréatique;</w:t>
      </w:r>
    </w:p>
    <w:p>
      <w:pPr>
        <w:pStyle w:val="style0"/>
        <w:numPr>
          <w:ilvl w:val="0"/>
          <w:numId w:val="8"/>
        </w:numPr>
        <w:ind w:left="360"/>
        <w:jc w:val="both"/>
        <w:rPr>
          <w:rFonts w:eastAsia="Calibri"/>
          <w:sz w:val="23"/>
          <w:szCs w:val="23"/>
          <w:lang w:eastAsia="en-US"/>
        </w:rPr>
      </w:pPr>
      <w:r>
        <w:rPr>
          <w:rFonts w:eastAsia="Calibri"/>
          <w:sz w:val="23"/>
          <w:szCs w:val="23"/>
          <w:lang w:eastAsia="en-US"/>
        </w:rPr>
        <w:t>mortalité des animaux aquatique et faunique.</w:t>
      </w:r>
    </w:p>
    <w:p>
      <w:pPr>
        <w:pStyle w:val="style0"/>
        <w:spacing w:before="120"/>
        <w:jc w:val="both"/>
        <w:rPr>
          <w:rFonts w:eastAsia="Calibri"/>
          <w:sz w:val="23"/>
          <w:szCs w:val="23"/>
          <w:lang w:eastAsia="en-US"/>
        </w:rPr>
      </w:pPr>
    </w:p>
    <w:p>
      <w:pPr>
        <w:pStyle w:val="style0"/>
        <w:spacing w:before="120"/>
        <w:jc w:val="both"/>
        <w:rPr>
          <w:rFonts w:eastAsia="Calibri"/>
          <w:sz w:val="23"/>
          <w:szCs w:val="23"/>
          <w:lang w:eastAsia="en-US"/>
        </w:rPr>
      </w:pPr>
      <w:r>
        <w:rPr>
          <w:rFonts w:eastAsia="Calibri"/>
          <w:sz w:val="23"/>
          <w:szCs w:val="23"/>
          <w:lang w:eastAsia="en-US"/>
        </w:rPr>
        <w:t>Du point de vue des cibles, il y a les utilisateurs de pesticides (producteurs), les consommateurs de produits agricoles et l’environnement.</w:t>
      </w:r>
    </w:p>
    <w:bookmarkStart w:id="1062" w:name="_Toc536112871"/>
    <w:p>
      <w:pPr>
        <w:pStyle w:val="style157"/>
        <w:rPr>
          <w:rFonts w:ascii="Times New Roman" w:hAnsi="Times New Roman"/>
          <w:b/>
          <w:lang w:val="fr-FR"/>
        </w:rPr>
      </w:pPr>
    </w:p>
    <w:p>
      <w:pPr>
        <w:pStyle w:val="style157"/>
        <w:numPr>
          <w:ilvl w:val="0"/>
          <w:numId w:val="26"/>
        </w:numPr>
        <w:rPr>
          <w:rFonts w:ascii="Times New Roman" w:eastAsia="Calibri" w:hAnsi="Times New Roman"/>
          <w:b/>
          <w:sz w:val="23"/>
          <w:szCs w:val="23"/>
          <w:lang w:val="fr-FR"/>
        </w:rPr>
      </w:pPr>
      <w:r>
        <w:rPr>
          <w:rFonts w:ascii="Times New Roman" w:eastAsia="Calibri" w:hAnsi="Times New Roman"/>
          <w:b/>
          <w:sz w:val="23"/>
          <w:szCs w:val="23"/>
          <w:lang w:val="fr-FR"/>
        </w:rPr>
        <w:t xml:space="preserve">Risques </w:t>
      </w:r>
      <w:r>
        <w:rPr>
          <w:rFonts w:ascii="Times New Roman" w:eastAsia="Calibri" w:hAnsi="Times New Roman"/>
          <w:b/>
          <w:sz w:val="23"/>
          <w:szCs w:val="23"/>
          <w:lang w:val="fr-FR"/>
        </w:rPr>
        <w:t>potentie</w:t>
      </w:r>
      <w:r>
        <w:rPr>
          <w:rFonts w:ascii="Times New Roman" w:eastAsia="Calibri" w:hAnsi="Times New Roman"/>
          <w:b/>
          <w:sz w:val="23"/>
          <w:szCs w:val="23"/>
          <w:lang w:val="fr-FR"/>
        </w:rPr>
        <w:t xml:space="preserve">ls </w:t>
      </w:r>
      <w:r>
        <w:rPr>
          <w:rFonts w:ascii="Times New Roman" w:eastAsia="Calibri" w:hAnsi="Times New Roman"/>
          <w:b/>
          <w:sz w:val="23"/>
          <w:szCs w:val="23"/>
          <w:lang w:val="fr-FR"/>
        </w:rPr>
        <w:t>pour les utilisateurs de pesticides</w:t>
      </w:r>
      <w:bookmarkEnd w:id="1062"/>
      <w:r>
        <w:rPr>
          <w:rFonts w:ascii="Times New Roman" w:eastAsia="Calibri" w:hAnsi="Times New Roman"/>
          <w:b/>
          <w:sz w:val="23"/>
          <w:szCs w:val="23"/>
          <w:lang w:val="fr-FR"/>
        </w:rPr>
        <w:t xml:space="preserve"> </w:t>
      </w:r>
    </w:p>
    <w:p>
      <w:pPr>
        <w:pStyle w:val="style0"/>
        <w:spacing w:lineRule="auto" w:line="276"/>
        <w:jc w:val="both"/>
        <w:rPr>
          <w:rFonts w:eastAsia="Calibri"/>
          <w:sz w:val="22"/>
          <w:szCs w:val="22"/>
          <w:lang w:eastAsia="en-US"/>
        </w:rPr>
      </w:pPr>
      <w:r>
        <w:rPr>
          <w:rFonts w:eastAsia="Calibri"/>
          <w:sz w:val="22"/>
          <w:szCs w:val="22"/>
          <w:lang w:eastAsia="en-US"/>
        </w:rPr>
        <w:t>Les risques d’intoxication des producteurs dépendent principalement du type de produit utilisé (son potentiel toxique) et de ses conditions d’utilisation (port des équipements de protection individuelle (EPI), respect des attitudes hygiéniques conseillées, respect des conditions climatiques favorables en période de traitement ...).</w:t>
      </w:r>
    </w:p>
    <w:p>
      <w:pPr>
        <w:pStyle w:val="style0"/>
        <w:spacing w:lineRule="auto" w:line="276"/>
        <w:ind w:firstLine="170"/>
        <w:jc w:val="both"/>
        <w:rPr>
          <w:rFonts w:eastAsia="Calibri"/>
          <w:sz w:val="22"/>
          <w:szCs w:val="22"/>
          <w:lang w:eastAsia="en-US"/>
        </w:rPr>
      </w:pPr>
    </w:p>
    <w:p>
      <w:pPr>
        <w:pStyle w:val="style0"/>
        <w:spacing w:lineRule="auto" w:line="276"/>
        <w:jc w:val="both"/>
        <w:rPr>
          <w:rFonts w:eastAsia="Calibri"/>
          <w:sz w:val="22"/>
          <w:szCs w:val="22"/>
          <w:lang w:eastAsia="en-US"/>
        </w:rPr>
      </w:pPr>
      <w:r>
        <w:rPr>
          <w:rFonts w:eastAsia="Calibri"/>
          <w:sz w:val="22"/>
          <w:szCs w:val="22"/>
          <w:lang w:eastAsia="en-US"/>
        </w:rPr>
        <w:t xml:space="preserve">Les producteurs non formés qui appliquent eux-mêmes les produits sans EPI, et le non-respect de certaines attitudes hygiéniques classiques conseillées (se laver après chaque traitement, changer de tenue, ne pas boire ou manger au cours des traitements...) sont exposés. En effet, certains affirment pulvériser sans tenir compte du temps qu’il fait. Ces mauvaises pratiques exposent ainsi les utilisateurs à des contacts avec les produits. De même, en fonction du climat, notamment du vent, les populations riveraines peuvent être touchées par des résidus de pesticides. </w:t>
      </w:r>
    </w:p>
    <w:p>
      <w:pPr>
        <w:pStyle w:val="style0"/>
        <w:spacing w:lineRule="auto" w:line="276"/>
        <w:jc w:val="both"/>
        <w:rPr>
          <w:rFonts w:eastAsia="Calibri"/>
          <w:sz w:val="23"/>
          <w:szCs w:val="23"/>
          <w:lang w:eastAsia="en-US"/>
        </w:rPr>
      </w:pPr>
    </w:p>
    <w:p>
      <w:pPr>
        <w:pStyle w:val="style157"/>
        <w:numPr>
          <w:ilvl w:val="0"/>
          <w:numId w:val="26"/>
        </w:numPr>
        <w:rPr>
          <w:rFonts w:ascii="Times New Roman" w:eastAsia="Calibri" w:hAnsi="Times New Roman"/>
          <w:b/>
          <w:sz w:val="23"/>
          <w:szCs w:val="23"/>
          <w:lang w:val="fr-FR"/>
        </w:rPr>
      </w:pPr>
      <w:r>
        <w:rPr>
          <w:rFonts w:ascii="Times New Roman" w:eastAsia="Calibri" w:hAnsi="Times New Roman"/>
          <w:b/>
          <w:sz w:val="23"/>
          <w:szCs w:val="23"/>
          <w:lang w:val="fr-FR"/>
        </w:rPr>
        <w:t>Risques pour le consommateur</w:t>
      </w:r>
    </w:p>
    <w:p>
      <w:pPr>
        <w:pStyle w:val="style0"/>
        <w:spacing w:lineRule="auto" w:line="276"/>
        <w:jc w:val="both"/>
        <w:rPr>
          <w:rFonts w:eastAsia="Calibri"/>
          <w:sz w:val="22"/>
          <w:szCs w:val="22"/>
          <w:lang w:eastAsia="en-US"/>
        </w:rPr>
      </w:pPr>
      <w:r>
        <w:rPr>
          <w:rFonts w:eastAsia="Calibri"/>
          <w:sz w:val="22"/>
          <w:szCs w:val="22"/>
          <w:lang w:eastAsia="en-US"/>
        </w:rPr>
        <w:t>Les risques d’avoir des taux élevés de résidus de pesticides sur les récoltes peuvent être dus au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non-respect de la dose du pesticide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non-respect du délai d’attente avant récolte (DAR)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non-respect du nombre de traitement recommandés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et à l’utilisation de produits non recommandés pour les cultures et pour la conservation.</w:t>
      </w:r>
    </w:p>
    <w:p>
      <w:pPr>
        <w:pStyle w:val="style0"/>
        <w:spacing w:lineRule="auto" w:line="276"/>
        <w:jc w:val="both"/>
        <w:rPr>
          <w:rFonts w:eastAsia="Calibri"/>
          <w:sz w:val="22"/>
          <w:szCs w:val="22"/>
          <w:lang w:eastAsia="en-US"/>
        </w:rPr>
      </w:pPr>
    </w:p>
    <w:p>
      <w:pPr>
        <w:pStyle w:val="style0"/>
        <w:spacing w:lineRule="auto" w:line="276"/>
        <w:jc w:val="both"/>
        <w:rPr>
          <w:rFonts w:eastAsia="Calibri"/>
          <w:sz w:val="22"/>
          <w:szCs w:val="22"/>
          <w:lang w:eastAsia="en-US"/>
        </w:rPr>
      </w:pPr>
      <w:r>
        <w:rPr>
          <w:rFonts w:eastAsia="Calibri"/>
          <w:sz w:val="22"/>
          <w:szCs w:val="22"/>
          <w:lang w:eastAsia="en-US"/>
        </w:rPr>
        <w:t xml:space="preserve">Les autres risques pour le consommateur peuvent provenir des aliments contaminés dans les points de ventes. De même, l’utilisation non contrôlée des pesticides peut également intoxiquer les animaux, et parfois les tuer, notamment avec les herbicides qui sont de plus en plus utilisés. La consommation de la viande de ces animaux, peut également contaminer les humains. </w:t>
      </w:r>
    </w:p>
    <w:p>
      <w:pPr>
        <w:pStyle w:val="style0"/>
        <w:spacing w:lineRule="auto" w:line="276"/>
        <w:jc w:val="both"/>
        <w:rPr>
          <w:rFonts w:eastAsia="Calibri"/>
          <w:sz w:val="22"/>
          <w:szCs w:val="22"/>
          <w:lang w:eastAsia="en-US"/>
        </w:rPr>
      </w:pPr>
    </w:p>
    <w:p>
      <w:pPr>
        <w:pStyle w:val="style0"/>
        <w:spacing w:lineRule="auto" w:line="276"/>
        <w:jc w:val="both"/>
        <w:rPr>
          <w:rFonts w:eastAsia="Calibri"/>
          <w:sz w:val="22"/>
          <w:szCs w:val="22"/>
          <w:lang w:eastAsia="en-US"/>
        </w:rPr>
      </w:pPr>
      <w:r>
        <w:rPr>
          <w:rFonts w:eastAsia="Calibri"/>
          <w:sz w:val="22"/>
          <w:szCs w:val="22"/>
          <w:lang w:eastAsia="en-US"/>
        </w:rPr>
        <w:t xml:space="preserve">L’utilisation de flacons vides de pesticides exacerbe les risques de contamination des populations. De même, l’usage de pesticides destinés à la production du coton par les maraîchers, augmentent le risque de présence de résidus dans les produits. </w:t>
      </w:r>
    </w:p>
    <w:p>
      <w:pPr>
        <w:pStyle w:val="style0"/>
        <w:spacing w:lineRule="auto" w:line="276"/>
        <w:jc w:val="both"/>
        <w:rPr>
          <w:rFonts w:eastAsia="Calibri"/>
          <w:sz w:val="23"/>
          <w:szCs w:val="23"/>
          <w:lang w:eastAsia="en-US"/>
        </w:rPr>
      </w:pPr>
    </w:p>
    <w:p>
      <w:pPr>
        <w:pStyle w:val="style157"/>
        <w:numPr>
          <w:ilvl w:val="0"/>
          <w:numId w:val="26"/>
        </w:numPr>
        <w:rPr>
          <w:rFonts w:ascii="Times New Roman" w:eastAsia="Calibri" w:hAnsi="Times New Roman"/>
          <w:b/>
          <w:sz w:val="23"/>
          <w:szCs w:val="23"/>
          <w:lang w:val="fr-FR"/>
        </w:rPr>
      </w:pPr>
      <w:r>
        <w:rPr>
          <w:rFonts w:ascii="Times New Roman" w:eastAsia="Calibri" w:hAnsi="Times New Roman"/>
          <w:b/>
          <w:sz w:val="23"/>
          <w:szCs w:val="23"/>
          <w:lang w:val="fr-FR"/>
        </w:rPr>
        <w:t xml:space="preserve">Risques </w:t>
      </w:r>
      <w:r>
        <w:rPr>
          <w:rFonts w:ascii="Times New Roman" w:eastAsia="Calibri" w:hAnsi="Times New Roman"/>
          <w:b/>
          <w:sz w:val="23"/>
          <w:szCs w:val="23"/>
          <w:lang w:val="fr-FR"/>
        </w:rPr>
        <w:t xml:space="preserve">potentiels </w:t>
      </w:r>
      <w:r>
        <w:rPr>
          <w:rFonts w:ascii="Times New Roman" w:eastAsia="Calibri" w:hAnsi="Times New Roman"/>
          <w:b/>
          <w:sz w:val="23"/>
          <w:szCs w:val="23"/>
          <w:lang w:val="fr-FR"/>
        </w:rPr>
        <w:t>pour l’environnement</w:t>
      </w:r>
    </w:p>
    <w:p>
      <w:pPr>
        <w:pStyle w:val="style0"/>
        <w:spacing w:lineRule="auto" w:line="276"/>
        <w:jc w:val="both"/>
        <w:rPr>
          <w:rFonts w:eastAsia="Calibri"/>
          <w:sz w:val="22"/>
          <w:szCs w:val="22"/>
          <w:lang w:eastAsia="en-US"/>
        </w:rPr>
      </w:pPr>
      <w:r>
        <w:rPr>
          <w:rFonts w:eastAsia="Calibri"/>
          <w:sz w:val="22"/>
          <w:szCs w:val="22"/>
          <w:lang w:eastAsia="en-US"/>
        </w:rPr>
        <w:t xml:space="preserve">Les risques </w:t>
      </w:r>
      <w:r>
        <w:rPr>
          <w:rFonts w:eastAsia="Calibri"/>
          <w:sz w:val="22"/>
          <w:szCs w:val="22"/>
          <w:lang w:eastAsia="en-US"/>
        </w:rPr>
        <w:t xml:space="preserve">potentiels </w:t>
      </w:r>
      <w:r>
        <w:rPr>
          <w:rFonts w:eastAsia="Calibri"/>
          <w:sz w:val="22"/>
          <w:szCs w:val="22"/>
          <w:lang w:eastAsia="en-US"/>
        </w:rPr>
        <w:t>pour l’environnement liés à l’utilisation des pesticides dépendent pour l’essentiel de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la caractéristique du pesticide qui est un facteur déterminant;</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l'emploi de pesticides non sélectifs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mauvaises conditions d'emploi des pesticides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 xml:space="preserve">mauvaises conditions de stockage et de transport;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techniques inappropriées d'élimination des emballages vides et/ou des produits non utilisés ou périmés (rejets des emballages vides dans les champs) ;</w:t>
      </w:r>
    </w:p>
    <w:p>
      <w:pPr>
        <w:pStyle w:val="style0"/>
        <w:numPr>
          <w:ilvl w:val="0"/>
          <w:numId w:val="81"/>
        </w:numPr>
        <w:spacing w:lineRule="auto" w:line="276"/>
        <w:ind w:left="360"/>
        <w:jc w:val="both"/>
        <w:rPr>
          <w:rFonts w:eastAsia="Calibri"/>
          <w:sz w:val="22"/>
          <w:szCs w:val="22"/>
          <w:lang w:eastAsia="en-US"/>
        </w:rPr>
      </w:pPr>
      <w:r>
        <w:rPr>
          <w:rFonts w:eastAsia="Calibri"/>
          <w:sz w:val="22"/>
          <w:szCs w:val="22"/>
          <w:lang w:eastAsia="en-US"/>
        </w:rPr>
        <w:t xml:space="preserve">la faible distance entre le champ et la source d’eau. </w:t>
      </w:r>
    </w:p>
    <w:p>
      <w:pPr>
        <w:pStyle w:val="style0"/>
        <w:spacing w:lineRule="auto" w:line="276"/>
        <w:jc w:val="both"/>
        <w:rPr>
          <w:rFonts w:eastAsia="Calibri"/>
          <w:color w:val="000000"/>
          <w:sz w:val="22"/>
          <w:szCs w:val="22"/>
          <w:lang w:eastAsia="en-US"/>
        </w:rPr>
      </w:pPr>
    </w:p>
    <w:p>
      <w:pPr>
        <w:pStyle w:val="style0"/>
        <w:spacing w:lineRule="auto" w:line="276"/>
        <w:jc w:val="both"/>
        <w:rPr>
          <w:rFonts w:eastAsia="Calibri"/>
          <w:sz w:val="22"/>
          <w:szCs w:val="22"/>
          <w:lang w:eastAsia="en-US"/>
        </w:rPr>
      </w:pPr>
      <w:r>
        <w:rPr>
          <w:rFonts w:eastAsia="Calibri"/>
          <w:color w:val="000000"/>
          <w:sz w:val="22"/>
          <w:szCs w:val="22"/>
          <w:lang w:eastAsia="en-US"/>
        </w:rPr>
        <w:t xml:space="preserve">Le dépôt des emballages vides de pesticides dans les champs, emballages non biodégradables, renfermant des restes pesticides, présente un risque pour le sol, la faune, les cours d’eaux et </w:t>
      </w:r>
      <w:r>
        <w:rPr>
          <w:rFonts w:eastAsia="Calibri"/>
          <w:color w:val="000000"/>
          <w:sz w:val="22"/>
          <w:szCs w:val="22"/>
          <w:lang w:eastAsia="en-US"/>
        </w:rPr>
        <w:t xml:space="preserve">l’homme. Elles peuvent être drainées dans les cours d’eaux lorsqu’ils sont rejetés sur des terrains avec une pente en direction du cours d’eau. </w:t>
      </w:r>
    </w:p>
    <w:p>
      <w:pPr>
        <w:pStyle w:val="style0"/>
        <w:rPr>
          <w:lang w:eastAsia="en-US"/>
        </w:rPr>
      </w:pPr>
    </w:p>
    <w:bookmarkStart w:id="1063" w:name="_Toc536410660"/>
    <w:bookmarkStart w:id="1064" w:name="_Toc686113"/>
    <w:bookmarkStart w:id="1065" w:name="_Toc2780492"/>
    <w:p>
      <w:pPr>
        <w:pStyle w:val="style4307"/>
        <w:numPr>
          <w:ilvl w:val="0"/>
          <w:numId w:val="0"/>
        </w:numPr>
        <w:ind w:left="390"/>
        <w:rPr/>
      </w:pPr>
      <w:r>
        <w:t>5</w:t>
      </w:r>
      <w:r>
        <w:t>.</w:t>
      </w:r>
      <w:r>
        <w:t>2</w:t>
      </w:r>
      <w:r>
        <w:t>. Impacts</w:t>
      </w:r>
      <w:r>
        <w:t xml:space="preserve"> environnementaux et sociaux</w:t>
      </w:r>
      <w:bookmarkEnd w:id="1063"/>
      <w:r>
        <w:t xml:space="preserve"> </w:t>
      </w:r>
      <w:bookmarkEnd w:id="1064"/>
      <w:r>
        <w:t xml:space="preserve">génériques potentiels </w:t>
      </w:r>
      <w:r>
        <w:t>par type de sous-projets</w:t>
      </w:r>
      <w:bookmarkEnd w:id="1065"/>
    </w:p>
    <w:p>
      <w:pPr>
        <w:pStyle w:val="style0"/>
        <w:jc w:val="both"/>
        <w:rPr>
          <w:sz w:val="22"/>
          <w:szCs w:val="22"/>
        </w:rPr>
      </w:pPr>
      <w:r>
        <w:rPr>
          <w:sz w:val="22"/>
          <w:szCs w:val="22"/>
        </w:rPr>
        <w:t xml:space="preserve">La mise en œuvre </w:t>
      </w:r>
      <w:r>
        <w:rPr>
          <w:sz w:val="22"/>
          <w:szCs w:val="22"/>
        </w:rPr>
        <w:t>des sous-projets</w:t>
      </w:r>
      <w:r>
        <w:rPr>
          <w:sz w:val="22"/>
          <w:szCs w:val="22"/>
        </w:rPr>
        <w:t xml:space="preserve"> </w:t>
      </w:r>
      <w:r>
        <w:rPr>
          <w:sz w:val="22"/>
          <w:szCs w:val="22"/>
        </w:rPr>
        <w:t xml:space="preserve">va générer des impacts </w:t>
      </w:r>
      <w:r>
        <w:rPr>
          <w:sz w:val="22"/>
          <w:szCs w:val="22"/>
        </w:rPr>
        <w:t>environnementaux et sociaux</w:t>
      </w:r>
      <w:r>
        <w:rPr>
          <w:sz w:val="22"/>
          <w:szCs w:val="22"/>
        </w:rPr>
        <w:t xml:space="preserve"> génériques</w:t>
      </w:r>
      <w:r>
        <w:rPr>
          <w:sz w:val="22"/>
          <w:szCs w:val="22"/>
        </w:rPr>
        <w:t xml:space="preserve"> tant </w:t>
      </w:r>
      <w:r>
        <w:rPr>
          <w:sz w:val="22"/>
          <w:szCs w:val="22"/>
        </w:rPr>
        <w:t xml:space="preserve">positifs </w:t>
      </w:r>
      <w:r>
        <w:rPr>
          <w:sz w:val="22"/>
          <w:szCs w:val="22"/>
        </w:rPr>
        <w:t xml:space="preserve">que </w:t>
      </w:r>
      <w:r>
        <w:rPr>
          <w:sz w:val="22"/>
          <w:szCs w:val="22"/>
        </w:rPr>
        <w:t>négatifs.</w:t>
      </w:r>
    </w:p>
    <w:p>
      <w:pPr>
        <w:pStyle w:val="style0"/>
        <w:jc w:val="both"/>
        <w:rPr>
          <w:sz w:val="22"/>
          <w:szCs w:val="22"/>
        </w:rPr>
      </w:pPr>
    </w:p>
    <w:bookmarkStart w:id="1066" w:name="_Toc686114"/>
    <w:bookmarkStart w:id="1067" w:name="_Toc2780493"/>
    <w:p>
      <w:pPr>
        <w:pStyle w:val="style3"/>
        <w:numPr>
          <w:ilvl w:val="0"/>
          <w:numId w:val="0"/>
        </w:numPr>
        <w:ind w:left="644" w:hanging="360"/>
        <w:rPr>
          <w:b/>
          <w:u w:val="none"/>
        </w:rPr>
      </w:pPr>
      <w:r>
        <w:rPr>
          <w:b/>
          <w:u w:val="none"/>
        </w:rPr>
        <w:t>5</w:t>
      </w:r>
      <w:r>
        <w:rPr>
          <w:b/>
          <w:u w:val="none"/>
        </w:rPr>
        <w:t>.</w:t>
      </w:r>
      <w:r>
        <w:rPr>
          <w:b/>
          <w:u w:val="none"/>
        </w:rPr>
        <w:t xml:space="preserve">2.1. Impacts positifs </w:t>
      </w:r>
      <w:r>
        <w:rPr>
          <w:b/>
          <w:u w:val="none"/>
        </w:rPr>
        <w:t xml:space="preserve">génériques </w:t>
      </w:r>
      <w:r>
        <w:rPr>
          <w:b/>
          <w:u w:val="none"/>
        </w:rPr>
        <w:t>potentiels</w:t>
      </w:r>
      <w:bookmarkEnd w:id="1066"/>
      <w:r>
        <w:rPr>
          <w:b/>
          <w:u w:val="none"/>
        </w:rPr>
        <w:t xml:space="preserve"> des sous-projets</w:t>
      </w:r>
      <w:bookmarkEnd w:id="1067"/>
    </w:p>
    <w:p>
      <w:pPr>
        <w:pStyle w:val="style0"/>
        <w:numPr>
          <w:ilvl w:val="0"/>
          <w:numId w:val="14"/>
        </w:numPr>
        <w:rPr>
          <w:i/>
          <w:sz w:val="22"/>
          <w:szCs w:val="22"/>
        </w:rPr>
      </w:pPr>
      <w:r>
        <w:rPr>
          <w:i/>
          <w:sz w:val="22"/>
          <w:szCs w:val="22"/>
        </w:rPr>
        <w:t xml:space="preserve">Impacts positifs liés </w:t>
      </w:r>
      <w:r>
        <w:rPr>
          <w:i/>
          <w:sz w:val="22"/>
          <w:szCs w:val="22"/>
        </w:rPr>
        <w:t>au sous-projet « C</w:t>
      </w:r>
      <w:r>
        <w:rPr>
          <w:i/>
          <w:sz w:val="22"/>
          <w:szCs w:val="22"/>
        </w:rPr>
        <w:t xml:space="preserve">réation des unités de conservation </w:t>
      </w:r>
      <w:r>
        <w:rPr>
          <w:i/>
          <w:sz w:val="22"/>
          <w:szCs w:val="22"/>
        </w:rPr>
        <w:t xml:space="preserve">et </w:t>
      </w:r>
      <w:r>
        <w:rPr>
          <w:i/>
          <w:sz w:val="22"/>
          <w:szCs w:val="22"/>
        </w:rPr>
        <w:t>de transformation des produits agricoles</w:t>
      </w:r>
      <w:r>
        <w:rPr>
          <w:i/>
          <w:sz w:val="22"/>
          <w:szCs w:val="22"/>
        </w:rPr>
        <w:t> »</w:t>
      </w:r>
    </w:p>
    <w:p>
      <w:pPr>
        <w:pStyle w:val="style157"/>
        <w:jc w:val="both"/>
        <w:rPr>
          <w:rFonts w:ascii="Times New Roman" w:eastAsia="Calibri" w:hAnsi="Times New Roman"/>
          <w:color w:val="000000"/>
          <w:sz w:val="22"/>
          <w:szCs w:val="22"/>
          <w:lang w:val="fr-FR"/>
        </w:rPr>
      </w:pPr>
      <w:r>
        <w:rPr>
          <w:rFonts w:ascii="Times New Roman" w:eastAsia="Calibri" w:hAnsi="Times New Roman"/>
          <w:color w:val="000000"/>
          <w:sz w:val="22"/>
          <w:szCs w:val="22"/>
          <w:lang w:val="fr-FR"/>
        </w:rPr>
        <w:t>L</w:t>
      </w:r>
      <w:r>
        <w:rPr>
          <w:rFonts w:ascii="Times New Roman" w:eastAsia="Calibri" w:hAnsi="Times New Roman"/>
          <w:color w:val="000000"/>
          <w:sz w:val="22"/>
          <w:szCs w:val="22"/>
          <w:lang w:val="fr-FR"/>
        </w:rPr>
        <w:t>es impacts positifs</w:t>
      </w:r>
      <w:r>
        <w:rPr>
          <w:rFonts w:ascii="Times New Roman" w:eastAsia="Calibri" w:hAnsi="Times New Roman"/>
          <w:color w:val="000000"/>
          <w:sz w:val="22"/>
          <w:szCs w:val="22"/>
          <w:lang w:val="fr-FR"/>
        </w:rPr>
        <w:t xml:space="preserve"> </w:t>
      </w:r>
      <w:r>
        <w:rPr>
          <w:rFonts w:ascii="Times New Roman" w:eastAsia="Calibri" w:hAnsi="Times New Roman"/>
          <w:color w:val="000000"/>
          <w:sz w:val="22"/>
          <w:szCs w:val="22"/>
          <w:lang w:val="fr-FR"/>
        </w:rPr>
        <w:t xml:space="preserve">génériques </w:t>
      </w:r>
      <w:r>
        <w:rPr>
          <w:rFonts w:ascii="Times New Roman" w:eastAsia="Calibri" w:hAnsi="Times New Roman"/>
          <w:color w:val="000000"/>
          <w:sz w:val="22"/>
          <w:szCs w:val="22"/>
          <w:lang w:val="fr-FR"/>
        </w:rPr>
        <w:t xml:space="preserve">potentiels </w:t>
      </w:r>
      <w:r>
        <w:rPr>
          <w:rFonts w:ascii="Times New Roman" w:eastAsia="Calibri" w:hAnsi="Times New Roman"/>
          <w:color w:val="000000"/>
          <w:sz w:val="22"/>
          <w:szCs w:val="22"/>
          <w:lang w:val="fr-FR"/>
        </w:rPr>
        <w:t>attendus du sous-projet de</w:t>
      </w:r>
      <w:r>
        <w:rPr>
          <w:rFonts w:ascii="Times New Roman" w:eastAsia="Calibri" w:hAnsi="Times New Roman"/>
          <w:color w:val="000000"/>
          <w:sz w:val="22"/>
          <w:szCs w:val="22"/>
          <w:lang w:val="fr-FR"/>
        </w:rPr>
        <w:t xml:space="preserve"> création des unités de cons</w:t>
      </w:r>
      <w:r>
        <w:rPr>
          <w:rFonts w:ascii="Times New Roman" w:eastAsia="Calibri" w:hAnsi="Times New Roman"/>
          <w:color w:val="000000"/>
          <w:sz w:val="22"/>
          <w:szCs w:val="22"/>
          <w:lang w:val="fr-FR"/>
        </w:rPr>
        <w:t xml:space="preserve">ervation </w:t>
      </w:r>
      <w:r>
        <w:rPr>
          <w:rFonts w:ascii="Times New Roman" w:eastAsia="Calibri" w:hAnsi="Times New Roman"/>
          <w:color w:val="000000"/>
          <w:sz w:val="22"/>
          <w:szCs w:val="22"/>
          <w:lang w:val="fr-FR"/>
        </w:rPr>
        <w:t xml:space="preserve">et de transformation </w:t>
      </w:r>
      <w:r>
        <w:rPr>
          <w:rFonts w:ascii="Times New Roman" w:eastAsia="Calibri" w:hAnsi="Times New Roman"/>
          <w:color w:val="000000"/>
          <w:sz w:val="22"/>
          <w:szCs w:val="22"/>
          <w:lang w:val="fr-FR"/>
        </w:rPr>
        <w:t xml:space="preserve">des produits agricoles </w:t>
      </w:r>
      <w:r>
        <w:rPr>
          <w:rFonts w:ascii="Times New Roman" w:eastAsia="Calibri" w:hAnsi="Times New Roman"/>
          <w:color w:val="000000"/>
          <w:sz w:val="22"/>
          <w:szCs w:val="22"/>
          <w:lang w:val="fr-FR"/>
        </w:rPr>
        <w:t>sont</w:t>
      </w:r>
      <w:r>
        <w:rPr>
          <w:rFonts w:ascii="Times New Roman" w:eastAsia="Calibri" w:hAnsi="Times New Roman"/>
          <w:color w:val="000000"/>
          <w:sz w:val="22"/>
          <w:szCs w:val="22"/>
          <w:lang w:val="fr-FR"/>
        </w:rPr>
        <w:t xml:space="preserve"> l’amélioration de la sécurité alimentaire</w:t>
      </w:r>
      <w:r>
        <w:rPr>
          <w:rFonts w:ascii="Times New Roman" w:eastAsia="Calibri" w:hAnsi="Times New Roman"/>
          <w:color w:val="000000"/>
          <w:sz w:val="22"/>
          <w:szCs w:val="22"/>
          <w:lang w:val="fr-FR"/>
        </w:rPr>
        <w:t xml:space="preserve"> </w:t>
      </w:r>
      <w:r>
        <w:rPr>
          <w:rFonts w:ascii="Times New Roman" w:eastAsia="Calibri" w:hAnsi="Times New Roman"/>
          <w:color w:val="000000"/>
          <w:sz w:val="22"/>
          <w:szCs w:val="22"/>
          <w:lang w:val="fr-FR"/>
        </w:rPr>
        <w:t xml:space="preserve">et </w:t>
      </w:r>
      <w:r>
        <w:rPr>
          <w:rFonts w:ascii="Times New Roman" w:eastAsia="Calibri" w:hAnsi="Times New Roman"/>
          <w:color w:val="000000"/>
          <w:sz w:val="22"/>
          <w:szCs w:val="22"/>
          <w:lang w:val="fr-FR"/>
        </w:rPr>
        <w:t>des conditions de vie</w:t>
      </w:r>
      <w:r>
        <w:rPr>
          <w:rFonts w:ascii="Times New Roman" w:eastAsia="Calibri" w:hAnsi="Times New Roman"/>
          <w:color w:val="000000"/>
          <w:sz w:val="22"/>
          <w:szCs w:val="22"/>
          <w:lang w:val="fr-FR"/>
        </w:rPr>
        <w:t>, la</w:t>
      </w:r>
      <w:r>
        <w:rPr>
          <w:rFonts w:ascii="Times New Roman" w:eastAsia="Calibri" w:hAnsi="Times New Roman"/>
          <w:color w:val="000000"/>
          <w:sz w:val="22"/>
          <w:szCs w:val="22"/>
          <w:lang w:val="fr-FR"/>
        </w:rPr>
        <w:t xml:space="preserve"> réduction de la pauvreté</w:t>
      </w:r>
      <w:r>
        <w:rPr>
          <w:rFonts w:ascii="Times New Roman" w:eastAsia="Calibri" w:hAnsi="Times New Roman"/>
          <w:color w:val="000000"/>
          <w:sz w:val="22"/>
          <w:szCs w:val="22"/>
          <w:lang w:val="fr-FR"/>
        </w:rPr>
        <w:t xml:space="preserve"> dans la zone d’intervention.</w:t>
      </w:r>
    </w:p>
    <w:p>
      <w:pPr>
        <w:pStyle w:val="style0"/>
        <w:autoSpaceDE w:val="false"/>
        <w:autoSpaceDN w:val="false"/>
        <w:adjustRightInd w:val="false"/>
        <w:jc w:val="both"/>
        <w:rPr/>
      </w:pPr>
      <w:r>
        <w:rPr>
          <w:rFonts w:eastAsia="Calibri"/>
          <w:color w:val="000000"/>
          <w:sz w:val="22"/>
          <w:szCs w:val="22"/>
          <w:lang w:eastAsia="en-US"/>
        </w:rPr>
        <w:t xml:space="preserve">En effet, </w:t>
      </w:r>
      <w:r>
        <w:rPr>
          <w:rFonts w:eastAsia="Calibri"/>
          <w:color w:val="000000"/>
          <w:sz w:val="22"/>
          <w:szCs w:val="22"/>
          <w:lang w:eastAsia="en-US"/>
        </w:rPr>
        <w:t>les unités de conservation</w:t>
      </w:r>
      <w:r>
        <w:rPr>
          <w:rFonts w:eastAsia="Calibri"/>
          <w:color w:val="000000"/>
          <w:sz w:val="22"/>
          <w:szCs w:val="22"/>
          <w:lang w:eastAsia="en-US"/>
        </w:rPr>
        <w:t xml:space="preserve"> à travers leur capacité à assurer la conservation sur une relative longue période des produits agricoles permettent d’assurer la disponibilité du produit en toute saison.</w:t>
      </w:r>
      <w:r>
        <w:rPr>
          <w:rFonts w:eastAsia="Calibri"/>
          <w:color w:val="000000"/>
          <w:sz w:val="22"/>
          <w:szCs w:val="22"/>
          <w:lang w:eastAsia="en-US"/>
        </w:rPr>
        <w:t xml:space="preserve"> </w:t>
      </w:r>
      <w:r>
        <w:rPr>
          <w:rFonts w:eastAsia="Calibri"/>
          <w:color w:val="000000"/>
          <w:sz w:val="22"/>
          <w:szCs w:val="22"/>
          <w:lang w:eastAsia="en-US"/>
        </w:rPr>
        <w:t>Ainsi, l</w:t>
      </w:r>
      <w:r>
        <w:rPr>
          <w:sz w:val="22"/>
          <w:szCs w:val="22"/>
        </w:rPr>
        <w:t>es surplus de production ou les stocks de sécurité seront ainsi à l’abri des attaques des nuisibles.</w:t>
      </w:r>
      <w:r>
        <w:t xml:space="preserve"> </w:t>
      </w:r>
    </w:p>
    <w:p>
      <w:pPr>
        <w:pStyle w:val="style0"/>
        <w:jc w:val="both"/>
        <w:rPr>
          <w:rFonts w:eastAsia="Calibri"/>
          <w:color w:val="000000"/>
          <w:sz w:val="22"/>
          <w:szCs w:val="22"/>
          <w:lang w:eastAsia="en-US"/>
        </w:rPr>
      </w:pPr>
    </w:p>
    <w:p>
      <w:pPr>
        <w:pStyle w:val="style157"/>
        <w:jc w:val="both"/>
        <w:rPr>
          <w:rFonts w:eastAsia="Calibri"/>
          <w:color w:val="000000"/>
          <w:sz w:val="22"/>
          <w:szCs w:val="22"/>
          <w:lang w:val="fr-FR"/>
        </w:rPr>
      </w:pPr>
      <w:r>
        <w:rPr>
          <w:rFonts w:ascii="Times New Roman" w:eastAsia="Calibri" w:hAnsi="Times New Roman"/>
          <w:color w:val="000000"/>
          <w:sz w:val="22"/>
          <w:szCs w:val="22"/>
          <w:lang w:val="fr-FR"/>
        </w:rPr>
        <w:t xml:space="preserve">S’agissant des unités de transformation locale des produits alimentaires et dérivés (fabriques de jus de fruit, fabriques de glace alimentaire, fabrication locale de farine, etc.), leur mise en place et exploitation va permettre la promotion, la sécurisation, la conservation, la valorisation de la production agricole (végétale, animale) locale, l’écoulement et la commercialisation. Aussi, ces activités auront un impact important sur l’économie locale de la zone du </w:t>
      </w:r>
      <w:r>
        <w:rPr>
          <w:rFonts w:ascii="Times New Roman" w:eastAsia="Calibri" w:hAnsi="Times New Roman"/>
          <w:color w:val="000000"/>
          <w:sz w:val="22"/>
          <w:szCs w:val="22"/>
          <w:lang w:val="fr-FR"/>
        </w:rPr>
        <w:t>Programme</w:t>
      </w:r>
      <w:r>
        <w:rPr>
          <w:rFonts w:ascii="Times New Roman" w:eastAsia="Calibri" w:hAnsi="Times New Roman"/>
          <w:color w:val="000000"/>
          <w:sz w:val="22"/>
          <w:szCs w:val="22"/>
          <w:lang w:val="fr-FR"/>
        </w:rPr>
        <w:t>.</w:t>
      </w:r>
    </w:p>
    <w:p>
      <w:pPr>
        <w:pStyle w:val="style157"/>
        <w:jc w:val="both"/>
        <w:rPr>
          <w:rFonts w:eastAsia="Calibri"/>
          <w:color w:val="000000"/>
          <w:sz w:val="22"/>
          <w:szCs w:val="22"/>
          <w:lang w:val="fr-FR"/>
        </w:rPr>
      </w:pPr>
    </w:p>
    <w:p>
      <w:pPr>
        <w:pStyle w:val="style157"/>
        <w:jc w:val="both"/>
        <w:rPr>
          <w:rFonts w:eastAsia="Calibri"/>
          <w:color w:val="000000"/>
          <w:sz w:val="22"/>
          <w:szCs w:val="22"/>
          <w:lang w:val="fr-FR"/>
        </w:rPr>
      </w:pPr>
      <w:r>
        <w:rPr>
          <w:rFonts w:ascii="Times New Roman" w:eastAsia="Calibri" w:hAnsi="Times New Roman"/>
          <w:color w:val="000000"/>
          <w:sz w:val="22"/>
          <w:szCs w:val="22"/>
          <w:lang w:val="fr-FR"/>
        </w:rPr>
        <w:t xml:space="preserve">Il importe de relever également que l’un des impacts positifs potentiels attendus </w:t>
      </w:r>
      <w:r>
        <w:rPr>
          <w:rFonts w:ascii="Times New Roman" w:eastAsia="Calibri" w:hAnsi="Times New Roman"/>
          <w:color w:val="000000"/>
          <w:sz w:val="22"/>
          <w:szCs w:val="22"/>
          <w:lang w:val="fr-FR"/>
        </w:rPr>
        <w:t>de ce sous-projet</w:t>
      </w:r>
      <w:r>
        <w:rPr>
          <w:rFonts w:ascii="Times New Roman" w:eastAsia="Calibri" w:hAnsi="Times New Roman"/>
          <w:color w:val="000000"/>
          <w:sz w:val="22"/>
          <w:szCs w:val="22"/>
          <w:lang w:val="fr-FR"/>
        </w:rPr>
        <w:t xml:space="preserve"> est qu’il favorise la prise en compte du genre et le processus d’intégration des femmes et des jeunes dans l’exécution des activités, y compris les groupes vulnérables, et ce par le renforcement des capacités, les emplois, etc.  En rappel, le Burkina Faso a adopté une Stratégie Nationale de Promotion de l’Entrepreneuriat Féminin (SNPEF) 2016-2025 en juin 2015 dont la vision est « Un entrepreneuriat féminin dynamique, compétitif, diversifié, contribuant à la réduction de la pauvreté des populations à l’horizon 2025 ». L’entreprenariat féminin qui est aujourd’hui amorcé, est visible dans les domaines de l’agroalimentaire et de production agropastorales en particulier les activités d’embouche ovine et d’élevage de volaille. Le </w:t>
      </w:r>
      <w:r>
        <w:rPr>
          <w:rFonts w:ascii="Times New Roman" w:eastAsia="Calibri" w:hAnsi="Times New Roman"/>
          <w:color w:val="000000"/>
          <w:sz w:val="22"/>
          <w:szCs w:val="22"/>
          <w:lang w:val="fr-FR"/>
        </w:rPr>
        <w:t>sous-</w:t>
      </w:r>
      <w:r>
        <w:rPr>
          <w:rFonts w:ascii="Times New Roman" w:eastAsia="Calibri" w:hAnsi="Times New Roman"/>
          <w:color w:val="000000"/>
          <w:sz w:val="22"/>
          <w:szCs w:val="22"/>
          <w:lang w:val="fr-FR"/>
        </w:rPr>
        <w:t xml:space="preserve">projet constitue une opportunité pour </w:t>
      </w:r>
      <w:r>
        <w:rPr>
          <w:rFonts w:ascii="Times New Roman" w:eastAsia="Calibri" w:hAnsi="Times New Roman"/>
          <w:color w:val="000000"/>
          <w:sz w:val="22"/>
          <w:szCs w:val="22"/>
          <w:lang w:val="fr-FR"/>
        </w:rPr>
        <w:t xml:space="preserve">accroitre le volume d’activités en faveur des femmes et des jeunes tant en milieu urbain que rural à travers des critères sensibles au genre dans l’octroi des crédits par les institutions financières partenaires (banques et institutions de micro-crédit) du </w:t>
      </w:r>
      <w:r>
        <w:rPr>
          <w:rFonts w:ascii="Times New Roman" w:eastAsia="Calibri" w:hAnsi="Times New Roman"/>
          <w:color w:val="000000"/>
          <w:sz w:val="22"/>
          <w:szCs w:val="22"/>
          <w:lang w:val="fr-FR"/>
        </w:rPr>
        <w:t>pro</w:t>
      </w:r>
      <w:r>
        <w:rPr>
          <w:rFonts w:ascii="Times New Roman" w:eastAsia="Calibri" w:hAnsi="Times New Roman"/>
          <w:color w:val="000000"/>
          <w:sz w:val="22"/>
          <w:szCs w:val="22"/>
          <w:lang w:val="fr-FR"/>
        </w:rPr>
        <w:t>gramme</w:t>
      </w:r>
      <w:r>
        <w:rPr>
          <w:rFonts w:ascii="Times New Roman" w:eastAsia="Calibri" w:hAnsi="Times New Roman"/>
          <w:color w:val="000000"/>
          <w:sz w:val="22"/>
          <w:szCs w:val="22"/>
          <w:lang w:val="fr-FR"/>
        </w:rPr>
        <w:t>.</w:t>
      </w:r>
    </w:p>
    <w:p>
      <w:pPr>
        <w:pStyle w:val="style0"/>
        <w:jc w:val="both"/>
        <w:rPr>
          <w:rFonts w:eastAsia="Calibri"/>
          <w:color w:val="000000"/>
          <w:sz w:val="22"/>
          <w:szCs w:val="22"/>
          <w:lang w:eastAsia="en-US"/>
        </w:rPr>
      </w:pPr>
    </w:p>
    <w:p>
      <w:pPr>
        <w:pStyle w:val="style0"/>
        <w:jc w:val="both"/>
        <w:rPr>
          <w:rFonts w:eastAsia="Calibri"/>
          <w:color w:val="000000"/>
          <w:sz w:val="22"/>
          <w:szCs w:val="22"/>
          <w:lang w:eastAsia="en-US"/>
        </w:rPr>
      </w:pPr>
      <w:r>
        <w:rPr>
          <w:rFonts w:eastAsia="Calibri"/>
          <w:color w:val="000000"/>
          <w:sz w:val="22"/>
          <w:szCs w:val="22"/>
          <w:lang w:eastAsia="en-US"/>
        </w:rPr>
        <w:t>E</w:t>
      </w:r>
      <w:r>
        <w:rPr>
          <w:rFonts w:eastAsia="Calibri"/>
          <w:color w:val="000000"/>
          <w:sz w:val="22"/>
          <w:szCs w:val="22"/>
          <w:lang w:eastAsia="en-US"/>
        </w:rPr>
        <w:t xml:space="preserve">nfin </w:t>
      </w:r>
      <w:r>
        <w:rPr>
          <w:rFonts w:eastAsia="Calibri"/>
          <w:color w:val="000000"/>
          <w:sz w:val="22"/>
          <w:szCs w:val="22"/>
          <w:lang w:eastAsia="en-US"/>
        </w:rPr>
        <w:t xml:space="preserve">de par ces activités en milieu rural, le </w:t>
      </w:r>
      <w:r>
        <w:rPr>
          <w:rFonts w:eastAsia="Calibri"/>
          <w:color w:val="000000"/>
          <w:sz w:val="22"/>
          <w:szCs w:val="22"/>
          <w:lang w:eastAsia="en-US"/>
        </w:rPr>
        <w:t>sous-</w:t>
      </w:r>
      <w:r>
        <w:rPr>
          <w:rFonts w:eastAsia="Calibri"/>
          <w:color w:val="000000"/>
          <w:sz w:val="22"/>
          <w:szCs w:val="22"/>
          <w:lang w:eastAsia="en-US"/>
        </w:rPr>
        <w:t xml:space="preserve">projet va contribuer à la fixation des jeunes en milieu rural </w:t>
      </w:r>
      <w:r>
        <w:rPr>
          <w:rFonts w:eastAsia="Calibri"/>
          <w:color w:val="000000"/>
          <w:sz w:val="22"/>
          <w:szCs w:val="22"/>
          <w:lang w:eastAsia="en-US"/>
        </w:rPr>
        <w:t xml:space="preserve">par la création d’emplois </w:t>
      </w:r>
      <w:r>
        <w:rPr>
          <w:rFonts w:eastAsia="Calibri"/>
          <w:color w:val="000000"/>
          <w:sz w:val="22"/>
          <w:szCs w:val="22"/>
          <w:lang w:eastAsia="en-US"/>
        </w:rPr>
        <w:t>et accroître les potentialités de développement en saison sèche</w:t>
      </w:r>
      <w:r>
        <w:rPr>
          <w:rFonts w:eastAsia="Calibri"/>
          <w:color w:val="000000"/>
          <w:sz w:val="22"/>
          <w:szCs w:val="22"/>
          <w:lang w:eastAsia="en-US"/>
        </w:rPr>
        <w:t> ;</w:t>
      </w:r>
      <w:r>
        <w:rPr>
          <w:rFonts w:eastAsia="Calibri"/>
          <w:color w:val="000000"/>
          <w:sz w:val="22"/>
          <w:szCs w:val="22"/>
          <w:lang w:eastAsia="en-US"/>
        </w:rPr>
        <w:t xml:space="preserve"> toute chose qui contribuera à la réduction de la pauvreté.</w:t>
      </w:r>
    </w:p>
    <w:p>
      <w:pPr>
        <w:pStyle w:val="style0"/>
        <w:jc w:val="both"/>
        <w:rPr>
          <w:bCs/>
          <w:sz w:val="22"/>
          <w:szCs w:val="22"/>
          <w:lang w:eastAsia="en-US"/>
        </w:rPr>
      </w:pPr>
    </w:p>
    <w:p>
      <w:pPr>
        <w:pStyle w:val="style0"/>
        <w:numPr>
          <w:ilvl w:val="0"/>
          <w:numId w:val="14"/>
        </w:numPr>
        <w:rPr>
          <w:sz w:val="22"/>
          <w:szCs w:val="22"/>
          <w:lang w:eastAsia="en-US"/>
        </w:rPr>
      </w:pPr>
      <w:r>
        <w:rPr>
          <w:i/>
          <w:sz w:val="22"/>
          <w:szCs w:val="22"/>
          <w:lang w:eastAsia="en-US"/>
        </w:rPr>
        <w:t>Impacts positifs</w:t>
      </w:r>
      <w:r>
        <w:rPr>
          <w:i/>
          <w:sz w:val="22"/>
          <w:szCs w:val="22"/>
          <w:lang w:eastAsia="en-US"/>
        </w:rPr>
        <w:t xml:space="preserve"> </w:t>
      </w:r>
      <w:r>
        <w:rPr>
          <w:i/>
          <w:sz w:val="22"/>
          <w:szCs w:val="22"/>
          <w:lang w:eastAsia="en-US"/>
        </w:rPr>
        <w:t xml:space="preserve"> </w:t>
      </w:r>
      <w:r>
        <w:rPr>
          <w:i/>
          <w:sz w:val="22"/>
          <w:szCs w:val="22"/>
          <w:lang w:eastAsia="en-US"/>
        </w:rPr>
        <w:t>liés au sous-projet « Création et e</w:t>
      </w:r>
      <w:r>
        <w:rPr>
          <w:i/>
          <w:sz w:val="22"/>
          <w:szCs w:val="22"/>
          <w:lang w:eastAsia="en-US"/>
        </w:rPr>
        <w:t>xploitation des aménagements hydro-agricoles</w:t>
      </w:r>
      <w:r>
        <w:rPr>
          <w:i/>
          <w:sz w:val="22"/>
          <w:szCs w:val="22"/>
          <w:lang w:eastAsia="en-US"/>
        </w:rPr>
        <w:t> »</w:t>
      </w:r>
      <w:r>
        <w:rPr>
          <w:i/>
          <w:sz w:val="22"/>
          <w:szCs w:val="22"/>
          <w:lang w:eastAsia="en-US"/>
        </w:rPr>
        <w:t> </w:t>
      </w:r>
    </w:p>
    <w:p>
      <w:pPr>
        <w:pStyle w:val="style0"/>
        <w:jc w:val="both"/>
        <w:rPr>
          <w:sz w:val="22"/>
          <w:szCs w:val="22"/>
          <w:lang w:eastAsia="en-US"/>
        </w:rPr>
      </w:pPr>
      <w:r>
        <w:rPr>
          <w:sz w:val="22"/>
          <w:szCs w:val="22"/>
          <w:lang w:eastAsia="en-US"/>
        </w:rPr>
        <w:t>Avec l’</w:t>
      </w:r>
      <w:r>
        <w:rPr>
          <w:sz w:val="22"/>
          <w:szCs w:val="22"/>
          <w:lang w:val="fr-CA" w:eastAsia="en-US"/>
        </w:rPr>
        <w:t>émergence de nouvelles activités liés à la création et à l’exploitation des aménagements hydroagricoles, il va s’en suivre la création d’emplois</w:t>
      </w:r>
      <w:r>
        <w:rPr>
          <w:sz w:val="22"/>
          <w:szCs w:val="22"/>
          <w:lang w:eastAsia="en-US"/>
        </w:rPr>
        <w:t>, la diversification des cultures, l’amélioration des revenus des populations, la disponibilité de produits frais, le changement qualitatif des habitudes alimentaires.</w:t>
      </w:r>
      <w:r>
        <w:rPr>
          <w:sz w:val="22"/>
          <w:szCs w:val="22"/>
          <w:lang w:eastAsia="en-US"/>
        </w:rPr>
        <w:t xml:space="preserve"> </w:t>
      </w:r>
    </w:p>
    <w:p>
      <w:pPr>
        <w:pStyle w:val="style0"/>
        <w:jc w:val="both"/>
        <w:rPr>
          <w:sz w:val="22"/>
          <w:szCs w:val="22"/>
          <w:lang w:eastAsia="en-US"/>
        </w:rPr>
      </w:pPr>
      <w:r>
        <w:rPr>
          <w:sz w:val="22"/>
          <w:szCs w:val="22"/>
          <w:lang w:eastAsia="en-US"/>
        </w:rPr>
        <w:t xml:space="preserve">On assistera également à la </w:t>
      </w:r>
      <w:r>
        <w:rPr>
          <w:sz w:val="22"/>
          <w:szCs w:val="22"/>
          <w:lang w:eastAsia="en-US"/>
        </w:rPr>
        <w:t>réduction, voire</w:t>
      </w:r>
      <w:r>
        <w:rPr>
          <w:sz w:val="22"/>
          <w:szCs w:val="22"/>
          <w:lang w:eastAsia="en-US"/>
        </w:rPr>
        <w:t xml:space="preserve"> même l’arrêt de l’exode rural et à </w:t>
      </w:r>
      <w:r>
        <w:rPr>
          <w:sz w:val="22"/>
          <w:szCs w:val="22"/>
          <w:lang w:eastAsia="en-US"/>
        </w:rPr>
        <w:t>une augmentation des revenus des couches vulnérables notamment les femmes et les jeunes du fait qu’ils pourraient s’adonner à des activités</w:t>
      </w:r>
      <w:r>
        <w:rPr>
          <w:sz w:val="22"/>
          <w:szCs w:val="22"/>
          <w:lang w:eastAsia="en-US"/>
        </w:rPr>
        <w:t xml:space="preserve"> agricoles sur les sites aménagés.</w:t>
      </w:r>
    </w:p>
    <w:p>
      <w:pPr>
        <w:pStyle w:val="style0"/>
        <w:jc w:val="both"/>
        <w:rPr>
          <w:sz w:val="22"/>
          <w:szCs w:val="22"/>
          <w:lang w:eastAsia="en-US"/>
        </w:rPr>
      </w:pPr>
    </w:p>
    <w:p>
      <w:pPr>
        <w:pStyle w:val="style0"/>
        <w:jc w:val="both"/>
        <w:rPr>
          <w:sz w:val="22"/>
          <w:szCs w:val="22"/>
          <w:lang w:eastAsia="en-US"/>
        </w:rPr>
      </w:pPr>
      <w:r>
        <w:rPr>
          <w:sz w:val="22"/>
          <w:szCs w:val="22"/>
          <w:lang w:eastAsia="en-US"/>
        </w:rPr>
        <w:t>Les impacts positifs potentiels attendus sont l’amélioration de la sécurité alimentaire, des conditions de vie et la réduction de la pauvreté dans les zones rurales riveraines des sites du sous-projet et partant avec des effets au</w:t>
      </w:r>
      <w:r>
        <w:rPr>
          <w:sz w:val="22"/>
          <w:szCs w:val="22"/>
          <w:lang w:eastAsia="en-US"/>
        </w:rPr>
        <w:t>x</w:t>
      </w:r>
      <w:r>
        <w:rPr>
          <w:sz w:val="22"/>
          <w:szCs w:val="22"/>
          <w:lang w:eastAsia="en-US"/>
        </w:rPr>
        <w:t xml:space="preserve"> niveau</w:t>
      </w:r>
      <w:r>
        <w:rPr>
          <w:sz w:val="22"/>
          <w:szCs w:val="22"/>
          <w:lang w:eastAsia="en-US"/>
        </w:rPr>
        <w:t>x</w:t>
      </w:r>
      <w:r>
        <w:rPr>
          <w:sz w:val="22"/>
          <w:szCs w:val="22"/>
          <w:lang w:eastAsia="en-US"/>
        </w:rPr>
        <w:t xml:space="preserve"> régional et national.</w:t>
      </w:r>
    </w:p>
    <w:p>
      <w:pPr>
        <w:pStyle w:val="style0"/>
        <w:jc w:val="both"/>
        <w:rPr>
          <w:sz w:val="22"/>
          <w:szCs w:val="22"/>
          <w:lang w:eastAsia="en-US"/>
        </w:rPr>
      </w:pPr>
    </w:p>
    <w:p>
      <w:pPr>
        <w:pStyle w:val="style0"/>
        <w:numPr>
          <w:ilvl w:val="0"/>
          <w:numId w:val="14"/>
        </w:numPr>
        <w:rPr>
          <w:i/>
          <w:sz w:val="22"/>
          <w:szCs w:val="22"/>
          <w:lang w:eastAsia="en-US"/>
        </w:rPr>
      </w:pPr>
      <w:r>
        <w:rPr>
          <w:i/>
          <w:sz w:val="22"/>
          <w:szCs w:val="22"/>
          <w:lang w:eastAsia="en-US"/>
        </w:rPr>
        <w:t xml:space="preserve">Impacts positifs </w:t>
      </w:r>
      <w:r>
        <w:rPr>
          <w:i/>
          <w:sz w:val="22"/>
          <w:szCs w:val="22"/>
          <w:lang w:eastAsia="en-US"/>
        </w:rPr>
        <w:t>liés au sous-projet « C</w:t>
      </w:r>
      <w:r>
        <w:rPr>
          <w:i/>
          <w:sz w:val="22"/>
          <w:szCs w:val="22"/>
          <w:lang w:eastAsia="en-US"/>
        </w:rPr>
        <w:t>réation des vergers</w:t>
      </w:r>
      <w:r>
        <w:rPr>
          <w:i/>
          <w:sz w:val="22"/>
          <w:szCs w:val="22"/>
          <w:lang w:eastAsia="en-US"/>
        </w:rPr>
        <w:t xml:space="preserve"> sur l’étendue du territoire national à la demande »</w:t>
      </w:r>
    </w:p>
    <w:p>
      <w:pPr>
        <w:pStyle w:val="style0"/>
        <w:jc w:val="both"/>
        <w:rPr>
          <w:sz w:val="22"/>
          <w:szCs w:val="22"/>
          <w:lang w:eastAsia="en-US"/>
        </w:rPr>
      </w:pPr>
      <w:r>
        <w:rPr>
          <w:sz w:val="22"/>
          <w:szCs w:val="22"/>
          <w:lang w:eastAsia="en-US"/>
        </w:rPr>
        <w:t>L’accompagnement dans la création de vergers aura comme impacts positifs, la contribution à la reforestation, la lutte contre la désertification, l’accroissement des revenus des promoteurs, la création d’emplois, l’amélioration de l’état nutritionnel, la création d’un environnement favorable à d’autres activités (la production du miel et  l’élevage porcin ou de volaille par ex.).</w:t>
      </w:r>
      <w:r>
        <w:rPr>
          <w:sz w:val="22"/>
          <w:szCs w:val="22"/>
          <w:lang w:eastAsia="en-US"/>
        </w:rPr>
        <w:t xml:space="preserve"> </w:t>
      </w:r>
    </w:p>
    <w:p>
      <w:pPr>
        <w:pStyle w:val="style0"/>
        <w:numPr>
          <w:ilvl w:val="0"/>
          <w:numId w:val="14"/>
        </w:numPr>
        <w:rPr>
          <w:i/>
          <w:sz w:val="22"/>
          <w:szCs w:val="22"/>
          <w:lang w:eastAsia="en-US"/>
        </w:rPr>
      </w:pPr>
      <w:r>
        <w:rPr>
          <w:i/>
          <w:sz w:val="22"/>
          <w:szCs w:val="22"/>
          <w:lang w:eastAsia="en-US"/>
        </w:rPr>
        <w:t>Impacts positifs liés au s</w:t>
      </w:r>
      <w:r>
        <w:rPr>
          <w:i/>
          <w:sz w:val="22"/>
          <w:szCs w:val="22"/>
          <w:lang w:eastAsia="en-US"/>
        </w:rPr>
        <w:t>ous-projet « Renforcement du réseau routier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L</w:t>
      </w:r>
      <w:r>
        <w:rPr>
          <w:sz w:val="22"/>
          <w:szCs w:val="22"/>
        </w:rPr>
        <w:t xml:space="preserve">a réhabilitation d’anciennes pistes et la construction de nouvelles dans la zone du Programme auront pour </w:t>
      </w:r>
      <w:r>
        <w:rPr>
          <w:sz w:val="22"/>
          <w:szCs w:val="22"/>
        </w:rPr>
        <w:t xml:space="preserve">effet le désenclavement des zones de production et l’accès facile aux marchés. Cela </w:t>
      </w:r>
      <w:r>
        <w:rPr>
          <w:sz w:val="22"/>
          <w:szCs w:val="22"/>
        </w:rPr>
        <w:t xml:space="preserve">entraînera un </w:t>
      </w:r>
      <w:r>
        <w:rPr>
          <w:sz w:val="22"/>
          <w:szCs w:val="22"/>
        </w:rPr>
        <w:t>écoulement facile des produits</w:t>
      </w:r>
      <w:r>
        <w:rPr>
          <w:sz w:val="22"/>
          <w:szCs w:val="22"/>
        </w:rPr>
        <w:t xml:space="preserve"> et l’évitement des pertes. </w:t>
      </w:r>
    </w:p>
    <w:p>
      <w:pPr>
        <w:pStyle w:val="style0"/>
        <w:numPr>
          <w:ilvl w:val="0"/>
          <w:numId w:val="14"/>
        </w:numPr>
        <w:rPr>
          <w:i/>
          <w:sz w:val="22"/>
          <w:szCs w:val="22"/>
          <w:lang w:eastAsia="en-US"/>
        </w:rPr>
      </w:pPr>
      <w:r>
        <w:rPr>
          <w:i/>
          <w:sz w:val="22"/>
          <w:szCs w:val="22"/>
          <w:lang w:eastAsia="en-US"/>
        </w:rPr>
        <w:t>Impacts positifs liés au s</w:t>
      </w:r>
      <w:r>
        <w:rPr>
          <w:i/>
          <w:sz w:val="22"/>
          <w:szCs w:val="22"/>
          <w:lang w:eastAsia="en-US"/>
        </w:rPr>
        <w:t>ous-projet « Appui au financement du secteur privé »</w:t>
      </w:r>
    </w:p>
    <w:p>
      <w:pPr>
        <w:pStyle w:val="style0"/>
        <w:spacing w:after="160"/>
        <w:jc w:val="both"/>
        <w:rPr>
          <w:rFonts w:eastAsia="Calibri"/>
          <w:iCs/>
          <w:sz w:val="22"/>
          <w:szCs w:val="22"/>
          <w:lang w:eastAsia="en-US"/>
        </w:rPr>
      </w:pPr>
      <w:r>
        <w:rPr>
          <w:rFonts w:eastAsia="Calibri"/>
          <w:iCs/>
          <w:sz w:val="22"/>
          <w:szCs w:val="22"/>
          <w:lang w:eastAsia="en-US"/>
        </w:rPr>
        <w:t>La mise en œuvre de ce sous-projet va contribuer à l’</w:t>
      </w:r>
      <w:r>
        <w:rPr>
          <w:rFonts w:eastAsia="Calibri"/>
          <w:iCs/>
          <w:sz w:val="22"/>
          <w:szCs w:val="22"/>
          <w:lang w:eastAsia="en-US"/>
        </w:rPr>
        <w:t>amélior</w:t>
      </w:r>
      <w:r>
        <w:rPr>
          <w:rFonts w:eastAsia="Calibri"/>
          <w:iCs/>
          <w:sz w:val="22"/>
          <w:szCs w:val="22"/>
          <w:lang w:eastAsia="en-US"/>
        </w:rPr>
        <w:t xml:space="preserve">ation de </w:t>
      </w:r>
      <w:r>
        <w:rPr>
          <w:rFonts w:eastAsia="Calibri"/>
          <w:iCs/>
          <w:sz w:val="22"/>
          <w:szCs w:val="22"/>
          <w:lang w:eastAsia="en-US"/>
        </w:rPr>
        <w:t xml:space="preserve">l’accès au financement des promoteurs </w:t>
      </w:r>
      <w:r>
        <w:rPr>
          <w:rFonts w:eastAsia="Calibri"/>
          <w:iCs/>
          <w:sz w:val="22"/>
          <w:szCs w:val="22"/>
          <w:lang w:eastAsia="en-US"/>
        </w:rPr>
        <w:t xml:space="preserve">privés </w:t>
      </w:r>
      <w:r>
        <w:rPr>
          <w:rFonts w:eastAsia="Calibri"/>
          <w:iCs/>
          <w:sz w:val="22"/>
          <w:szCs w:val="22"/>
          <w:lang w:eastAsia="en-US"/>
        </w:rPr>
        <w:t>dans le secteur de l’agro-alimentaire</w:t>
      </w:r>
      <w:r>
        <w:rPr>
          <w:rFonts w:eastAsia="Calibri"/>
          <w:iCs/>
          <w:sz w:val="22"/>
          <w:szCs w:val="22"/>
          <w:lang w:eastAsia="en-US"/>
        </w:rPr>
        <w:t xml:space="preserve"> particulièrement</w:t>
      </w:r>
      <w:r>
        <w:rPr>
          <w:rFonts w:eastAsia="Calibri"/>
          <w:iCs/>
          <w:sz w:val="22"/>
          <w:szCs w:val="22"/>
          <w:lang w:eastAsia="en-US"/>
        </w:rPr>
        <w:t xml:space="preserve">.  </w:t>
      </w:r>
      <w:r>
        <w:rPr>
          <w:rFonts w:eastAsia="Calibri"/>
          <w:iCs/>
          <w:sz w:val="22"/>
          <w:szCs w:val="22"/>
          <w:lang w:eastAsia="en-US"/>
        </w:rPr>
        <w:t>Ainsi, le</w:t>
      </w:r>
      <w:r>
        <w:rPr>
          <w:rFonts w:eastAsia="Calibri"/>
          <w:iCs/>
          <w:sz w:val="22"/>
          <w:szCs w:val="22"/>
          <w:lang w:eastAsia="en-US"/>
        </w:rPr>
        <w:t xml:space="preserve"> financement des promoteurs privés </w:t>
      </w:r>
      <w:r>
        <w:rPr>
          <w:rFonts w:eastAsia="Calibri"/>
          <w:iCs/>
          <w:sz w:val="22"/>
          <w:szCs w:val="22"/>
          <w:lang w:eastAsia="en-US"/>
        </w:rPr>
        <w:t>permettra de</w:t>
      </w:r>
      <w:r>
        <w:rPr>
          <w:rFonts w:eastAsia="Calibri"/>
          <w:iCs/>
          <w:sz w:val="22"/>
          <w:szCs w:val="22"/>
          <w:lang w:eastAsia="en-US"/>
        </w:rPr>
        <w:t xml:space="preserve"> développe</w:t>
      </w:r>
      <w:r>
        <w:rPr>
          <w:rFonts w:eastAsia="Calibri"/>
          <w:iCs/>
          <w:sz w:val="22"/>
          <w:szCs w:val="22"/>
          <w:lang w:eastAsia="en-US"/>
        </w:rPr>
        <w:t>r d</w:t>
      </w:r>
      <w:r>
        <w:rPr>
          <w:rFonts w:eastAsia="Calibri"/>
          <w:iCs/>
          <w:sz w:val="22"/>
          <w:szCs w:val="22"/>
          <w:lang w:eastAsia="en-US"/>
        </w:rPr>
        <w:t xml:space="preserve">es infrastructures de transformation, de commercialisation, de conservation, l’appui aux producteurs semenciers pour la production de semences certifiées ainsi qu’à la promotion de l’agriculture contractuelle. </w:t>
      </w:r>
    </w:p>
    <w:p>
      <w:pPr>
        <w:pStyle w:val="style0"/>
        <w:numPr>
          <w:ilvl w:val="0"/>
          <w:numId w:val="14"/>
        </w:numPr>
        <w:rPr>
          <w:i/>
          <w:sz w:val="22"/>
          <w:szCs w:val="22"/>
          <w:lang w:eastAsia="en-US"/>
        </w:rPr>
      </w:pPr>
      <w:r>
        <w:rPr>
          <w:i/>
          <w:sz w:val="22"/>
          <w:szCs w:val="22"/>
          <w:lang w:eastAsia="en-US"/>
        </w:rPr>
        <w:t>Impacts positifs liés au s</w:t>
      </w:r>
      <w:r>
        <w:rPr>
          <w:i/>
          <w:sz w:val="22"/>
          <w:szCs w:val="22"/>
          <w:lang w:eastAsia="en-US"/>
        </w:rPr>
        <w:t>ous-projet « Prévention et gestion des crise</w:t>
      </w:r>
      <w:r>
        <w:rPr>
          <w:i/>
          <w:sz w:val="22"/>
          <w:szCs w:val="22"/>
          <w:lang w:eastAsia="en-US"/>
        </w:rPr>
        <w:t>s</w:t>
      </w:r>
      <w:r>
        <w:rPr>
          <w:i/>
          <w:sz w:val="22"/>
          <w:szCs w:val="22"/>
          <w:lang w:eastAsia="en-US"/>
        </w:rPr>
        <w:t> »</w:t>
      </w:r>
    </w:p>
    <w:p>
      <w:pPr>
        <w:pStyle w:val="style0"/>
        <w:spacing w:after="160"/>
        <w:jc w:val="both"/>
        <w:rPr>
          <w:rFonts w:eastAsia="Calibri"/>
          <w:iCs/>
          <w:sz w:val="22"/>
          <w:szCs w:val="22"/>
          <w:lang w:eastAsia="en-US"/>
        </w:rPr>
      </w:pPr>
      <w:r>
        <w:rPr>
          <w:rFonts w:eastAsia="Calibri"/>
          <w:iCs/>
          <w:sz w:val="22"/>
          <w:szCs w:val="22"/>
          <w:lang w:eastAsia="en-US"/>
        </w:rPr>
        <w:t xml:space="preserve">Avec  la mise en œuvre des actions de prévention et de gestion des crises, il est attendu le </w:t>
      </w:r>
      <w:r>
        <w:rPr>
          <w:rFonts w:eastAsia="Calibri"/>
          <w:iCs/>
          <w:sz w:val="22"/>
          <w:szCs w:val="22"/>
          <w:lang w:eastAsia="en-US"/>
        </w:rPr>
        <w:t>renforce</w:t>
      </w:r>
      <w:r>
        <w:rPr>
          <w:rFonts w:eastAsia="Calibri"/>
          <w:iCs/>
          <w:sz w:val="22"/>
          <w:szCs w:val="22"/>
          <w:lang w:eastAsia="en-US"/>
        </w:rPr>
        <w:t>ment d</w:t>
      </w:r>
      <w:r>
        <w:rPr>
          <w:rFonts w:eastAsia="Calibri"/>
          <w:iCs/>
          <w:sz w:val="22"/>
          <w:szCs w:val="22"/>
          <w:lang w:eastAsia="en-US"/>
        </w:rPr>
        <w:t xml:space="preserve">es capacités du </w:t>
      </w:r>
      <w:r>
        <w:rPr>
          <w:rFonts w:eastAsia="Calibri"/>
          <w:iCs/>
          <w:sz w:val="22"/>
          <w:szCs w:val="22"/>
          <w:lang w:eastAsia="en-US"/>
        </w:rPr>
        <w:t xml:space="preserve">MAAH  d’une part, </w:t>
      </w:r>
      <w:r>
        <w:rPr>
          <w:rFonts w:eastAsia="Calibri"/>
          <w:iCs/>
          <w:sz w:val="22"/>
          <w:szCs w:val="22"/>
          <w:lang w:eastAsia="en-US"/>
        </w:rPr>
        <w:t>à répondre efficacement aux urgences éligibles en cas de survenance</w:t>
      </w:r>
      <w:r>
        <w:rPr>
          <w:rFonts w:eastAsia="Calibri"/>
          <w:iCs/>
          <w:sz w:val="22"/>
          <w:szCs w:val="22"/>
          <w:lang w:eastAsia="en-US"/>
        </w:rPr>
        <w:t xml:space="preserve"> et d’autre part, à réduire les risques de façon substantielle. </w:t>
      </w:r>
    </w:p>
    <w:p>
      <w:pPr>
        <w:pStyle w:val="style0"/>
        <w:numPr>
          <w:ilvl w:val="0"/>
          <w:numId w:val="14"/>
        </w:numPr>
        <w:rPr>
          <w:i/>
          <w:sz w:val="22"/>
          <w:szCs w:val="22"/>
          <w:lang w:eastAsia="en-US"/>
        </w:rPr>
      </w:pPr>
      <w:r>
        <w:rPr>
          <w:i/>
          <w:sz w:val="22"/>
          <w:szCs w:val="22"/>
          <w:lang w:eastAsia="en-US"/>
        </w:rPr>
        <w:t>Impacts positifs liés au sous-projet  « Appui aux services agricoles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iCs/>
          <w:sz w:val="22"/>
          <w:szCs w:val="22"/>
        </w:rPr>
        <w:t xml:space="preserve">Ce sous-projet intervient en </w:t>
      </w:r>
      <w:r>
        <w:rPr>
          <w:iCs/>
          <w:sz w:val="22"/>
          <w:szCs w:val="22"/>
        </w:rPr>
        <w:t>soutien</w:t>
      </w:r>
      <w:r>
        <w:rPr>
          <w:iCs/>
          <w:sz w:val="22"/>
          <w:szCs w:val="22"/>
        </w:rPr>
        <w:t xml:space="preserve"> aux </w:t>
      </w:r>
      <w:r>
        <w:rPr>
          <w:iCs/>
          <w:sz w:val="22"/>
          <w:szCs w:val="22"/>
        </w:rPr>
        <w:t xml:space="preserve"> activités et services agricoles, contribuant </w:t>
      </w:r>
      <w:r>
        <w:rPr>
          <w:iCs/>
          <w:sz w:val="22"/>
          <w:szCs w:val="22"/>
        </w:rPr>
        <w:t xml:space="preserve">ainsi </w:t>
      </w:r>
      <w:r>
        <w:rPr>
          <w:iCs/>
          <w:sz w:val="22"/>
          <w:szCs w:val="22"/>
        </w:rPr>
        <w:t xml:space="preserve">à l’intensification pour l’augmentation de la productivité agricole. </w:t>
      </w:r>
      <w:r>
        <w:rPr>
          <w:iCs/>
          <w:sz w:val="22"/>
          <w:szCs w:val="22"/>
        </w:rPr>
        <w:t xml:space="preserve">Avec le </w:t>
      </w:r>
      <w:r>
        <w:rPr>
          <w:iCs/>
          <w:sz w:val="22"/>
          <w:szCs w:val="22"/>
        </w:rPr>
        <w:t xml:space="preserve"> renforce</w:t>
      </w:r>
      <w:r>
        <w:rPr>
          <w:iCs/>
          <w:sz w:val="22"/>
          <w:szCs w:val="22"/>
        </w:rPr>
        <w:t>ment d</w:t>
      </w:r>
      <w:r>
        <w:rPr>
          <w:iCs/>
          <w:sz w:val="22"/>
          <w:szCs w:val="22"/>
        </w:rPr>
        <w:t xml:space="preserve">es services </w:t>
      </w:r>
      <w:r>
        <w:rPr>
          <w:iCs/>
          <w:sz w:val="22"/>
          <w:szCs w:val="22"/>
        </w:rPr>
        <w:t xml:space="preserve">de </w:t>
      </w:r>
      <w:r>
        <w:rPr>
          <w:iCs/>
          <w:sz w:val="22"/>
          <w:szCs w:val="22"/>
        </w:rPr>
        <w:t>conseils et de vulgarisation des techniques améliorées de production, de conservation et de gestion des stocks post-récoltes des produits agricoles</w:t>
      </w:r>
      <w:r>
        <w:rPr>
          <w:iCs/>
          <w:sz w:val="22"/>
          <w:szCs w:val="22"/>
        </w:rPr>
        <w:t>, on assistera à une amélioration de la productivité agricole</w:t>
      </w:r>
      <w:r>
        <w:rPr>
          <w:iCs/>
          <w:sz w:val="22"/>
          <w:szCs w:val="22"/>
        </w:rPr>
        <w:t>.</w:t>
      </w:r>
    </w:p>
    <w:p>
      <w:pPr>
        <w:pStyle w:val="style0"/>
        <w:numPr>
          <w:ilvl w:val="0"/>
          <w:numId w:val="14"/>
        </w:numPr>
        <w:rPr>
          <w:i/>
          <w:sz w:val="22"/>
          <w:szCs w:val="22"/>
          <w:lang w:eastAsia="en-US"/>
        </w:rPr>
      </w:pPr>
      <w:r>
        <w:rPr>
          <w:i/>
          <w:sz w:val="22"/>
          <w:szCs w:val="22"/>
          <w:lang w:eastAsia="en-US"/>
        </w:rPr>
        <w:t>Impacts positifs liés au sous-projet « Coordination du Projet et suivi évaluation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rFonts w:cs="Calibri"/>
          <w:iCs/>
          <w:sz w:val="22"/>
          <w:szCs w:val="22"/>
        </w:rPr>
        <w:t>La mise en œuvre de ce sous-projet permettra d’améliorer les performances de l’équipe de coordination et de suivi évaluation du Programme avec à terme l’accroissement des rendements des agents et le renforcement institutionnel en matière technique ainsi que sur les questions de sauvegardes env</w:t>
      </w:r>
      <w:r>
        <w:rPr>
          <w:rFonts w:cs="Calibri"/>
          <w:iCs/>
          <w:sz w:val="22"/>
          <w:szCs w:val="22"/>
        </w:rPr>
        <w:t xml:space="preserve">ironnementales et sociales. En somme, ceci permettra </w:t>
      </w:r>
      <w:r>
        <w:rPr>
          <w:sz w:val="22"/>
          <w:szCs w:val="22"/>
        </w:rPr>
        <w:t>de garantir un succès dans l’exécution des différentes activités du Programme dans une parfaite harmonie d’action.</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 xml:space="preserve">Le tableau suivant présente une synthèse des impacts positifs </w:t>
      </w:r>
      <w:r>
        <w:rPr>
          <w:sz w:val="22"/>
          <w:szCs w:val="22"/>
        </w:rPr>
        <w:t xml:space="preserve">génériques </w:t>
      </w:r>
      <w:r>
        <w:rPr>
          <w:sz w:val="22"/>
          <w:szCs w:val="22"/>
        </w:rPr>
        <w:t xml:space="preserve">potentiels du </w:t>
      </w:r>
      <w:r>
        <w:rPr>
          <w:sz w:val="22"/>
          <w:szCs w:val="22"/>
        </w:rPr>
        <w:t>Programme</w:t>
      </w:r>
      <w:r>
        <w:rPr>
          <w:sz w:val="22"/>
          <w:szCs w:val="22"/>
        </w:rPr>
        <w:t>.</w:t>
      </w:r>
    </w:p>
    <w:bookmarkStart w:id="1068" w:name="_Toc2780539"/>
    <w:bookmarkStart w:id="1069" w:name="_Toc536410795"/>
    <w:p>
      <w:pPr>
        <w:pStyle w:val="style34"/>
        <w:keepNext/>
        <w:jc w:val="left"/>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5</w:t>
      </w:r>
      <w:r>
        <w:rPr>
          <w:color w:val="auto"/>
          <w:sz w:val="20"/>
          <w:szCs w:val="20"/>
        </w:rPr>
        <w:fldChar w:fldCharType="end"/>
      </w:r>
      <w:r>
        <w:rPr>
          <w:color w:val="auto"/>
          <w:sz w:val="20"/>
          <w:szCs w:val="20"/>
        </w:rPr>
        <w:t xml:space="preserve">: Récapitulatif des impacts positifs potentiels </w:t>
      </w:r>
      <w:r>
        <w:rPr>
          <w:color w:val="auto"/>
          <w:sz w:val="20"/>
          <w:szCs w:val="20"/>
        </w:rPr>
        <w:t>du Programme</w:t>
      </w:r>
      <w:bookmarkEnd w:id="1068"/>
      <w:r>
        <w:rPr>
          <w:color w:val="auto"/>
          <w:sz w:val="20"/>
          <w:szCs w:val="20"/>
        </w:rPr>
        <w:t xml:space="preserve"> </w:t>
      </w:r>
    </w:p>
    <w:bookmarkEnd w:id="1069"/>
    <w:p>
      <w:pPr>
        <w:pStyle w:val="style34"/>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0"/>
        <w:gridCol w:w="5408"/>
      </w:tblGrid>
      <w:tr>
        <w:trPr>
          <w:tblHeader/>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b/>
                <w:sz w:val="20"/>
                <w:szCs w:val="20"/>
              </w:rPr>
            </w:pPr>
            <w:r>
              <w:rPr>
                <w:b/>
                <w:sz w:val="20"/>
                <w:szCs w:val="20"/>
              </w:rPr>
              <w:t>N°</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b/>
                <w:sz w:val="20"/>
                <w:szCs w:val="20"/>
              </w:rPr>
            </w:pPr>
            <w:r>
              <w:rPr>
                <w:b/>
                <w:sz w:val="20"/>
                <w:szCs w:val="20"/>
              </w:rPr>
              <w:t>Activités/</w:t>
            </w:r>
            <w:r>
              <w:rPr>
                <w:b/>
                <w:sz w:val="20"/>
                <w:szCs w:val="20"/>
              </w:rPr>
              <w:t>sous</w:t>
            </w:r>
            <w:r>
              <w:rPr>
                <w:b/>
                <w:sz w:val="20"/>
                <w:szCs w:val="20"/>
              </w:rPr>
              <w:t>-projets</w:t>
            </w:r>
          </w:p>
        </w:tc>
        <w:tc>
          <w:tcPr>
            <w:tcW w:w="541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b/>
                <w:sz w:val="20"/>
                <w:szCs w:val="20"/>
              </w:rPr>
            </w:pPr>
            <w:r>
              <w:rPr>
                <w:b/>
                <w:sz w:val="20"/>
                <w:szCs w:val="20"/>
              </w:rPr>
              <w:t>Impacts positifs</w:t>
            </w:r>
            <w:r>
              <w:rPr>
                <w:b/>
                <w:sz w:val="20"/>
                <w:szCs w:val="20"/>
              </w:rPr>
              <w:t xml:space="preserve"> génériques</w:t>
            </w:r>
            <w:r>
              <w:rPr>
                <w:b/>
                <w:sz w:val="20"/>
                <w:szCs w:val="20"/>
              </w:rPr>
              <w:t xml:space="preserve"> potentiels</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1</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pPr>
            <w:r>
              <w:rPr>
                <w:sz w:val="20"/>
                <w:szCs w:val="20"/>
              </w:rPr>
              <w:t>Création des unités de conservation/transformation des produits agricoles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rPr>
              <w:t>Amélioration de la sécurité alimentaire</w:t>
            </w:r>
          </w:p>
          <w:p>
            <w:pPr>
              <w:pStyle w:val="style5"/>
              <w:numPr>
                <w:ilvl w:val="0"/>
                <w:numId w:val="12"/>
              </w:numPr>
              <w:tabs>
                <w:tab w:val="clear" w:pos="720"/>
              </w:tabs>
              <w:suppressAutoHyphens/>
              <w:spacing w:after="0"/>
              <w:jc w:val="left"/>
              <w:rPr>
                <w:sz w:val="20"/>
              </w:rPr>
            </w:pPr>
            <w:r>
              <w:rPr>
                <w:i w:val="false"/>
                <w:sz w:val="20"/>
              </w:rPr>
              <w:t>Création d’emplois et de revenus</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ind w:left="360"/>
              <w:rPr>
                <w:sz w:val="20"/>
                <w:szCs w:val="20"/>
              </w:rPr>
            </w:pP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2</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Création et exploitation des aménagements hydro-agrico</w:t>
            </w:r>
            <w:r>
              <w:rPr>
                <w:sz w:val="20"/>
                <w:szCs w:val="20"/>
              </w:rPr>
              <w:t>les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rPr>
              <w:t>Amélioration des conditions de vie et réduction de la pauvreté</w:t>
            </w:r>
          </w:p>
          <w:p>
            <w:pPr>
              <w:pStyle w:val="style4"/>
              <w:numPr>
                <w:ilvl w:val="0"/>
                <w:numId w:val="12"/>
              </w:numPr>
              <w:tabs>
                <w:tab w:val="clear" w:pos="720"/>
              </w:tabs>
              <w:suppressAutoHyphens/>
              <w:spacing w:after="0"/>
              <w:jc w:val="left"/>
              <w:rPr>
                <w:sz w:val="20"/>
              </w:rPr>
            </w:pPr>
            <w:r>
              <w:rPr>
                <w:sz w:val="20"/>
              </w:rPr>
              <w:t>Amélioration de la sécurité alimentaire</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3</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Création des vergers</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rPr>
              <w:t>Amélioration de la sécurité alimentaire</w:t>
            </w:r>
          </w:p>
          <w:p>
            <w:pPr>
              <w:pStyle w:val="style4"/>
              <w:numPr>
                <w:ilvl w:val="0"/>
                <w:numId w:val="12"/>
              </w:numPr>
              <w:tabs>
                <w:tab w:val="clear" w:pos="720"/>
              </w:tabs>
              <w:suppressAutoHyphens/>
              <w:spacing w:after="0"/>
              <w:jc w:val="left"/>
              <w:rPr>
                <w:sz w:val="20"/>
              </w:rPr>
            </w:pPr>
            <w:r>
              <w:rPr>
                <w:sz w:val="20"/>
              </w:rPr>
              <w:t>Amélioration des conditions de vie et réduction de la pauvreté</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4</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rFonts w:cs="宋体"/>
                <w:sz w:val="20"/>
                <w:szCs w:val="20"/>
              </w:rPr>
              <w:t>Appui aux services agricoles</w:t>
            </w:r>
            <w:r>
              <w:rPr>
                <w:sz w:val="20"/>
                <w:szCs w:val="20"/>
              </w:rPr>
              <w:t>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iCs/>
                <w:sz w:val="20"/>
                <w:lang w:val="fr-FR"/>
              </w:rPr>
              <w:t>A</w:t>
            </w:r>
            <w:r>
              <w:rPr>
                <w:iCs/>
                <w:sz w:val="20"/>
              </w:rPr>
              <w:t>mélioration de la productivité agricole</w:t>
            </w:r>
            <w:r>
              <w:rPr>
                <w:iCs/>
                <w:sz w:val="20"/>
                <w:lang w:val="fr-FR"/>
              </w:rPr>
              <w:t xml:space="preserve"> à la suite du renforcement des capacités des producteurs et agents</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5</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rFonts w:cs="宋体"/>
                <w:sz w:val="20"/>
                <w:szCs w:val="20"/>
              </w:rPr>
              <w:t>Renforcement du réseau routier</w:t>
            </w:r>
            <w:r>
              <w:rPr>
                <w:sz w:val="20"/>
                <w:szCs w:val="20"/>
              </w:rPr>
              <w:t> </w:t>
            </w:r>
          </w:p>
        </w:tc>
        <w:tc>
          <w:tcPr>
            <w:tcW w:w="5410" w:type="dxa"/>
            <w:tcBorders/>
            <w:shd w:val="clear" w:color="auto" w:fill="auto"/>
          </w:tcPr>
          <w:p>
            <w:pPr>
              <w:pStyle w:val="style4"/>
              <w:numPr>
                <w:ilvl w:val="0"/>
                <w:numId w:val="12"/>
              </w:numPr>
              <w:tabs>
                <w:tab w:val="clear" w:pos="720"/>
              </w:tabs>
              <w:suppressAutoHyphens/>
              <w:spacing w:after="0"/>
              <w:jc w:val="left"/>
              <w:rPr>
                <w:sz w:val="20"/>
                <w:lang w:val="fr-FR"/>
              </w:rPr>
            </w:pPr>
            <w:r>
              <w:rPr>
                <w:sz w:val="20"/>
                <w:lang w:val="fr-FR"/>
              </w:rPr>
              <w:t>Désenclavement des zones de production</w:t>
            </w:r>
          </w:p>
          <w:p>
            <w:pPr>
              <w:pStyle w:val="style4"/>
              <w:numPr>
                <w:ilvl w:val="0"/>
                <w:numId w:val="12"/>
              </w:numPr>
              <w:tabs>
                <w:tab w:val="clear" w:pos="720"/>
              </w:tabs>
              <w:suppressAutoHyphens/>
              <w:spacing w:after="0"/>
              <w:jc w:val="left"/>
              <w:rPr>
                <w:sz w:val="20"/>
                <w:lang w:val="fr-FR"/>
              </w:rPr>
            </w:pPr>
            <w:r>
              <w:rPr>
                <w:sz w:val="20"/>
                <w:lang w:val="fr-FR"/>
              </w:rPr>
              <w:t>Facilité d’accès aux marchés pour les producteurs et transformateurs</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6</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rFonts w:cs="Calibri"/>
                <w:iCs/>
                <w:sz w:val="20"/>
                <w:szCs w:val="20"/>
              </w:rPr>
              <w:t>Appui au financement du secteur privé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rPr>
              <w:t>Amélioration de l’accès au financement des promoteurs privés</w:t>
            </w:r>
            <w:r>
              <w:rPr>
                <w:sz w:val="20"/>
                <w:lang w:val="fr-FR"/>
              </w:rPr>
              <w:t xml:space="preserve"> </w:t>
            </w:r>
          </w:p>
          <w:p>
            <w:pPr>
              <w:pStyle w:val="style4"/>
              <w:numPr>
                <w:ilvl w:val="0"/>
                <w:numId w:val="12"/>
              </w:numPr>
              <w:tabs>
                <w:tab w:val="clear" w:pos="720"/>
              </w:tabs>
              <w:suppressAutoHyphens/>
              <w:spacing w:after="0"/>
              <w:jc w:val="left"/>
              <w:rPr>
                <w:sz w:val="20"/>
              </w:rPr>
            </w:pPr>
            <w:r>
              <w:rPr>
                <w:sz w:val="20"/>
              </w:rPr>
              <w:t>Diversification des activités (production, transformation, commerce, etc.)</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7</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rFonts w:cs="Calibri"/>
                <w:b/>
                <w:iCs/>
                <w:sz w:val="20"/>
                <w:szCs w:val="20"/>
              </w:rPr>
              <w:t>Prévention et gestion des crises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lang w:val="fr-FR"/>
              </w:rPr>
              <w:t>Amélioration des réponses aux situations d’urgence (délais et qualité)</w:t>
            </w:r>
          </w:p>
        </w:tc>
      </w:tr>
      <w:tr>
        <w:tblPrEx/>
        <w:trPr/>
        <w:tc>
          <w:tcPr>
            <w:tcW w:w="562"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rPr>
              <w:t>8</w:t>
            </w:r>
          </w:p>
        </w:tc>
        <w:tc>
          <w:tcPr>
            <w:tcW w:w="3090" w:type="dxa"/>
            <w:tcBorders/>
            <w:shd w:val="clear" w:color="auto" w:fill="auto"/>
          </w:tcPr>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sz w:val="20"/>
                <w:szCs w:val="20"/>
              </w:rPr>
            </w:pPr>
            <w:r>
              <w:rPr>
                <w:sz w:val="20"/>
                <w:szCs w:val="20"/>
                <w:lang w:eastAsia="en-US"/>
              </w:rPr>
              <w:t xml:space="preserve">Coordination du </w:t>
            </w:r>
            <w:r>
              <w:rPr>
                <w:sz w:val="20"/>
                <w:szCs w:val="20"/>
                <w:lang w:eastAsia="en-US"/>
              </w:rPr>
              <w:t xml:space="preserve">Programme </w:t>
            </w:r>
            <w:r>
              <w:rPr>
                <w:sz w:val="20"/>
                <w:szCs w:val="20"/>
                <w:lang w:eastAsia="en-US"/>
              </w:rPr>
              <w:t>et suivi évaluation </w:t>
            </w:r>
          </w:p>
        </w:tc>
        <w:tc>
          <w:tcPr>
            <w:tcW w:w="5410" w:type="dxa"/>
            <w:tcBorders/>
            <w:shd w:val="clear" w:color="auto" w:fill="auto"/>
          </w:tcPr>
          <w:p>
            <w:pPr>
              <w:pStyle w:val="style4"/>
              <w:numPr>
                <w:ilvl w:val="0"/>
                <w:numId w:val="12"/>
              </w:numPr>
              <w:tabs>
                <w:tab w:val="clear" w:pos="720"/>
              </w:tabs>
              <w:suppressAutoHyphens/>
              <w:spacing w:after="0"/>
              <w:jc w:val="left"/>
              <w:rPr>
                <w:sz w:val="20"/>
              </w:rPr>
            </w:pPr>
            <w:r>
              <w:rPr>
                <w:sz w:val="20"/>
                <w:lang w:val="fr-FR"/>
              </w:rPr>
              <w:t>Amélioration des processus décisionnels</w:t>
            </w:r>
          </w:p>
        </w:tc>
      </w:tr>
    </w:tbl>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3"/>
          <w:szCs w:val="23"/>
        </w:rPr>
      </w:pPr>
      <w:r>
        <w:rPr>
          <w:sz w:val="23"/>
          <w:szCs w:val="23"/>
        </w:rPr>
        <w:t>Source : Consultant, Janvier 2019</w:t>
      </w:r>
    </w:p>
    <w:p>
      <w:pPr>
        <w:pStyle w:val="style0"/>
        <w:jc w:val="both"/>
        <w:rPr>
          <w:sz w:val="22"/>
          <w:szCs w:val="22"/>
          <w:lang w:eastAsia="en-US"/>
        </w:rPr>
      </w:pPr>
    </w:p>
    <w:bookmarkStart w:id="1070" w:name="_Toc536407898"/>
    <w:bookmarkStart w:id="1071" w:name="_Toc536408607"/>
    <w:bookmarkStart w:id="1072" w:name="_Toc536409293"/>
    <w:bookmarkStart w:id="1073" w:name="_Toc536409978"/>
    <w:bookmarkStart w:id="1074" w:name="_Toc536410663"/>
    <w:bookmarkStart w:id="1075" w:name="_Toc536410664"/>
    <w:bookmarkStart w:id="1076" w:name="_Toc686115"/>
    <w:bookmarkStart w:id="1077" w:name="_Toc2780494"/>
    <w:bookmarkStart w:id="1078" w:name="_Toc291800506"/>
    <w:bookmarkEnd w:id="1070"/>
    <w:bookmarkEnd w:id="1071"/>
    <w:bookmarkEnd w:id="1072"/>
    <w:bookmarkEnd w:id="1073"/>
    <w:bookmarkEnd w:id="1074"/>
    <w:p>
      <w:pPr>
        <w:pStyle w:val="style3"/>
        <w:numPr>
          <w:ilvl w:val="0"/>
          <w:numId w:val="0"/>
        </w:numPr>
        <w:ind w:left="644" w:hanging="360"/>
        <w:rPr>
          <w:b/>
          <w:u w:val="none"/>
        </w:rPr>
      </w:pPr>
      <w:r>
        <w:rPr>
          <w:b/>
          <w:u w:val="none"/>
        </w:rPr>
        <w:t>5</w:t>
      </w:r>
      <w:r>
        <w:rPr>
          <w:b/>
          <w:u w:val="none"/>
        </w:rPr>
        <w:t>.</w:t>
      </w:r>
      <w:r>
        <w:rPr>
          <w:b/>
          <w:u w:val="none"/>
        </w:rPr>
        <w:t>2</w:t>
      </w:r>
      <w:r>
        <w:rPr>
          <w:b/>
          <w:u w:val="none"/>
        </w:rPr>
        <w:t>.2.</w:t>
      </w:r>
      <w:r>
        <w:rPr>
          <w:b/>
          <w:u w:val="none"/>
        </w:rPr>
        <w:t xml:space="preserve"> Impacts</w:t>
      </w:r>
      <w:r>
        <w:rPr>
          <w:b/>
          <w:u w:val="none"/>
        </w:rPr>
        <w:t xml:space="preserve"> négatifs </w:t>
      </w:r>
      <w:r>
        <w:rPr>
          <w:b/>
          <w:u w:val="none"/>
        </w:rPr>
        <w:t xml:space="preserve">génériques </w:t>
      </w:r>
      <w:r>
        <w:rPr>
          <w:b/>
          <w:u w:val="none"/>
        </w:rPr>
        <w:t>potentiels</w:t>
      </w:r>
      <w:bookmarkEnd w:id="1075"/>
      <w:bookmarkEnd w:id="1076"/>
      <w:r>
        <w:rPr>
          <w:b/>
          <w:u w:val="none"/>
        </w:rPr>
        <w:t xml:space="preserve"> des sous-projets</w:t>
      </w:r>
      <w:bookmarkEnd w:id="1077"/>
    </w:p>
    <w:p>
      <w:pPr>
        <w:pStyle w:val="style0"/>
        <w:numPr>
          <w:ilvl w:val="0"/>
          <w:numId w:val="14"/>
        </w:numPr>
        <w:rPr>
          <w:i/>
          <w:sz w:val="22"/>
          <w:szCs w:val="22"/>
          <w:lang w:eastAsia="en-US"/>
        </w:rPr>
      </w:pPr>
      <w:r>
        <w:rPr>
          <w:i/>
          <w:sz w:val="22"/>
          <w:szCs w:val="22"/>
          <w:lang w:eastAsia="en-US"/>
        </w:rPr>
        <w:t xml:space="preserve">Impacts négatifs </w:t>
      </w:r>
      <w:r>
        <w:rPr>
          <w:i/>
          <w:sz w:val="22"/>
          <w:szCs w:val="22"/>
          <w:lang w:eastAsia="en-US"/>
        </w:rPr>
        <w:t xml:space="preserve">liés au sous-projet « Création/exploitation </w:t>
      </w:r>
      <w:r>
        <w:rPr>
          <w:i/>
          <w:sz w:val="22"/>
          <w:szCs w:val="22"/>
          <w:lang w:eastAsia="en-US"/>
        </w:rPr>
        <w:t>des parcelles agricoles irriguées</w:t>
      </w:r>
      <w:r>
        <w:rPr>
          <w:i/>
          <w:sz w:val="22"/>
          <w:szCs w:val="22"/>
          <w:lang w:eastAsia="en-US"/>
        </w:rPr>
        <w:t> »</w:t>
      </w:r>
    </w:p>
    <w:p>
      <w:pPr>
        <w:pStyle w:val="style0"/>
        <w:autoSpaceDE w:val="false"/>
        <w:autoSpaceDN w:val="false"/>
        <w:adjustRightInd w:val="false"/>
        <w:jc w:val="both"/>
        <w:rPr>
          <w:sz w:val="22"/>
          <w:szCs w:val="22"/>
          <w:lang w:eastAsia="en-US"/>
        </w:rPr>
      </w:pPr>
      <w:r>
        <w:rPr>
          <w:sz w:val="22"/>
          <w:szCs w:val="22"/>
          <w:lang w:eastAsia="en-US"/>
        </w:rPr>
        <w:t xml:space="preserve">En phase travaux, l’implantation des périmètres irrigués va entrainer le déboisement et le </w:t>
      </w:r>
      <w:r>
        <w:rPr>
          <w:sz w:val="22"/>
          <w:szCs w:val="22"/>
          <w:lang w:eastAsia="en-US"/>
        </w:rPr>
        <w:t xml:space="preserve">dessouchage des arbres et arbustes à des fins agricoles. Ce déboisement s’il n’est pas bien encadré, pourrait s’étendre aux berges des cours d’eau avoisinants et causer des perturbations dans </w:t>
      </w:r>
      <w:r>
        <w:rPr>
          <w:sz w:val="22"/>
          <w:szCs w:val="22"/>
          <w:lang w:eastAsia="en-US"/>
        </w:rPr>
        <w:t>le maintien de la biodiversité</w:t>
      </w:r>
      <w:r>
        <w:rPr>
          <w:sz w:val="22"/>
          <w:szCs w:val="22"/>
          <w:lang w:eastAsia="en-US"/>
        </w:rPr>
        <w:t>, rôle de maintien dévolu aux écosystèmes particuliers que sont les berges.</w:t>
      </w:r>
    </w:p>
    <w:p>
      <w:pPr>
        <w:pStyle w:val="style0"/>
        <w:autoSpaceDE w:val="false"/>
        <w:autoSpaceDN w:val="false"/>
        <w:adjustRightInd w:val="false"/>
        <w:jc w:val="both"/>
        <w:rPr>
          <w:sz w:val="22"/>
          <w:szCs w:val="22"/>
          <w:lang w:eastAsia="en-US"/>
        </w:rPr>
      </w:pPr>
    </w:p>
    <w:p>
      <w:pPr>
        <w:pStyle w:val="style0"/>
        <w:autoSpaceDE w:val="false"/>
        <w:autoSpaceDN w:val="false"/>
        <w:adjustRightInd w:val="false"/>
        <w:jc w:val="both"/>
        <w:rPr>
          <w:sz w:val="22"/>
          <w:szCs w:val="22"/>
          <w:lang w:eastAsia="en-US"/>
        </w:rPr>
      </w:pPr>
      <w:r>
        <w:rPr>
          <w:sz w:val="22"/>
          <w:szCs w:val="22"/>
          <w:lang w:eastAsia="en-US"/>
        </w:rPr>
        <w:t xml:space="preserve"> </w:t>
      </w:r>
    </w:p>
    <w:p>
      <w:pPr>
        <w:pStyle w:val="style0"/>
        <w:autoSpaceDE w:val="false"/>
        <w:autoSpaceDN w:val="false"/>
        <w:adjustRightInd w:val="false"/>
        <w:jc w:val="both"/>
        <w:rPr>
          <w:sz w:val="22"/>
          <w:szCs w:val="22"/>
          <w:lang w:val="fr-CA" w:eastAsia="en-US"/>
        </w:rPr>
      </w:pPr>
      <w:r>
        <w:rPr>
          <w:sz w:val="22"/>
          <w:szCs w:val="22"/>
          <w:lang w:eastAsia="en-US"/>
        </w:rPr>
        <w:t xml:space="preserve">En phase d’exploitation  </w:t>
      </w:r>
      <w:r>
        <w:rPr>
          <w:sz w:val="22"/>
          <w:szCs w:val="22"/>
          <w:lang w:eastAsia="en-US"/>
        </w:rPr>
        <w:t xml:space="preserve"> des parcelles agricoles irriguées</w:t>
      </w:r>
      <w:r>
        <w:rPr>
          <w:sz w:val="22"/>
          <w:szCs w:val="22"/>
          <w:lang w:eastAsia="en-US"/>
        </w:rPr>
        <w:t>,</w:t>
      </w:r>
      <w:r>
        <w:rPr>
          <w:sz w:val="22"/>
          <w:szCs w:val="22"/>
          <w:lang w:eastAsia="en-US"/>
        </w:rPr>
        <w:t xml:space="preserve"> </w:t>
      </w:r>
      <w:r>
        <w:rPr>
          <w:sz w:val="22"/>
          <w:szCs w:val="22"/>
          <w:lang w:eastAsia="en-US"/>
        </w:rPr>
        <w:t>on pourra assister à</w:t>
      </w:r>
      <w:r>
        <w:rPr>
          <w:sz w:val="22"/>
          <w:szCs w:val="22"/>
          <w:lang w:eastAsia="en-US"/>
        </w:rPr>
        <w:t xml:space="preserve"> la pollution des eaux et des sols </w:t>
      </w:r>
      <w:r>
        <w:rPr>
          <w:sz w:val="22"/>
          <w:szCs w:val="22"/>
          <w:lang w:eastAsia="en-US"/>
        </w:rPr>
        <w:t xml:space="preserve">avec comme conséquences, les </w:t>
      </w:r>
      <w:r>
        <w:rPr>
          <w:sz w:val="22"/>
          <w:szCs w:val="22"/>
          <w:lang w:eastAsia="en-US"/>
        </w:rPr>
        <w:t xml:space="preserve"> maladies humaines et animales lié</w:t>
      </w:r>
      <w:r>
        <w:rPr>
          <w:sz w:val="22"/>
          <w:szCs w:val="22"/>
          <w:lang w:eastAsia="en-US"/>
        </w:rPr>
        <w:t>e</w:t>
      </w:r>
      <w:r>
        <w:rPr>
          <w:sz w:val="22"/>
          <w:szCs w:val="22"/>
          <w:lang w:eastAsia="en-US"/>
        </w:rPr>
        <w:t xml:space="preserve">s à l’usage des engrais et des pesticides. </w:t>
      </w:r>
    </w:p>
    <w:p>
      <w:pPr>
        <w:pStyle w:val="style0"/>
        <w:rPr>
          <w:b/>
          <w:sz w:val="22"/>
          <w:szCs w:val="22"/>
          <w:lang w:eastAsia="en-US"/>
        </w:rPr>
      </w:pPr>
    </w:p>
    <w:p>
      <w:pPr>
        <w:pStyle w:val="style0"/>
        <w:autoSpaceDE w:val="false"/>
        <w:autoSpaceDN w:val="false"/>
        <w:adjustRightInd w:val="false"/>
        <w:jc w:val="both"/>
        <w:rPr>
          <w:sz w:val="22"/>
          <w:szCs w:val="22"/>
          <w:lang w:eastAsia="en-US"/>
        </w:rPr>
      </w:pPr>
      <w:r>
        <w:rPr>
          <w:sz w:val="22"/>
          <w:szCs w:val="22"/>
          <w:lang w:eastAsia="en-US"/>
        </w:rPr>
        <w:t>En effet, l</w:t>
      </w:r>
      <w:r>
        <w:rPr>
          <w:sz w:val="22"/>
          <w:szCs w:val="22"/>
          <w:lang w:eastAsia="en-US"/>
        </w:rPr>
        <w:t xml:space="preserve">a présence quasi permanente de l’eau dans les parcelles de cultures peut constituer un environnement favorable au développement et </w:t>
      </w:r>
      <w:r>
        <w:rPr>
          <w:sz w:val="22"/>
          <w:szCs w:val="22"/>
          <w:lang w:val="fr-CA" w:eastAsia="en-US"/>
        </w:rPr>
        <w:t>à la prolifération de moustiques, vecteurs du paludisme.</w:t>
      </w:r>
      <w:r>
        <w:rPr>
          <w:rFonts w:eastAsia="MS Mincho"/>
          <w:sz w:val="22"/>
          <w:szCs w:val="22"/>
          <w:lang w:val="fr-CA" w:eastAsia="en-US"/>
        </w:rPr>
        <w:t xml:space="preserve"> </w:t>
      </w:r>
    </w:p>
    <w:p>
      <w:pPr>
        <w:pStyle w:val="style0"/>
        <w:rPr>
          <w:b/>
          <w:sz w:val="22"/>
          <w:szCs w:val="22"/>
          <w:lang w:eastAsia="en-US"/>
        </w:rPr>
      </w:pPr>
    </w:p>
    <w:p>
      <w:pPr>
        <w:pStyle w:val="style0"/>
        <w:autoSpaceDE w:val="false"/>
        <w:autoSpaceDN w:val="false"/>
        <w:adjustRightInd w:val="false"/>
        <w:jc w:val="both"/>
        <w:rPr>
          <w:color w:val="000000"/>
          <w:sz w:val="22"/>
          <w:szCs w:val="22"/>
          <w:lang w:eastAsia="en-US"/>
        </w:rPr>
      </w:pPr>
      <w:r>
        <w:rPr>
          <w:sz w:val="22"/>
          <w:szCs w:val="22"/>
          <w:lang w:eastAsia="en-US"/>
        </w:rPr>
        <w:t>Aussi, l’objectif de maximiser les productions agricoles et de réduire l’action des ravageurs et autres insectes nuisibles va</w:t>
      </w:r>
      <w:r>
        <w:rPr>
          <w:sz w:val="22"/>
          <w:szCs w:val="22"/>
          <w:lang w:eastAsia="en-US"/>
        </w:rPr>
        <w:t>-t-</w:t>
      </w:r>
      <w:r>
        <w:rPr>
          <w:sz w:val="22"/>
          <w:szCs w:val="22"/>
          <w:lang w:eastAsia="en-US"/>
        </w:rPr>
        <w:t>il</w:t>
      </w:r>
      <w:r>
        <w:rPr>
          <w:sz w:val="22"/>
          <w:szCs w:val="22"/>
          <w:lang w:eastAsia="en-US"/>
        </w:rPr>
        <w:t xml:space="preserve"> conduire à l’utilisation de plus en plus importante de pesticides et de fertilisants sur les périmètres irrigués. Cette situation est préjudiciable à l’environnement à travers la </w:t>
      </w:r>
      <w:r>
        <w:rPr>
          <w:color w:val="000000"/>
          <w:sz w:val="22"/>
          <w:szCs w:val="22"/>
          <w:lang w:eastAsia="en-US"/>
        </w:rPr>
        <w:t xml:space="preserve">pollution des sols et des eaux, les risques de maladies pour le cheptel par l’abreuvage. De même, la mauvaise gestion des emballages </w:t>
      </w:r>
      <w:r>
        <w:rPr>
          <w:color w:val="000000"/>
          <w:sz w:val="22"/>
          <w:szCs w:val="22"/>
          <w:lang w:eastAsia="en-US"/>
        </w:rPr>
        <w:t xml:space="preserve">de produits chimiques </w:t>
      </w:r>
      <w:r>
        <w:rPr>
          <w:color w:val="000000"/>
          <w:sz w:val="22"/>
          <w:szCs w:val="22"/>
          <w:lang w:eastAsia="en-US"/>
        </w:rPr>
        <w:t>pourrait engendrer des conséquences fâcheuses aussi bien chez les populations humaines que chez les animaux pour peu qu’ils servent de récipient à l’alimentation ou à la boisson.</w:t>
      </w:r>
    </w:p>
    <w:p>
      <w:pPr>
        <w:pStyle w:val="style0"/>
        <w:autoSpaceDE w:val="false"/>
        <w:autoSpaceDN w:val="false"/>
        <w:adjustRightInd w:val="false"/>
        <w:jc w:val="both"/>
        <w:rPr>
          <w:color w:val="000000"/>
          <w:sz w:val="22"/>
          <w:szCs w:val="22"/>
          <w:lang w:eastAsia="en-US"/>
        </w:rPr>
      </w:pPr>
    </w:p>
    <w:p>
      <w:pPr>
        <w:pStyle w:val="style0"/>
        <w:autoSpaceDE w:val="false"/>
        <w:autoSpaceDN w:val="false"/>
        <w:adjustRightInd w:val="false"/>
        <w:jc w:val="both"/>
        <w:rPr>
          <w:sz w:val="22"/>
          <w:szCs w:val="22"/>
          <w:lang w:eastAsia="en-US"/>
        </w:rPr>
      </w:pPr>
      <w:r>
        <w:rPr>
          <w:color w:val="000000"/>
          <w:sz w:val="22"/>
          <w:szCs w:val="22"/>
          <w:lang w:eastAsia="en-US"/>
        </w:rPr>
        <w:t xml:space="preserve">Enfin, au plan social, </w:t>
      </w:r>
      <w:r>
        <w:rPr>
          <w:sz w:val="22"/>
          <w:szCs w:val="22"/>
          <w:lang w:eastAsia="en-US"/>
        </w:rPr>
        <w:t>l</w:t>
      </w:r>
      <w:r>
        <w:rPr>
          <w:sz w:val="22"/>
          <w:szCs w:val="22"/>
          <w:lang w:eastAsia="en-US"/>
        </w:rPr>
        <w:t xml:space="preserve">'exploitation des parcelles agricoles irriguées peut contribuer à exacerber les conflits entre les éleveurs et les agriculteurs en ce sens qu’il se fait toujours au détriment des zones de pâture. </w:t>
      </w:r>
    </w:p>
    <w:p>
      <w:pPr>
        <w:pStyle w:val="style0"/>
        <w:jc w:val="both"/>
        <w:rPr>
          <w:sz w:val="22"/>
          <w:szCs w:val="22"/>
          <w:lang w:eastAsia="en-US"/>
        </w:rPr>
      </w:pPr>
    </w:p>
    <w:p>
      <w:pPr>
        <w:pStyle w:val="style0"/>
        <w:jc w:val="both"/>
        <w:rPr>
          <w:sz w:val="22"/>
          <w:szCs w:val="22"/>
          <w:lang w:eastAsia="en-US"/>
        </w:rPr>
      </w:pPr>
      <w:r>
        <w:rPr>
          <w:sz w:val="22"/>
          <w:szCs w:val="22"/>
          <w:lang w:eastAsia="en-US"/>
        </w:rPr>
        <w:t>Les influences culturelles et risques de conflits liés à l’arrivée de nouveaux exploitants (promoteurs) dans le cadre des aménagements sont également des impacts négatifs inhérents à l'exploitation des parcelles agricoles irriguées.</w:t>
      </w:r>
    </w:p>
    <w:p>
      <w:pPr>
        <w:pStyle w:val="style0"/>
        <w:autoSpaceDE w:val="false"/>
        <w:autoSpaceDN w:val="false"/>
        <w:adjustRightInd w:val="false"/>
        <w:jc w:val="both"/>
        <w:rPr>
          <w:color w:val="000000"/>
          <w:sz w:val="22"/>
          <w:szCs w:val="22"/>
          <w:lang w:eastAsia="en-US"/>
        </w:rPr>
      </w:pPr>
    </w:p>
    <w:p>
      <w:pPr>
        <w:pStyle w:val="style0"/>
        <w:numPr>
          <w:ilvl w:val="0"/>
          <w:numId w:val="14"/>
        </w:numPr>
        <w:rPr>
          <w:i/>
          <w:sz w:val="22"/>
          <w:szCs w:val="22"/>
          <w:lang w:eastAsia="en-US"/>
        </w:rPr>
      </w:pPr>
      <w:r>
        <w:rPr>
          <w:i/>
          <w:sz w:val="22"/>
          <w:szCs w:val="22"/>
          <w:lang w:eastAsia="en-US"/>
        </w:rPr>
        <w:t xml:space="preserve">Impacts négatifs </w:t>
      </w:r>
      <w:r>
        <w:rPr>
          <w:i/>
          <w:sz w:val="22"/>
          <w:szCs w:val="22"/>
          <w:lang w:eastAsia="en-US"/>
        </w:rPr>
        <w:t>liés au sous-projet « C</w:t>
      </w:r>
      <w:r>
        <w:rPr>
          <w:i/>
          <w:sz w:val="22"/>
          <w:szCs w:val="22"/>
          <w:lang w:eastAsia="en-US"/>
        </w:rPr>
        <w:t>réation des vergers</w:t>
      </w:r>
      <w:r>
        <w:rPr>
          <w:i/>
          <w:sz w:val="22"/>
          <w:szCs w:val="22"/>
          <w:lang w:eastAsia="en-US"/>
        </w:rPr>
        <w:t> »</w:t>
      </w:r>
    </w:p>
    <w:p>
      <w:pPr>
        <w:pStyle w:val="style0"/>
        <w:jc w:val="both"/>
        <w:rPr>
          <w:sz w:val="22"/>
          <w:szCs w:val="22"/>
          <w:lang w:eastAsia="en-US"/>
        </w:rPr>
      </w:pPr>
      <w:r>
        <w:rPr>
          <w:sz w:val="22"/>
          <w:szCs w:val="22"/>
          <w:lang w:eastAsia="en-US"/>
        </w:rPr>
        <w:t>En phase d’ouverture des terrains pour l’implantation des vergers, l</w:t>
      </w:r>
      <w:r>
        <w:rPr>
          <w:sz w:val="22"/>
          <w:szCs w:val="22"/>
          <w:lang w:eastAsia="en-US"/>
        </w:rPr>
        <w:t xml:space="preserve">’impact négatif sera l’abattage des arbres. En effet, il s’agit d’une activité qui exige un minimum de conditions agropédoclimatiques favorables pour son installation. Ce critère ne peut être rempli par un espace dénudé voire inculte. Sa satisfaction a forcément lieu sur des domaines portant déjà des arbres, d’où l’obligation de les détruire pour la création du verger. </w:t>
      </w:r>
    </w:p>
    <w:p>
      <w:pPr>
        <w:pStyle w:val="style0"/>
        <w:jc w:val="both"/>
        <w:rPr>
          <w:sz w:val="22"/>
          <w:szCs w:val="22"/>
          <w:lang w:eastAsia="en-US"/>
        </w:rPr>
      </w:pPr>
    </w:p>
    <w:p>
      <w:pPr>
        <w:pStyle w:val="style0"/>
        <w:jc w:val="both"/>
        <w:rPr>
          <w:sz w:val="22"/>
          <w:szCs w:val="22"/>
          <w:lang w:eastAsia="en-US"/>
        </w:rPr>
      </w:pPr>
      <w:r>
        <w:rPr>
          <w:sz w:val="22"/>
          <w:szCs w:val="22"/>
          <w:lang w:eastAsia="en-US"/>
        </w:rPr>
        <w:t>En phase d’exploitation, l</w:t>
      </w:r>
      <w:r>
        <w:rPr>
          <w:sz w:val="22"/>
          <w:szCs w:val="22"/>
          <w:lang w:eastAsia="en-US"/>
        </w:rPr>
        <w:t>es risques de contamination à partir des produits phytosanitaires ne sont pas pour autant moindres dans l’installation d’un verger. En effet, le recours à des pesticides pour combattre les termites sur le site peut être dommageable aussi bien à l’homme qu’à l’animal. Ces mêmes risques demeurent également élevés dans le cadre de la lutte contre les maladies infestant les fruits (mouche blanche).</w:t>
      </w:r>
    </w:p>
    <w:p>
      <w:pPr>
        <w:pStyle w:val="style0"/>
        <w:autoSpaceDE w:val="false"/>
        <w:autoSpaceDN w:val="false"/>
        <w:adjustRightInd w:val="false"/>
        <w:jc w:val="both"/>
        <w:rPr>
          <w:color w:val="000000"/>
          <w:sz w:val="23"/>
          <w:szCs w:val="23"/>
          <w:lang w:eastAsia="en-US"/>
        </w:rPr>
      </w:pPr>
    </w:p>
    <w:p>
      <w:pPr>
        <w:pStyle w:val="style0"/>
        <w:numPr>
          <w:ilvl w:val="0"/>
          <w:numId w:val="14"/>
        </w:numPr>
        <w:rPr>
          <w:i/>
          <w:sz w:val="22"/>
          <w:szCs w:val="22"/>
          <w:lang w:eastAsia="en-US"/>
        </w:rPr>
      </w:pPr>
      <w:r>
        <w:rPr>
          <w:i/>
          <w:sz w:val="22"/>
          <w:szCs w:val="22"/>
          <w:lang w:eastAsia="en-US"/>
        </w:rPr>
        <w:t xml:space="preserve">Impacts négatifs </w:t>
      </w:r>
      <w:r>
        <w:rPr>
          <w:i/>
          <w:sz w:val="22"/>
          <w:szCs w:val="22"/>
          <w:lang w:eastAsia="en-US"/>
        </w:rPr>
        <w:t xml:space="preserve">liés au sous-projet « Création </w:t>
      </w:r>
      <w:r>
        <w:rPr>
          <w:i/>
          <w:sz w:val="22"/>
          <w:szCs w:val="22"/>
          <w:lang w:eastAsia="en-US"/>
        </w:rPr>
        <w:t xml:space="preserve">des unités de conservation </w:t>
      </w:r>
      <w:r>
        <w:rPr>
          <w:i/>
          <w:sz w:val="22"/>
          <w:szCs w:val="22"/>
          <w:lang w:eastAsia="en-US"/>
        </w:rPr>
        <w:t xml:space="preserve">et de transformation </w:t>
      </w:r>
      <w:r>
        <w:rPr>
          <w:i/>
          <w:sz w:val="22"/>
          <w:szCs w:val="22"/>
          <w:lang w:eastAsia="en-US"/>
        </w:rPr>
        <w:t>des produits</w:t>
      </w:r>
      <w:r>
        <w:rPr>
          <w:i/>
          <w:sz w:val="22"/>
          <w:szCs w:val="22"/>
          <w:lang w:eastAsia="en-US"/>
        </w:rPr>
        <w:t> »</w:t>
      </w:r>
    </w:p>
    <w:p>
      <w:pPr>
        <w:pStyle w:val="style0"/>
        <w:jc w:val="both"/>
        <w:rPr>
          <w:sz w:val="22"/>
          <w:szCs w:val="22"/>
          <w:lang w:eastAsia="en-US"/>
        </w:rPr>
      </w:pPr>
      <w:r>
        <w:rPr>
          <w:sz w:val="22"/>
          <w:szCs w:val="22"/>
          <w:lang w:eastAsia="en-US"/>
        </w:rPr>
        <w:t>Les activités de transformation ou de conservation des produits agricoles peuvent générer des déchets sur le plan environnemental.  Ces déchets peuvent également engendrer des nuisances au cadre de vie en l’absence d’un système de gestion appropriée</w:t>
      </w:r>
    </w:p>
    <w:p>
      <w:pPr>
        <w:pStyle w:val="style0"/>
        <w:rPr>
          <w:b/>
          <w:sz w:val="22"/>
          <w:szCs w:val="22"/>
          <w:lang w:eastAsia="en-US"/>
        </w:rPr>
      </w:pPr>
    </w:p>
    <w:p>
      <w:pPr>
        <w:pStyle w:val="style0"/>
        <w:jc w:val="both"/>
        <w:rPr>
          <w:sz w:val="22"/>
          <w:szCs w:val="22"/>
          <w:lang w:eastAsia="en-US"/>
        </w:rPr>
      </w:pPr>
      <w:r>
        <w:rPr>
          <w:sz w:val="22"/>
          <w:szCs w:val="22"/>
          <w:lang w:eastAsia="en-US"/>
        </w:rPr>
        <w:t>Aussi, le processus de conservation ou de transformation peut</w:t>
      </w:r>
      <w:r>
        <w:rPr>
          <w:sz w:val="22"/>
          <w:szCs w:val="22"/>
          <w:lang w:eastAsia="en-US"/>
        </w:rPr>
        <w:t>-il</w:t>
      </w:r>
      <w:r>
        <w:rPr>
          <w:sz w:val="22"/>
          <w:szCs w:val="22"/>
          <w:lang w:eastAsia="en-US"/>
        </w:rPr>
        <w:t xml:space="preserve"> faire recours à l’emploi de certains matériaux locaux (prélèvement de terre, de pailles et bois). Ces pratiques peuvent se révéler néfastes pour l’environnement déjà fortement éprouvé dans certaines zones d’intervention du </w:t>
      </w:r>
      <w:r>
        <w:rPr>
          <w:sz w:val="22"/>
          <w:szCs w:val="22"/>
          <w:lang w:eastAsia="en-US"/>
        </w:rPr>
        <w:t xml:space="preserve">Programme </w:t>
      </w:r>
      <w:r>
        <w:rPr>
          <w:sz w:val="22"/>
          <w:szCs w:val="22"/>
          <w:lang w:eastAsia="en-US"/>
        </w:rPr>
        <w:t>en parti</w:t>
      </w:r>
      <w:r>
        <w:rPr>
          <w:sz w:val="22"/>
          <w:szCs w:val="22"/>
          <w:lang w:eastAsia="en-US"/>
        </w:rPr>
        <w:t>culier</w:t>
      </w:r>
      <w:r>
        <w:rPr>
          <w:sz w:val="22"/>
          <w:szCs w:val="22"/>
          <w:lang w:eastAsia="en-US"/>
        </w:rPr>
        <w:t xml:space="preserve"> dans la région du </w:t>
      </w:r>
      <w:r>
        <w:rPr>
          <w:sz w:val="22"/>
          <w:szCs w:val="22"/>
          <w:lang w:eastAsia="en-US"/>
        </w:rPr>
        <w:t>Nord</w:t>
      </w:r>
      <w:r>
        <w:rPr>
          <w:sz w:val="22"/>
          <w:szCs w:val="22"/>
          <w:lang w:eastAsia="en-US"/>
        </w:rPr>
        <w:t>.</w:t>
      </w:r>
    </w:p>
    <w:p>
      <w:pPr>
        <w:pStyle w:val="style0"/>
        <w:autoSpaceDE w:val="false"/>
        <w:autoSpaceDN w:val="false"/>
        <w:adjustRightInd w:val="false"/>
        <w:jc w:val="both"/>
        <w:rPr>
          <w:sz w:val="22"/>
          <w:szCs w:val="22"/>
          <w:lang w:eastAsia="en-US"/>
        </w:rPr>
      </w:pPr>
    </w:p>
    <w:p>
      <w:pPr>
        <w:pStyle w:val="style0"/>
        <w:autoSpaceDE w:val="false"/>
        <w:autoSpaceDN w:val="false"/>
        <w:adjustRightInd w:val="false"/>
        <w:jc w:val="both"/>
        <w:rPr>
          <w:sz w:val="22"/>
          <w:szCs w:val="22"/>
          <w:lang w:eastAsia="en-US"/>
        </w:rPr>
      </w:pPr>
      <w:r>
        <w:rPr>
          <w:sz w:val="22"/>
          <w:szCs w:val="22"/>
          <w:lang w:eastAsia="en-US"/>
        </w:rPr>
        <w:t xml:space="preserve">L’usage excessif d’engrais et autres productions chimiques ainsi que des systèmes d’exploitation inadaptés à des fins d’accroissement de la production peut conduire à un épuisement rapide des sols (phénomène de la salinisation et de l’encroutement) avec comme conséquence, l’abandon des sites et partant, le rétrécissement des espaces cultivables. </w:t>
      </w:r>
    </w:p>
    <w:p>
      <w:pPr>
        <w:pStyle w:val="style0"/>
        <w:autoSpaceDE w:val="false"/>
        <w:autoSpaceDN w:val="false"/>
        <w:adjustRightInd w:val="false"/>
        <w:jc w:val="both"/>
        <w:rPr>
          <w:sz w:val="22"/>
          <w:szCs w:val="22"/>
          <w:lang w:eastAsia="en-US"/>
        </w:rPr>
      </w:pPr>
    </w:p>
    <w:p>
      <w:pPr>
        <w:pStyle w:val="style0"/>
        <w:jc w:val="both"/>
        <w:rPr>
          <w:sz w:val="22"/>
          <w:szCs w:val="22"/>
          <w:lang w:eastAsia="en-US"/>
        </w:rPr>
      </w:pPr>
      <w:r>
        <w:rPr>
          <w:sz w:val="22"/>
          <w:szCs w:val="22"/>
          <w:lang w:eastAsia="en-US"/>
        </w:rPr>
        <w:t>Enfin, le recours à la fauche et la conservation du fourrage pour l’alimentation des animaux d’embouche, pourrait contribuer à la réduction de la diversité biologique. En effet, la fauche intervient au stade épiaison (avant que les herbes ne produisent des graines) d’où l’absence de graines pour perpétuer l’espèce à défaut d’un ensemencement.</w:t>
      </w:r>
    </w:p>
    <w:p>
      <w:pPr>
        <w:pStyle w:val="style0"/>
        <w:jc w:val="both"/>
        <w:rPr>
          <w:sz w:val="22"/>
          <w:szCs w:val="22"/>
          <w:lang w:eastAsia="en-US"/>
        </w:rPr>
      </w:pPr>
    </w:p>
    <w:p>
      <w:pPr>
        <w:pStyle w:val="style0"/>
        <w:numPr>
          <w:ilvl w:val="0"/>
          <w:numId w:val="14"/>
        </w:numPr>
        <w:rPr>
          <w:i/>
          <w:sz w:val="22"/>
          <w:szCs w:val="22"/>
          <w:lang w:eastAsia="en-US"/>
        </w:rPr>
      </w:pPr>
      <w:r>
        <w:rPr>
          <w:i/>
          <w:sz w:val="22"/>
          <w:szCs w:val="22"/>
          <w:lang w:eastAsia="en-US"/>
        </w:rPr>
        <w:t>Impacts liés au sous-projet « réseau routier »</w:t>
      </w:r>
    </w:p>
    <w:p>
      <w:pPr>
        <w:pStyle w:val="style0"/>
        <w:jc w:val="both"/>
        <w:rPr>
          <w:sz w:val="22"/>
          <w:szCs w:val="22"/>
          <w:lang w:eastAsia="en-US"/>
        </w:rPr>
      </w:pPr>
      <w:r>
        <w:rPr>
          <w:sz w:val="22"/>
          <w:szCs w:val="22"/>
          <w:lang w:eastAsia="en-US"/>
        </w:rPr>
        <w:t xml:space="preserve">Les infrastructures de désenclavement à travers les travaux de réhabilitation des pistes, voies d’accès et routes rurales pourraient avoir quelques effets négatifs en période de construction et d’exploitation. </w:t>
      </w:r>
    </w:p>
    <w:p>
      <w:pPr>
        <w:pStyle w:val="style0"/>
        <w:jc w:val="both"/>
        <w:rPr>
          <w:sz w:val="22"/>
          <w:szCs w:val="22"/>
          <w:lang w:eastAsia="en-US"/>
        </w:rPr>
      </w:pPr>
    </w:p>
    <w:p>
      <w:pPr>
        <w:pStyle w:val="style0"/>
        <w:jc w:val="both"/>
        <w:rPr>
          <w:sz w:val="22"/>
          <w:szCs w:val="22"/>
          <w:lang w:eastAsia="en-US"/>
        </w:rPr>
      </w:pPr>
      <w:r>
        <w:rPr>
          <w:sz w:val="22"/>
          <w:szCs w:val="22"/>
          <w:lang w:eastAsia="en-US"/>
        </w:rPr>
        <w:t>Ainsi, o</w:t>
      </w:r>
      <w:r>
        <w:rPr>
          <w:sz w:val="22"/>
          <w:szCs w:val="22"/>
          <w:lang w:eastAsia="en-US"/>
        </w:rPr>
        <w:t xml:space="preserve">n observera lors de l’exécution des travaux une destruction </w:t>
      </w:r>
      <w:r>
        <w:rPr>
          <w:sz w:val="22"/>
          <w:szCs w:val="22"/>
          <w:lang w:eastAsia="en-US"/>
        </w:rPr>
        <w:t xml:space="preserve">par endroits </w:t>
      </w:r>
      <w:r>
        <w:rPr>
          <w:sz w:val="22"/>
          <w:szCs w:val="22"/>
          <w:lang w:eastAsia="en-US"/>
        </w:rPr>
        <w:t xml:space="preserve">du couvert végétal, </w:t>
      </w:r>
      <w:r>
        <w:rPr>
          <w:sz w:val="22"/>
          <w:szCs w:val="22"/>
          <w:lang w:eastAsia="en-US"/>
        </w:rPr>
        <w:t xml:space="preserve">une perturbation des écosystèmes ou un </w:t>
      </w:r>
      <w:r>
        <w:rPr>
          <w:sz w:val="22"/>
          <w:szCs w:val="22"/>
          <w:lang w:eastAsia="en-US"/>
        </w:rPr>
        <w:t xml:space="preserve">déboisement d’envergure. </w:t>
      </w:r>
    </w:p>
    <w:p>
      <w:pPr>
        <w:pStyle w:val="style0"/>
        <w:jc w:val="both"/>
        <w:rPr>
          <w:sz w:val="22"/>
          <w:szCs w:val="22"/>
          <w:lang w:eastAsia="en-US"/>
        </w:rPr>
      </w:pPr>
    </w:p>
    <w:p>
      <w:pPr>
        <w:pStyle w:val="style0"/>
        <w:jc w:val="both"/>
        <w:rPr>
          <w:sz w:val="22"/>
          <w:szCs w:val="22"/>
          <w:lang w:eastAsia="en-US"/>
        </w:rPr>
      </w:pPr>
      <w:r>
        <w:rPr>
          <w:sz w:val="22"/>
          <w:szCs w:val="22"/>
          <w:lang w:eastAsia="en-US"/>
        </w:rPr>
        <w:t>Aussi, l</w:t>
      </w:r>
      <w:r>
        <w:rPr>
          <w:sz w:val="22"/>
          <w:szCs w:val="22"/>
          <w:lang w:eastAsia="en-US"/>
        </w:rPr>
        <w:t>a pollution de l’air par les poussières, les fumées et autres matières en suspension sera</w:t>
      </w:r>
      <w:r>
        <w:rPr>
          <w:sz w:val="22"/>
          <w:szCs w:val="22"/>
          <w:lang w:eastAsia="en-US"/>
        </w:rPr>
        <w:t>-t-elle</w:t>
      </w:r>
      <w:r>
        <w:rPr>
          <w:sz w:val="22"/>
          <w:szCs w:val="22"/>
          <w:lang w:eastAsia="en-US"/>
        </w:rPr>
        <w:t xml:space="preserve"> constatée à cette période</w:t>
      </w:r>
      <w:r>
        <w:rPr>
          <w:sz w:val="22"/>
          <w:szCs w:val="22"/>
          <w:lang w:eastAsia="en-US"/>
        </w:rPr>
        <w:t xml:space="preserve"> des travaux</w:t>
      </w:r>
      <w:r>
        <w:rPr>
          <w:sz w:val="22"/>
          <w:szCs w:val="22"/>
          <w:lang w:eastAsia="en-US"/>
        </w:rPr>
        <w:t>.</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Le tableau suivant fait la synthèse des impacts environnementaux et sociaux négatifs </w:t>
      </w:r>
      <w:r>
        <w:rPr>
          <w:sz w:val="22"/>
          <w:szCs w:val="22"/>
          <w:lang w:eastAsia="en-US"/>
        </w:rPr>
        <w:t xml:space="preserve">génériques </w:t>
      </w:r>
      <w:r>
        <w:rPr>
          <w:sz w:val="22"/>
          <w:szCs w:val="22"/>
          <w:lang w:eastAsia="en-US"/>
        </w:rPr>
        <w:t>potentiels</w:t>
      </w:r>
      <w:r>
        <w:rPr>
          <w:sz w:val="22"/>
          <w:szCs w:val="22"/>
          <w:lang w:eastAsia="en-US"/>
        </w:rPr>
        <w:t xml:space="preserve"> des sous-projets</w:t>
      </w:r>
      <w:r>
        <w:rPr>
          <w:sz w:val="22"/>
          <w:szCs w:val="22"/>
          <w:lang w:eastAsia="en-US"/>
        </w:rPr>
        <w:t>.</w:t>
      </w:r>
    </w:p>
    <w:p>
      <w:pPr>
        <w:pStyle w:val="style0"/>
        <w:jc w:val="both"/>
        <w:rPr>
          <w:sz w:val="22"/>
          <w:szCs w:val="22"/>
          <w:lang w:eastAsia="en-US"/>
        </w:rPr>
      </w:pPr>
    </w:p>
    <w:bookmarkStart w:id="1079" w:name="_Toc2780540"/>
    <w:bookmarkStart w:id="1080" w:name="_Toc536410796"/>
    <w:p>
      <w:pPr>
        <w:pStyle w:val="style34"/>
        <w:keepNext/>
        <w:jc w:val="left"/>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6</w:t>
      </w:r>
      <w:r>
        <w:rPr>
          <w:color w:val="auto"/>
          <w:sz w:val="20"/>
          <w:szCs w:val="20"/>
        </w:rPr>
        <w:fldChar w:fldCharType="end"/>
      </w:r>
      <w:r>
        <w:rPr>
          <w:color w:val="auto"/>
          <w:sz w:val="20"/>
          <w:szCs w:val="20"/>
        </w:rPr>
        <w:t>: Récapitulatif des impacts négatifs environnementaux et sociaux potentiels</w:t>
      </w:r>
      <w:r>
        <w:rPr>
          <w:color w:val="auto"/>
          <w:sz w:val="20"/>
          <w:szCs w:val="20"/>
        </w:rPr>
        <w:t xml:space="preserve"> des sous-projets</w:t>
      </w:r>
      <w:bookmarkEnd w:id="1079"/>
    </w:p>
    <w:bookmarkEnd w:id="108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01"/>
        <w:gridCol w:w="5097"/>
      </w:tblGrid>
      <w:tr>
        <w:trPr/>
        <w:tc>
          <w:tcPr>
            <w:tcW w:w="310" w:type="pct"/>
            <w:tcBorders/>
            <w:shd w:val="clear" w:color="auto" w:fill="a6a6a6"/>
          </w:tcPr>
          <w:p>
            <w:pPr>
              <w:pStyle w:val="style0"/>
              <w:rPr>
                <w:b/>
                <w:sz w:val="22"/>
                <w:lang w:val="en-US" w:eastAsia="en-US"/>
              </w:rPr>
            </w:pPr>
            <w:r>
              <w:rPr>
                <w:b/>
                <w:sz w:val="22"/>
                <w:lang w:val="en-US" w:eastAsia="en-US"/>
              </w:rPr>
              <w:t>N°</w:t>
            </w:r>
          </w:p>
        </w:tc>
        <w:tc>
          <w:tcPr>
            <w:tcW w:w="1877" w:type="pct"/>
            <w:tcBorders/>
            <w:shd w:val="clear" w:color="auto" w:fill="a6a6a6"/>
          </w:tcPr>
          <w:p>
            <w:pPr>
              <w:pStyle w:val="style0"/>
              <w:rPr>
                <w:b/>
                <w:sz w:val="22"/>
                <w:lang w:val="en-US" w:eastAsia="en-US"/>
              </w:rPr>
            </w:pPr>
            <w:r>
              <w:rPr>
                <w:b/>
                <w:sz w:val="22"/>
                <w:lang w:val="en-US" w:eastAsia="en-US"/>
              </w:rPr>
              <w:t>Activités</w:t>
            </w:r>
            <w:r>
              <w:rPr>
                <w:b/>
                <w:sz w:val="22"/>
                <w:lang w:val="en-US" w:eastAsia="en-US"/>
              </w:rPr>
              <w:t>/sous-projets</w:t>
            </w:r>
          </w:p>
        </w:tc>
        <w:tc>
          <w:tcPr>
            <w:tcW w:w="2813" w:type="pct"/>
            <w:tcBorders/>
            <w:shd w:val="clear" w:color="auto" w:fill="a6a6a6"/>
          </w:tcPr>
          <w:p>
            <w:pPr>
              <w:pStyle w:val="style0"/>
              <w:rPr>
                <w:b/>
                <w:sz w:val="20"/>
                <w:szCs w:val="20"/>
                <w:lang w:val="en-US" w:eastAsia="en-US"/>
              </w:rPr>
            </w:pPr>
            <w:r>
              <w:rPr>
                <w:b/>
                <w:sz w:val="20"/>
                <w:szCs w:val="20"/>
                <w:lang w:val="en-US" w:eastAsia="en-US"/>
              </w:rPr>
              <w:t>Impacts potentiels</w:t>
            </w:r>
          </w:p>
        </w:tc>
      </w:tr>
      <w:tr>
        <w:tblPrEx/>
        <w:trPr/>
        <w:tc>
          <w:tcPr>
            <w:tcW w:w="310" w:type="pct"/>
            <w:tcBorders/>
            <w:shd w:val="clear" w:color="auto" w:fill="auto"/>
          </w:tcPr>
          <w:p>
            <w:pPr>
              <w:pStyle w:val="style0"/>
              <w:rPr>
                <w:b/>
                <w:sz w:val="22"/>
                <w:lang w:eastAsia="en-US"/>
              </w:rPr>
            </w:pPr>
            <w:r>
              <w:rPr>
                <w:b/>
                <w:sz w:val="22"/>
                <w:lang w:eastAsia="en-US"/>
              </w:rPr>
              <w:t>1</w:t>
            </w:r>
          </w:p>
        </w:tc>
        <w:tc>
          <w:tcPr>
            <w:tcW w:w="1877" w:type="pct"/>
            <w:tcBorders/>
            <w:shd w:val="clear" w:color="auto" w:fill="auto"/>
          </w:tcPr>
          <w:p>
            <w:pPr>
              <w:pStyle w:val="style0"/>
              <w:rPr>
                <w:sz w:val="20"/>
                <w:szCs w:val="20"/>
                <w:lang w:eastAsia="en-US"/>
              </w:rPr>
            </w:pPr>
            <w:r>
              <w:rPr>
                <w:sz w:val="20"/>
                <w:szCs w:val="20"/>
                <w:lang w:eastAsia="en-US"/>
              </w:rPr>
              <w:t>Exploitation des parcelles agricoles irriguées</w:t>
            </w:r>
          </w:p>
        </w:tc>
        <w:tc>
          <w:tcPr>
            <w:tcW w:w="2813" w:type="pct"/>
            <w:tcBorders/>
            <w:shd w:val="clear" w:color="auto" w:fill="auto"/>
          </w:tcPr>
          <w:p>
            <w:pPr>
              <w:pStyle w:val="style0"/>
              <w:contextualSpacing/>
              <w:rPr>
                <w:sz w:val="20"/>
                <w:szCs w:val="20"/>
                <w:lang w:eastAsia="en-US"/>
              </w:rPr>
            </w:pPr>
            <w:r>
              <w:rPr>
                <w:sz w:val="20"/>
                <w:szCs w:val="20"/>
                <w:u w:val="single"/>
                <w:lang w:eastAsia="en-US"/>
              </w:rPr>
              <w:t>En phase</w:t>
            </w:r>
            <w:r>
              <w:rPr>
                <w:sz w:val="20"/>
                <w:szCs w:val="20"/>
                <w:lang w:eastAsia="en-US"/>
              </w:rPr>
              <w:t> </w:t>
            </w:r>
            <w:r>
              <w:rPr>
                <w:sz w:val="20"/>
                <w:szCs w:val="20"/>
                <w:lang w:eastAsia="en-US"/>
              </w:rPr>
              <w:t>T</w:t>
            </w:r>
            <w:r>
              <w:rPr>
                <w:sz w:val="20"/>
                <w:szCs w:val="20"/>
                <w:lang w:eastAsia="en-US"/>
              </w:rPr>
              <w:t>ravaux</w:t>
            </w:r>
          </w:p>
          <w:p>
            <w:pPr>
              <w:pStyle w:val="style0"/>
              <w:numPr>
                <w:ilvl w:val="0"/>
                <w:numId w:val="31"/>
              </w:numPr>
              <w:contextualSpacing/>
              <w:rPr>
                <w:sz w:val="20"/>
                <w:szCs w:val="20"/>
                <w:lang w:eastAsia="en-US"/>
              </w:rPr>
            </w:pPr>
            <w:r>
              <w:rPr>
                <w:sz w:val="20"/>
                <w:szCs w:val="20"/>
                <w:lang w:eastAsia="en-US"/>
              </w:rPr>
              <w:t>Dégradation et l’appauvrissement des terres, la destruction du couvert végétal pour l’extension des exploitations agricoles</w:t>
            </w:r>
          </w:p>
          <w:p>
            <w:pPr>
              <w:pStyle w:val="style0"/>
              <w:numPr>
                <w:ilvl w:val="0"/>
                <w:numId w:val="31"/>
              </w:numPr>
              <w:contextualSpacing/>
              <w:rPr>
                <w:sz w:val="20"/>
                <w:szCs w:val="20"/>
                <w:lang w:eastAsia="en-US"/>
              </w:rPr>
            </w:pPr>
            <w:r>
              <w:rPr>
                <w:sz w:val="20"/>
                <w:szCs w:val="20"/>
                <w:lang w:eastAsia="en-US"/>
              </w:rPr>
              <w:t xml:space="preserve">Menaces sur la biodiversité en raison du déboisement des berges </w:t>
            </w:r>
          </w:p>
          <w:p>
            <w:pPr>
              <w:pStyle w:val="style0"/>
              <w:numPr>
                <w:ilvl w:val="0"/>
                <w:numId w:val="31"/>
              </w:numPr>
              <w:contextualSpacing/>
              <w:rPr>
                <w:sz w:val="20"/>
                <w:szCs w:val="20"/>
                <w:lang w:eastAsia="en-US"/>
              </w:rPr>
            </w:pPr>
            <w:r>
              <w:rPr>
                <w:sz w:val="20"/>
                <w:szCs w:val="20"/>
                <w:lang w:eastAsia="en-US"/>
              </w:rPr>
              <w:t>Epuisement rapide des sols (phénomène de la salinisation et de l’encroutement)</w:t>
            </w:r>
          </w:p>
          <w:p>
            <w:pPr>
              <w:pStyle w:val="style0"/>
              <w:contextualSpacing/>
              <w:rPr>
                <w:sz w:val="20"/>
                <w:szCs w:val="20"/>
                <w:lang w:eastAsia="en-US"/>
              </w:rPr>
            </w:pPr>
          </w:p>
          <w:p>
            <w:pPr>
              <w:pStyle w:val="style0"/>
              <w:contextualSpacing/>
              <w:rPr>
                <w:sz w:val="20"/>
                <w:szCs w:val="20"/>
                <w:u w:val="single"/>
                <w:lang w:eastAsia="en-US"/>
              </w:rPr>
            </w:pPr>
            <w:r>
              <w:rPr>
                <w:sz w:val="20"/>
                <w:szCs w:val="20"/>
                <w:u w:val="single"/>
                <w:lang w:eastAsia="en-US"/>
              </w:rPr>
              <w:t>En phase Exploitation</w:t>
            </w:r>
          </w:p>
          <w:p>
            <w:pPr>
              <w:pStyle w:val="style0"/>
              <w:numPr>
                <w:ilvl w:val="0"/>
                <w:numId w:val="31"/>
              </w:numPr>
              <w:contextualSpacing/>
              <w:rPr>
                <w:sz w:val="20"/>
                <w:szCs w:val="20"/>
                <w:lang w:eastAsia="en-US"/>
              </w:rPr>
            </w:pPr>
            <w:r>
              <w:rPr>
                <w:sz w:val="20"/>
                <w:szCs w:val="20"/>
                <w:lang w:eastAsia="en-US"/>
              </w:rPr>
              <w:t>Pollution des eaux et des sols ainsi que les risques de maladies humaines et animales liés à  l’usage des engrais et des pesticides</w:t>
            </w:r>
          </w:p>
          <w:p>
            <w:pPr>
              <w:pStyle w:val="style0"/>
              <w:numPr>
                <w:ilvl w:val="0"/>
                <w:numId w:val="31"/>
              </w:numPr>
              <w:contextualSpacing/>
              <w:rPr>
                <w:sz w:val="20"/>
                <w:szCs w:val="20"/>
                <w:lang w:eastAsia="en-US"/>
              </w:rPr>
            </w:pPr>
            <w:r>
              <w:rPr>
                <w:sz w:val="20"/>
                <w:szCs w:val="20"/>
                <w:lang w:eastAsia="en-US"/>
              </w:rPr>
              <w:t>Paludisme</w:t>
            </w:r>
          </w:p>
          <w:p>
            <w:pPr>
              <w:pStyle w:val="style0"/>
              <w:numPr>
                <w:ilvl w:val="0"/>
                <w:numId w:val="31"/>
              </w:numPr>
              <w:contextualSpacing/>
              <w:rPr>
                <w:sz w:val="20"/>
                <w:szCs w:val="20"/>
                <w:lang w:eastAsia="en-US"/>
              </w:rPr>
            </w:pPr>
            <w:r>
              <w:rPr>
                <w:sz w:val="20"/>
                <w:szCs w:val="20"/>
                <w:lang w:eastAsia="en-US"/>
              </w:rPr>
              <w:t>Contamination humaine par la mauvaise gestion des emballages</w:t>
            </w:r>
          </w:p>
          <w:p>
            <w:pPr>
              <w:pStyle w:val="style0"/>
              <w:numPr>
                <w:ilvl w:val="0"/>
                <w:numId w:val="31"/>
              </w:numPr>
              <w:contextualSpacing/>
              <w:rPr>
                <w:sz w:val="20"/>
                <w:szCs w:val="20"/>
                <w:lang w:eastAsia="en-US"/>
              </w:rPr>
            </w:pPr>
            <w:r>
              <w:rPr>
                <w:sz w:val="20"/>
                <w:szCs w:val="20"/>
                <w:lang w:eastAsia="en-US"/>
              </w:rPr>
              <w:t>Exacerbation des conflits entre les éleveurs et les agriculteurs et avec l’arrivée de nouveaux exploitants  dans le cadre des aménagements</w:t>
            </w:r>
            <w:r>
              <w:rPr>
                <w:sz w:val="20"/>
                <w:szCs w:val="20"/>
                <w:lang w:eastAsia="en-US"/>
              </w:rPr>
              <w:t xml:space="preserve"> hydroagricoles</w:t>
            </w:r>
          </w:p>
        </w:tc>
      </w:tr>
      <w:tr>
        <w:tblPrEx/>
        <w:trPr/>
        <w:tc>
          <w:tcPr>
            <w:tcW w:w="310" w:type="pct"/>
            <w:tcBorders/>
            <w:shd w:val="clear" w:color="auto" w:fill="auto"/>
          </w:tcPr>
          <w:p>
            <w:pPr>
              <w:pStyle w:val="style0"/>
              <w:rPr>
                <w:b/>
                <w:sz w:val="22"/>
                <w:lang w:eastAsia="en-US"/>
              </w:rPr>
            </w:pPr>
            <w:r>
              <w:rPr>
                <w:b/>
                <w:sz w:val="22"/>
                <w:lang w:eastAsia="en-US"/>
              </w:rPr>
              <w:t>2</w:t>
            </w:r>
          </w:p>
        </w:tc>
        <w:tc>
          <w:tcPr>
            <w:tcW w:w="1877" w:type="pct"/>
            <w:tcBorders/>
            <w:shd w:val="clear" w:color="auto" w:fill="auto"/>
          </w:tcPr>
          <w:p>
            <w:pPr>
              <w:pStyle w:val="style0"/>
              <w:rPr>
                <w:sz w:val="20"/>
                <w:szCs w:val="20"/>
                <w:lang w:val="en-US" w:eastAsia="en-US"/>
              </w:rPr>
            </w:pPr>
            <w:r>
              <w:rPr>
                <w:sz w:val="20"/>
                <w:szCs w:val="20"/>
                <w:lang w:eastAsia="en-US"/>
              </w:rPr>
              <w:t>Création des vergers</w:t>
            </w:r>
          </w:p>
        </w:tc>
        <w:tc>
          <w:tcPr>
            <w:tcW w:w="2813" w:type="pct"/>
            <w:tcBorders/>
            <w:shd w:val="clear" w:color="auto" w:fill="auto"/>
          </w:tcPr>
          <w:p>
            <w:pPr>
              <w:pStyle w:val="style0"/>
              <w:rPr>
                <w:b/>
                <w:sz w:val="20"/>
                <w:szCs w:val="20"/>
                <w:lang w:eastAsia="en-US"/>
              </w:rPr>
            </w:pPr>
            <w:r>
              <w:rPr>
                <w:sz w:val="20"/>
                <w:szCs w:val="20"/>
                <w:lang w:eastAsia="en-US"/>
              </w:rPr>
              <w:t>C</w:t>
            </w:r>
            <w:r>
              <w:rPr>
                <w:sz w:val="20"/>
                <w:szCs w:val="20"/>
                <w:lang w:eastAsia="en-US"/>
              </w:rPr>
              <w:t>ontamination à partir des produits phytosanitaires et dans le cadre de la lutte contre les maladies infestant les fruits (mouche blanche).</w:t>
            </w:r>
          </w:p>
        </w:tc>
      </w:tr>
      <w:tr>
        <w:tblPrEx/>
        <w:trPr/>
        <w:tc>
          <w:tcPr>
            <w:tcW w:w="310" w:type="pct"/>
            <w:tcBorders/>
            <w:shd w:val="clear" w:color="auto" w:fill="auto"/>
          </w:tcPr>
          <w:p>
            <w:pPr>
              <w:pStyle w:val="style0"/>
              <w:rPr>
                <w:b/>
                <w:sz w:val="22"/>
                <w:lang w:eastAsia="en-US"/>
              </w:rPr>
            </w:pPr>
            <w:r>
              <w:rPr>
                <w:b/>
                <w:sz w:val="22"/>
                <w:lang w:eastAsia="en-US"/>
              </w:rPr>
              <w:t>3</w:t>
            </w:r>
          </w:p>
        </w:tc>
        <w:tc>
          <w:tcPr>
            <w:tcW w:w="1877" w:type="pct"/>
            <w:tcBorders/>
            <w:shd w:val="clear" w:color="auto" w:fill="auto"/>
          </w:tcPr>
          <w:p>
            <w:pPr>
              <w:pStyle w:val="style0"/>
              <w:rPr>
                <w:sz w:val="20"/>
                <w:szCs w:val="20"/>
                <w:lang w:eastAsia="en-US"/>
              </w:rPr>
            </w:pPr>
            <w:r>
              <w:rPr>
                <w:sz w:val="20"/>
                <w:szCs w:val="20"/>
                <w:lang w:eastAsia="en-US"/>
              </w:rPr>
              <w:t>Création des unités de conservation des produits</w:t>
            </w:r>
          </w:p>
        </w:tc>
        <w:tc>
          <w:tcPr>
            <w:tcW w:w="2813" w:type="pct"/>
            <w:tcBorders/>
            <w:shd w:val="clear" w:color="auto" w:fill="auto"/>
          </w:tcPr>
          <w:p>
            <w:pPr>
              <w:pStyle w:val="style0"/>
              <w:numPr>
                <w:ilvl w:val="0"/>
                <w:numId w:val="31"/>
              </w:numPr>
              <w:contextualSpacing/>
              <w:rPr>
                <w:sz w:val="20"/>
                <w:szCs w:val="20"/>
                <w:lang w:eastAsia="en-US"/>
              </w:rPr>
            </w:pPr>
            <w:r>
              <w:rPr>
                <w:sz w:val="20"/>
                <w:szCs w:val="20"/>
                <w:lang w:eastAsia="en-US"/>
              </w:rPr>
              <w:t>Dégradation du milieu naturel occasionnée par le prélèvement de terre, de pailles et bois pour les constructions d’infrastructures</w:t>
            </w:r>
          </w:p>
          <w:p>
            <w:pPr>
              <w:pStyle w:val="style0"/>
              <w:numPr>
                <w:ilvl w:val="0"/>
                <w:numId w:val="31"/>
              </w:numPr>
              <w:contextualSpacing/>
              <w:rPr>
                <w:sz w:val="20"/>
                <w:szCs w:val="20"/>
                <w:lang w:eastAsia="en-US"/>
              </w:rPr>
            </w:pPr>
            <w:r>
              <w:rPr>
                <w:sz w:val="20"/>
                <w:szCs w:val="20"/>
                <w:lang w:eastAsia="en-US"/>
              </w:rPr>
              <w:t>Nuisances liées à la production de déchets</w:t>
            </w:r>
            <w:r>
              <w:rPr>
                <w:sz w:val="20"/>
                <w:szCs w:val="20"/>
                <w:lang w:eastAsia="en-US"/>
              </w:rPr>
              <w:t xml:space="preserve"> en phase d’exploitation</w:t>
            </w:r>
          </w:p>
        </w:tc>
      </w:tr>
      <w:tr>
        <w:tblPrEx/>
        <w:trPr/>
        <w:tc>
          <w:tcPr>
            <w:tcW w:w="310" w:type="pct"/>
            <w:tcBorders/>
            <w:shd w:val="clear" w:color="auto" w:fill="auto"/>
          </w:tcPr>
          <w:p>
            <w:pPr>
              <w:pStyle w:val="style0"/>
              <w:rPr>
                <w:b/>
                <w:sz w:val="22"/>
                <w:lang w:eastAsia="en-US"/>
              </w:rPr>
            </w:pPr>
            <w:r>
              <w:rPr>
                <w:b/>
                <w:sz w:val="22"/>
                <w:lang w:eastAsia="en-US"/>
              </w:rPr>
              <w:t>4</w:t>
            </w:r>
          </w:p>
        </w:tc>
        <w:tc>
          <w:tcPr>
            <w:tcW w:w="1877" w:type="pct"/>
            <w:tcBorders/>
            <w:shd w:val="clear" w:color="auto" w:fill="auto"/>
          </w:tcPr>
          <w:p>
            <w:pPr>
              <w:pStyle w:val="style0"/>
              <w:rPr>
                <w:sz w:val="20"/>
                <w:szCs w:val="20"/>
                <w:lang w:eastAsia="en-US"/>
              </w:rPr>
            </w:pPr>
            <w:r>
              <w:rPr>
                <w:sz w:val="20"/>
                <w:szCs w:val="20"/>
                <w:lang w:eastAsia="en-US"/>
              </w:rPr>
              <w:t>Réseau routier (réhabilitation/construction de pistes rurales)</w:t>
            </w:r>
          </w:p>
        </w:tc>
        <w:tc>
          <w:tcPr>
            <w:tcW w:w="2813" w:type="pct"/>
            <w:tcBorders/>
            <w:shd w:val="clear" w:color="auto" w:fill="auto"/>
          </w:tcPr>
          <w:p>
            <w:pPr>
              <w:pStyle w:val="style0"/>
              <w:numPr>
                <w:ilvl w:val="0"/>
                <w:numId w:val="31"/>
              </w:numPr>
              <w:contextualSpacing/>
              <w:rPr>
                <w:sz w:val="20"/>
                <w:szCs w:val="20"/>
                <w:lang w:eastAsia="en-US"/>
              </w:rPr>
            </w:pPr>
            <w:r>
              <w:rPr>
                <w:sz w:val="20"/>
                <w:szCs w:val="20"/>
                <w:lang w:eastAsia="en-US"/>
              </w:rPr>
              <w:t>Destruction par endroits du couvert végétal</w:t>
            </w:r>
          </w:p>
          <w:p>
            <w:pPr>
              <w:pStyle w:val="style0"/>
              <w:numPr>
                <w:ilvl w:val="0"/>
                <w:numId w:val="31"/>
              </w:numPr>
              <w:contextualSpacing/>
              <w:rPr>
                <w:sz w:val="20"/>
                <w:szCs w:val="20"/>
                <w:lang w:eastAsia="en-US"/>
              </w:rPr>
            </w:pPr>
            <w:r>
              <w:rPr>
                <w:sz w:val="20"/>
                <w:szCs w:val="20"/>
                <w:lang w:eastAsia="en-US"/>
              </w:rPr>
              <w:t>Pollution locale de l’air et des eaux/sols</w:t>
            </w:r>
          </w:p>
        </w:tc>
      </w:tr>
    </w:tbl>
    <w:p>
      <w:pPr>
        <w:pStyle w:val="style0"/>
        <w:jc w:val="both"/>
        <w:rPr>
          <w:sz w:val="23"/>
          <w:szCs w:val="23"/>
          <w:lang w:eastAsia="en-US"/>
        </w:rPr>
      </w:pPr>
      <w:r>
        <w:rPr>
          <w:sz w:val="23"/>
          <w:szCs w:val="23"/>
          <w:lang w:eastAsia="en-US"/>
        </w:rPr>
        <w:t xml:space="preserve"> </w:t>
      </w:r>
    </w:p>
    <w:bookmarkStart w:id="1081" w:name="_Toc536407900"/>
    <w:bookmarkStart w:id="1082" w:name="_Toc536408609"/>
    <w:bookmarkStart w:id="1083" w:name="_Toc536409295"/>
    <w:bookmarkStart w:id="1084" w:name="_Toc536409980"/>
    <w:bookmarkStart w:id="1085" w:name="_Toc536410665"/>
    <w:bookmarkStart w:id="1086" w:name="_Toc536407901"/>
    <w:bookmarkStart w:id="1087" w:name="_Toc536408610"/>
    <w:bookmarkStart w:id="1088" w:name="_Toc536409296"/>
    <w:bookmarkStart w:id="1089" w:name="_Toc536409981"/>
    <w:bookmarkStart w:id="1090" w:name="_Toc536410666"/>
    <w:bookmarkStart w:id="1091" w:name="_Toc536407902"/>
    <w:bookmarkStart w:id="1092" w:name="_Toc536408611"/>
    <w:bookmarkStart w:id="1093" w:name="_Toc536409297"/>
    <w:bookmarkStart w:id="1094" w:name="_Toc536409982"/>
    <w:bookmarkStart w:id="1095" w:name="_Toc536410667"/>
    <w:bookmarkStart w:id="1096" w:name="_Toc536407906"/>
    <w:bookmarkStart w:id="1097" w:name="_Toc536408615"/>
    <w:bookmarkStart w:id="1098" w:name="_Toc536409301"/>
    <w:bookmarkStart w:id="1099" w:name="_Toc536409986"/>
    <w:bookmarkStart w:id="1100" w:name="_Toc536410671"/>
    <w:bookmarkStart w:id="1101" w:name="_Toc536407907"/>
    <w:bookmarkStart w:id="1102" w:name="_Toc536408616"/>
    <w:bookmarkStart w:id="1103" w:name="_Toc536409302"/>
    <w:bookmarkStart w:id="1104" w:name="_Toc536409987"/>
    <w:bookmarkStart w:id="1105" w:name="_Toc536410672"/>
    <w:bookmarkStart w:id="1106" w:name="_Toc536407908"/>
    <w:bookmarkStart w:id="1107" w:name="_Toc536408617"/>
    <w:bookmarkStart w:id="1108" w:name="_Toc536409303"/>
    <w:bookmarkStart w:id="1109" w:name="_Toc536409988"/>
    <w:bookmarkStart w:id="1110" w:name="_Toc536410673"/>
    <w:bookmarkStart w:id="1111" w:name="_Toc536407910"/>
    <w:bookmarkStart w:id="1112" w:name="_Toc536408619"/>
    <w:bookmarkStart w:id="1113" w:name="_Toc536409305"/>
    <w:bookmarkStart w:id="1114" w:name="_Toc536409990"/>
    <w:bookmarkStart w:id="1115" w:name="_Toc536410675"/>
    <w:bookmarkStart w:id="1116" w:name="_Toc536407912"/>
    <w:bookmarkStart w:id="1117" w:name="_Toc536408621"/>
    <w:bookmarkStart w:id="1118" w:name="_Toc536409307"/>
    <w:bookmarkStart w:id="1119" w:name="_Toc536409992"/>
    <w:bookmarkStart w:id="1120" w:name="_Toc536410677"/>
    <w:bookmarkStart w:id="1121" w:name="_Toc536407913"/>
    <w:bookmarkStart w:id="1122" w:name="_Toc536408622"/>
    <w:bookmarkStart w:id="1123" w:name="_Toc536409308"/>
    <w:bookmarkStart w:id="1124" w:name="_Toc536409993"/>
    <w:bookmarkStart w:id="1125" w:name="_Toc536410678"/>
    <w:bookmarkStart w:id="1126" w:name="_Toc536407914"/>
    <w:bookmarkStart w:id="1127" w:name="_Toc536408623"/>
    <w:bookmarkStart w:id="1128" w:name="_Toc536409309"/>
    <w:bookmarkStart w:id="1129" w:name="_Toc536409994"/>
    <w:bookmarkStart w:id="1130" w:name="_Toc536410679"/>
    <w:bookmarkStart w:id="1131" w:name="_Toc536407916"/>
    <w:bookmarkStart w:id="1132" w:name="_Toc536408625"/>
    <w:bookmarkStart w:id="1133" w:name="_Toc536409311"/>
    <w:bookmarkStart w:id="1134" w:name="_Toc536409996"/>
    <w:bookmarkStart w:id="1135" w:name="_Toc536410681"/>
    <w:bookmarkStart w:id="1136" w:name="_Toc536407918"/>
    <w:bookmarkStart w:id="1137" w:name="_Toc536408627"/>
    <w:bookmarkStart w:id="1138" w:name="_Toc536409313"/>
    <w:bookmarkStart w:id="1139" w:name="_Toc536409998"/>
    <w:bookmarkStart w:id="1140" w:name="_Toc536410683"/>
    <w:bookmarkStart w:id="1141" w:name="_Toc536407920"/>
    <w:bookmarkStart w:id="1142" w:name="_Toc536408629"/>
    <w:bookmarkStart w:id="1143" w:name="_Toc536409315"/>
    <w:bookmarkStart w:id="1144" w:name="_Toc536410000"/>
    <w:bookmarkStart w:id="1145" w:name="_Toc536410685"/>
    <w:bookmarkStart w:id="1146" w:name="_Toc536407922"/>
    <w:bookmarkStart w:id="1147" w:name="_Toc536408631"/>
    <w:bookmarkStart w:id="1148" w:name="_Toc536409317"/>
    <w:bookmarkStart w:id="1149" w:name="_Toc536410002"/>
    <w:bookmarkStart w:id="1150" w:name="_Toc536410687"/>
    <w:bookmarkStart w:id="1151" w:name="_Toc536407923"/>
    <w:bookmarkStart w:id="1152" w:name="_Toc536408632"/>
    <w:bookmarkStart w:id="1153" w:name="_Toc536409318"/>
    <w:bookmarkStart w:id="1154" w:name="_Toc536410003"/>
    <w:bookmarkStart w:id="1155" w:name="_Toc536410688"/>
    <w:bookmarkStart w:id="1156" w:name="_Toc536407926"/>
    <w:bookmarkStart w:id="1157" w:name="_Toc536408635"/>
    <w:bookmarkStart w:id="1158" w:name="_Toc536409321"/>
    <w:bookmarkStart w:id="1159" w:name="_Toc536410006"/>
    <w:bookmarkStart w:id="1160" w:name="_Toc536410691"/>
    <w:bookmarkStart w:id="1161" w:name="_Toc536407928"/>
    <w:bookmarkStart w:id="1162" w:name="_Toc536408637"/>
    <w:bookmarkStart w:id="1163" w:name="_Toc536409323"/>
    <w:bookmarkStart w:id="1164" w:name="_Toc536410008"/>
    <w:bookmarkStart w:id="1165" w:name="_Toc536410693"/>
    <w:bookmarkStart w:id="1166" w:name="_Toc536407930"/>
    <w:bookmarkStart w:id="1167" w:name="_Toc536408639"/>
    <w:bookmarkStart w:id="1168" w:name="_Toc536409325"/>
    <w:bookmarkStart w:id="1169" w:name="_Toc536410010"/>
    <w:bookmarkStart w:id="1170" w:name="_Toc536410695"/>
    <w:bookmarkStart w:id="1171" w:name="_Toc536407932"/>
    <w:bookmarkStart w:id="1172" w:name="_Toc536408641"/>
    <w:bookmarkStart w:id="1173" w:name="_Toc536409327"/>
    <w:bookmarkStart w:id="1174" w:name="_Toc536410012"/>
    <w:bookmarkStart w:id="1175" w:name="_Toc536410697"/>
    <w:bookmarkStart w:id="1176" w:name="_Toc536407933"/>
    <w:bookmarkStart w:id="1177" w:name="_Toc536408642"/>
    <w:bookmarkStart w:id="1178" w:name="_Toc536409328"/>
    <w:bookmarkStart w:id="1179" w:name="_Toc536410013"/>
    <w:bookmarkStart w:id="1180" w:name="_Toc536410698"/>
    <w:bookmarkStart w:id="1181" w:name="_Toc536407934"/>
    <w:bookmarkStart w:id="1182" w:name="_Toc536408643"/>
    <w:bookmarkStart w:id="1183" w:name="_Toc536409329"/>
    <w:bookmarkStart w:id="1184" w:name="_Toc536410014"/>
    <w:bookmarkStart w:id="1185" w:name="_Toc536410699"/>
    <w:bookmarkStart w:id="1186" w:name="_Toc536407937"/>
    <w:bookmarkStart w:id="1187" w:name="_Toc536408646"/>
    <w:bookmarkStart w:id="1188" w:name="_Toc536409332"/>
    <w:bookmarkStart w:id="1189" w:name="_Toc536410017"/>
    <w:bookmarkStart w:id="1190" w:name="_Toc536410702"/>
    <w:bookmarkStart w:id="1191" w:name="_Toc536407939"/>
    <w:bookmarkStart w:id="1192" w:name="_Toc536408648"/>
    <w:bookmarkStart w:id="1193" w:name="_Toc536409334"/>
    <w:bookmarkStart w:id="1194" w:name="_Toc536410019"/>
    <w:bookmarkStart w:id="1195" w:name="_Toc536410704"/>
    <w:bookmarkStart w:id="1196" w:name="_Toc536407943"/>
    <w:bookmarkStart w:id="1197" w:name="_Toc536408652"/>
    <w:bookmarkStart w:id="1198" w:name="_Toc536409338"/>
    <w:bookmarkStart w:id="1199" w:name="_Toc536410023"/>
    <w:bookmarkStart w:id="1200" w:name="_Toc536410708"/>
    <w:bookmarkStart w:id="1201" w:name="_Toc536407945"/>
    <w:bookmarkStart w:id="1202" w:name="_Toc536408654"/>
    <w:bookmarkStart w:id="1203" w:name="_Toc536409340"/>
    <w:bookmarkStart w:id="1204" w:name="_Toc536410025"/>
    <w:bookmarkStart w:id="1205" w:name="_Toc536410710"/>
    <w:bookmarkStart w:id="1206" w:name="_Toc291800510"/>
    <w:bookmarkStart w:id="1207" w:name="_Toc536410712"/>
    <w:bookmarkStart w:id="1208" w:name="_Toc686116"/>
    <w:bookmarkStart w:id="1209" w:name="_Toc2780495"/>
    <w:bookmarkEnd w:id="1078"/>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Pr>
        <w:pStyle w:val="style3"/>
        <w:numPr>
          <w:ilvl w:val="0"/>
          <w:numId w:val="0"/>
        </w:numPr>
        <w:ind w:left="644" w:hanging="360"/>
        <w:rPr>
          <w:b/>
          <w:u w:val="none"/>
        </w:rPr>
      </w:pPr>
      <w:r>
        <w:rPr>
          <w:b/>
          <w:u w:val="none"/>
        </w:rPr>
        <w:t>5</w:t>
      </w:r>
      <w:r>
        <w:rPr>
          <w:b/>
          <w:u w:val="none"/>
        </w:rPr>
        <w:t>.</w:t>
      </w:r>
      <w:r>
        <w:rPr>
          <w:b/>
          <w:u w:val="none"/>
        </w:rPr>
        <w:t>.2</w:t>
      </w:r>
      <w:r>
        <w:rPr>
          <w:b/>
          <w:u w:val="none"/>
        </w:rPr>
        <w:t>.3.</w:t>
      </w:r>
      <w:r>
        <w:rPr>
          <w:b/>
          <w:u w:val="none"/>
        </w:rPr>
        <w:t xml:space="preserve"> Impacts</w:t>
      </w:r>
      <w:r>
        <w:rPr>
          <w:b/>
          <w:u w:val="none"/>
        </w:rPr>
        <w:t xml:space="preserve"> négatifs cumulatifs des activités du </w:t>
      </w:r>
      <w:bookmarkEnd w:id="1206"/>
      <w:bookmarkEnd w:id="1207"/>
      <w:r>
        <w:rPr>
          <w:b/>
          <w:u w:val="none"/>
        </w:rPr>
        <w:t>Programme</w:t>
      </w:r>
      <w:bookmarkEnd w:id="1208"/>
      <w:bookmarkEnd w:id="1209"/>
    </w:p>
    <w:p>
      <w:pPr>
        <w:pStyle w:val="style0"/>
        <w:autoSpaceDE w:val="false"/>
        <w:autoSpaceDN w:val="false"/>
        <w:adjustRightInd w:val="false"/>
        <w:jc w:val="both"/>
        <w:rPr>
          <w:sz w:val="22"/>
          <w:szCs w:val="22"/>
          <w:lang w:eastAsia="en-US"/>
        </w:rPr>
      </w:pPr>
      <w:r>
        <w:rPr>
          <w:sz w:val="22"/>
          <w:szCs w:val="22"/>
          <w:lang w:eastAsia="en-US"/>
        </w:rPr>
        <w:t xml:space="preserve">En sus des impacts environnementaux et sociaux négatifs liés à la mise en œuvre des activités du </w:t>
      </w:r>
      <w:r>
        <w:rPr>
          <w:sz w:val="22"/>
          <w:szCs w:val="22"/>
          <w:lang w:eastAsia="en-US"/>
        </w:rPr>
        <w:t>Programme</w:t>
      </w:r>
      <w:r>
        <w:rPr>
          <w:sz w:val="22"/>
          <w:szCs w:val="22"/>
          <w:lang w:eastAsia="en-US"/>
        </w:rPr>
        <w:t>, l’étude prend également en compte les impacts cumulatifs. Cette démarche vise à s’assurer que la combinaison de plusieurs impacts négatifs mineurs n’engendre à long terme, des incidences néfastes sur les milieux humain et biophysique par le phénomène de l’accumulation. Les effets cumulatifs sont les changements subis par l’environnement en raison d’une action combinée avec d’autres actions humaines passées, présentes et futures. Ils peuvent se manifester de deux manières :</w:t>
      </w:r>
    </w:p>
    <w:p>
      <w:pPr>
        <w:pStyle w:val="style0"/>
        <w:autoSpaceDE w:val="false"/>
        <w:autoSpaceDN w:val="false"/>
        <w:adjustRightInd w:val="false"/>
        <w:jc w:val="both"/>
        <w:rPr>
          <w:sz w:val="23"/>
          <w:szCs w:val="23"/>
          <w:lang w:eastAsia="en-US"/>
        </w:rPr>
      </w:pPr>
    </w:p>
    <w:p>
      <w:pPr>
        <w:pStyle w:val="style0"/>
        <w:numPr>
          <w:ilvl w:val="0"/>
          <w:numId w:val="4"/>
        </w:numPr>
        <w:autoSpaceDE w:val="false"/>
        <w:autoSpaceDN w:val="false"/>
        <w:adjustRightInd w:val="false"/>
        <w:jc w:val="both"/>
        <w:rPr>
          <w:sz w:val="22"/>
          <w:szCs w:val="22"/>
          <w:lang w:eastAsia="en-US"/>
        </w:rPr>
      </w:pPr>
      <w:r>
        <w:rPr>
          <w:sz w:val="22"/>
          <w:szCs w:val="22"/>
          <w:lang w:eastAsia="en-US"/>
        </w:rPr>
        <w:t>d</w:t>
      </w:r>
      <w:r>
        <w:rPr>
          <w:sz w:val="22"/>
          <w:szCs w:val="22"/>
          <w:lang w:eastAsia="en-US"/>
        </w:rPr>
        <w:t>ans le premier cas, il peut s’agir d’activités de même nature réalisées soit simultanément ou successivement mais en nombre élevé. Individuellement pris, les impacts négatifs générés par ces activités peuvent être négligeables. Par contre, lorsqu’on fait le cumul de ces impacts, ils peuvent se révéler destructeurs pour le milieu sur lequel ces activités s’exécutent.</w:t>
      </w:r>
    </w:p>
    <w:p>
      <w:pPr>
        <w:pStyle w:val="style0"/>
        <w:autoSpaceDE w:val="false"/>
        <w:autoSpaceDN w:val="false"/>
        <w:adjustRightInd w:val="false"/>
        <w:ind w:left="360"/>
        <w:jc w:val="both"/>
        <w:rPr>
          <w:sz w:val="22"/>
          <w:szCs w:val="22"/>
          <w:lang w:eastAsia="en-US"/>
        </w:rPr>
      </w:pPr>
    </w:p>
    <w:p>
      <w:pPr>
        <w:pStyle w:val="style0"/>
        <w:numPr>
          <w:ilvl w:val="0"/>
          <w:numId w:val="4"/>
        </w:numPr>
        <w:autoSpaceDE w:val="false"/>
        <w:autoSpaceDN w:val="false"/>
        <w:adjustRightInd w:val="false"/>
        <w:jc w:val="both"/>
        <w:rPr>
          <w:sz w:val="22"/>
          <w:szCs w:val="22"/>
          <w:lang w:eastAsia="en-US"/>
        </w:rPr>
      </w:pPr>
      <w:r>
        <w:rPr>
          <w:sz w:val="22"/>
          <w:szCs w:val="22"/>
          <w:lang w:eastAsia="en-US"/>
        </w:rPr>
        <w:t>d</w:t>
      </w:r>
      <w:r>
        <w:rPr>
          <w:sz w:val="22"/>
          <w:szCs w:val="22"/>
          <w:lang w:eastAsia="en-US"/>
        </w:rPr>
        <w:t>ans le deuxième cas, il peut s’agir d’activités différentes qui, isolement pris génèrent toutes des impacts négatifs marginaux mais dont la combinaison engendre des conséquences majeurs sur le milieu concerné.</w:t>
      </w:r>
    </w:p>
    <w:bookmarkStart w:id="1210" w:name="_Toc536410713"/>
    <w:bookmarkStart w:id="1211" w:name="_Toc686117"/>
    <w:bookmarkStart w:id="1212" w:name="_Toc2780496"/>
    <w:bookmarkStart w:id="1213" w:name="_Toc291800511"/>
    <w:p>
      <w:pPr>
        <w:pStyle w:val="style3"/>
        <w:numPr>
          <w:ilvl w:val="0"/>
          <w:numId w:val="0"/>
        </w:numPr>
        <w:ind w:left="644" w:hanging="360"/>
        <w:rPr>
          <w:b/>
          <w:u w:val="none"/>
        </w:rPr>
      </w:pPr>
      <w:r>
        <w:rPr>
          <w:b/>
          <w:u w:val="none"/>
        </w:rPr>
        <w:t>5</w:t>
      </w:r>
      <w:r>
        <w:rPr>
          <w:b/>
          <w:u w:val="none"/>
        </w:rPr>
        <w:t>.</w:t>
      </w:r>
      <w:r>
        <w:rPr>
          <w:b/>
          <w:u w:val="none"/>
        </w:rPr>
        <w:t>.2</w:t>
      </w:r>
      <w:r>
        <w:rPr>
          <w:b/>
          <w:u w:val="none"/>
        </w:rPr>
        <w:t>.4.</w:t>
      </w:r>
      <w:r>
        <w:rPr>
          <w:b/>
          <w:u w:val="none"/>
        </w:rPr>
        <w:t xml:space="preserve"> Impacts</w:t>
      </w:r>
      <w:r>
        <w:rPr>
          <w:b/>
          <w:u w:val="none"/>
        </w:rPr>
        <w:t xml:space="preserve"> négatifs liés aux effets d’entrainement « effet tâche d’huile »</w:t>
      </w:r>
      <w:bookmarkEnd w:id="1210"/>
      <w:bookmarkEnd w:id="1211"/>
      <w:bookmarkEnd w:id="1212"/>
    </w:p>
    <w:p>
      <w:pPr>
        <w:pStyle w:val="style0"/>
        <w:jc w:val="both"/>
        <w:rPr>
          <w:bCs/>
          <w:iCs/>
          <w:sz w:val="22"/>
          <w:szCs w:val="22"/>
          <w:lang w:eastAsia="en-US"/>
        </w:rPr>
      </w:pPr>
      <w:r>
        <w:rPr>
          <w:sz w:val="22"/>
          <w:szCs w:val="22"/>
          <w:lang w:eastAsia="en-US"/>
        </w:rPr>
        <w:t>Les impacts qualifiés d’effets d’entrainement ou d’</w:t>
      </w:r>
      <w:r>
        <w:rPr>
          <w:bCs/>
          <w:iCs/>
          <w:sz w:val="22"/>
          <w:szCs w:val="22"/>
          <w:lang w:eastAsia="en-US"/>
        </w:rPr>
        <w:t xml:space="preserve">« effet tâche d’huile » sont les impacts indirects de la mise en œuvre des activités du </w:t>
      </w:r>
      <w:r>
        <w:rPr>
          <w:bCs/>
          <w:iCs/>
          <w:sz w:val="22"/>
          <w:szCs w:val="22"/>
          <w:lang w:eastAsia="en-US"/>
        </w:rPr>
        <w:t>Programme.</w:t>
      </w:r>
      <w:r>
        <w:rPr>
          <w:bCs/>
          <w:iCs/>
          <w:sz w:val="22"/>
          <w:szCs w:val="22"/>
          <w:lang w:eastAsia="en-US"/>
        </w:rPr>
        <w:t xml:space="preserve"> Il s’agit d’impacts négatifs générés par d’autres acteurs ne bénéficiant pas de l’accompagnement du </w:t>
      </w:r>
      <w:r>
        <w:rPr>
          <w:bCs/>
          <w:iCs/>
          <w:sz w:val="22"/>
          <w:szCs w:val="22"/>
          <w:lang w:eastAsia="en-US"/>
        </w:rPr>
        <w:t>Programme,</w:t>
      </w:r>
      <w:r>
        <w:rPr>
          <w:bCs/>
          <w:iCs/>
          <w:sz w:val="22"/>
          <w:szCs w:val="22"/>
          <w:lang w:eastAsia="en-US"/>
        </w:rPr>
        <w:t xml:space="preserve"> mais qui mènent les mêmes activités que celles soutenues par </w:t>
      </w:r>
      <w:r>
        <w:rPr>
          <w:bCs/>
          <w:iCs/>
          <w:sz w:val="22"/>
          <w:szCs w:val="22"/>
          <w:lang w:eastAsia="en-US"/>
        </w:rPr>
        <w:t>le Programme</w:t>
      </w:r>
      <w:r>
        <w:rPr>
          <w:bCs/>
          <w:iCs/>
          <w:sz w:val="22"/>
          <w:szCs w:val="22"/>
          <w:lang w:eastAsia="en-US"/>
        </w:rPr>
        <w:t>. Généralement, insuffisamment outillés pour prendre en charge la gestion environnementale et sociale de leurs activités, ces derniers génèrent des impacts négatifs considérables soit par ignorance ou exclusivement guidés par un souci de rentabilité économique.</w:t>
      </w:r>
    </w:p>
    <w:p>
      <w:pPr>
        <w:pStyle w:val="style0"/>
        <w:jc w:val="both"/>
        <w:rPr>
          <w:bCs/>
          <w:iCs/>
          <w:sz w:val="22"/>
          <w:szCs w:val="22"/>
          <w:lang w:eastAsia="en-US"/>
        </w:rPr>
      </w:pPr>
    </w:p>
    <w:p>
      <w:pPr>
        <w:pStyle w:val="style0"/>
        <w:jc w:val="both"/>
        <w:rPr>
          <w:bCs/>
          <w:iCs/>
          <w:sz w:val="22"/>
          <w:szCs w:val="22"/>
          <w:lang w:eastAsia="en-US"/>
        </w:rPr>
      </w:pPr>
      <w:r>
        <w:rPr>
          <w:bCs/>
          <w:iCs/>
          <w:sz w:val="22"/>
          <w:szCs w:val="22"/>
          <w:lang w:eastAsia="en-US"/>
        </w:rPr>
        <w:t>Les impacts négatifs d’effets d’entrainement ou</w:t>
      </w:r>
      <w:r>
        <w:rPr>
          <w:sz w:val="22"/>
          <w:szCs w:val="22"/>
          <w:lang w:eastAsia="en-US"/>
        </w:rPr>
        <w:t xml:space="preserve"> d’</w:t>
      </w:r>
      <w:r>
        <w:rPr>
          <w:bCs/>
          <w:iCs/>
          <w:sz w:val="22"/>
          <w:szCs w:val="22"/>
          <w:lang w:eastAsia="en-US"/>
        </w:rPr>
        <w:t>« effet tâche d’huile » sont susceptibles de concerner plus particulièrement les exploitations agricoles où les non bénéficiaires du projet pourront être tentés de coloniser les berges libérés au nom du principe du respect de la bande de servitude de 100 m (Code de l’environnement du Burkina Faso).</w:t>
      </w:r>
    </w:p>
    <w:p>
      <w:pPr>
        <w:pStyle w:val="style0"/>
        <w:jc w:val="both"/>
        <w:rPr>
          <w:bCs/>
          <w:iCs/>
          <w:sz w:val="22"/>
          <w:szCs w:val="22"/>
          <w:lang w:eastAsia="en-US"/>
        </w:rPr>
      </w:pPr>
    </w:p>
    <w:bookmarkStart w:id="1214" w:name="_Toc535984343"/>
    <w:bookmarkStart w:id="1215" w:name="_Toc535984981"/>
    <w:bookmarkStart w:id="1216" w:name="_Toc535985618"/>
    <w:bookmarkStart w:id="1217" w:name="_Toc535986255"/>
    <w:bookmarkStart w:id="1218" w:name="_Toc535996855"/>
    <w:bookmarkStart w:id="1219" w:name="_Toc535997491"/>
    <w:bookmarkStart w:id="1220" w:name="_Toc535998126"/>
    <w:bookmarkStart w:id="1221" w:name="_Toc535998762"/>
    <w:bookmarkStart w:id="1222" w:name="_Toc536024053"/>
    <w:bookmarkStart w:id="1223" w:name="_Toc536088165"/>
    <w:bookmarkStart w:id="1224" w:name="_Toc536112824"/>
    <w:bookmarkStart w:id="1225" w:name="_Toc536144900"/>
    <w:bookmarkStart w:id="1226" w:name="_Toc536171596"/>
    <w:bookmarkStart w:id="1227" w:name="_Toc536407949"/>
    <w:bookmarkStart w:id="1228" w:name="_Toc536408658"/>
    <w:bookmarkStart w:id="1229" w:name="_Toc536409344"/>
    <w:bookmarkStart w:id="1230" w:name="_Toc536410029"/>
    <w:bookmarkStart w:id="1231" w:name="_Toc536410714"/>
    <w:bookmarkStart w:id="1232" w:name="_Toc536410715"/>
    <w:bookmarkStart w:id="1233" w:name="_Toc686118"/>
    <w:bookmarkStart w:id="1234" w:name="_Toc2780497"/>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Pr>
        <w:pStyle w:val="style3"/>
        <w:numPr>
          <w:ilvl w:val="0"/>
          <w:numId w:val="0"/>
        </w:numPr>
        <w:ind w:left="644" w:hanging="360"/>
        <w:rPr>
          <w:b/>
          <w:u w:val="none"/>
        </w:rPr>
      </w:pPr>
      <w:r>
        <w:rPr>
          <w:b/>
          <w:u w:val="none"/>
        </w:rPr>
        <w:t>5</w:t>
      </w:r>
      <w:r>
        <w:rPr>
          <w:b/>
          <w:u w:val="none"/>
        </w:rPr>
        <w:t>.</w:t>
      </w:r>
      <w:r>
        <w:rPr>
          <w:b/>
          <w:u w:val="none"/>
        </w:rPr>
        <w:t>.3.5.</w:t>
      </w:r>
      <w:r>
        <w:rPr>
          <w:b/>
          <w:u w:val="none"/>
        </w:rPr>
        <w:t xml:space="preserve"> Impacts</w:t>
      </w:r>
      <w:r>
        <w:rPr>
          <w:b/>
          <w:u w:val="none"/>
        </w:rPr>
        <w:t xml:space="preserve"> des changements climatiques sur l’agriculture et l’</w:t>
      </w:r>
      <w:bookmarkEnd w:id="1213"/>
      <w:r>
        <w:rPr>
          <w:b/>
          <w:u w:val="none"/>
        </w:rPr>
        <w:t>élevage</w:t>
      </w:r>
      <w:bookmarkEnd w:id="1232"/>
      <w:bookmarkEnd w:id="1233"/>
      <w:bookmarkEnd w:id="1234"/>
    </w:p>
    <w:p>
      <w:pPr>
        <w:pStyle w:val="style0"/>
        <w:autoSpaceDE w:val="false"/>
        <w:autoSpaceDN w:val="false"/>
        <w:adjustRightInd w:val="false"/>
        <w:jc w:val="both"/>
        <w:rPr>
          <w:sz w:val="22"/>
          <w:szCs w:val="22"/>
          <w:lang w:eastAsia="en-US"/>
        </w:rPr>
      </w:pPr>
      <w:r>
        <w:rPr>
          <w:sz w:val="22"/>
          <w:szCs w:val="22"/>
          <w:lang w:eastAsia="en-US"/>
        </w:rPr>
        <w:t>Les prévisions sur les effets induits par les changements climatiques, annoncent une baisse de la pluviométrie, une accentuation des irrégularités spatio-temporelles des précipitations et une élévation des températures. Ces effets bien qu’affectant l’ensemble de la planète seront beaucoup plus ressentis par les pays sahéliens dont le Burkina Faso, pays essentiellement agricole et d’élevage. Ces facteurs conjugués aux besoins sans cesse croissants en eau des populations, auront des impacts majeurs sur les ressources en eau et partant sur le développement des zones d’intervention du programme. Ces impacts affecteront beaucoup plus les couches vulnérables dont l’accès aux ressources en eau n’est d’ailleurs pas aisé même par temps normal. Cette situation risque d’exacerber les conflits liés à l’accès à l’eau ainsi que les difficultés relatives à la pollution, à l'assainissement, à la gestion des déchets, à la production et à la distribution d'eau, à la santé des populations, aux équipements et aux technologies de la production.</w:t>
      </w:r>
    </w:p>
    <w:bookmarkStart w:id="1235" w:name="_Toc535984345"/>
    <w:bookmarkStart w:id="1236" w:name="_Toc535984983"/>
    <w:bookmarkStart w:id="1237" w:name="_Toc535985620"/>
    <w:bookmarkStart w:id="1238" w:name="_Toc535986257"/>
    <w:bookmarkEnd w:id="1235"/>
    <w:bookmarkEnd w:id="1236"/>
    <w:bookmarkEnd w:id="1237"/>
    <w:bookmarkEnd w:id="1238"/>
    <w:p>
      <w:pPr>
        <w:pStyle w:val="style1"/>
        <w:numPr>
          <w:ilvl w:val="0"/>
          <w:numId w:val="47"/>
        </w:numPr>
        <w:rPr/>
      </w:pPr>
      <w:r>
        <w:rPr>
          <w:b w:val="false"/>
          <w:lang w:eastAsia="en-US"/>
        </w:rPr>
        <w:br w:type="page"/>
      </w:r>
      <w:bookmarkStart w:id="1239" w:name="_Toc2780498"/>
      <w:r>
        <w:rPr>
          <w:iCs/>
        </w:rPr>
        <w:t xml:space="preserve">CONSULTATION </w:t>
      </w:r>
      <w:r>
        <w:rPr>
          <w:iCs/>
        </w:rPr>
        <w:t>DES PARTIES PRENANTES</w:t>
      </w:r>
      <w:bookmarkEnd w:id="1239"/>
    </w:p>
    <w:p>
      <w:pPr>
        <w:pStyle w:val="style0"/>
        <w:rPr>
          <w:rFonts w:eastAsia="MS Mincho"/>
          <w:sz w:val="22"/>
          <w:szCs w:val="22"/>
          <w:lang w:eastAsia="en-GB"/>
        </w:rPr>
      </w:pPr>
      <w:r>
        <w:rPr>
          <w:rFonts w:eastAsia="MS Mincho"/>
          <w:sz w:val="22"/>
          <w:szCs w:val="22"/>
          <w:lang w:eastAsia="en-GB"/>
        </w:rPr>
        <w:t>Cette section présente les mécanismes de consultation, de communication et de participation du public ainsi que la synthèse des consultations menées avec les parties prenantes du Programme.</w:t>
      </w:r>
    </w:p>
    <w:p>
      <w:pPr>
        <w:pStyle w:val="style0"/>
        <w:rPr>
          <w:rFonts w:eastAsia="MS Mincho"/>
          <w:sz w:val="22"/>
          <w:szCs w:val="22"/>
          <w:lang w:eastAsia="en-GB"/>
        </w:rPr>
      </w:pPr>
    </w:p>
    <w:bookmarkStart w:id="1240" w:name="_Toc2780499"/>
    <w:p>
      <w:pPr>
        <w:pStyle w:val="style4307"/>
        <w:numPr>
          <w:ilvl w:val="0"/>
          <w:numId w:val="0"/>
        </w:numPr>
        <w:ind w:left="390"/>
        <w:rPr/>
      </w:pPr>
      <w:r>
        <w:t>6</w:t>
      </w:r>
      <w:r>
        <w:t>.1. Mécanismes de consultation, de communication et de participation du public</w:t>
      </w:r>
      <w:bookmarkEnd w:id="1240"/>
      <w:r>
        <w:t xml:space="preserve"> </w:t>
      </w:r>
    </w:p>
    <w:p>
      <w:pPr>
        <w:pStyle w:val="style4132"/>
        <w:jc w:val="both"/>
        <w:rPr>
          <w:sz w:val="22"/>
          <w:szCs w:val="22"/>
        </w:rPr>
      </w:pPr>
      <w:r>
        <w:rPr>
          <w:rFonts w:eastAsia="Arial Unicode MS"/>
          <w:sz w:val="22"/>
          <w:szCs w:val="22"/>
          <w:lang w:eastAsia="fr-FR"/>
        </w:rPr>
        <w:t>Les mécanismes de consultation, de communication et de participation du public dans le cadre du PDCA s’appuient entre autres sur la</w:t>
      </w:r>
      <w:r>
        <w:rPr>
          <w:sz w:val="22"/>
          <w:szCs w:val="22"/>
        </w:rPr>
        <w:t xml:space="preserve"> stratégie</w:t>
      </w:r>
      <w:r>
        <w:rPr>
          <w:sz w:val="22"/>
          <w:szCs w:val="22"/>
        </w:rPr>
        <w:t xml:space="preserve"> de communication du Programme National du Secteur Rural (PNSR II) élaborée en août 2017 et qui se décline en un objectif global et en trois (3) objectifs spécifiques : </w:t>
      </w:r>
    </w:p>
    <w:p>
      <w:pPr>
        <w:pStyle w:val="style4132"/>
        <w:numPr>
          <w:ilvl w:val="0"/>
          <w:numId w:val="115"/>
        </w:numPr>
        <w:spacing w:after="70"/>
        <w:jc w:val="both"/>
        <w:rPr>
          <w:sz w:val="22"/>
          <w:szCs w:val="22"/>
        </w:rPr>
      </w:pPr>
      <w:r>
        <w:rPr>
          <w:bCs/>
          <w:sz w:val="22"/>
          <w:szCs w:val="22"/>
        </w:rPr>
        <w:t>objectif global</w:t>
      </w:r>
      <w:r>
        <w:rPr>
          <w:b/>
          <w:bCs/>
          <w:sz w:val="22"/>
          <w:szCs w:val="22"/>
        </w:rPr>
        <w:t xml:space="preserve"> </w:t>
      </w:r>
      <w:r>
        <w:rPr>
          <w:sz w:val="22"/>
          <w:szCs w:val="22"/>
        </w:rPr>
        <w:t xml:space="preserve">: contribuer à une meilleure appropriation du PNSR à travers l’élaboration et la mise en </w:t>
      </w:r>
      <w:r>
        <w:rPr>
          <w:sz w:val="22"/>
          <w:szCs w:val="22"/>
        </w:rPr>
        <w:t>œuvre</w:t>
      </w:r>
      <w:r>
        <w:rPr>
          <w:sz w:val="22"/>
          <w:szCs w:val="22"/>
        </w:rPr>
        <w:t xml:space="preserve"> d’approches de communication participative pour l’atteinte de la sécurité alimentaire et nutritionnelle, pour une forte croissance économique et la réduction de la pauvreté ; </w:t>
      </w:r>
    </w:p>
    <w:p>
      <w:pPr>
        <w:pStyle w:val="style4132"/>
        <w:numPr>
          <w:ilvl w:val="0"/>
          <w:numId w:val="115"/>
        </w:numPr>
        <w:spacing w:after="70"/>
        <w:jc w:val="both"/>
        <w:rPr>
          <w:sz w:val="22"/>
          <w:szCs w:val="22"/>
        </w:rPr>
      </w:pPr>
      <w:r>
        <w:rPr>
          <w:sz w:val="22"/>
          <w:szCs w:val="22"/>
        </w:rPr>
        <w:t xml:space="preserve">objectifs spécifiques : </w:t>
      </w:r>
    </w:p>
    <w:p>
      <w:pPr>
        <w:pStyle w:val="style4132"/>
        <w:numPr>
          <w:ilvl w:val="1"/>
          <w:numId w:val="115"/>
        </w:numPr>
        <w:spacing w:after="70"/>
        <w:jc w:val="both"/>
        <w:rPr>
          <w:sz w:val="22"/>
          <w:szCs w:val="22"/>
        </w:rPr>
      </w:pPr>
      <w:r>
        <w:rPr>
          <w:sz w:val="22"/>
          <w:szCs w:val="22"/>
        </w:rPr>
        <w:t xml:space="preserve">améliorer les connaissances et les compétences des acteurs pour l’opérationnalisation du PNSR ; </w:t>
      </w:r>
    </w:p>
    <w:p>
      <w:pPr>
        <w:pStyle w:val="style4132"/>
        <w:numPr>
          <w:ilvl w:val="1"/>
          <w:numId w:val="115"/>
        </w:numPr>
        <w:spacing w:after="70"/>
        <w:jc w:val="both"/>
        <w:rPr>
          <w:sz w:val="22"/>
          <w:szCs w:val="22"/>
        </w:rPr>
      </w:pPr>
      <w:r>
        <w:rPr>
          <w:sz w:val="22"/>
          <w:szCs w:val="22"/>
        </w:rPr>
        <w:t xml:space="preserve">promouvoir une gouvernance plus inclusive et déconcentrée pour une plus grande implication des parties prenantes dans la mise en </w:t>
      </w:r>
      <w:r>
        <w:rPr>
          <w:sz w:val="22"/>
          <w:szCs w:val="22"/>
        </w:rPr>
        <w:t>œuvre</w:t>
      </w:r>
      <w:r>
        <w:rPr>
          <w:sz w:val="22"/>
          <w:szCs w:val="22"/>
        </w:rPr>
        <w:t xml:space="preserve"> du PNSR ; </w:t>
      </w:r>
    </w:p>
    <w:p>
      <w:pPr>
        <w:pStyle w:val="style4132"/>
        <w:numPr>
          <w:ilvl w:val="1"/>
          <w:numId w:val="115"/>
        </w:numPr>
        <w:spacing w:after="70"/>
        <w:jc w:val="both"/>
        <w:rPr>
          <w:sz w:val="22"/>
          <w:szCs w:val="22"/>
        </w:rPr>
      </w:pPr>
      <w:r>
        <w:rPr>
          <w:sz w:val="22"/>
          <w:szCs w:val="22"/>
        </w:rPr>
        <w:t xml:space="preserve">promouvoir un environnement socio politique et institutionnel favorable à la mise en </w:t>
      </w:r>
      <w:r>
        <w:rPr>
          <w:sz w:val="22"/>
          <w:szCs w:val="22"/>
        </w:rPr>
        <w:t>œuvre</w:t>
      </w:r>
      <w:r>
        <w:rPr>
          <w:sz w:val="22"/>
          <w:szCs w:val="22"/>
        </w:rPr>
        <w:t xml:space="preserve"> inclusive du PNSR. </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 xml:space="preserve">Dans le cadre du PDCA, ces mécanismes prennent en compte les savoirs locaux dans le système d’information agricole et la responsabilisation des acteurs. </w:t>
      </w:r>
    </w:p>
    <w:p>
      <w:pPr>
        <w:pStyle w:val="style0"/>
        <w:autoSpaceDE w:val="false"/>
        <w:autoSpaceDN w:val="false"/>
        <w:adjustRightInd w:val="false"/>
        <w:jc w:val="both"/>
        <w:rPr>
          <w:sz w:val="22"/>
          <w:szCs w:val="22"/>
        </w:rPr>
      </w:pPr>
    </w:p>
    <w:p>
      <w:pPr>
        <w:pStyle w:val="style0"/>
        <w:autoSpaceDE w:val="false"/>
        <w:autoSpaceDN w:val="false"/>
        <w:adjustRightInd w:val="false"/>
        <w:rPr>
          <w:sz w:val="22"/>
          <w:szCs w:val="22"/>
        </w:rPr>
      </w:pPr>
      <w:r>
        <w:rPr>
          <w:sz w:val="22"/>
          <w:szCs w:val="22"/>
        </w:rPr>
        <w:t>Les outils de communication utilisés sont :</w:t>
      </w:r>
    </w:p>
    <w:p>
      <w:pPr>
        <w:pStyle w:val="style179"/>
        <w:numPr>
          <w:ilvl w:val="0"/>
          <w:numId w:val="115"/>
        </w:numPr>
        <w:spacing w:after="160" w:lineRule="auto" w:line="259"/>
        <w:ind w:left="360"/>
        <w:contextualSpacing/>
        <w:rPr>
          <w:sz w:val="22"/>
          <w:szCs w:val="22"/>
        </w:rPr>
      </w:pPr>
      <w:r>
        <w:rPr>
          <w:sz w:val="22"/>
          <w:szCs w:val="22"/>
        </w:rPr>
        <w:t>la communication de masse à travers les articles de presse, spots, films documentaires, microprogrammes, publications sur réseaux sociaux, affichage, etc.</w:t>
      </w:r>
    </w:p>
    <w:p>
      <w:pPr>
        <w:pStyle w:val="style179"/>
        <w:numPr>
          <w:ilvl w:val="0"/>
          <w:numId w:val="115"/>
        </w:numPr>
        <w:spacing w:after="160" w:lineRule="auto" w:line="259"/>
        <w:ind w:left="360"/>
        <w:contextualSpacing/>
        <w:rPr>
          <w:sz w:val="22"/>
          <w:szCs w:val="22"/>
        </w:rPr>
      </w:pPr>
      <w:r>
        <w:rPr>
          <w:sz w:val="22"/>
          <w:szCs w:val="22"/>
        </w:rPr>
        <w:t>le renforcement des capacités par le biais des ateliers, curricula de formation des écoles professionnelles, brochures, etc.</w:t>
      </w:r>
    </w:p>
    <w:p>
      <w:pPr>
        <w:pStyle w:val="style179"/>
        <w:numPr>
          <w:ilvl w:val="0"/>
          <w:numId w:val="115"/>
        </w:numPr>
        <w:spacing w:after="160" w:lineRule="auto" w:line="259"/>
        <w:ind w:left="360"/>
        <w:contextualSpacing/>
        <w:rPr>
          <w:sz w:val="22"/>
          <w:szCs w:val="22"/>
        </w:rPr>
      </w:pPr>
      <w:r>
        <w:rPr>
          <w:sz w:val="22"/>
          <w:szCs w:val="22"/>
        </w:rPr>
        <w:t>la communication interpersonnelle par les ateliers ; rencontres de concertation, causeries débats, théâtre-forum, foires des savoirs, etc.</w:t>
      </w:r>
    </w:p>
    <w:p>
      <w:pPr>
        <w:pStyle w:val="style179"/>
        <w:numPr>
          <w:ilvl w:val="0"/>
          <w:numId w:val="115"/>
        </w:numPr>
        <w:spacing w:after="160" w:lineRule="auto" w:line="259"/>
        <w:ind w:left="360"/>
        <w:contextualSpacing/>
        <w:rPr>
          <w:sz w:val="22"/>
          <w:szCs w:val="22"/>
        </w:rPr>
      </w:pPr>
      <w:r>
        <w:rPr>
          <w:sz w:val="22"/>
          <w:szCs w:val="22"/>
        </w:rPr>
        <w:t xml:space="preserve">le partenariat à travers les visites de courtoisie, cadres de concertation, gadgets, etc. </w:t>
      </w:r>
    </w:p>
    <w:p>
      <w:pPr>
        <w:pStyle w:val="style179"/>
        <w:numPr>
          <w:ilvl w:val="0"/>
          <w:numId w:val="115"/>
        </w:numPr>
        <w:spacing w:after="160" w:lineRule="auto" w:line="259"/>
        <w:ind w:left="360"/>
        <w:contextualSpacing/>
        <w:rPr>
          <w:sz w:val="22"/>
          <w:szCs w:val="22"/>
        </w:rPr>
      </w:pPr>
      <w:r>
        <w:rPr>
          <w:sz w:val="22"/>
          <w:szCs w:val="22"/>
        </w:rPr>
        <w:t xml:space="preserve">le plaidoyer par les audiences, visites de courtoisie, </w:t>
      </w:r>
    </w:p>
    <w:p>
      <w:pPr>
        <w:pStyle w:val="style179"/>
        <w:numPr>
          <w:ilvl w:val="0"/>
          <w:numId w:val="115"/>
        </w:numPr>
        <w:spacing w:after="160" w:lineRule="auto" w:line="259"/>
        <w:ind w:left="360"/>
        <w:contextualSpacing/>
        <w:rPr>
          <w:sz w:val="22"/>
          <w:szCs w:val="22"/>
        </w:rPr>
      </w:pPr>
      <w:r>
        <w:rPr>
          <w:sz w:val="22"/>
          <w:szCs w:val="22"/>
        </w:rPr>
        <w:t>Communication par l’objet (</w:t>
      </w:r>
      <w:r>
        <w:rPr>
          <w:sz w:val="22"/>
          <w:szCs w:val="22"/>
        </w:rPr>
        <w:t>gadgets</w:t>
      </w:r>
      <w:r>
        <w:rPr>
          <w:sz w:val="22"/>
          <w:szCs w:val="22"/>
        </w:rPr>
        <w:t>)</w:t>
      </w:r>
      <w:r>
        <w:rPr>
          <w:sz w:val="22"/>
          <w:szCs w:val="22"/>
        </w:rPr>
        <w:t>, etc.</w:t>
      </w:r>
    </w:p>
    <w:p>
      <w:pPr>
        <w:pStyle w:val="style0"/>
        <w:jc w:val="both"/>
        <w:rPr>
          <w:rFonts w:eastAsia="MS Mincho"/>
          <w:sz w:val="22"/>
          <w:szCs w:val="22"/>
          <w:lang w:eastAsia="en-GB"/>
        </w:rPr>
      </w:pPr>
    </w:p>
    <w:bookmarkStart w:id="1241" w:name="_Toc2780500"/>
    <w:p>
      <w:pPr>
        <w:pStyle w:val="style4307"/>
        <w:numPr>
          <w:ilvl w:val="0"/>
          <w:numId w:val="0"/>
        </w:numPr>
        <w:ind w:left="390"/>
        <w:rPr/>
      </w:pPr>
      <w:r>
        <w:t>6</w:t>
      </w:r>
      <w:r>
        <w:t>.2. Synthèse des consultations du public sur les aspects de sauvegarde environnementale et sociale du Programme</w:t>
      </w:r>
      <w:bookmarkEnd w:id="1241"/>
    </w:p>
    <w:p>
      <w:pPr>
        <w:pStyle w:val="style0"/>
        <w:tabs>
          <w:tab w:val="left" w:leader="none" w:pos="-720"/>
          <w:tab w:val="left" w:leader="none" w:pos="0"/>
        </w:tabs>
        <w:suppressAutoHyphens/>
        <w:jc w:val="both"/>
        <w:rPr>
          <w:sz w:val="22"/>
          <w:szCs w:val="22"/>
        </w:rPr>
      </w:pPr>
      <w:r>
        <w:rPr>
          <w:sz w:val="22"/>
          <w:szCs w:val="22"/>
        </w:rPr>
        <w:t>Dans le cadre de l’élaboration du présent CGES, plusieurs consultations ont été menées avec les parties prenantes du Programme.</w:t>
      </w:r>
    </w:p>
    <w:p>
      <w:pPr>
        <w:pStyle w:val="style0"/>
        <w:tabs>
          <w:tab w:val="left" w:leader="none" w:pos="-720"/>
          <w:tab w:val="left" w:leader="none" w:pos="0"/>
        </w:tabs>
        <w:suppressAutoHyphens/>
        <w:jc w:val="both"/>
        <w:rPr>
          <w:sz w:val="22"/>
          <w:szCs w:val="22"/>
        </w:rPr>
      </w:pPr>
    </w:p>
    <w:p>
      <w:pPr>
        <w:pStyle w:val="style0"/>
        <w:tabs>
          <w:tab w:val="left" w:leader="none" w:pos="-720"/>
          <w:tab w:val="left" w:leader="none" w:pos="0"/>
        </w:tabs>
        <w:suppressAutoHyphens/>
        <w:jc w:val="both"/>
        <w:rPr>
          <w:sz w:val="22"/>
          <w:szCs w:val="22"/>
        </w:rPr>
      </w:pPr>
      <w:r>
        <w:rPr>
          <w:sz w:val="22"/>
          <w:szCs w:val="22"/>
        </w:rPr>
        <w:t>Les objectifs spécifiques poursuivis par une telle démarche ont permis de :</w:t>
      </w:r>
    </w:p>
    <w:p>
      <w:pPr>
        <w:pStyle w:val="style179"/>
        <w:numPr>
          <w:ilvl w:val="0"/>
          <w:numId w:val="82"/>
        </w:numPr>
        <w:tabs>
          <w:tab w:val="left" w:leader="none" w:pos="-720"/>
          <w:tab w:val="left" w:leader="none" w:pos="0"/>
        </w:tabs>
        <w:suppressAutoHyphens/>
        <w:jc w:val="both"/>
        <w:contextualSpacing/>
        <w:rPr>
          <w:sz w:val="22"/>
          <w:szCs w:val="22"/>
        </w:rPr>
      </w:pPr>
      <w:r>
        <w:rPr>
          <w:sz w:val="22"/>
          <w:szCs w:val="22"/>
          <w:lang w:val="fr-CA"/>
        </w:rPr>
        <w:t xml:space="preserve">fournir </w:t>
      </w:r>
      <w:r>
        <w:rPr>
          <w:sz w:val="22"/>
          <w:szCs w:val="22"/>
        </w:rPr>
        <w:t xml:space="preserve">premièrement aux parties prenantes, une information juste et pertinente sur le </w:t>
      </w:r>
      <w:r>
        <w:rPr>
          <w:sz w:val="22"/>
          <w:szCs w:val="22"/>
        </w:rPr>
        <w:t>pro</w:t>
      </w:r>
      <w:r>
        <w:rPr>
          <w:sz w:val="22"/>
          <w:szCs w:val="22"/>
        </w:rPr>
        <w:t>gramme</w:t>
      </w:r>
      <w:r>
        <w:rPr>
          <w:sz w:val="22"/>
          <w:szCs w:val="22"/>
        </w:rPr>
        <w:t xml:space="preserve">, notamment, sa description assortie des </w:t>
      </w:r>
      <w:r>
        <w:rPr>
          <w:sz w:val="22"/>
          <w:szCs w:val="22"/>
        </w:rPr>
        <w:t>impacts tant positifs que</w:t>
      </w:r>
      <w:r>
        <w:rPr>
          <w:sz w:val="22"/>
          <w:szCs w:val="22"/>
        </w:rPr>
        <w:t xml:space="preserve"> </w:t>
      </w:r>
      <w:r>
        <w:rPr>
          <w:sz w:val="22"/>
          <w:szCs w:val="22"/>
        </w:rPr>
        <w:t xml:space="preserve">négatifs ; </w:t>
      </w:r>
    </w:p>
    <w:p>
      <w:pPr>
        <w:pStyle w:val="style179"/>
        <w:numPr>
          <w:ilvl w:val="0"/>
          <w:numId w:val="82"/>
        </w:numPr>
        <w:tabs>
          <w:tab w:val="left" w:leader="none" w:pos="-720"/>
          <w:tab w:val="left" w:leader="none" w:pos="0"/>
        </w:tabs>
        <w:suppressAutoHyphens/>
        <w:jc w:val="both"/>
        <w:contextualSpacing/>
        <w:rPr>
          <w:sz w:val="22"/>
          <w:szCs w:val="22"/>
        </w:rPr>
      </w:pPr>
      <w:r>
        <w:rPr>
          <w:sz w:val="22"/>
          <w:szCs w:val="22"/>
        </w:rPr>
        <w:t xml:space="preserve">inviter les parties prenantes à donner leurs avis sur les propositions de solutions et instaurer un dialogue ; </w:t>
      </w:r>
    </w:p>
    <w:p>
      <w:pPr>
        <w:pStyle w:val="style179"/>
        <w:numPr>
          <w:ilvl w:val="0"/>
          <w:numId w:val="82"/>
        </w:numPr>
        <w:tabs>
          <w:tab w:val="left" w:leader="none" w:pos="-720"/>
          <w:tab w:val="left" w:leader="none" w:pos="0"/>
        </w:tabs>
        <w:suppressAutoHyphens/>
        <w:jc w:val="both"/>
        <w:contextualSpacing/>
        <w:rPr>
          <w:sz w:val="22"/>
          <w:szCs w:val="22"/>
        </w:rPr>
      </w:pPr>
      <w:r>
        <w:rPr>
          <w:sz w:val="22"/>
          <w:szCs w:val="22"/>
        </w:rPr>
        <w:t xml:space="preserve">asseoir les bases d’une mise en œuvre concertée et durable des actions prévues par le Programme pour booster le développement socioéconomique en milieu rural et réduire la pauvreté. </w:t>
      </w:r>
    </w:p>
    <w:p>
      <w:pPr>
        <w:pStyle w:val="style0"/>
        <w:tabs>
          <w:tab w:val="left" w:leader="none" w:pos="-720"/>
          <w:tab w:val="left" w:leader="none" w:pos="0"/>
        </w:tabs>
        <w:suppressAutoHyphens/>
        <w:jc w:val="both"/>
        <w:rPr>
          <w:sz w:val="22"/>
          <w:szCs w:val="22"/>
        </w:rPr>
      </w:pPr>
    </w:p>
    <w:p>
      <w:pPr>
        <w:pStyle w:val="style0"/>
        <w:tabs>
          <w:tab w:val="left" w:leader="none" w:pos="-720"/>
          <w:tab w:val="left" w:leader="none" w:pos="0"/>
        </w:tabs>
        <w:suppressAutoHyphens/>
        <w:jc w:val="both"/>
        <w:rPr>
          <w:sz w:val="22"/>
          <w:szCs w:val="22"/>
        </w:rPr>
      </w:pPr>
      <w:r>
        <w:rPr>
          <w:sz w:val="22"/>
          <w:szCs w:val="22"/>
        </w:rPr>
        <w:t>La démarche a privilégié les entretiens collectifs (focus</w:t>
      </w:r>
      <w:r>
        <w:rPr>
          <w:sz w:val="22"/>
          <w:szCs w:val="22"/>
        </w:rPr>
        <w:t>-</w:t>
      </w:r>
      <w:r>
        <w:rPr>
          <w:sz w:val="22"/>
          <w:szCs w:val="22"/>
        </w:rPr>
        <w:t>group</w:t>
      </w:r>
      <w:r>
        <w:rPr>
          <w:sz w:val="22"/>
          <w:szCs w:val="22"/>
        </w:rPr>
        <w:t>s</w:t>
      </w:r>
      <w:r>
        <w:rPr>
          <w:sz w:val="22"/>
          <w:szCs w:val="22"/>
        </w:rPr>
        <w:t>) ou individuels avec les acteurs concernés par le Programme.</w:t>
      </w:r>
    </w:p>
    <w:p>
      <w:pPr>
        <w:pStyle w:val="style0"/>
        <w:tabs>
          <w:tab w:val="left" w:leader="none" w:pos="-720"/>
          <w:tab w:val="left" w:leader="none" w:pos="0"/>
        </w:tabs>
        <w:suppressAutoHyphens/>
        <w:jc w:val="both"/>
        <w:rPr>
          <w:sz w:val="22"/>
          <w:szCs w:val="22"/>
        </w:rPr>
      </w:pPr>
    </w:p>
    <w:p>
      <w:pPr>
        <w:pStyle w:val="style0"/>
        <w:tabs>
          <w:tab w:val="left" w:leader="none" w:pos="-720"/>
          <w:tab w:val="left" w:leader="none" w:pos="0"/>
        </w:tabs>
        <w:suppressAutoHyphens/>
        <w:jc w:val="both"/>
        <w:rPr>
          <w:sz w:val="22"/>
          <w:szCs w:val="22"/>
        </w:rPr>
      </w:pPr>
      <w:r>
        <w:rPr>
          <w:sz w:val="22"/>
          <w:szCs w:val="22"/>
        </w:rPr>
        <w:t xml:space="preserve">Des séances de consultations organisées avec les parties prenantes du PDCA ont permis de les informer sur le Programme notamment sur les risques et impacts environnementaux et sociaux négatifs potentiels d’une part, et de recueillir leurs avis, préoccupations et suggestions quant à la gestion des mesures de mitigation d’autre part. Les préoccupations comprennent les craintes, les suggestions, les attentes et les éventuelles doléances en vue d’améliorer la mise en œuvre du Programme. </w:t>
      </w:r>
    </w:p>
    <w:p>
      <w:pPr>
        <w:pStyle w:val="style0"/>
        <w:tabs>
          <w:tab w:val="left" w:leader="none" w:pos="-720"/>
          <w:tab w:val="left" w:leader="none" w:pos="0"/>
        </w:tabs>
        <w:suppressAutoHyphens/>
        <w:jc w:val="both"/>
        <w:rPr>
          <w:sz w:val="22"/>
          <w:szCs w:val="22"/>
        </w:rPr>
      </w:pPr>
    </w:p>
    <w:p>
      <w:pPr>
        <w:pStyle w:val="style0"/>
        <w:tabs>
          <w:tab w:val="left" w:leader="none" w:pos="-720"/>
          <w:tab w:val="left" w:leader="none" w:pos="0"/>
        </w:tabs>
        <w:suppressAutoHyphens/>
        <w:jc w:val="both"/>
        <w:rPr>
          <w:sz w:val="22"/>
          <w:szCs w:val="22"/>
        </w:rPr>
      </w:pPr>
      <w:r>
        <w:rPr>
          <w:sz w:val="22"/>
          <w:szCs w:val="22"/>
        </w:rPr>
        <w:t xml:space="preserve">Ces séances se sont déroulées dans les zones riveraines des sites potentiels d’aménagement prévus par le PDCA </w:t>
      </w:r>
      <w:r>
        <w:rPr>
          <w:sz w:val="22"/>
          <w:szCs w:val="22"/>
        </w:rPr>
        <w:t>à partir du 04 décembre 2018 date de la tenue de l’</w:t>
      </w:r>
      <w:r>
        <w:rPr>
          <w:sz w:val="22"/>
          <w:szCs w:val="22"/>
        </w:rPr>
        <w:t xml:space="preserve">atelier de cadrage </w:t>
      </w:r>
      <w:r>
        <w:rPr>
          <w:sz w:val="22"/>
          <w:szCs w:val="22"/>
        </w:rPr>
        <w:t xml:space="preserve">à Ouagadougou et ensuite </w:t>
      </w:r>
      <w:r>
        <w:rPr>
          <w:sz w:val="22"/>
          <w:szCs w:val="22"/>
        </w:rPr>
        <w:t>du 07 au 12 janvier 2019</w:t>
      </w:r>
      <w:r>
        <w:rPr>
          <w:sz w:val="22"/>
          <w:szCs w:val="22"/>
        </w:rPr>
        <w:t xml:space="preserve"> avec les parties prenantes dans la zone d’intervention du Programme</w:t>
      </w:r>
      <w:r>
        <w:rPr>
          <w:sz w:val="22"/>
          <w:szCs w:val="22"/>
        </w:rPr>
        <w:t xml:space="preserve">. </w:t>
      </w:r>
    </w:p>
    <w:p>
      <w:pPr>
        <w:pStyle w:val="style0"/>
        <w:tabs>
          <w:tab w:val="left" w:leader="none" w:pos="-720"/>
          <w:tab w:val="left" w:leader="none" w:pos="0"/>
        </w:tabs>
        <w:suppressAutoHyphens/>
        <w:jc w:val="both"/>
        <w:rPr>
          <w:sz w:val="22"/>
          <w:szCs w:val="22"/>
        </w:rPr>
      </w:pPr>
    </w:p>
    <w:p>
      <w:pPr>
        <w:pStyle w:val="style0"/>
        <w:tabs>
          <w:tab w:val="left" w:leader="none" w:pos="-720"/>
          <w:tab w:val="left" w:leader="none" w:pos="0"/>
        </w:tabs>
        <w:suppressAutoHyphens/>
        <w:jc w:val="both"/>
        <w:rPr>
          <w:sz w:val="22"/>
          <w:szCs w:val="22"/>
        </w:rPr>
      </w:pPr>
      <w:r>
        <w:rPr>
          <w:sz w:val="22"/>
          <w:szCs w:val="22"/>
        </w:rPr>
        <w:t>Au cours de l’atelier de cadrage</w:t>
      </w:r>
      <w:r>
        <w:rPr>
          <w:sz w:val="22"/>
          <w:szCs w:val="22"/>
        </w:rPr>
        <w:t xml:space="preserve">, la mission a rencontré plusieurs structures représentant les départements ministériels impliqués ainsi que des </w:t>
      </w:r>
      <w:r>
        <w:rPr>
          <w:sz w:val="22"/>
          <w:szCs w:val="22"/>
        </w:rPr>
        <w:t xml:space="preserve">projets rattachés au MAAH et le </w:t>
      </w:r>
      <w:r>
        <w:rPr>
          <w:sz w:val="22"/>
          <w:szCs w:val="22"/>
        </w:rPr>
        <w:t xml:space="preserve">BUNEE </w:t>
      </w:r>
      <w:r>
        <w:rPr>
          <w:sz w:val="22"/>
          <w:szCs w:val="22"/>
        </w:rPr>
        <w:t>du MEEVCC</w:t>
      </w:r>
      <w:r>
        <w:rPr>
          <w:sz w:val="22"/>
          <w:szCs w:val="22"/>
        </w:rPr>
        <w:t>. Elle a également rencontré lors des visites terrain des parties prenantes du Programme (producteurs, services techniques, administrations locales, coutumiers, etc.) aux dates et lieux suivants :</w:t>
      </w:r>
    </w:p>
    <w:p>
      <w:pPr>
        <w:pStyle w:val="style0"/>
        <w:numPr>
          <w:ilvl w:val="0"/>
          <w:numId w:val="138"/>
        </w:numPr>
        <w:tabs>
          <w:tab w:val="left" w:leader="none" w:pos="-720"/>
          <w:tab w:val="left" w:leader="none" w:pos="0"/>
        </w:tabs>
        <w:suppressAutoHyphens/>
        <w:jc w:val="both"/>
        <w:rPr>
          <w:sz w:val="22"/>
          <w:szCs w:val="22"/>
        </w:rPr>
      </w:pPr>
      <w:r>
        <w:rPr>
          <w:sz w:val="22"/>
          <w:szCs w:val="22"/>
        </w:rPr>
        <w:t>site de Dourou (Kirsi/Passoré/Nord), 07 au 08 janvier 2019</w:t>
      </w:r>
    </w:p>
    <w:p>
      <w:pPr>
        <w:pStyle w:val="style0"/>
        <w:numPr>
          <w:ilvl w:val="0"/>
          <w:numId w:val="138"/>
        </w:numPr>
        <w:tabs>
          <w:tab w:val="left" w:leader="none" w:pos="-720"/>
          <w:tab w:val="left" w:leader="none" w:pos="0"/>
        </w:tabs>
        <w:suppressAutoHyphens/>
        <w:jc w:val="both"/>
        <w:rPr>
          <w:sz w:val="22"/>
          <w:szCs w:val="22"/>
        </w:rPr>
      </w:pPr>
      <w:r>
        <w:rPr>
          <w:sz w:val="22"/>
          <w:szCs w:val="22"/>
        </w:rPr>
        <w:t>site de Douna/Niofila (Douna/Léraba/Cascades), 08 janvier 2019;</w:t>
      </w:r>
    </w:p>
    <w:p>
      <w:pPr>
        <w:pStyle w:val="style0"/>
        <w:numPr>
          <w:ilvl w:val="0"/>
          <w:numId w:val="138"/>
        </w:numPr>
        <w:jc w:val="both"/>
        <w:rPr>
          <w:sz w:val="22"/>
          <w:szCs w:val="22"/>
        </w:rPr>
      </w:pPr>
      <w:r>
        <w:rPr>
          <w:sz w:val="22"/>
          <w:szCs w:val="22"/>
        </w:rPr>
        <w:t>site de Banzon (Banzon/Kénédougou/Cascades), 10 janvier 2019;</w:t>
      </w:r>
    </w:p>
    <w:p>
      <w:pPr>
        <w:pStyle w:val="style0"/>
        <w:numPr>
          <w:ilvl w:val="0"/>
          <w:numId w:val="138"/>
        </w:numPr>
        <w:jc w:val="both"/>
        <w:rPr>
          <w:sz w:val="22"/>
          <w:szCs w:val="22"/>
        </w:rPr>
      </w:pPr>
      <w:r>
        <w:rPr>
          <w:sz w:val="22"/>
          <w:szCs w:val="22"/>
        </w:rPr>
        <w:t>sites de Dangoumana (Sono/Kossi/Boucle du Mouhoun) et de Bissan (Lanfiéra/Kossi/Boucle du Mouhoun), 12 janvier 2019.</w:t>
      </w:r>
    </w:p>
    <w:p>
      <w:pPr>
        <w:pStyle w:val="style0"/>
        <w:rPr>
          <w:rFonts w:eastAsia="MS Mincho"/>
          <w:lang w:eastAsia="en-GB"/>
        </w:rPr>
      </w:pPr>
    </w:p>
    <w:p>
      <w:pPr>
        <w:pStyle w:val="style0"/>
        <w:jc w:val="both"/>
        <w:rPr>
          <w:rFonts w:eastAsia="Calibri"/>
          <w:sz w:val="22"/>
          <w:szCs w:val="22"/>
          <w:lang w:eastAsia="en-US"/>
        </w:rPr>
      </w:pPr>
      <w:r>
        <w:rPr>
          <w:sz w:val="22"/>
          <w:szCs w:val="22"/>
        </w:rPr>
        <w:t xml:space="preserve">Un </w:t>
      </w:r>
      <w:r>
        <w:rPr>
          <w:sz w:val="22"/>
          <w:szCs w:val="22"/>
        </w:rPr>
        <w:t>compte rendu détaillé</w:t>
      </w:r>
      <w:r>
        <w:rPr>
          <w:sz w:val="22"/>
          <w:szCs w:val="22"/>
        </w:rPr>
        <w:t xml:space="preserve"> des consultations publiques menées dans le cadre du CGES est joint en annexe du rapport.</w:t>
      </w:r>
      <w:r>
        <w:rPr>
          <w:sz w:val="22"/>
          <w:szCs w:val="22"/>
        </w:rPr>
        <w:t xml:space="preserve"> Toutefois, une synthèse </w:t>
      </w:r>
      <w:r>
        <w:rPr>
          <w:rFonts w:eastAsia="Calibri"/>
          <w:sz w:val="22"/>
          <w:szCs w:val="22"/>
          <w:lang w:eastAsia="en-US"/>
        </w:rPr>
        <w:t>des consultations</w:t>
      </w:r>
      <w:r>
        <w:rPr>
          <w:rFonts w:eastAsia="Calibri"/>
          <w:sz w:val="22"/>
          <w:szCs w:val="22"/>
          <w:lang w:eastAsia="en-US"/>
        </w:rPr>
        <w:t xml:space="preserve"> </w:t>
      </w:r>
      <w:r>
        <w:rPr>
          <w:rFonts w:eastAsia="Calibri"/>
          <w:sz w:val="22"/>
          <w:szCs w:val="22"/>
          <w:lang w:eastAsia="en-US"/>
        </w:rPr>
        <w:t>est présentée dans l</w:t>
      </w:r>
      <w:r>
        <w:rPr>
          <w:rFonts w:eastAsia="Calibri"/>
          <w:sz w:val="22"/>
          <w:szCs w:val="22"/>
          <w:lang w:eastAsia="en-US"/>
        </w:rPr>
        <w:t xml:space="preserve">e tableau </w:t>
      </w:r>
      <w:r>
        <w:rPr>
          <w:rFonts w:eastAsia="Calibri"/>
          <w:sz w:val="22"/>
          <w:szCs w:val="22"/>
          <w:lang w:eastAsia="en-US"/>
        </w:rPr>
        <w:t>suivant.</w:t>
      </w:r>
      <w:r>
        <w:rPr>
          <w:rFonts w:eastAsia="Calibri"/>
          <w:sz w:val="22"/>
          <w:szCs w:val="22"/>
          <w:lang w:eastAsia="en-US"/>
        </w:rPr>
        <w:t xml:space="preserve"> </w:t>
      </w:r>
    </w:p>
    <w:p>
      <w:pPr>
        <w:pStyle w:val="style0"/>
        <w:jc w:val="both"/>
        <w:rPr>
          <w:rFonts w:eastAsia="Calibri"/>
          <w:sz w:val="22"/>
          <w:szCs w:val="22"/>
          <w:lang w:eastAsia="en-US"/>
        </w:rPr>
      </w:pPr>
    </w:p>
    <w:p>
      <w:pPr>
        <w:pStyle w:val="style0"/>
        <w:jc w:val="both"/>
        <w:rPr>
          <w:rFonts w:eastAsia="Calibri"/>
          <w:sz w:val="22"/>
          <w:szCs w:val="22"/>
          <w:lang w:eastAsia="en-US"/>
        </w:rPr>
        <w:sectPr>
          <w:pgSz w:w="11906" w:h="16838" w:orient="portrait"/>
          <w:pgMar w:top="1418" w:right="1418" w:bottom="1418" w:left="1418" w:header="720" w:footer="720" w:gutter="0"/>
          <w:cols w:space="720"/>
          <w:titlePg/>
          <w:docGrid w:linePitch="360"/>
        </w:sectPr>
      </w:pPr>
    </w:p>
    <w:bookmarkStart w:id="1242" w:name="_Toc2780541"/>
    <w:p>
      <w:pPr>
        <w:pStyle w:val="style34"/>
        <w:jc w:val="left"/>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7</w:t>
      </w:r>
      <w:r>
        <w:rPr>
          <w:color w:val="auto"/>
          <w:sz w:val="20"/>
          <w:szCs w:val="20"/>
        </w:rPr>
        <w:fldChar w:fldCharType="end"/>
      </w:r>
      <w:r>
        <w:rPr>
          <w:color w:val="auto"/>
          <w:sz w:val="20"/>
          <w:szCs w:val="20"/>
        </w:rPr>
        <w:t xml:space="preserve"> : </w:t>
      </w:r>
      <w:r>
        <w:rPr>
          <w:bCs w:val="false"/>
          <w:color w:val="auto"/>
          <w:sz w:val="20"/>
          <w:szCs w:val="20"/>
        </w:rPr>
        <w:t>Synthèse des consultations menées dans la zone d’intervention du Programme</w:t>
      </w:r>
      <w:bookmarkEnd w:id="1242"/>
    </w:p>
    <w:p>
      <w:pPr>
        <w:pStyle w:val="style0"/>
        <w:jc w:val="center"/>
        <w:rPr>
          <w:b/>
        </w:rPr>
      </w:pPr>
    </w:p>
    <w:p>
      <w:pPr>
        <w:pStyle w:val="style0"/>
        <w:jc w:val="center"/>
        <w:rPr>
          <w:b/>
        </w:rPr>
      </w:pPr>
      <w:r>
        <w:rPr>
          <w:b/>
        </w:rPr>
        <w:t xml:space="preserve">Synthèse des consultations publiques avec les parties prenantes du site de </w:t>
      </w:r>
      <w:r>
        <w:rPr>
          <w:b/>
        </w:rPr>
        <w:t>Dourou</w:t>
      </w:r>
      <w:r>
        <w:rPr>
          <w:b/>
        </w:rPr>
        <w:t xml:space="preserve"> (</w:t>
      </w:r>
      <w:r>
        <w:rPr>
          <w:b/>
        </w:rPr>
        <w:t>Kirsi/Passoré</w:t>
      </w:r>
      <w:r>
        <w:rPr>
          <w:b/>
        </w:rPr>
        <w:t>/</w:t>
      </w:r>
      <w:r>
        <w:rPr>
          <w:b/>
        </w:rPr>
        <w:t>Nord</w:t>
      </w:r>
      <w:r>
        <w:rPr>
          <w:b/>
        </w:rPr>
        <w:t>)</w:t>
      </w:r>
      <w:r>
        <w:rPr>
          <w:b/>
        </w:rPr>
        <w:t xml:space="preserve">, </w:t>
      </w:r>
      <w:r>
        <w:t>07</w:t>
      </w:r>
      <w:r>
        <w:t xml:space="preserve"> </w:t>
      </w:r>
      <w:r>
        <w:t xml:space="preserve">au 08 </w:t>
      </w:r>
      <w:r>
        <w:t>janvier 2019</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3204"/>
        <w:gridCol w:w="2750"/>
        <w:gridCol w:w="3118"/>
        <w:gridCol w:w="3814"/>
      </w:tblGrid>
      <w:tr>
        <w:trPr>
          <w:tblHeader/>
          <w:jc w:val="center"/>
        </w:trPr>
        <w:tc>
          <w:tcPr>
            <w:tcW w:w="2286" w:type="dxa"/>
            <w:tcBorders/>
            <w:shd w:val="clear" w:color="auto" w:fill="bfbfbf"/>
          </w:tcPr>
          <w:p>
            <w:pPr>
              <w:pStyle w:val="style0"/>
              <w:jc w:val="center"/>
              <w:rPr>
                <w:b/>
                <w:sz w:val="18"/>
                <w:szCs w:val="18"/>
              </w:rPr>
            </w:pPr>
            <w:r>
              <w:rPr>
                <w:b/>
                <w:sz w:val="18"/>
                <w:szCs w:val="18"/>
              </w:rPr>
              <w:t>Acteurs/institutions</w:t>
            </w:r>
          </w:p>
        </w:tc>
        <w:tc>
          <w:tcPr>
            <w:tcW w:w="3204" w:type="dxa"/>
            <w:tcBorders/>
            <w:shd w:val="clear" w:color="auto" w:fill="bfbfbf"/>
          </w:tcPr>
          <w:p>
            <w:pPr>
              <w:pStyle w:val="style0"/>
              <w:jc w:val="center"/>
              <w:rPr>
                <w:b/>
                <w:sz w:val="18"/>
                <w:szCs w:val="18"/>
              </w:rPr>
            </w:pPr>
            <w:r>
              <w:rPr>
                <w:b/>
                <w:sz w:val="18"/>
                <w:szCs w:val="18"/>
              </w:rPr>
              <w:t>Points discutés</w:t>
            </w:r>
          </w:p>
        </w:tc>
        <w:tc>
          <w:tcPr>
            <w:tcW w:w="2750" w:type="dxa"/>
            <w:tcBorders/>
            <w:shd w:val="clear" w:color="auto" w:fill="bfbfbf"/>
          </w:tcPr>
          <w:p>
            <w:pPr>
              <w:pStyle w:val="style0"/>
              <w:jc w:val="center"/>
              <w:rPr>
                <w:b/>
                <w:sz w:val="18"/>
                <w:szCs w:val="18"/>
              </w:rPr>
            </w:pPr>
            <w:r>
              <w:rPr>
                <w:b/>
                <w:sz w:val="18"/>
                <w:szCs w:val="18"/>
              </w:rPr>
              <w:t>Atouts</w:t>
            </w:r>
          </w:p>
        </w:tc>
        <w:tc>
          <w:tcPr>
            <w:tcW w:w="3118" w:type="dxa"/>
            <w:tcBorders/>
            <w:shd w:val="clear" w:color="auto" w:fill="bfbfbf"/>
          </w:tcPr>
          <w:p>
            <w:pPr>
              <w:pStyle w:val="style0"/>
              <w:jc w:val="center"/>
              <w:rPr>
                <w:b/>
                <w:sz w:val="18"/>
                <w:szCs w:val="18"/>
              </w:rPr>
            </w:pPr>
            <w:r>
              <w:rPr>
                <w:b/>
                <w:sz w:val="18"/>
                <w:szCs w:val="18"/>
              </w:rPr>
              <w:t>Préoccupations et craintes</w:t>
            </w:r>
          </w:p>
        </w:tc>
        <w:tc>
          <w:tcPr>
            <w:tcW w:w="3814" w:type="dxa"/>
            <w:tcBorders/>
            <w:shd w:val="clear" w:color="auto" w:fill="bfbfbf"/>
          </w:tcPr>
          <w:p>
            <w:pPr>
              <w:pStyle w:val="style0"/>
              <w:jc w:val="center"/>
              <w:rPr>
                <w:b/>
                <w:sz w:val="18"/>
                <w:szCs w:val="18"/>
              </w:rPr>
            </w:pPr>
            <w:r>
              <w:rPr>
                <w:b/>
                <w:sz w:val="18"/>
                <w:szCs w:val="18"/>
              </w:rPr>
              <w:t>Dispositions à prendre</w:t>
            </w:r>
          </w:p>
        </w:tc>
      </w:tr>
      <w:tr>
        <w:tblPrEx/>
        <w:trPr>
          <w:jc w:val="center"/>
        </w:trPr>
        <w:tc>
          <w:tcPr>
            <w:tcW w:w="2286" w:type="dxa"/>
            <w:tcBorders>
              <w:bottom w:val="single" w:sz="4" w:space="0" w:color="auto"/>
            </w:tcBorders>
            <w:vAlign w:val="center"/>
          </w:tcPr>
          <w:p>
            <w:pPr>
              <w:pStyle w:val="style0"/>
              <w:rPr>
                <w:sz w:val="18"/>
                <w:szCs w:val="18"/>
              </w:rPr>
            </w:pPr>
            <w:r>
              <w:rPr>
                <w:color w:val="000000"/>
                <w:sz w:val="18"/>
                <w:szCs w:val="18"/>
              </w:rPr>
              <w:t>DPAAH/DRAAH (Agriculture) (Yako)</w:t>
            </w:r>
          </w:p>
          <w:p>
            <w:pPr>
              <w:pStyle w:val="style0"/>
              <w:rPr>
                <w:sz w:val="18"/>
                <w:szCs w:val="18"/>
              </w:rPr>
            </w:pPr>
          </w:p>
          <w:p>
            <w:pPr>
              <w:pStyle w:val="style0"/>
              <w:rPr>
                <w:sz w:val="18"/>
                <w:szCs w:val="18"/>
              </w:rPr>
            </w:pPr>
          </w:p>
          <w:p>
            <w:pPr>
              <w:pStyle w:val="style0"/>
              <w:rPr>
                <w:sz w:val="18"/>
                <w:szCs w:val="18"/>
              </w:rPr>
            </w:pPr>
          </w:p>
          <w:p>
            <w:pPr>
              <w:pStyle w:val="style0"/>
              <w:rPr>
                <w:sz w:val="18"/>
                <w:szCs w:val="18"/>
              </w:rPr>
            </w:pPr>
          </w:p>
        </w:tc>
        <w:tc>
          <w:tcPr>
            <w:tcW w:w="3204" w:type="dxa"/>
            <w:tcBorders>
              <w:bottom w:val="single" w:sz="4" w:space="0" w:color="auto"/>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op w:val="nil"/>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Bonne appréciation des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Disponibilité de l‘appui des services techniques ;</w:t>
            </w:r>
          </w:p>
          <w:p>
            <w:pPr>
              <w:pStyle w:val="style179"/>
              <w:numPr>
                <w:ilvl w:val="0"/>
                <w:numId w:val="52"/>
              </w:numPr>
              <w:ind w:left="176" w:hanging="176"/>
              <w:contextualSpacing/>
              <w:rPr>
                <w:color w:val="000000"/>
                <w:sz w:val="18"/>
                <w:szCs w:val="18"/>
              </w:rPr>
            </w:pPr>
            <w:r>
              <w:rPr>
                <w:color w:val="000000"/>
                <w:sz w:val="18"/>
                <w:szCs w:val="18"/>
              </w:rPr>
              <w:t>Bonne connaissance du site du projet par les agents de terrain ;</w:t>
            </w:r>
          </w:p>
          <w:p>
            <w:pPr>
              <w:pStyle w:val="style179"/>
              <w:numPr>
                <w:ilvl w:val="0"/>
                <w:numId w:val="52"/>
              </w:numPr>
              <w:ind w:left="176" w:hanging="176"/>
              <w:contextualSpacing/>
              <w:rPr>
                <w:color w:val="000000"/>
                <w:sz w:val="18"/>
                <w:szCs w:val="18"/>
              </w:rPr>
            </w:pPr>
            <w:r>
              <w:rPr>
                <w:color w:val="000000"/>
                <w:sz w:val="18"/>
                <w:szCs w:val="18"/>
              </w:rPr>
              <w:t xml:space="preserve">Disponibilité de l’expertise dont aura besoin le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 xml:space="preserve">Sol riche ; </w:t>
            </w:r>
          </w:p>
          <w:p>
            <w:pPr>
              <w:pStyle w:val="style179"/>
              <w:numPr>
                <w:ilvl w:val="0"/>
                <w:numId w:val="52"/>
              </w:numPr>
              <w:ind w:left="176" w:hanging="176"/>
              <w:contextualSpacing/>
              <w:rPr>
                <w:color w:val="000000"/>
                <w:sz w:val="18"/>
                <w:szCs w:val="18"/>
              </w:rPr>
            </w:pPr>
            <w:r>
              <w:rPr>
                <w:color w:val="000000"/>
                <w:sz w:val="18"/>
                <w:szCs w:val="18"/>
              </w:rPr>
              <w:t>Grande capacité en eau du barrage ;</w:t>
            </w:r>
          </w:p>
          <w:p>
            <w:pPr>
              <w:pStyle w:val="style179"/>
              <w:numPr>
                <w:ilvl w:val="0"/>
                <w:numId w:val="52"/>
              </w:numPr>
              <w:ind w:left="176" w:hanging="176"/>
              <w:contextualSpacing/>
              <w:rPr>
                <w:color w:val="000000"/>
                <w:sz w:val="18"/>
                <w:szCs w:val="18"/>
              </w:rPr>
            </w:pPr>
            <w:r>
              <w:rPr>
                <w:color w:val="000000"/>
                <w:sz w:val="18"/>
                <w:szCs w:val="18"/>
              </w:rPr>
              <w:t>Grande superficie aménageable ;</w:t>
            </w:r>
          </w:p>
        </w:tc>
        <w:tc>
          <w:tcPr>
            <w:tcW w:w="3118" w:type="dxa"/>
            <w:tcBorders>
              <w:top w:val="nil"/>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Gestion des risques liés à l’utilisation des pesticides ; </w:t>
            </w:r>
          </w:p>
          <w:p>
            <w:pPr>
              <w:pStyle w:val="style179"/>
              <w:numPr>
                <w:ilvl w:val="0"/>
                <w:numId w:val="52"/>
              </w:numPr>
              <w:ind w:left="176" w:hanging="176"/>
              <w:contextualSpacing/>
              <w:rPr>
                <w:color w:val="000000"/>
                <w:sz w:val="18"/>
                <w:szCs w:val="18"/>
              </w:rPr>
            </w:pPr>
            <w:r>
              <w:rPr>
                <w:color w:val="000000"/>
                <w:sz w:val="18"/>
                <w:szCs w:val="18"/>
              </w:rPr>
              <w:t>Non-respect de la bande de servitude ;</w:t>
            </w:r>
          </w:p>
          <w:p>
            <w:pPr>
              <w:pStyle w:val="style179"/>
              <w:numPr>
                <w:ilvl w:val="0"/>
                <w:numId w:val="52"/>
              </w:numPr>
              <w:ind w:left="176" w:hanging="176"/>
              <w:contextualSpacing/>
              <w:rPr>
                <w:color w:val="000000"/>
                <w:sz w:val="18"/>
                <w:szCs w:val="18"/>
              </w:rPr>
            </w:pPr>
            <w:r>
              <w:rPr>
                <w:color w:val="000000"/>
                <w:sz w:val="18"/>
                <w:szCs w:val="18"/>
              </w:rPr>
              <w:t xml:space="preserve">Ensablement du barrage ; </w:t>
            </w:r>
          </w:p>
          <w:p>
            <w:pPr>
              <w:pStyle w:val="style179"/>
              <w:numPr>
                <w:ilvl w:val="0"/>
                <w:numId w:val="52"/>
              </w:numPr>
              <w:ind w:left="176" w:hanging="176"/>
              <w:contextualSpacing/>
              <w:rPr>
                <w:color w:val="000000"/>
                <w:sz w:val="18"/>
                <w:szCs w:val="18"/>
              </w:rPr>
            </w:pPr>
            <w:r>
              <w:rPr>
                <w:color w:val="000000"/>
                <w:sz w:val="18"/>
                <w:szCs w:val="18"/>
              </w:rPr>
              <w:t>Envahissement du barrage par les mauvaises herbes ;</w:t>
            </w:r>
          </w:p>
          <w:p>
            <w:pPr>
              <w:pStyle w:val="style179"/>
              <w:numPr>
                <w:ilvl w:val="0"/>
                <w:numId w:val="52"/>
              </w:numPr>
              <w:ind w:left="176" w:hanging="176"/>
              <w:contextualSpacing/>
              <w:rPr>
                <w:color w:val="000000"/>
                <w:sz w:val="18"/>
                <w:szCs w:val="18"/>
              </w:rPr>
            </w:pPr>
            <w:r>
              <w:rPr>
                <w:color w:val="000000"/>
                <w:sz w:val="18"/>
                <w:szCs w:val="18"/>
              </w:rPr>
              <w:t>Existence d’un litige au niveau  de la chefferie.</w:t>
            </w:r>
          </w:p>
          <w:p>
            <w:pPr>
              <w:pStyle w:val="style179"/>
              <w:numPr>
                <w:ilvl w:val="0"/>
                <w:numId w:val="52"/>
              </w:numPr>
              <w:ind w:left="236" w:hanging="236"/>
              <w:contextualSpacing/>
              <w:rPr>
                <w:color w:val="000000"/>
                <w:sz w:val="18"/>
                <w:szCs w:val="18"/>
              </w:rPr>
            </w:pPr>
            <w:r>
              <w:rPr>
                <w:color w:val="000000"/>
                <w:sz w:val="18"/>
                <w:szCs w:val="18"/>
              </w:rPr>
              <w:t>Peu de barrage dans la zone ;</w:t>
            </w:r>
          </w:p>
          <w:p>
            <w:pPr>
              <w:pStyle w:val="style179"/>
              <w:numPr>
                <w:ilvl w:val="0"/>
                <w:numId w:val="52"/>
              </w:numPr>
              <w:ind w:left="236" w:hanging="236"/>
              <w:contextualSpacing/>
              <w:rPr>
                <w:color w:val="000000"/>
                <w:sz w:val="18"/>
                <w:szCs w:val="18"/>
              </w:rPr>
            </w:pPr>
            <w:r>
              <w:rPr>
                <w:color w:val="000000"/>
                <w:sz w:val="18"/>
                <w:szCs w:val="18"/>
              </w:rPr>
              <w:t xml:space="preserve">Principale sources d’abreuvement du bétail ; </w:t>
            </w:r>
          </w:p>
          <w:p>
            <w:pPr>
              <w:pStyle w:val="style179"/>
              <w:numPr>
                <w:ilvl w:val="0"/>
                <w:numId w:val="52"/>
              </w:numPr>
              <w:ind w:left="236" w:hanging="236"/>
              <w:contextualSpacing/>
              <w:rPr>
                <w:color w:val="000000"/>
                <w:sz w:val="18"/>
                <w:szCs w:val="18"/>
              </w:rPr>
            </w:pPr>
            <w:r>
              <w:rPr>
                <w:color w:val="000000"/>
                <w:sz w:val="18"/>
                <w:szCs w:val="18"/>
              </w:rPr>
              <w:t>risque de contamination de l’eau et des sols au pesticide ;</w:t>
            </w:r>
          </w:p>
          <w:p>
            <w:pPr>
              <w:pStyle w:val="style179"/>
              <w:numPr>
                <w:ilvl w:val="0"/>
                <w:numId w:val="52"/>
              </w:numPr>
              <w:ind w:left="236" w:hanging="236"/>
              <w:contextualSpacing/>
              <w:rPr>
                <w:color w:val="000000"/>
                <w:sz w:val="18"/>
                <w:szCs w:val="18"/>
              </w:rPr>
            </w:pPr>
            <w:r>
              <w:rPr>
                <w:color w:val="000000"/>
                <w:sz w:val="18"/>
                <w:szCs w:val="18"/>
              </w:rPr>
              <w:t>obstruction des pistes à bétail.</w:t>
            </w:r>
          </w:p>
        </w:tc>
        <w:tc>
          <w:tcPr>
            <w:tcW w:w="3814" w:type="dxa"/>
            <w:tcBorders>
              <w:top w:val="nil"/>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Sensibiliser sur le</w:t>
            </w:r>
            <w:r>
              <w:rPr>
                <w:color w:val="000000"/>
                <w:sz w:val="18"/>
                <w:szCs w:val="18"/>
              </w:rPr>
              <w:t>s</w:t>
            </w:r>
            <w:r>
              <w:rPr>
                <w:color w:val="000000"/>
                <w:sz w:val="18"/>
                <w:szCs w:val="18"/>
              </w:rPr>
              <w:t xml:space="preserve"> risque</w:t>
            </w:r>
            <w:r>
              <w:rPr>
                <w:color w:val="000000"/>
                <w:sz w:val="18"/>
                <w:szCs w:val="18"/>
              </w:rPr>
              <w:t>s</w:t>
            </w:r>
            <w:r>
              <w:rPr>
                <w:color w:val="000000"/>
                <w:sz w:val="18"/>
                <w:szCs w:val="18"/>
              </w:rPr>
              <w:t xml:space="preserve"> d’intoxication </w:t>
            </w:r>
            <w:r>
              <w:rPr>
                <w:color w:val="000000"/>
                <w:sz w:val="18"/>
                <w:szCs w:val="18"/>
              </w:rPr>
              <w:t>par l</w:t>
            </w:r>
            <w:r>
              <w:rPr>
                <w:color w:val="000000"/>
                <w:sz w:val="18"/>
                <w:szCs w:val="18"/>
              </w:rPr>
              <w:t>es pesticides ;</w:t>
            </w:r>
          </w:p>
          <w:p>
            <w:pPr>
              <w:pStyle w:val="style179"/>
              <w:numPr>
                <w:ilvl w:val="0"/>
                <w:numId w:val="52"/>
              </w:numPr>
              <w:ind w:left="176" w:hanging="176"/>
              <w:contextualSpacing/>
              <w:rPr>
                <w:color w:val="000000"/>
                <w:sz w:val="18"/>
                <w:szCs w:val="18"/>
              </w:rPr>
            </w:pPr>
            <w:r>
              <w:rPr>
                <w:color w:val="000000"/>
                <w:sz w:val="18"/>
                <w:szCs w:val="18"/>
              </w:rPr>
              <w:t>Former sur l’utilisation des pesticides ;</w:t>
            </w:r>
          </w:p>
          <w:p>
            <w:pPr>
              <w:pStyle w:val="style179"/>
              <w:numPr>
                <w:ilvl w:val="0"/>
                <w:numId w:val="52"/>
              </w:numPr>
              <w:ind w:left="176" w:hanging="176"/>
              <w:contextualSpacing/>
              <w:rPr>
                <w:color w:val="000000"/>
                <w:sz w:val="18"/>
                <w:szCs w:val="18"/>
              </w:rPr>
            </w:pPr>
            <w:r>
              <w:rPr>
                <w:color w:val="000000"/>
                <w:sz w:val="18"/>
                <w:szCs w:val="18"/>
              </w:rPr>
              <w:t>Appu</w:t>
            </w:r>
            <w:r>
              <w:rPr>
                <w:color w:val="000000"/>
                <w:sz w:val="18"/>
                <w:szCs w:val="18"/>
              </w:rPr>
              <w:t>yer</w:t>
            </w:r>
            <w:r>
              <w:rPr>
                <w:color w:val="000000"/>
                <w:sz w:val="18"/>
                <w:szCs w:val="18"/>
              </w:rPr>
              <w:t xml:space="preserve"> </w:t>
            </w:r>
            <w:r>
              <w:rPr>
                <w:color w:val="000000"/>
                <w:sz w:val="18"/>
                <w:szCs w:val="18"/>
              </w:rPr>
              <w:t>l</w:t>
            </w:r>
            <w:r>
              <w:rPr>
                <w:color w:val="000000"/>
                <w:sz w:val="18"/>
                <w:szCs w:val="18"/>
              </w:rPr>
              <w:t xml:space="preserve">es </w:t>
            </w:r>
            <w:r>
              <w:rPr>
                <w:color w:val="000000"/>
                <w:sz w:val="18"/>
                <w:szCs w:val="18"/>
              </w:rPr>
              <w:t>producteurs en équipements de traitement et de protection ;</w:t>
            </w:r>
          </w:p>
          <w:p>
            <w:pPr>
              <w:pStyle w:val="style179"/>
              <w:numPr>
                <w:ilvl w:val="0"/>
                <w:numId w:val="52"/>
              </w:numPr>
              <w:ind w:left="176" w:hanging="176"/>
              <w:contextualSpacing/>
              <w:rPr>
                <w:color w:val="000000"/>
                <w:sz w:val="18"/>
                <w:szCs w:val="18"/>
              </w:rPr>
            </w:pPr>
            <w:r>
              <w:rPr>
                <w:color w:val="000000"/>
                <w:sz w:val="18"/>
                <w:szCs w:val="18"/>
              </w:rPr>
              <w:t>Sensibiliser au respect de la bande servitude ;</w:t>
            </w:r>
          </w:p>
          <w:p>
            <w:pPr>
              <w:pStyle w:val="style179"/>
              <w:numPr>
                <w:ilvl w:val="0"/>
                <w:numId w:val="52"/>
              </w:numPr>
              <w:ind w:left="176" w:hanging="176"/>
              <w:contextualSpacing/>
              <w:rPr>
                <w:color w:val="000000"/>
                <w:sz w:val="18"/>
                <w:szCs w:val="18"/>
              </w:rPr>
            </w:pPr>
            <w:r>
              <w:rPr>
                <w:color w:val="000000"/>
                <w:sz w:val="18"/>
                <w:szCs w:val="18"/>
              </w:rPr>
              <w:t>Traiter avec les chefs coutumiers reconnus par les autorités administratives.</w:t>
            </w:r>
          </w:p>
          <w:p>
            <w:pPr>
              <w:pStyle w:val="style179"/>
              <w:ind w:left="236"/>
              <w:contextualSpacing/>
              <w:rPr>
                <w:color w:val="000000"/>
                <w:sz w:val="18"/>
                <w:szCs w:val="18"/>
              </w:rPr>
            </w:pPr>
          </w:p>
          <w:p>
            <w:pPr>
              <w:pStyle w:val="style179"/>
              <w:numPr>
                <w:ilvl w:val="0"/>
                <w:numId w:val="52"/>
              </w:numPr>
              <w:ind w:left="236" w:hanging="236"/>
              <w:contextualSpacing/>
              <w:rPr>
                <w:color w:val="000000"/>
                <w:sz w:val="18"/>
                <w:szCs w:val="18"/>
              </w:rPr>
            </w:pPr>
            <w:r>
              <w:rPr>
                <w:color w:val="000000"/>
                <w:sz w:val="18"/>
                <w:szCs w:val="18"/>
              </w:rPr>
              <w:t>Créer des pistes à bétail ;</w:t>
            </w:r>
          </w:p>
          <w:p>
            <w:pPr>
              <w:pStyle w:val="style179"/>
              <w:numPr>
                <w:ilvl w:val="0"/>
                <w:numId w:val="52"/>
              </w:numPr>
              <w:ind w:left="236" w:hanging="236"/>
              <w:contextualSpacing/>
              <w:rPr>
                <w:color w:val="000000"/>
                <w:sz w:val="18"/>
                <w:szCs w:val="18"/>
              </w:rPr>
            </w:pPr>
            <w:r>
              <w:rPr>
                <w:color w:val="000000"/>
                <w:sz w:val="18"/>
                <w:szCs w:val="18"/>
              </w:rPr>
              <w:t>Aménager des points d’abreuvement ;</w:t>
            </w:r>
          </w:p>
          <w:p>
            <w:pPr>
              <w:pStyle w:val="style179"/>
              <w:numPr>
                <w:ilvl w:val="0"/>
                <w:numId w:val="52"/>
              </w:numPr>
              <w:ind w:left="236" w:hanging="236"/>
              <w:contextualSpacing/>
              <w:rPr>
                <w:color w:val="000000"/>
                <w:sz w:val="18"/>
                <w:szCs w:val="18"/>
              </w:rPr>
            </w:pPr>
            <w:r>
              <w:rPr>
                <w:color w:val="000000"/>
                <w:sz w:val="18"/>
                <w:szCs w:val="18"/>
              </w:rPr>
              <w:t>Promouvoir l’’utilisation de la fumure organique.</w:t>
            </w:r>
          </w:p>
          <w:p>
            <w:pPr>
              <w:pStyle w:val="style179"/>
              <w:ind w:left="176"/>
              <w:rPr>
                <w:color w:val="000000"/>
                <w:sz w:val="18"/>
                <w:szCs w:val="18"/>
              </w:rPr>
            </w:pPr>
          </w:p>
          <w:p>
            <w:pPr>
              <w:pStyle w:val="style0"/>
              <w:rPr>
                <w:color w:val="000000"/>
                <w:sz w:val="18"/>
                <w:szCs w:val="18"/>
              </w:rPr>
            </w:pPr>
          </w:p>
        </w:tc>
      </w:tr>
      <w:tr>
        <w:tblPrEx/>
        <w:trPr>
          <w:jc w:val="center"/>
        </w:trPr>
        <w:tc>
          <w:tcPr>
            <w:tcW w:w="2286" w:type="dxa"/>
            <w:tcBorders>
              <w:top w:val="single" w:sz="4" w:space="0" w:color="auto"/>
              <w:bottom w:val="single" w:sz="4" w:space="0" w:color="auto"/>
            </w:tcBorders>
            <w:vAlign w:val="center"/>
          </w:tcPr>
          <w:p>
            <w:pPr>
              <w:pStyle w:val="style0"/>
              <w:rPr>
                <w:color w:val="000000"/>
                <w:sz w:val="18"/>
                <w:szCs w:val="18"/>
              </w:rPr>
            </w:pPr>
            <w:r>
              <w:rPr>
                <w:color w:val="000000"/>
                <w:sz w:val="18"/>
                <w:szCs w:val="18"/>
              </w:rPr>
              <w:t>DPEEVCC (Environnement/Yako)</w:t>
            </w:r>
          </w:p>
        </w:tc>
        <w:tc>
          <w:tcPr>
            <w:tcW w:w="3204" w:type="dxa"/>
            <w:tcBorders>
              <w:top w:val="single" w:sz="4" w:space="0" w:color="auto"/>
              <w:bottom w:val="single" w:sz="4" w:space="0" w:color="auto"/>
            </w:tcBorders>
            <w:vAlign w:val="center"/>
          </w:tcPr>
          <w:p>
            <w:pPr>
              <w:pStyle w:val="style179"/>
              <w:numPr>
                <w:ilvl w:val="0"/>
                <w:numId w:val="52"/>
              </w:numPr>
              <w:ind w:left="236" w:hanging="236"/>
              <w:contextualSpacing/>
              <w:rPr>
                <w:color w:val="000000"/>
                <w:sz w:val="18"/>
                <w:szCs w:val="18"/>
              </w:rPr>
            </w:pPr>
            <w:r>
              <w:rPr>
                <w:color w:val="000000"/>
                <w:sz w:val="18"/>
                <w:szCs w:val="18"/>
              </w:rPr>
              <w:t xml:space="preserve">Information sur le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Perception des enjeux environnementaux et sociaux ;</w:t>
            </w:r>
          </w:p>
          <w:p>
            <w:pPr>
              <w:pStyle w:val="style179"/>
              <w:numPr>
                <w:ilvl w:val="0"/>
                <w:numId w:val="52"/>
              </w:numPr>
              <w:ind w:left="236" w:hanging="236"/>
              <w:contextualSpacing/>
              <w:rPr>
                <w:color w:val="000000"/>
                <w:sz w:val="18"/>
                <w:szCs w:val="18"/>
              </w:rPr>
            </w:pPr>
            <w:r>
              <w:rPr>
                <w:color w:val="000000"/>
                <w:sz w:val="18"/>
                <w:szCs w:val="18"/>
              </w:rPr>
              <w:t>Principales préoccupations et recommandations</w:t>
            </w:r>
          </w:p>
        </w:tc>
        <w:tc>
          <w:tcPr>
            <w:tcW w:w="2750"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Bonne appréciation des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Disponibilité de l‘appui des services techniques</w:t>
            </w:r>
          </w:p>
          <w:p>
            <w:pPr>
              <w:pStyle w:val="style179"/>
              <w:numPr>
                <w:ilvl w:val="0"/>
                <w:numId w:val="52"/>
              </w:numPr>
              <w:ind w:left="176" w:hanging="176"/>
              <w:contextualSpacing/>
              <w:rPr>
                <w:color w:val="000000"/>
                <w:sz w:val="18"/>
                <w:szCs w:val="18"/>
              </w:rPr>
            </w:pPr>
            <w:r>
              <w:rPr>
                <w:color w:val="000000"/>
                <w:sz w:val="18"/>
                <w:szCs w:val="18"/>
              </w:rPr>
              <w:t xml:space="preserve">Bonne connaissance du site du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par les agents de terrain.</w:t>
            </w:r>
          </w:p>
        </w:tc>
        <w:tc>
          <w:tcPr>
            <w:tcW w:w="3118"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 Phénomène de dégradation du couvert végétal ;</w:t>
            </w:r>
          </w:p>
          <w:p>
            <w:pPr>
              <w:pStyle w:val="style179"/>
              <w:numPr>
                <w:ilvl w:val="0"/>
                <w:numId w:val="52"/>
              </w:numPr>
              <w:ind w:left="236" w:hanging="236"/>
              <w:contextualSpacing/>
              <w:rPr>
                <w:color w:val="000000"/>
                <w:sz w:val="18"/>
                <w:szCs w:val="18"/>
              </w:rPr>
            </w:pPr>
            <w:r>
              <w:rPr>
                <w:color w:val="000000"/>
                <w:sz w:val="18"/>
                <w:szCs w:val="18"/>
              </w:rPr>
              <w:t>Erosion des sols ;</w:t>
            </w:r>
          </w:p>
          <w:p>
            <w:pPr>
              <w:pStyle w:val="style179"/>
              <w:numPr>
                <w:ilvl w:val="0"/>
                <w:numId w:val="52"/>
              </w:numPr>
              <w:ind w:left="236" w:hanging="236"/>
              <w:contextualSpacing/>
              <w:rPr>
                <w:color w:val="000000"/>
                <w:sz w:val="18"/>
                <w:szCs w:val="18"/>
              </w:rPr>
            </w:pPr>
            <w:r>
              <w:rPr>
                <w:color w:val="000000"/>
                <w:sz w:val="18"/>
                <w:szCs w:val="18"/>
              </w:rPr>
              <w:t>Risque de contamination de l’eau et du poisson ;</w:t>
            </w:r>
          </w:p>
          <w:p>
            <w:pPr>
              <w:pStyle w:val="style179"/>
              <w:numPr>
                <w:ilvl w:val="0"/>
                <w:numId w:val="52"/>
              </w:numPr>
              <w:ind w:left="236" w:hanging="236"/>
              <w:contextualSpacing/>
              <w:rPr>
                <w:color w:val="000000"/>
                <w:sz w:val="18"/>
                <w:szCs w:val="18"/>
              </w:rPr>
            </w:pPr>
            <w:r>
              <w:rPr>
                <w:color w:val="000000"/>
                <w:sz w:val="18"/>
                <w:szCs w:val="18"/>
              </w:rPr>
              <w:t>Occupation anarchique des berges du cours d’eau ;</w:t>
            </w:r>
          </w:p>
          <w:p>
            <w:pPr>
              <w:pStyle w:val="style179"/>
              <w:numPr>
                <w:ilvl w:val="0"/>
                <w:numId w:val="52"/>
              </w:numPr>
              <w:ind w:left="236" w:hanging="236"/>
              <w:contextualSpacing/>
              <w:rPr>
                <w:color w:val="000000"/>
                <w:sz w:val="18"/>
                <w:szCs w:val="18"/>
              </w:rPr>
            </w:pPr>
            <w:r>
              <w:rPr>
                <w:color w:val="000000"/>
                <w:sz w:val="18"/>
                <w:szCs w:val="18"/>
              </w:rPr>
              <w:t>Utilisation de  moustiquaire imprégnée pour la pêche.</w:t>
            </w:r>
          </w:p>
          <w:p>
            <w:pPr>
              <w:pStyle w:val="style0"/>
              <w:rPr>
                <w:color w:val="000000"/>
                <w:sz w:val="18"/>
                <w:szCs w:val="18"/>
              </w:rPr>
            </w:pPr>
          </w:p>
        </w:tc>
        <w:tc>
          <w:tcPr>
            <w:tcW w:w="3814"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M</w:t>
            </w:r>
            <w:r>
              <w:rPr>
                <w:color w:val="000000"/>
                <w:sz w:val="18"/>
                <w:szCs w:val="18"/>
              </w:rPr>
              <w:t xml:space="preserve">ettre </w:t>
            </w:r>
            <w:r>
              <w:rPr>
                <w:color w:val="000000"/>
                <w:sz w:val="18"/>
                <w:szCs w:val="18"/>
              </w:rPr>
              <w:t>en place de</w:t>
            </w:r>
            <w:r>
              <w:rPr>
                <w:color w:val="000000"/>
                <w:sz w:val="18"/>
                <w:szCs w:val="18"/>
              </w:rPr>
              <w:t>s</w:t>
            </w:r>
            <w:r>
              <w:rPr>
                <w:color w:val="000000"/>
                <w:sz w:val="18"/>
                <w:szCs w:val="18"/>
              </w:rPr>
              <w:t xml:space="preserve"> comité</w:t>
            </w:r>
            <w:r>
              <w:rPr>
                <w:color w:val="000000"/>
                <w:sz w:val="18"/>
                <w:szCs w:val="18"/>
              </w:rPr>
              <w:t>s</w:t>
            </w:r>
            <w:r>
              <w:rPr>
                <w:color w:val="000000"/>
                <w:sz w:val="18"/>
                <w:szCs w:val="18"/>
              </w:rPr>
              <w:t xml:space="preserve"> loca</w:t>
            </w:r>
            <w:r>
              <w:rPr>
                <w:color w:val="000000"/>
                <w:sz w:val="18"/>
                <w:szCs w:val="18"/>
              </w:rPr>
              <w:t>ux</w:t>
            </w:r>
            <w:r>
              <w:rPr>
                <w:color w:val="000000"/>
                <w:sz w:val="18"/>
                <w:szCs w:val="18"/>
              </w:rPr>
              <w:t xml:space="preserve"> de gestion des ressources naturelles ;</w:t>
            </w:r>
          </w:p>
          <w:p>
            <w:pPr>
              <w:pStyle w:val="style179"/>
              <w:numPr>
                <w:ilvl w:val="0"/>
                <w:numId w:val="52"/>
              </w:numPr>
              <w:ind w:left="176" w:hanging="176"/>
              <w:contextualSpacing/>
              <w:rPr>
                <w:color w:val="000000"/>
                <w:sz w:val="18"/>
                <w:szCs w:val="18"/>
              </w:rPr>
            </w:pPr>
            <w:r>
              <w:rPr>
                <w:color w:val="000000"/>
                <w:sz w:val="18"/>
                <w:szCs w:val="18"/>
              </w:rPr>
              <w:t>Reboise</w:t>
            </w:r>
            <w:r>
              <w:rPr>
                <w:color w:val="000000"/>
                <w:sz w:val="18"/>
                <w:szCs w:val="18"/>
              </w:rPr>
              <w:t>r</w:t>
            </w:r>
            <w:r>
              <w:rPr>
                <w:color w:val="000000"/>
                <w:sz w:val="18"/>
                <w:szCs w:val="18"/>
              </w:rPr>
              <w:t xml:space="preserve"> et entret</w:t>
            </w:r>
            <w:r>
              <w:rPr>
                <w:color w:val="000000"/>
                <w:sz w:val="18"/>
                <w:szCs w:val="18"/>
              </w:rPr>
              <w:t xml:space="preserve">enir les </w:t>
            </w:r>
            <w:r>
              <w:rPr>
                <w:color w:val="000000"/>
                <w:sz w:val="18"/>
                <w:szCs w:val="18"/>
              </w:rPr>
              <w:t>plants ;</w:t>
            </w:r>
          </w:p>
          <w:p>
            <w:pPr>
              <w:pStyle w:val="style179"/>
              <w:numPr>
                <w:ilvl w:val="0"/>
                <w:numId w:val="52"/>
              </w:numPr>
              <w:ind w:left="176" w:hanging="176"/>
              <w:contextualSpacing/>
              <w:rPr>
                <w:color w:val="000000"/>
                <w:sz w:val="18"/>
                <w:szCs w:val="18"/>
              </w:rPr>
            </w:pPr>
            <w:r>
              <w:rPr>
                <w:color w:val="000000"/>
                <w:sz w:val="18"/>
                <w:szCs w:val="18"/>
              </w:rPr>
              <w:t>Sensibiliser contre la coupe illégale du bois ;</w:t>
            </w:r>
          </w:p>
          <w:p>
            <w:pPr>
              <w:pStyle w:val="style179"/>
              <w:numPr>
                <w:ilvl w:val="0"/>
                <w:numId w:val="52"/>
              </w:numPr>
              <w:ind w:left="176" w:hanging="176"/>
              <w:contextualSpacing/>
              <w:rPr>
                <w:color w:val="000000"/>
                <w:sz w:val="18"/>
                <w:szCs w:val="18"/>
              </w:rPr>
            </w:pPr>
            <w:r>
              <w:rPr>
                <w:color w:val="000000"/>
                <w:sz w:val="18"/>
                <w:szCs w:val="18"/>
              </w:rPr>
              <w:t xml:space="preserve">Sensibiliser sur les dangers </w:t>
            </w:r>
            <w:r>
              <w:rPr>
                <w:color w:val="000000"/>
                <w:sz w:val="18"/>
                <w:szCs w:val="18"/>
              </w:rPr>
              <w:t>liés aux</w:t>
            </w:r>
            <w:r>
              <w:rPr>
                <w:color w:val="000000"/>
                <w:sz w:val="18"/>
                <w:szCs w:val="18"/>
              </w:rPr>
              <w:t xml:space="preserve"> </w:t>
            </w:r>
            <w:r>
              <w:rPr>
                <w:color w:val="000000"/>
                <w:sz w:val="18"/>
                <w:szCs w:val="18"/>
              </w:rPr>
              <w:t>pesticides ;</w:t>
            </w:r>
          </w:p>
          <w:p>
            <w:pPr>
              <w:pStyle w:val="style179"/>
              <w:numPr>
                <w:ilvl w:val="0"/>
                <w:numId w:val="52"/>
              </w:numPr>
              <w:ind w:left="176" w:hanging="176"/>
              <w:contextualSpacing/>
              <w:rPr>
                <w:color w:val="000000"/>
                <w:sz w:val="18"/>
                <w:szCs w:val="18"/>
              </w:rPr>
            </w:pPr>
            <w:r>
              <w:rPr>
                <w:color w:val="000000"/>
                <w:sz w:val="18"/>
                <w:szCs w:val="18"/>
              </w:rPr>
              <w:t xml:space="preserve">Former </w:t>
            </w:r>
            <w:r>
              <w:rPr>
                <w:color w:val="000000"/>
                <w:sz w:val="18"/>
                <w:szCs w:val="18"/>
              </w:rPr>
              <w:t>les</w:t>
            </w:r>
            <w:r>
              <w:rPr>
                <w:color w:val="000000"/>
                <w:sz w:val="18"/>
                <w:szCs w:val="18"/>
              </w:rPr>
              <w:t xml:space="preserve"> </w:t>
            </w:r>
            <w:r>
              <w:rPr>
                <w:color w:val="000000"/>
                <w:sz w:val="18"/>
                <w:szCs w:val="18"/>
              </w:rPr>
              <w:t xml:space="preserve">acteurs sur </w:t>
            </w:r>
            <w:r>
              <w:rPr>
                <w:color w:val="000000"/>
                <w:sz w:val="18"/>
                <w:szCs w:val="18"/>
              </w:rPr>
              <w:t>les mesures de protection</w:t>
            </w:r>
            <w:r>
              <w:rPr>
                <w:color w:val="000000"/>
                <w:sz w:val="18"/>
                <w:szCs w:val="18"/>
              </w:rPr>
              <w:t xml:space="preserve"> des ressources naturelles</w:t>
            </w:r>
          </w:p>
        </w:tc>
      </w:tr>
      <w:tr>
        <w:tblPrEx/>
        <w:trPr>
          <w:jc w:val="center"/>
        </w:trPr>
        <w:tc>
          <w:tcPr>
            <w:tcW w:w="2286" w:type="dxa"/>
            <w:tcBorders>
              <w:top w:val="single" w:sz="4" w:space="0" w:color="auto"/>
              <w:bottom w:val="single" w:sz="4" w:space="0" w:color="auto"/>
            </w:tcBorders>
            <w:vAlign w:val="center"/>
          </w:tcPr>
          <w:p>
            <w:pPr>
              <w:pStyle w:val="style0"/>
              <w:rPr>
                <w:color w:val="000000"/>
                <w:sz w:val="18"/>
                <w:szCs w:val="18"/>
              </w:rPr>
            </w:pPr>
            <w:r>
              <w:rPr>
                <w:color w:val="000000"/>
                <w:sz w:val="18"/>
                <w:szCs w:val="18"/>
              </w:rPr>
              <w:t>Responsable  sanitaire (CSPS/Yako)</w:t>
            </w:r>
          </w:p>
        </w:tc>
        <w:tc>
          <w:tcPr>
            <w:tcW w:w="3204" w:type="dxa"/>
            <w:tcBorders>
              <w:top w:val="single" w:sz="4" w:space="0" w:color="auto"/>
              <w:bottom w:val="single" w:sz="4" w:space="0" w:color="auto"/>
            </w:tcBorders>
            <w:vAlign w:val="center"/>
          </w:tcPr>
          <w:p>
            <w:pPr>
              <w:pStyle w:val="style179"/>
              <w:numPr>
                <w:ilvl w:val="0"/>
                <w:numId w:val="52"/>
              </w:numPr>
              <w:ind w:left="236" w:hanging="236"/>
              <w:contextualSpacing/>
              <w:rPr>
                <w:color w:val="000000"/>
                <w:sz w:val="18"/>
                <w:szCs w:val="18"/>
              </w:rPr>
            </w:pPr>
            <w:r>
              <w:rPr>
                <w:color w:val="000000"/>
                <w:sz w:val="18"/>
                <w:szCs w:val="18"/>
              </w:rPr>
              <w:t xml:space="preserve">Information sur le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Perception des enjeux environnementaux et sociaux ;</w:t>
            </w:r>
          </w:p>
          <w:p>
            <w:pPr>
              <w:pStyle w:val="style179"/>
              <w:numPr>
                <w:ilvl w:val="0"/>
                <w:numId w:val="52"/>
              </w:numPr>
              <w:ind w:left="236" w:hanging="236"/>
              <w:contextualSpacing/>
              <w:rPr>
                <w:color w:val="000000"/>
                <w:sz w:val="18"/>
                <w:szCs w:val="18"/>
              </w:rPr>
            </w:pPr>
            <w:r>
              <w:rPr>
                <w:color w:val="000000"/>
                <w:sz w:val="18"/>
                <w:szCs w:val="18"/>
              </w:rPr>
              <w:t>Principales préoccupations et recommandations.</w:t>
            </w:r>
          </w:p>
        </w:tc>
        <w:tc>
          <w:tcPr>
            <w:tcW w:w="2750"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 Bonne appréciation des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Disponibilité de l‘appui des services de santé ;</w:t>
            </w:r>
          </w:p>
        </w:tc>
        <w:tc>
          <w:tcPr>
            <w:tcW w:w="3118"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 xml:space="preserve"> Le paludisme et la diarrhée sont les principales maladies dans la localité ; </w:t>
            </w:r>
          </w:p>
          <w:p>
            <w:pPr>
              <w:pStyle w:val="style179"/>
              <w:numPr>
                <w:ilvl w:val="0"/>
                <w:numId w:val="52"/>
              </w:numPr>
              <w:ind w:left="236" w:hanging="236"/>
              <w:contextualSpacing/>
              <w:rPr>
                <w:color w:val="000000"/>
                <w:sz w:val="18"/>
                <w:szCs w:val="18"/>
              </w:rPr>
            </w:pPr>
            <w:r>
              <w:rPr>
                <w:color w:val="000000"/>
                <w:sz w:val="18"/>
                <w:szCs w:val="18"/>
              </w:rPr>
              <w:t xml:space="preserve">L’eau du barrage est une gite importante des moustiques ; </w:t>
            </w:r>
          </w:p>
          <w:p>
            <w:pPr>
              <w:pStyle w:val="style179"/>
              <w:numPr>
                <w:ilvl w:val="0"/>
                <w:numId w:val="52"/>
              </w:numPr>
              <w:ind w:left="236" w:hanging="236"/>
              <w:contextualSpacing/>
              <w:rPr>
                <w:color w:val="000000"/>
                <w:sz w:val="18"/>
                <w:szCs w:val="18"/>
              </w:rPr>
            </w:pPr>
            <w:r>
              <w:rPr>
                <w:color w:val="000000"/>
                <w:sz w:val="18"/>
                <w:szCs w:val="18"/>
              </w:rPr>
              <w:t>Risque de contamination de l’eau par les pesticides.</w:t>
            </w:r>
          </w:p>
        </w:tc>
        <w:tc>
          <w:tcPr>
            <w:tcW w:w="3814"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Sensibiliser les producteurs sur les mesures de protection contre les maladies et la contamination au</w:t>
            </w:r>
            <w:r>
              <w:rPr>
                <w:color w:val="000000"/>
                <w:sz w:val="18"/>
                <w:szCs w:val="18"/>
              </w:rPr>
              <w:t>x</w:t>
            </w:r>
            <w:r>
              <w:rPr>
                <w:color w:val="000000"/>
                <w:sz w:val="18"/>
                <w:szCs w:val="18"/>
              </w:rPr>
              <w:t xml:space="preserve"> pesticides ;</w:t>
            </w:r>
          </w:p>
          <w:p>
            <w:pPr>
              <w:pStyle w:val="style179"/>
              <w:numPr>
                <w:ilvl w:val="0"/>
                <w:numId w:val="52"/>
              </w:numPr>
              <w:ind w:left="236" w:hanging="236"/>
              <w:contextualSpacing/>
              <w:rPr>
                <w:color w:val="000000"/>
                <w:sz w:val="18"/>
                <w:szCs w:val="18"/>
              </w:rPr>
            </w:pPr>
            <w:r>
              <w:rPr>
                <w:color w:val="000000"/>
                <w:sz w:val="18"/>
                <w:szCs w:val="18"/>
              </w:rPr>
              <w:t xml:space="preserve">Former les agents de santé sur la gestion des contaminations </w:t>
            </w:r>
            <w:r>
              <w:rPr>
                <w:color w:val="000000"/>
                <w:sz w:val="18"/>
                <w:szCs w:val="18"/>
              </w:rPr>
              <w:t>liées aux</w:t>
            </w:r>
            <w:r>
              <w:rPr>
                <w:color w:val="000000"/>
                <w:sz w:val="18"/>
                <w:szCs w:val="18"/>
              </w:rPr>
              <w:t xml:space="preserve"> </w:t>
            </w:r>
            <w:r>
              <w:rPr>
                <w:color w:val="000000"/>
                <w:sz w:val="18"/>
                <w:szCs w:val="18"/>
              </w:rPr>
              <w:t>pesticide</w:t>
            </w:r>
            <w:r>
              <w:rPr>
                <w:color w:val="000000"/>
                <w:sz w:val="18"/>
                <w:szCs w:val="18"/>
              </w:rPr>
              <w:t>s</w:t>
            </w:r>
            <w:r>
              <w:rPr>
                <w:color w:val="000000"/>
                <w:sz w:val="18"/>
                <w:szCs w:val="18"/>
              </w:rPr>
              <w:t>.</w:t>
            </w:r>
          </w:p>
        </w:tc>
      </w:tr>
      <w:tr>
        <w:tblPrEx/>
        <w:trPr>
          <w:jc w:val="center"/>
        </w:trPr>
        <w:tc>
          <w:tcPr>
            <w:tcW w:w="2286" w:type="dxa"/>
            <w:tcBorders>
              <w:top w:val="single" w:sz="4" w:space="0" w:color="auto"/>
              <w:bottom w:val="single" w:sz="4" w:space="0" w:color="auto"/>
            </w:tcBorders>
            <w:vAlign w:val="center"/>
          </w:tcPr>
          <w:p>
            <w:pPr>
              <w:pStyle w:val="style0"/>
              <w:rPr>
                <w:color w:val="000000"/>
                <w:sz w:val="18"/>
                <w:szCs w:val="18"/>
              </w:rPr>
            </w:pPr>
            <w:r>
              <w:rPr>
                <w:color w:val="000000"/>
                <w:sz w:val="18"/>
                <w:szCs w:val="18"/>
              </w:rPr>
              <w:t>Chef du village (Dourou)</w:t>
            </w:r>
          </w:p>
        </w:tc>
        <w:tc>
          <w:tcPr>
            <w:tcW w:w="3204" w:type="dxa"/>
            <w:tcBorders>
              <w:top w:val="single" w:sz="4" w:space="0" w:color="auto"/>
              <w:bottom w:val="single" w:sz="4" w:space="0" w:color="auto"/>
            </w:tcBorders>
            <w:vAlign w:val="center"/>
          </w:tcPr>
          <w:p>
            <w:pPr>
              <w:pStyle w:val="style179"/>
              <w:numPr>
                <w:ilvl w:val="0"/>
                <w:numId w:val="52"/>
              </w:numPr>
              <w:ind w:left="236" w:hanging="236"/>
              <w:contextualSpacing/>
              <w:rPr>
                <w:color w:val="000000"/>
                <w:sz w:val="18"/>
                <w:szCs w:val="18"/>
              </w:rPr>
            </w:pPr>
            <w:r>
              <w:rPr>
                <w:color w:val="000000"/>
                <w:sz w:val="18"/>
                <w:szCs w:val="18"/>
              </w:rPr>
              <w:t xml:space="preserve">Information sur le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Perception des enjeux environnementaux et sociaux ;</w:t>
            </w:r>
          </w:p>
          <w:p>
            <w:pPr>
              <w:pStyle w:val="style179"/>
              <w:numPr>
                <w:ilvl w:val="0"/>
                <w:numId w:val="52"/>
              </w:numPr>
              <w:ind w:left="236" w:hanging="236"/>
              <w:contextualSpacing/>
              <w:rPr>
                <w:color w:val="000000"/>
                <w:sz w:val="18"/>
                <w:szCs w:val="18"/>
              </w:rPr>
            </w:pPr>
            <w:r>
              <w:rPr>
                <w:color w:val="000000"/>
                <w:sz w:val="18"/>
                <w:szCs w:val="18"/>
              </w:rPr>
              <w:t>Principales préoccupations et recommandations.</w:t>
            </w:r>
          </w:p>
        </w:tc>
        <w:tc>
          <w:tcPr>
            <w:tcW w:w="2750"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Bonne appréciation des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Soutien des autorités coutumières.</w:t>
            </w:r>
          </w:p>
          <w:p>
            <w:pPr>
              <w:pStyle w:val="style179"/>
              <w:numPr>
                <w:ilvl w:val="0"/>
                <w:numId w:val="52"/>
              </w:numPr>
              <w:ind w:left="176" w:hanging="176"/>
              <w:contextualSpacing/>
              <w:rPr>
                <w:color w:val="000000"/>
                <w:sz w:val="18"/>
                <w:szCs w:val="18"/>
              </w:rPr>
            </w:pPr>
            <w:r>
              <w:rPr>
                <w:color w:val="000000"/>
                <w:sz w:val="18"/>
                <w:szCs w:val="18"/>
              </w:rPr>
              <w:t>Cohabitation paisible entre les différentes communautés ;</w:t>
            </w:r>
          </w:p>
          <w:p>
            <w:pPr>
              <w:pStyle w:val="style179"/>
              <w:numPr>
                <w:ilvl w:val="0"/>
                <w:numId w:val="52"/>
              </w:numPr>
              <w:ind w:left="176" w:hanging="176"/>
              <w:contextualSpacing/>
              <w:rPr>
                <w:color w:val="000000"/>
                <w:sz w:val="18"/>
                <w:szCs w:val="18"/>
              </w:rPr>
            </w:pPr>
            <w:r>
              <w:rPr>
                <w:color w:val="000000"/>
                <w:sz w:val="18"/>
                <w:szCs w:val="18"/>
              </w:rPr>
              <w:t>Règlement des litiges à l’amiable.</w:t>
            </w:r>
          </w:p>
        </w:tc>
        <w:tc>
          <w:tcPr>
            <w:tcW w:w="3118"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 xml:space="preserve">Présence de lieu sacré sur le site du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Présence de tombeau et de cimetière sur le site</w:t>
            </w:r>
          </w:p>
          <w:p>
            <w:pPr>
              <w:pStyle w:val="style179"/>
              <w:numPr>
                <w:ilvl w:val="0"/>
                <w:numId w:val="52"/>
              </w:numPr>
              <w:ind w:left="236" w:hanging="236"/>
              <w:contextualSpacing/>
              <w:rPr>
                <w:color w:val="000000"/>
                <w:sz w:val="18"/>
                <w:szCs w:val="18"/>
              </w:rPr>
            </w:pPr>
            <w:r>
              <w:rPr>
                <w:color w:val="000000"/>
                <w:sz w:val="18"/>
                <w:szCs w:val="18"/>
              </w:rPr>
              <w:t>Aménagement susceptible de mettre fin à  l’utilisation des pesticides.</w:t>
            </w:r>
          </w:p>
          <w:p>
            <w:pPr>
              <w:pStyle w:val="style179"/>
              <w:numPr>
                <w:ilvl w:val="0"/>
                <w:numId w:val="52"/>
              </w:numPr>
              <w:ind w:left="236" w:hanging="236"/>
              <w:contextualSpacing/>
              <w:rPr>
                <w:color w:val="000000"/>
                <w:sz w:val="18"/>
                <w:szCs w:val="18"/>
              </w:rPr>
            </w:pPr>
            <w:r>
              <w:rPr>
                <w:color w:val="000000"/>
                <w:sz w:val="18"/>
                <w:szCs w:val="18"/>
              </w:rPr>
              <w:t xml:space="preserve">Gestion de la réinstallation des personnes affectées par le </w:t>
            </w:r>
            <w:r>
              <w:rPr>
                <w:color w:val="000000"/>
                <w:sz w:val="18"/>
                <w:szCs w:val="18"/>
              </w:rPr>
              <w:t>pro</w:t>
            </w:r>
            <w:r>
              <w:rPr>
                <w:color w:val="000000"/>
                <w:sz w:val="18"/>
                <w:szCs w:val="18"/>
              </w:rPr>
              <w:t>gramme</w:t>
            </w:r>
            <w:r>
              <w:rPr>
                <w:color w:val="000000"/>
                <w:sz w:val="18"/>
                <w:szCs w:val="18"/>
              </w:rPr>
              <w:t xml:space="preserve">. </w:t>
            </w:r>
          </w:p>
        </w:tc>
        <w:tc>
          <w:tcPr>
            <w:tcW w:w="3814"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 xml:space="preserve">Sensibiliser et former sur l’’utilisation des pesticides (opter pour les </w:t>
            </w:r>
            <w:r>
              <w:rPr>
                <w:color w:val="000000"/>
                <w:sz w:val="18"/>
                <w:szCs w:val="18"/>
              </w:rPr>
              <w:t>aspects visuels</w:t>
            </w:r>
            <w:r>
              <w:rPr>
                <w:color w:val="000000"/>
                <w:sz w:val="18"/>
                <w:szCs w:val="18"/>
              </w:rPr>
              <w:t>) ;</w:t>
            </w:r>
          </w:p>
          <w:p>
            <w:pPr>
              <w:pStyle w:val="style179"/>
              <w:numPr>
                <w:ilvl w:val="0"/>
                <w:numId w:val="52"/>
              </w:numPr>
              <w:ind w:left="236" w:hanging="236"/>
              <w:contextualSpacing/>
              <w:rPr>
                <w:color w:val="000000"/>
                <w:sz w:val="18"/>
                <w:szCs w:val="18"/>
              </w:rPr>
            </w:pPr>
            <w:r>
              <w:rPr>
                <w:color w:val="000000"/>
                <w:sz w:val="18"/>
                <w:szCs w:val="18"/>
              </w:rPr>
              <w:t>Aider à l’extension du réseau électrique dans le village ;</w:t>
            </w:r>
          </w:p>
          <w:p>
            <w:pPr>
              <w:pStyle w:val="style179"/>
              <w:numPr>
                <w:ilvl w:val="0"/>
                <w:numId w:val="52"/>
              </w:numPr>
              <w:ind w:left="236" w:hanging="236"/>
              <w:contextualSpacing/>
              <w:rPr>
                <w:color w:val="000000"/>
                <w:sz w:val="18"/>
                <w:szCs w:val="18"/>
              </w:rPr>
            </w:pPr>
            <w:r>
              <w:rPr>
                <w:color w:val="000000"/>
                <w:sz w:val="18"/>
                <w:szCs w:val="18"/>
              </w:rPr>
              <w:t xml:space="preserve">Recenser systématiquement les PAP y compris les jeunes en âge de se marier. </w:t>
            </w:r>
          </w:p>
          <w:p>
            <w:pPr>
              <w:pStyle w:val="style0"/>
              <w:rPr>
                <w:color w:val="000000"/>
                <w:sz w:val="18"/>
                <w:szCs w:val="18"/>
              </w:rPr>
            </w:pPr>
          </w:p>
        </w:tc>
      </w:tr>
      <w:tr>
        <w:tblPrEx/>
        <w:trPr>
          <w:jc w:val="center"/>
        </w:trPr>
        <w:tc>
          <w:tcPr>
            <w:tcW w:w="2286" w:type="dxa"/>
            <w:tcBorders>
              <w:top w:val="single" w:sz="4" w:space="0" w:color="auto"/>
              <w:bottom w:val="single" w:sz="4" w:space="0" w:color="auto"/>
            </w:tcBorders>
            <w:vAlign w:val="center"/>
          </w:tcPr>
          <w:p>
            <w:pPr>
              <w:pStyle w:val="style0"/>
              <w:rPr>
                <w:color w:val="000000"/>
                <w:sz w:val="18"/>
                <w:szCs w:val="18"/>
              </w:rPr>
            </w:pPr>
            <w:r>
              <w:rPr>
                <w:color w:val="000000"/>
                <w:sz w:val="18"/>
                <w:szCs w:val="18"/>
              </w:rPr>
              <w:t>Producteurs (Dourou)</w:t>
            </w:r>
          </w:p>
        </w:tc>
        <w:tc>
          <w:tcPr>
            <w:tcW w:w="3204" w:type="dxa"/>
            <w:tcBorders>
              <w:top w:val="single" w:sz="4" w:space="0" w:color="auto"/>
              <w:bottom w:val="single" w:sz="4" w:space="0" w:color="auto"/>
            </w:tcBorders>
            <w:vAlign w:val="center"/>
          </w:tcPr>
          <w:p>
            <w:pPr>
              <w:pStyle w:val="style179"/>
              <w:numPr>
                <w:ilvl w:val="0"/>
                <w:numId w:val="52"/>
              </w:numPr>
              <w:ind w:left="236" w:hanging="236"/>
              <w:contextualSpacing/>
              <w:rPr>
                <w:color w:val="000000"/>
                <w:sz w:val="18"/>
                <w:szCs w:val="18"/>
              </w:rPr>
            </w:pPr>
            <w:r>
              <w:rPr>
                <w:color w:val="000000"/>
                <w:sz w:val="18"/>
                <w:szCs w:val="18"/>
              </w:rPr>
              <w:t xml:space="preserve">Information sur le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 xml:space="preserve">Attitude vis à vis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 xml:space="preserve">Perception des enjeux environnementaux et sociaux ; </w:t>
            </w:r>
          </w:p>
          <w:p>
            <w:pPr>
              <w:pStyle w:val="style179"/>
              <w:numPr>
                <w:ilvl w:val="0"/>
                <w:numId w:val="52"/>
              </w:numPr>
              <w:ind w:left="236" w:hanging="236"/>
              <w:contextualSpacing/>
              <w:rPr>
                <w:color w:val="000000"/>
                <w:sz w:val="18"/>
                <w:szCs w:val="18"/>
              </w:rPr>
            </w:pPr>
            <w:r>
              <w:rPr>
                <w:color w:val="000000"/>
                <w:sz w:val="18"/>
                <w:szCs w:val="18"/>
              </w:rPr>
              <w:t>Souhaits, doléances et  idées exprimées ;</w:t>
            </w:r>
          </w:p>
          <w:p>
            <w:pPr>
              <w:pStyle w:val="style179"/>
              <w:numPr>
                <w:ilvl w:val="0"/>
                <w:numId w:val="52"/>
              </w:numPr>
              <w:ind w:left="236" w:hanging="236"/>
              <w:contextualSpacing/>
              <w:rPr>
                <w:color w:val="000000"/>
                <w:sz w:val="18"/>
                <w:szCs w:val="18"/>
              </w:rPr>
            </w:pPr>
            <w:r>
              <w:rPr>
                <w:color w:val="000000"/>
                <w:sz w:val="18"/>
                <w:szCs w:val="18"/>
              </w:rPr>
              <w:t>préoccupations et recommandations.</w:t>
            </w:r>
          </w:p>
        </w:tc>
        <w:tc>
          <w:tcPr>
            <w:tcW w:w="2750"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176" w:hanging="176"/>
              <w:contextualSpacing/>
              <w:rPr>
                <w:color w:val="000000"/>
                <w:sz w:val="18"/>
                <w:szCs w:val="18"/>
              </w:rPr>
            </w:pPr>
            <w:r>
              <w:rPr>
                <w:color w:val="000000"/>
                <w:sz w:val="18"/>
                <w:szCs w:val="18"/>
              </w:rPr>
              <w:t xml:space="preserve">Acceptation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 xml:space="preserve">Bonne appréciation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 xml:space="preserve">Participation  la bonne marche des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176" w:hanging="176"/>
              <w:contextualSpacing/>
              <w:rPr>
                <w:color w:val="000000"/>
                <w:sz w:val="18"/>
                <w:szCs w:val="18"/>
              </w:rPr>
            </w:pPr>
            <w:r>
              <w:rPr>
                <w:color w:val="000000"/>
                <w:sz w:val="18"/>
                <w:szCs w:val="18"/>
              </w:rPr>
              <w:t>Existence de groupement</w:t>
            </w:r>
            <w:r>
              <w:rPr>
                <w:color w:val="000000"/>
                <w:sz w:val="18"/>
                <w:szCs w:val="18"/>
              </w:rPr>
              <w:t>s</w:t>
            </w:r>
            <w:r>
              <w:rPr>
                <w:color w:val="000000"/>
                <w:sz w:val="18"/>
                <w:szCs w:val="18"/>
              </w:rPr>
              <w:t> ;</w:t>
            </w:r>
          </w:p>
          <w:p>
            <w:pPr>
              <w:pStyle w:val="style179"/>
              <w:numPr>
                <w:ilvl w:val="0"/>
                <w:numId w:val="52"/>
              </w:numPr>
              <w:ind w:left="176" w:hanging="176"/>
              <w:contextualSpacing/>
              <w:rPr>
                <w:color w:val="000000"/>
                <w:sz w:val="18"/>
                <w:szCs w:val="18"/>
              </w:rPr>
            </w:pPr>
            <w:r>
              <w:rPr>
                <w:color w:val="000000"/>
                <w:sz w:val="18"/>
                <w:szCs w:val="18"/>
              </w:rPr>
              <w:t>Forte implication des femmes.</w:t>
            </w:r>
          </w:p>
          <w:p>
            <w:pPr>
              <w:pStyle w:val="style179"/>
              <w:numPr>
                <w:ilvl w:val="0"/>
                <w:numId w:val="52"/>
              </w:numPr>
              <w:ind w:left="176" w:hanging="176"/>
              <w:contextualSpacing/>
              <w:rPr>
                <w:color w:val="000000"/>
                <w:sz w:val="18"/>
                <w:szCs w:val="18"/>
              </w:rPr>
            </w:pPr>
            <w:r>
              <w:rPr>
                <w:color w:val="000000"/>
                <w:sz w:val="18"/>
                <w:szCs w:val="18"/>
              </w:rPr>
              <w:t>Existence de grande superficie aménageable ;</w:t>
            </w:r>
          </w:p>
          <w:p>
            <w:pPr>
              <w:pStyle w:val="style179"/>
              <w:numPr>
                <w:ilvl w:val="0"/>
                <w:numId w:val="52"/>
              </w:numPr>
              <w:ind w:left="176" w:hanging="176"/>
              <w:contextualSpacing/>
              <w:rPr>
                <w:color w:val="000000"/>
                <w:sz w:val="18"/>
                <w:szCs w:val="18"/>
              </w:rPr>
            </w:pPr>
            <w:r>
              <w:rPr>
                <w:color w:val="000000"/>
                <w:sz w:val="18"/>
                <w:szCs w:val="18"/>
              </w:rPr>
              <w:t xml:space="preserve">Fort potentiel d’irrigation. </w:t>
            </w:r>
          </w:p>
          <w:p>
            <w:pPr>
              <w:pStyle w:val="style0"/>
              <w:rPr>
                <w:color w:val="000000"/>
                <w:sz w:val="18"/>
                <w:szCs w:val="18"/>
              </w:rPr>
            </w:pPr>
          </w:p>
        </w:tc>
        <w:tc>
          <w:tcPr>
            <w:tcW w:w="3118"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 xml:space="preserve">Connaissance des modalités de cession de terre au </w:t>
            </w:r>
            <w:r>
              <w:rPr>
                <w:color w:val="000000"/>
                <w:sz w:val="18"/>
                <w:szCs w:val="18"/>
              </w:rPr>
              <w:t>pro</w:t>
            </w:r>
            <w:r>
              <w:rPr>
                <w:color w:val="000000"/>
                <w:sz w:val="18"/>
                <w:szCs w:val="18"/>
              </w:rPr>
              <w:t>gramme</w:t>
            </w:r>
            <w:r>
              <w:rPr>
                <w:color w:val="000000"/>
                <w:sz w:val="18"/>
                <w:szCs w:val="18"/>
              </w:rPr>
              <w:t xml:space="preserve"> </w:t>
            </w:r>
            <w:r>
              <w:rPr>
                <w:color w:val="000000"/>
                <w:sz w:val="18"/>
                <w:szCs w:val="18"/>
              </w:rPr>
              <w:t>pour l’aménagement ;</w:t>
            </w:r>
          </w:p>
          <w:p>
            <w:pPr>
              <w:pStyle w:val="style179"/>
              <w:numPr>
                <w:ilvl w:val="0"/>
                <w:numId w:val="52"/>
              </w:numPr>
              <w:ind w:left="236" w:hanging="236"/>
              <w:contextualSpacing/>
              <w:rPr>
                <w:color w:val="000000"/>
                <w:sz w:val="18"/>
                <w:szCs w:val="18"/>
              </w:rPr>
            </w:pPr>
            <w:r>
              <w:rPr>
                <w:color w:val="000000"/>
                <w:sz w:val="18"/>
                <w:szCs w:val="18"/>
              </w:rPr>
              <w:t xml:space="preserve">Compréhension sur les activités du </w:t>
            </w:r>
            <w:r>
              <w:rPr>
                <w:color w:val="000000"/>
                <w:sz w:val="18"/>
                <w:szCs w:val="18"/>
              </w:rPr>
              <w:t>pro</w:t>
            </w:r>
            <w:r>
              <w:rPr>
                <w:color w:val="000000"/>
                <w:sz w:val="18"/>
                <w:szCs w:val="18"/>
              </w:rPr>
              <w:t>gramme</w:t>
            </w:r>
            <w:r>
              <w:rPr>
                <w:color w:val="000000"/>
                <w:sz w:val="18"/>
                <w:szCs w:val="18"/>
              </w:rPr>
              <w:t> </w:t>
            </w:r>
            <w:r>
              <w:rPr>
                <w:color w:val="000000"/>
                <w:sz w:val="18"/>
                <w:szCs w:val="18"/>
              </w:rPr>
              <w:t>;</w:t>
            </w:r>
          </w:p>
          <w:p>
            <w:pPr>
              <w:pStyle w:val="style179"/>
              <w:numPr>
                <w:ilvl w:val="0"/>
                <w:numId w:val="52"/>
              </w:numPr>
              <w:ind w:left="236" w:hanging="236"/>
              <w:contextualSpacing/>
              <w:rPr>
                <w:color w:val="000000"/>
                <w:sz w:val="18"/>
                <w:szCs w:val="18"/>
              </w:rPr>
            </w:pPr>
            <w:r>
              <w:rPr>
                <w:color w:val="000000"/>
                <w:sz w:val="18"/>
                <w:szCs w:val="18"/>
              </w:rPr>
              <w:t xml:space="preserve">Gestion de la situation des producteurs affectés pendant la période d’attente et avant la fin des travaux. </w:t>
            </w:r>
          </w:p>
          <w:p>
            <w:pPr>
              <w:pStyle w:val="style179"/>
              <w:numPr>
                <w:ilvl w:val="0"/>
                <w:numId w:val="52"/>
              </w:numPr>
              <w:ind w:left="236" w:hanging="236"/>
              <w:contextualSpacing/>
              <w:rPr>
                <w:color w:val="000000"/>
                <w:sz w:val="18"/>
                <w:szCs w:val="18"/>
              </w:rPr>
            </w:pPr>
            <w:r>
              <w:rPr>
                <w:color w:val="000000"/>
                <w:sz w:val="18"/>
                <w:szCs w:val="18"/>
              </w:rPr>
              <w:t>Début d’exécution des travaux d’aménagement.</w:t>
            </w:r>
          </w:p>
        </w:tc>
        <w:tc>
          <w:tcPr>
            <w:tcW w:w="3814" w:type="dxa"/>
            <w:tcBorders>
              <w:top w:val="single" w:sz="4" w:space="0" w:color="auto"/>
              <w:left w:val="nil"/>
              <w:bottom w:val="single" w:sz="4" w:space="0" w:color="auto"/>
              <w:right w:val="single" w:sz="4" w:space="0" w:color="auto"/>
            </w:tcBorders>
            <w:shd w:val="clear" w:color="auto" w:fill="auto"/>
            <w:vAlign w:val="center"/>
          </w:tcPr>
          <w:p>
            <w:pPr>
              <w:pStyle w:val="style179"/>
              <w:numPr>
                <w:ilvl w:val="0"/>
                <w:numId w:val="52"/>
              </w:numPr>
              <w:ind w:left="236" w:hanging="236"/>
              <w:contextualSpacing/>
              <w:rPr>
                <w:color w:val="000000"/>
                <w:sz w:val="18"/>
                <w:szCs w:val="18"/>
              </w:rPr>
            </w:pPr>
            <w:r>
              <w:rPr>
                <w:color w:val="000000"/>
                <w:sz w:val="18"/>
                <w:szCs w:val="18"/>
              </w:rPr>
              <w:t>Prendre en compte tous les producteurs (homme</w:t>
            </w:r>
            <w:r>
              <w:rPr>
                <w:color w:val="000000"/>
                <w:sz w:val="18"/>
                <w:szCs w:val="18"/>
              </w:rPr>
              <w:t>s</w:t>
            </w:r>
            <w:r>
              <w:rPr>
                <w:color w:val="000000"/>
                <w:sz w:val="18"/>
                <w:szCs w:val="18"/>
              </w:rPr>
              <w:t>, femme</w:t>
            </w:r>
            <w:r>
              <w:rPr>
                <w:color w:val="000000"/>
                <w:sz w:val="18"/>
                <w:szCs w:val="18"/>
              </w:rPr>
              <w:t>s</w:t>
            </w:r>
            <w:r>
              <w:rPr>
                <w:color w:val="000000"/>
                <w:sz w:val="18"/>
                <w:szCs w:val="18"/>
              </w:rPr>
              <w:t xml:space="preserve"> et jeune</w:t>
            </w:r>
            <w:r>
              <w:rPr>
                <w:color w:val="000000"/>
                <w:sz w:val="18"/>
                <w:szCs w:val="18"/>
              </w:rPr>
              <w:t>s</w:t>
            </w:r>
            <w:r>
              <w:rPr>
                <w:color w:val="000000"/>
                <w:sz w:val="18"/>
                <w:szCs w:val="18"/>
              </w:rPr>
              <w:t xml:space="preserve">) afin que l’aménagement bénéficie  </w:t>
            </w:r>
            <w:r>
              <w:rPr>
                <w:color w:val="000000"/>
                <w:sz w:val="18"/>
                <w:szCs w:val="18"/>
              </w:rPr>
              <w:t xml:space="preserve">à </w:t>
            </w:r>
            <w:r>
              <w:rPr>
                <w:color w:val="000000"/>
                <w:sz w:val="18"/>
                <w:szCs w:val="18"/>
              </w:rPr>
              <w:t>tout le monde.</w:t>
            </w:r>
          </w:p>
          <w:p>
            <w:pPr>
              <w:pStyle w:val="style179"/>
              <w:numPr>
                <w:ilvl w:val="0"/>
                <w:numId w:val="52"/>
              </w:numPr>
              <w:ind w:left="236" w:hanging="236"/>
              <w:contextualSpacing/>
              <w:rPr>
                <w:color w:val="000000"/>
                <w:sz w:val="18"/>
                <w:szCs w:val="18"/>
              </w:rPr>
            </w:pPr>
            <w:r>
              <w:rPr>
                <w:color w:val="000000"/>
                <w:sz w:val="18"/>
                <w:szCs w:val="18"/>
              </w:rPr>
              <w:t xml:space="preserve">Donner des terres </w:t>
            </w:r>
            <w:r>
              <w:rPr>
                <w:color w:val="000000"/>
                <w:sz w:val="18"/>
                <w:szCs w:val="18"/>
              </w:rPr>
              <w:t xml:space="preserve">avec une </w:t>
            </w:r>
            <w:r>
              <w:rPr>
                <w:color w:val="000000"/>
                <w:sz w:val="18"/>
                <w:szCs w:val="18"/>
              </w:rPr>
              <w:t>superficie acceptable</w:t>
            </w:r>
            <w:r>
              <w:rPr>
                <w:color w:val="000000"/>
                <w:sz w:val="18"/>
                <w:szCs w:val="18"/>
              </w:rPr>
              <w:t xml:space="preserve"> au</w:t>
            </w:r>
            <w:r>
              <w:rPr>
                <w:color w:val="000000"/>
                <w:sz w:val="18"/>
                <w:szCs w:val="18"/>
              </w:rPr>
              <w:t>x</w:t>
            </w:r>
            <w:r>
              <w:rPr>
                <w:color w:val="000000"/>
                <w:sz w:val="18"/>
                <w:szCs w:val="18"/>
              </w:rPr>
              <w:t xml:space="preserve"> PAP au moment de</w:t>
            </w:r>
            <w:r>
              <w:rPr>
                <w:color w:val="000000"/>
                <w:sz w:val="18"/>
                <w:szCs w:val="18"/>
              </w:rPr>
              <w:t>s</w:t>
            </w:r>
            <w:r>
              <w:rPr>
                <w:color w:val="000000"/>
                <w:sz w:val="18"/>
                <w:szCs w:val="18"/>
              </w:rPr>
              <w:t xml:space="preserve"> dédommagements,</w:t>
            </w:r>
          </w:p>
          <w:p>
            <w:pPr>
              <w:pStyle w:val="style179"/>
              <w:numPr>
                <w:ilvl w:val="0"/>
                <w:numId w:val="52"/>
              </w:numPr>
              <w:ind w:left="236" w:hanging="236"/>
              <w:contextualSpacing/>
              <w:rPr>
                <w:color w:val="000000"/>
                <w:sz w:val="18"/>
                <w:szCs w:val="18"/>
              </w:rPr>
            </w:pPr>
            <w:r>
              <w:rPr>
                <w:color w:val="000000"/>
                <w:sz w:val="18"/>
                <w:szCs w:val="18"/>
              </w:rPr>
              <w:t>Prioriser les producteurs affectés au moment des attributions des parcelles</w:t>
            </w:r>
            <w:r>
              <w:rPr>
                <w:color w:val="000000"/>
                <w:sz w:val="18"/>
                <w:szCs w:val="18"/>
              </w:rPr>
              <w:t xml:space="preserve"> aménagées</w:t>
            </w:r>
            <w:r>
              <w:rPr>
                <w:color w:val="000000"/>
                <w:sz w:val="18"/>
                <w:szCs w:val="18"/>
              </w:rPr>
              <w:t> ;</w:t>
            </w:r>
          </w:p>
          <w:p>
            <w:pPr>
              <w:pStyle w:val="style179"/>
              <w:numPr>
                <w:ilvl w:val="0"/>
                <w:numId w:val="52"/>
              </w:numPr>
              <w:ind w:left="236" w:hanging="236"/>
              <w:contextualSpacing/>
              <w:rPr>
                <w:color w:val="000000"/>
                <w:sz w:val="18"/>
                <w:szCs w:val="18"/>
              </w:rPr>
            </w:pPr>
            <w:r>
              <w:rPr>
                <w:color w:val="000000"/>
                <w:sz w:val="18"/>
                <w:szCs w:val="18"/>
              </w:rPr>
              <w:t>Bien identifier les ménages lors des recensements ;</w:t>
            </w:r>
          </w:p>
          <w:p>
            <w:pPr>
              <w:pStyle w:val="style179"/>
              <w:numPr>
                <w:ilvl w:val="0"/>
                <w:numId w:val="52"/>
              </w:numPr>
              <w:ind w:left="236" w:hanging="236"/>
              <w:contextualSpacing/>
              <w:rPr>
                <w:color w:val="000000"/>
                <w:sz w:val="18"/>
                <w:szCs w:val="18"/>
              </w:rPr>
            </w:pPr>
            <w:r>
              <w:rPr>
                <w:color w:val="000000"/>
                <w:sz w:val="18"/>
                <w:szCs w:val="18"/>
              </w:rPr>
              <w:t>Aider les producteurs affectés par des denrées alimentaires durant la période des travaux ;</w:t>
            </w:r>
          </w:p>
          <w:p>
            <w:pPr>
              <w:pStyle w:val="style179"/>
              <w:numPr>
                <w:ilvl w:val="0"/>
                <w:numId w:val="52"/>
              </w:numPr>
              <w:ind w:left="236" w:hanging="236"/>
              <w:contextualSpacing/>
              <w:rPr>
                <w:color w:val="000000"/>
                <w:sz w:val="18"/>
                <w:szCs w:val="18"/>
              </w:rPr>
            </w:pPr>
            <w:r>
              <w:rPr>
                <w:color w:val="000000"/>
                <w:sz w:val="18"/>
                <w:szCs w:val="18"/>
              </w:rPr>
              <w:t>Construire un autre centre de santé.</w:t>
            </w:r>
          </w:p>
        </w:tc>
      </w:tr>
    </w:tbl>
    <w:p>
      <w:pPr>
        <w:pStyle w:val="style0"/>
        <w:rPr/>
      </w:pPr>
    </w:p>
    <w:p>
      <w:pPr>
        <w:pStyle w:val="style0"/>
        <w:rPr/>
      </w:pPr>
      <w:r>
        <w:br w:type="page"/>
      </w:r>
    </w:p>
    <w:p>
      <w:pPr>
        <w:pStyle w:val="style0"/>
        <w:jc w:val="center"/>
        <w:rPr>
          <w:b/>
        </w:rPr>
      </w:pPr>
      <w:r>
        <w:rPr>
          <w:b/>
        </w:rPr>
        <w:t xml:space="preserve">Synthèse des consultations publiques avec les parties prenantes du site de </w:t>
      </w:r>
      <w:r>
        <w:rPr>
          <w:b/>
        </w:rPr>
        <w:t>Douna/Niofila (Douna/Léraba</w:t>
      </w:r>
      <w:r>
        <w:rPr>
          <w:b/>
        </w:rPr>
        <w:t>/Cascades)</w:t>
      </w:r>
      <w:r>
        <w:rPr>
          <w:b/>
        </w:rPr>
        <w:t xml:space="preserve">, </w:t>
      </w:r>
      <w:r>
        <w:t>08</w:t>
      </w:r>
      <w:r>
        <w:t xml:space="preserve"> janvier 2019</w:t>
      </w:r>
    </w:p>
    <w:tbl>
      <w:tblPr>
        <w:tblW w:w="1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3204"/>
        <w:gridCol w:w="2869"/>
        <w:gridCol w:w="3118"/>
        <w:gridCol w:w="3814"/>
      </w:tblGrid>
      <w:tr>
        <w:trPr>
          <w:tblHeader/>
          <w:jc w:val="center"/>
        </w:trPr>
        <w:tc>
          <w:tcPr>
            <w:tcW w:w="2286" w:type="dxa"/>
            <w:tcBorders/>
            <w:shd w:val="clear" w:color="auto" w:fill="f2f2f2"/>
          </w:tcPr>
          <w:p>
            <w:pPr>
              <w:pStyle w:val="style0"/>
              <w:jc w:val="center"/>
              <w:rPr>
                <w:b/>
                <w:sz w:val="18"/>
                <w:szCs w:val="18"/>
              </w:rPr>
            </w:pPr>
            <w:r>
              <w:rPr>
                <w:b/>
                <w:sz w:val="18"/>
                <w:szCs w:val="18"/>
              </w:rPr>
              <w:t>Acteurs/institutions</w:t>
            </w:r>
          </w:p>
        </w:tc>
        <w:tc>
          <w:tcPr>
            <w:tcW w:w="3204" w:type="dxa"/>
            <w:tcBorders/>
            <w:shd w:val="clear" w:color="auto" w:fill="f2f2f2"/>
          </w:tcPr>
          <w:p>
            <w:pPr>
              <w:pStyle w:val="style0"/>
              <w:jc w:val="center"/>
              <w:rPr>
                <w:b/>
                <w:sz w:val="18"/>
                <w:szCs w:val="18"/>
              </w:rPr>
            </w:pPr>
            <w:r>
              <w:rPr>
                <w:b/>
                <w:sz w:val="18"/>
                <w:szCs w:val="18"/>
              </w:rPr>
              <w:t>Points discutés</w:t>
            </w:r>
          </w:p>
        </w:tc>
        <w:tc>
          <w:tcPr>
            <w:tcW w:w="2869" w:type="dxa"/>
            <w:tcBorders/>
            <w:shd w:val="clear" w:color="auto" w:fill="f2f2f2"/>
          </w:tcPr>
          <w:p>
            <w:pPr>
              <w:pStyle w:val="style0"/>
              <w:jc w:val="center"/>
              <w:rPr>
                <w:b/>
                <w:sz w:val="18"/>
                <w:szCs w:val="18"/>
              </w:rPr>
            </w:pPr>
            <w:r>
              <w:rPr>
                <w:b/>
                <w:sz w:val="18"/>
                <w:szCs w:val="18"/>
              </w:rPr>
              <w:t xml:space="preserve">Attentes </w:t>
            </w:r>
          </w:p>
        </w:tc>
        <w:tc>
          <w:tcPr>
            <w:tcW w:w="3118" w:type="dxa"/>
            <w:tcBorders/>
            <w:shd w:val="clear" w:color="auto" w:fill="f2f2f2"/>
          </w:tcPr>
          <w:p>
            <w:pPr>
              <w:pStyle w:val="style0"/>
              <w:jc w:val="center"/>
              <w:rPr>
                <w:b/>
                <w:sz w:val="18"/>
                <w:szCs w:val="18"/>
              </w:rPr>
            </w:pPr>
            <w:r>
              <w:rPr>
                <w:b/>
                <w:sz w:val="18"/>
                <w:szCs w:val="18"/>
              </w:rPr>
              <w:t>Préoccupations et craintes</w:t>
            </w:r>
          </w:p>
        </w:tc>
        <w:tc>
          <w:tcPr>
            <w:tcW w:w="3814" w:type="dxa"/>
            <w:tcBorders/>
            <w:shd w:val="clear" w:color="auto" w:fill="f2f2f2"/>
          </w:tcPr>
          <w:p>
            <w:pPr>
              <w:pStyle w:val="style0"/>
              <w:jc w:val="center"/>
              <w:rPr>
                <w:b/>
                <w:sz w:val="18"/>
                <w:szCs w:val="18"/>
              </w:rPr>
            </w:pPr>
            <w:r>
              <w:rPr>
                <w:b/>
                <w:sz w:val="18"/>
                <w:szCs w:val="18"/>
              </w:rPr>
              <w:t>Suggestions et recommandations</w:t>
            </w:r>
          </w:p>
        </w:tc>
      </w:tr>
      <w:tr>
        <w:tblPrEx/>
        <w:trPr>
          <w:jc w:val="center"/>
        </w:trPr>
        <w:tc>
          <w:tcPr>
            <w:tcW w:w="2286" w:type="dxa"/>
            <w:tcBorders/>
            <w:vAlign w:val="center"/>
          </w:tcPr>
          <w:p>
            <w:pPr>
              <w:pStyle w:val="style0"/>
              <w:rPr>
                <w:b/>
                <w:sz w:val="18"/>
                <w:szCs w:val="18"/>
              </w:rPr>
            </w:pPr>
            <w:r>
              <w:rPr>
                <w:b/>
                <w:sz w:val="18"/>
                <w:szCs w:val="18"/>
              </w:rPr>
              <w:t>Autorité</w:t>
            </w:r>
            <w:r>
              <w:rPr>
                <w:b/>
                <w:sz w:val="18"/>
                <w:szCs w:val="18"/>
              </w:rPr>
              <w:t>s</w:t>
            </w:r>
            <w:r>
              <w:rPr>
                <w:b/>
                <w:sz w:val="18"/>
                <w:szCs w:val="18"/>
              </w:rPr>
              <w:t xml:space="preserve"> administrative et coutumière (Haut-commissaire, Préfet, Chef de village Douna)</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869" w:type="dxa"/>
            <w:tcBorders/>
          </w:tcPr>
          <w:p>
            <w:pPr>
              <w:pStyle w:val="style179"/>
              <w:numPr>
                <w:ilvl w:val="0"/>
                <w:numId w:val="44"/>
              </w:numPr>
              <w:contextualSpacing/>
              <w:rPr>
                <w:sz w:val="18"/>
                <w:szCs w:val="18"/>
              </w:rPr>
            </w:pPr>
            <w:r>
              <w:rPr>
                <w:sz w:val="18"/>
                <w:szCs w:val="18"/>
              </w:rPr>
              <w:t>Augmentation de la superficie aménagée ;</w:t>
            </w:r>
          </w:p>
          <w:p>
            <w:pPr>
              <w:pStyle w:val="style179"/>
              <w:numPr>
                <w:ilvl w:val="0"/>
                <w:numId w:val="44"/>
              </w:numPr>
              <w:contextualSpacing/>
              <w:rPr>
                <w:sz w:val="18"/>
                <w:szCs w:val="18"/>
              </w:rPr>
            </w:pPr>
            <w:r>
              <w:rPr>
                <w:sz w:val="18"/>
                <w:szCs w:val="18"/>
              </w:rPr>
              <w:t>Amélioration des conditions de vie des populations ;</w:t>
            </w:r>
          </w:p>
          <w:p>
            <w:pPr>
              <w:pStyle w:val="style179"/>
              <w:numPr>
                <w:ilvl w:val="0"/>
                <w:numId w:val="44"/>
              </w:numPr>
              <w:contextualSpacing/>
              <w:rPr>
                <w:sz w:val="18"/>
                <w:szCs w:val="18"/>
              </w:rPr>
            </w:pPr>
            <w:r>
              <w:rPr>
                <w:sz w:val="18"/>
                <w:szCs w:val="18"/>
              </w:rPr>
              <w:t>Redynamisation des coopératives sur l’ancien périmètre ;</w:t>
            </w:r>
          </w:p>
          <w:p>
            <w:pPr>
              <w:pStyle w:val="style179"/>
              <w:numPr>
                <w:ilvl w:val="0"/>
                <w:numId w:val="44"/>
              </w:numPr>
              <w:contextualSpacing/>
              <w:rPr>
                <w:sz w:val="18"/>
                <w:szCs w:val="18"/>
              </w:rPr>
            </w:pPr>
            <w:r>
              <w:rPr>
                <w:sz w:val="18"/>
                <w:szCs w:val="18"/>
              </w:rPr>
              <w:t>Sécurisation des terres sur les périmètres agricoles pour limiter les conflits sociaux ;</w:t>
            </w:r>
          </w:p>
          <w:p>
            <w:pPr>
              <w:pStyle w:val="style179"/>
              <w:numPr>
                <w:ilvl w:val="0"/>
                <w:numId w:val="44"/>
              </w:numPr>
              <w:contextualSpacing/>
              <w:rPr>
                <w:sz w:val="18"/>
                <w:szCs w:val="18"/>
              </w:rPr>
            </w:pPr>
            <w:r>
              <w:rPr>
                <w:sz w:val="18"/>
                <w:szCs w:val="18"/>
              </w:rPr>
              <w:t>Désenclavement de la province ;</w:t>
            </w:r>
          </w:p>
        </w:tc>
        <w:tc>
          <w:tcPr>
            <w:tcW w:w="3118" w:type="dxa"/>
            <w:tcBorders/>
            <w:vAlign w:val="center"/>
          </w:tcPr>
          <w:p>
            <w:pPr>
              <w:pStyle w:val="style179"/>
              <w:numPr>
                <w:ilvl w:val="0"/>
                <w:numId w:val="44"/>
              </w:numPr>
              <w:contextualSpacing/>
              <w:rPr>
                <w:sz w:val="18"/>
                <w:szCs w:val="18"/>
              </w:rPr>
            </w:pPr>
            <w:r>
              <w:rPr>
                <w:sz w:val="18"/>
                <w:szCs w:val="18"/>
              </w:rPr>
              <w:t>Non-implication des autorités administratives dans la mise en œuvre du programme ;</w:t>
            </w:r>
          </w:p>
          <w:p>
            <w:pPr>
              <w:pStyle w:val="style179"/>
              <w:numPr>
                <w:ilvl w:val="0"/>
                <w:numId w:val="44"/>
              </w:numPr>
              <w:contextualSpacing/>
              <w:rPr>
                <w:sz w:val="18"/>
                <w:szCs w:val="18"/>
              </w:rPr>
            </w:pPr>
            <w:r>
              <w:rPr>
                <w:sz w:val="18"/>
                <w:szCs w:val="18"/>
              </w:rPr>
              <w:t>Expropriation des terres cultivables ;</w:t>
            </w:r>
          </w:p>
          <w:p>
            <w:pPr>
              <w:pStyle w:val="style179"/>
              <w:numPr>
                <w:ilvl w:val="0"/>
                <w:numId w:val="44"/>
              </w:numPr>
              <w:contextualSpacing/>
              <w:rPr>
                <w:sz w:val="18"/>
                <w:szCs w:val="18"/>
              </w:rPr>
            </w:pPr>
            <w:r>
              <w:rPr>
                <w:sz w:val="18"/>
                <w:szCs w:val="18"/>
              </w:rPr>
              <w:t>Non-sécurisation des terres après les aménagements ;</w:t>
            </w:r>
          </w:p>
          <w:p>
            <w:pPr>
              <w:pStyle w:val="style179"/>
              <w:numPr>
                <w:ilvl w:val="0"/>
                <w:numId w:val="44"/>
              </w:numPr>
              <w:contextualSpacing/>
              <w:rPr>
                <w:sz w:val="18"/>
                <w:szCs w:val="18"/>
              </w:rPr>
            </w:pPr>
            <w:r>
              <w:rPr>
                <w:sz w:val="18"/>
                <w:szCs w:val="18"/>
              </w:rPr>
              <w:t>Gestion des conflits sur le périmètre actuel ;</w:t>
            </w:r>
          </w:p>
          <w:p>
            <w:pPr>
              <w:pStyle w:val="style179"/>
              <w:numPr>
                <w:ilvl w:val="0"/>
                <w:numId w:val="44"/>
              </w:numPr>
              <w:contextualSpacing/>
              <w:rPr>
                <w:sz w:val="18"/>
                <w:szCs w:val="18"/>
              </w:rPr>
            </w:pPr>
            <w:r>
              <w:rPr>
                <w:sz w:val="18"/>
                <w:szCs w:val="18"/>
              </w:rPr>
              <w:t>Non-priorisation de la main d’œuvre locale ;</w:t>
            </w:r>
          </w:p>
        </w:tc>
        <w:tc>
          <w:tcPr>
            <w:tcW w:w="3814" w:type="dxa"/>
            <w:tcBorders/>
            <w:vAlign w:val="center"/>
          </w:tcPr>
          <w:p>
            <w:pPr>
              <w:pStyle w:val="style179"/>
              <w:numPr>
                <w:ilvl w:val="0"/>
                <w:numId w:val="44"/>
              </w:numPr>
              <w:contextualSpacing/>
              <w:rPr>
                <w:sz w:val="18"/>
                <w:szCs w:val="18"/>
              </w:rPr>
            </w:pPr>
            <w:r>
              <w:rPr>
                <w:sz w:val="18"/>
                <w:szCs w:val="18"/>
              </w:rPr>
              <w:t>Mettre en place des cadres de concertation fonctionnels dans lesquels les autorités locales sont impliquées ;</w:t>
            </w:r>
          </w:p>
          <w:p>
            <w:pPr>
              <w:pStyle w:val="style179"/>
              <w:numPr>
                <w:ilvl w:val="0"/>
                <w:numId w:val="44"/>
              </w:numPr>
              <w:contextualSpacing/>
              <w:rPr>
                <w:sz w:val="18"/>
                <w:szCs w:val="18"/>
              </w:rPr>
            </w:pPr>
            <w:r>
              <w:rPr>
                <w:sz w:val="18"/>
                <w:szCs w:val="18"/>
              </w:rPr>
              <w:t>Conduire un recensement consensuel des personnes affectées par le projet ;</w:t>
            </w:r>
          </w:p>
          <w:p>
            <w:pPr>
              <w:pStyle w:val="style179"/>
              <w:numPr>
                <w:ilvl w:val="0"/>
                <w:numId w:val="44"/>
              </w:numPr>
              <w:contextualSpacing/>
              <w:rPr>
                <w:sz w:val="18"/>
                <w:szCs w:val="18"/>
              </w:rPr>
            </w:pPr>
            <w:r>
              <w:rPr>
                <w:sz w:val="18"/>
                <w:szCs w:val="18"/>
              </w:rPr>
              <w:t>Procéder à l’indemnisation / compensation des terres expropriées ;</w:t>
            </w:r>
          </w:p>
          <w:p>
            <w:pPr>
              <w:pStyle w:val="style179"/>
              <w:numPr>
                <w:ilvl w:val="0"/>
                <w:numId w:val="44"/>
              </w:numPr>
              <w:contextualSpacing/>
              <w:rPr>
                <w:sz w:val="18"/>
                <w:szCs w:val="18"/>
              </w:rPr>
            </w:pPr>
            <w:r>
              <w:rPr>
                <w:sz w:val="18"/>
                <w:szCs w:val="18"/>
              </w:rPr>
              <w:t>Immatriculer les terres après attribution ;</w:t>
            </w:r>
          </w:p>
          <w:p>
            <w:pPr>
              <w:pStyle w:val="style179"/>
              <w:numPr>
                <w:ilvl w:val="0"/>
                <w:numId w:val="44"/>
              </w:numPr>
              <w:contextualSpacing/>
              <w:rPr>
                <w:sz w:val="18"/>
                <w:szCs w:val="18"/>
              </w:rPr>
            </w:pPr>
            <w:r>
              <w:rPr>
                <w:sz w:val="18"/>
                <w:szCs w:val="18"/>
              </w:rPr>
              <w:t>Mettre en place un système adéquat de gestion des conflits ;</w:t>
            </w:r>
          </w:p>
          <w:p>
            <w:pPr>
              <w:pStyle w:val="style179"/>
              <w:numPr>
                <w:ilvl w:val="0"/>
                <w:numId w:val="44"/>
              </w:numPr>
              <w:contextualSpacing/>
              <w:rPr>
                <w:sz w:val="18"/>
                <w:szCs w:val="18"/>
              </w:rPr>
            </w:pPr>
            <w:r>
              <w:rPr>
                <w:sz w:val="18"/>
                <w:szCs w:val="18"/>
              </w:rPr>
              <w:t>Prioriser la main d’œuvre locale pendant les travaux</w:t>
            </w:r>
          </w:p>
        </w:tc>
      </w:tr>
      <w:tr>
        <w:tblPrEx/>
        <w:trPr>
          <w:jc w:val="center"/>
        </w:trPr>
        <w:tc>
          <w:tcPr>
            <w:tcW w:w="2286" w:type="dxa"/>
            <w:tcBorders/>
            <w:vAlign w:val="center"/>
          </w:tcPr>
          <w:p>
            <w:pPr>
              <w:pStyle w:val="style0"/>
              <w:rPr>
                <w:b/>
                <w:sz w:val="18"/>
                <w:szCs w:val="18"/>
              </w:rPr>
            </w:pPr>
            <w:r>
              <w:rPr>
                <w:b/>
                <w:sz w:val="18"/>
                <w:szCs w:val="18"/>
              </w:rPr>
              <w:t>Mairie de Douna (Maire, Conseillers, CVD, SG)</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gr</w:t>
            </w:r>
            <w:r>
              <w:rPr>
                <w:sz w:val="18"/>
                <w:szCs w:val="18"/>
              </w:rPr>
              <w:t>amme</w:t>
            </w:r>
          </w:p>
        </w:tc>
        <w:tc>
          <w:tcPr>
            <w:tcW w:w="2869" w:type="dxa"/>
            <w:tcBorders/>
          </w:tcPr>
          <w:p>
            <w:pPr>
              <w:pStyle w:val="style179"/>
              <w:numPr>
                <w:ilvl w:val="0"/>
                <w:numId w:val="44"/>
              </w:numPr>
              <w:contextualSpacing/>
              <w:rPr>
                <w:sz w:val="18"/>
                <w:szCs w:val="18"/>
              </w:rPr>
            </w:pPr>
            <w:r>
              <w:rPr>
                <w:sz w:val="18"/>
                <w:szCs w:val="18"/>
              </w:rPr>
              <w:t>Augmentation de la productivité dans la commune ;</w:t>
            </w:r>
          </w:p>
          <w:p>
            <w:pPr>
              <w:pStyle w:val="style179"/>
              <w:numPr>
                <w:ilvl w:val="0"/>
                <w:numId w:val="44"/>
              </w:numPr>
              <w:contextualSpacing/>
              <w:rPr>
                <w:sz w:val="18"/>
                <w:szCs w:val="18"/>
              </w:rPr>
            </w:pPr>
            <w:r>
              <w:rPr>
                <w:sz w:val="18"/>
                <w:szCs w:val="18"/>
              </w:rPr>
              <w:t>Augmentation des recettes communales ;</w:t>
            </w:r>
          </w:p>
          <w:p>
            <w:pPr>
              <w:pStyle w:val="style179"/>
              <w:numPr>
                <w:ilvl w:val="0"/>
                <w:numId w:val="44"/>
              </w:numPr>
              <w:contextualSpacing/>
              <w:rPr>
                <w:sz w:val="18"/>
                <w:szCs w:val="18"/>
              </w:rPr>
            </w:pPr>
            <w:r>
              <w:rPr>
                <w:sz w:val="18"/>
                <w:szCs w:val="18"/>
              </w:rPr>
              <w:t>Décongestion de l’ancien périmètre ;</w:t>
            </w:r>
          </w:p>
          <w:p>
            <w:pPr>
              <w:pStyle w:val="style179"/>
              <w:numPr>
                <w:ilvl w:val="0"/>
                <w:numId w:val="44"/>
              </w:numPr>
              <w:contextualSpacing/>
              <w:rPr>
                <w:sz w:val="18"/>
                <w:szCs w:val="18"/>
              </w:rPr>
            </w:pPr>
            <w:r>
              <w:rPr>
                <w:sz w:val="18"/>
                <w:szCs w:val="18"/>
              </w:rPr>
              <w:t>Sécurisation des terres sur les périmètres ;</w:t>
            </w:r>
          </w:p>
          <w:p>
            <w:pPr>
              <w:pStyle w:val="style179"/>
              <w:numPr>
                <w:ilvl w:val="0"/>
                <w:numId w:val="44"/>
              </w:numPr>
              <w:contextualSpacing/>
              <w:rPr>
                <w:sz w:val="18"/>
                <w:szCs w:val="18"/>
              </w:rPr>
            </w:pPr>
            <w:r>
              <w:rPr>
                <w:sz w:val="18"/>
                <w:szCs w:val="18"/>
              </w:rPr>
              <w:t>Attribution de parcelles pour tous ceux qui seront expropriés</w:t>
            </w:r>
          </w:p>
        </w:tc>
        <w:tc>
          <w:tcPr>
            <w:tcW w:w="3118" w:type="dxa"/>
            <w:tcBorders/>
            <w:vAlign w:val="center"/>
          </w:tcPr>
          <w:p>
            <w:pPr>
              <w:pStyle w:val="style179"/>
              <w:numPr>
                <w:ilvl w:val="0"/>
                <w:numId w:val="44"/>
              </w:numPr>
              <w:contextualSpacing/>
              <w:rPr>
                <w:sz w:val="18"/>
                <w:szCs w:val="18"/>
              </w:rPr>
            </w:pPr>
            <w:r>
              <w:rPr>
                <w:sz w:val="18"/>
                <w:szCs w:val="18"/>
              </w:rPr>
              <w:t xml:space="preserve">Pertes de terres </w:t>
            </w:r>
          </w:p>
          <w:p>
            <w:pPr>
              <w:pStyle w:val="style179"/>
              <w:numPr>
                <w:ilvl w:val="0"/>
                <w:numId w:val="44"/>
              </w:numPr>
              <w:contextualSpacing/>
              <w:rPr>
                <w:sz w:val="18"/>
                <w:szCs w:val="18"/>
              </w:rPr>
            </w:pPr>
            <w:r>
              <w:rPr>
                <w:sz w:val="18"/>
                <w:szCs w:val="18"/>
              </w:rPr>
              <w:t>Non-priorisation des propriétaires terriens dans les attributions après aménagement ;</w:t>
            </w:r>
          </w:p>
          <w:p>
            <w:pPr>
              <w:pStyle w:val="style179"/>
              <w:numPr>
                <w:ilvl w:val="0"/>
                <w:numId w:val="44"/>
              </w:numPr>
              <w:contextualSpacing/>
              <w:rPr>
                <w:sz w:val="18"/>
                <w:szCs w:val="18"/>
              </w:rPr>
            </w:pPr>
            <w:r>
              <w:rPr>
                <w:sz w:val="18"/>
                <w:szCs w:val="18"/>
              </w:rPr>
              <w:t>Non-priorisation de la main d’œuvre locale.</w:t>
            </w:r>
          </w:p>
        </w:tc>
        <w:tc>
          <w:tcPr>
            <w:tcW w:w="3814" w:type="dxa"/>
            <w:tcBorders/>
            <w:vAlign w:val="center"/>
          </w:tcPr>
          <w:p>
            <w:pPr>
              <w:pStyle w:val="style179"/>
              <w:numPr>
                <w:ilvl w:val="0"/>
                <w:numId w:val="44"/>
              </w:numPr>
              <w:contextualSpacing/>
              <w:rPr>
                <w:sz w:val="18"/>
                <w:szCs w:val="18"/>
              </w:rPr>
            </w:pPr>
            <w:r>
              <w:rPr>
                <w:sz w:val="18"/>
                <w:szCs w:val="18"/>
              </w:rPr>
              <w:t>Impliquer la mairie dans l’opérationnalisation du recensement et l’indemnisation des PAP ;</w:t>
            </w:r>
          </w:p>
          <w:p>
            <w:pPr>
              <w:pStyle w:val="style179"/>
              <w:numPr>
                <w:ilvl w:val="0"/>
                <w:numId w:val="44"/>
              </w:numPr>
              <w:contextualSpacing/>
              <w:rPr>
                <w:sz w:val="18"/>
                <w:szCs w:val="18"/>
              </w:rPr>
            </w:pPr>
            <w:r>
              <w:rPr>
                <w:sz w:val="18"/>
                <w:szCs w:val="18"/>
              </w:rPr>
              <w:t>Prioriser les propriétaires terriens dans l’octroi des parcelles aménagées ;</w:t>
            </w:r>
          </w:p>
          <w:p>
            <w:pPr>
              <w:pStyle w:val="style179"/>
              <w:numPr>
                <w:ilvl w:val="0"/>
                <w:numId w:val="44"/>
              </w:numPr>
              <w:contextualSpacing/>
              <w:rPr>
                <w:sz w:val="18"/>
                <w:szCs w:val="18"/>
              </w:rPr>
            </w:pPr>
            <w:r>
              <w:rPr>
                <w:sz w:val="18"/>
                <w:szCs w:val="18"/>
              </w:rPr>
              <w:t>Prioriser la main d’œuvre locale dans les travaux non qualifiés.</w:t>
            </w:r>
          </w:p>
        </w:tc>
      </w:tr>
      <w:tr>
        <w:tblPrEx/>
        <w:trPr>
          <w:jc w:val="center"/>
        </w:trPr>
        <w:tc>
          <w:tcPr>
            <w:tcW w:w="2286" w:type="dxa"/>
            <w:tcBorders/>
            <w:vAlign w:val="center"/>
          </w:tcPr>
          <w:p>
            <w:pPr>
              <w:pStyle w:val="style0"/>
              <w:rPr>
                <w:b/>
                <w:sz w:val="18"/>
                <w:szCs w:val="18"/>
              </w:rPr>
            </w:pPr>
            <w:r>
              <w:rPr>
                <w:b/>
                <w:sz w:val="18"/>
                <w:szCs w:val="18"/>
              </w:rPr>
              <w:t>Services techniques déconcentrés de l’Etat (Agriculture, Environnement, Ressources animales)</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869" w:type="dxa"/>
            <w:tcBorders/>
          </w:tcPr>
          <w:p>
            <w:pPr>
              <w:pStyle w:val="style179"/>
              <w:numPr>
                <w:ilvl w:val="0"/>
                <w:numId w:val="44"/>
              </w:numPr>
              <w:contextualSpacing/>
              <w:rPr>
                <w:sz w:val="18"/>
                <w:szCs w:val="18"/>
              </w:rPr>
            </w:pPr>
            <w:r>
              <w:rPr>
                <w:sz w:val="18"/>
                <w:szCs w:val="18"/>
              </w:rPr>
              <w:t>Augmentation de la production sur le périmètre suite à l’extension ;</w:t>
            </w:r>
          </w:p>
          <w:p>
            <w:pPr>
              <w:pStyle w:val="style179"/>
              <w:numPr>
                <w:ilvl w:val="0"/>
                <w:numId w:val="44"/>
              </w:numPr>
              <w:contextualSpacing/>
              <w:rPr>
                <w:sz w:val="18"/>
                <w:szCs w:val="18"/>
              </w:rPr>
            </w:pPr>
            <w:r>
              <w:rPr>
                <w:sz w:val="18"/>
                <w:szCs w:val="18"/>
              </w:rPr>
              <w:t>Appuis aux services techniques de la province ;</w:t>
            </w:r>
          </w:p>
          <w:p>
            <w:pPr>
              <w:pStyle w:val="style179"/>
              <w:numPr>
                <w:ilvl w:val="0"/>
                <w:numId w:val="44"/>
              </w:numPr>
              <w:contextualSpacing/>
              <w:rPr>
                <w:sz w:val="18"/>
                <w:szCs w:val="18"/>
              </w:rPr>
            </w:pPr>
            <w:r>
              <w:rPr>
                <w:sz w:val="18"/>
                <w:szCs w:val="18"/>
              </w:rPr>
              <w:t>Redynamisation des coopératives ;</w:t>
            </w:r>
          </w:p>
          <w:p>
            <w:pPr>
              <w:pStyle w:val="style179"/>
              <w:numPr>
                <w:ilvl w:val="0"/>
                <w:numId w:val="44"/>
              </w:numPr>
              <w:contextualSpacing/>
              <w:rPr>
                <w:sz w:val="18"/>
                <w:szCs w:val="18"/>
              </w:rPr>
            </w:pPr>
            <w:r>
              <w:rPr>
                <w:sz w:val="18"/>
                <w:szCs w:val="18"/>
              </w:rPr>
              <w:t>Augmentation de la production piscicole ;</w:t>
            </w:r>
          </w:p>
          <w:p>
            <w:pPr>
              <w:pStyle w:val="style179"/>
              <w:numPr>
                <w:ilvl w:val="0"/>
                <w:numId w:val="44"/>
              </w:numPr>
              <w:contextualSpacing/>
              <w:rPr>
                <w:sz w:val="18"/>
                <w:szCs w:val="18"/>
              </w:rPr>
            </w:pPr>
            <w:r>
              <w:rPr>
                <w:sz w:val="18"/>
                <w:szCs w:val="18"/>
              </w:rPr>
              <w:t>Protection des berges du fleuve Léraba ;</w:t>
            </w:r>
          </w:p>
          <w:p>
            <w:pPr>
              <w:pStyle w:val="style179"/>
              <w:numPr>
                <w:ilvl w:val="0"/>
                <w:numId w:val="44"/>
              </w:numPr>
              <w:contextualSpacing/>
              <w:rPr>
                <w:sz w:val="18"/>
                <w:szCs w:val="18"/>
              </w:rPr>
            </w:pPr>
            <w:r>
              <w:rPr>
                <w:sz w:val="18"/>
                <w:szCs w:val="18"/>
              </w:rPr>
              <w:t>Sauvegarder la mare de Golona (hippopotames, oiseaux) ;</w:t>
            </w:r>
          </w:p>
          <w:p>
            <w:pPr>
              <w:pStyle w:val="style179"/>
              <w:numPr>
                <w:ilvl w:val="0"/>
                <w:numId w:val="44"/>
              </w:numPr>
              <w:contextualSpacing/>
              <w:rPr>
                <w:sz w:val="18"/>
                <w:szCs w:val="18"/>
              </w:rPr>
            </w:pPr>
            <w:r>
              <w:rPr>
                <w:sz w:val="18"/>
                <w:szCs w:val="18"/>
              </w:rPr>
              <w:t xml:space="preserve">Promouvoir la production bio sur le périmètre en limitant l’utilisant des pesticides. </w:t>
            </w:r>
          </w:p>
        </w:tc>
        <w:tc>
          <w:tcPr>
            <w:tcW w:w="3118" w:type="dxa"/>
            <w:tcBorders/>
          </w:tcPr>
          <w:p>
            <w:pPr>
              <w:pStyle w:val="style179"/>
              <w:numPr>
                <w:ilvl w:val="0"/>
                <w:numId w:val="44"/>
              </w:numPr>
              <w:contextualSpacing/>
              <w:rPr>
                <w:sz w:val="18"/>
                <w:szCs w:val="18"/>
              </w:rPr>
            </w:pPr>
            <w:r>
              <w:rPr>
                <w:sz w:val="18"/>
                <w:szCs w:val="18"/>
              </w:rPr>
              <w:t>Expropriation des terres aux propriétaires terriens ;</w:t>
            </w:r>
          </w:p>
          <w:p>
            <w:pPr>
              <w:pStyle w:val="style179"/>
              <w:numPr>
                <w:ilvl w:val="0"/>
                <w:numId w:val="44"/>
              </w:numPr>
              <w:contextualSpacing/>
              <w:rPr>
                <w:sz w:val="18"/>
                <w:szCs w:val="18"/>
              </w:rPr>
            </w:pPr>
            <w:r>
              <w:rPr>
                <w:sz w:val="18"/>
                <w:szCs w:val="18"/>
              </w:rPr>
              <w:t>Pertes de pâturages et d’abreuvoir pour le bétail suite à l’extension du périmètre ;</w:t>
            </w:r>
          </w:p>
          <w:p>
            <w:pPr>
              <w:pStyle w:val="style179"/>
              <w:numPr>
                <w:ilvl w:val="0"/>
                <w:numId w:val="44"/>
              </w:numPr>
              <w:contextualSpacing/>
              <w:rPr>
                <w:sz w:val="18"/>
                <w:szCs w:val="18"/>
              </w:rPr>
            </w:pPr>
            <w:r>
              <w:rPr>
                <w:sz w:val="18"/>
                <w:szCs w:val="18"/>
              </w:rPr>
              <w:t>Utilisation accrue de l’eau du barrage suite à l’extension du périmètre. Cette baisse importante du niveau d’eau peut créer des préjudices aux pêcheurs ;</w:t>
            </w:r>
          </w:p>
          <w:p>
            <w:pPr>
              <w:pStyle w:val="style179"/>
              <w:numPr>
                <w:ilvl w:val="0"/>
                <w:numId w:val="44"/>
              </w:numPr>
              <w:contextualSpacing/>
              <w:rPr>
                <w:sz w:val="18"/>
                <w:szCs w:val="18"/>
              </w:rPr>
            </w:pPr>
            <w:r>
              <w:rPr>
                <w:sz w:val="18"/>
                <w:szCs w:val="18"/>
              </w:rPr>
              <w:t>Non-prise en compte des liens écologiques fonctionnels entre le fleuve Léraba et la mare de Golona.</w:t>
            </w:r>
          </w:p>
        </w:tc>
        <w:tc>
          <w:tcPr>
            <w:tcW w:w="3814" w:type="dxa"/>
            <w:tcBorders/>
          </w:tcPr>
          <w:p>
            <w:pPr>
              <w:pStyle w:val="style179"/>
              <w:numPr>
                <w:ilvl w:val="0"/>
                <w:numId w:val="44"/>
              </w:numPr>
              <w:contextualSpacing/>
              <w:rPr>
                <w:sz w:val="18"/>
                <w:szCs w:val="18"/>
              </w:rPr>
            </w:pPr>
            <w:r>
              <w:rPr>
                <w:sz w:val="18"/>
                <w:szCs w:val="18"/>
              </w:rPr>
              <w:t>Conduire un recensement consensuel des personnes affectées par le projet ;</w:t>
            </w:r>
          </w:p>
          <w:p>
            <w:pPr>
              <w:pStyle w:val="style179"/>
              <w:numPr>
                <w:ilvl w:val="0"/>
                <w:numId w:val="44"/>
              </w:numPr>
              <w:contextualSpacing/>
              <w:rPr>
                <w:sz w:val="18"/>
                <w:szCs w:val="18"/>
              </w:rPr>
            </w:pPr>
            <w:r>
              <w:rPr>
                <w:sz w:val="18"/>
                <w:szCs w:val="18"/>
              </w:rPr>
              <w:t>Collaborer étroitement avec la Direction des ressources animales pour la prise en compte des préoccupations liées à la perte de pâturage et d’abreuvoir</w:t>
            </w:r>
            <w:r>
              <w:rPr>
                <w:sz w:val="18"/>
                <w:szCs w:val="18"/>
              </w:rPr>
              <w:t>s</w:t>
            </w:r>
            <w:r>
              <w:rPr>
                <w:sz w:val="18"/>
                <w:szCs w:val="18"/>
              </w:rPr>
              <w:t> ;</w:t>
            </w:r>
          </w:p>
          <w:p>
            <w:pPr>
              <w:pStyle w:val="style179"/>
              <w:numPr>
                <w:ilvl w:val="0"/>
                <w:numId w:val="44"/>
              </w:numPr>
              <w:contextualSpacing/>
              <w:rPr>
                <w:sz w:val="18"/>
                <w:szCs w:val="18"/>
              </w:rPr>
            </w:pPr>
            <w:r>
              <w:rPr>
                <w:sz w:val="18"/>
                <w:szCs w:val="18"/>
              </w:rPr>
              <w:t>Tenir compte de la pêche dans la gestion de l’eau en impliquant les pêcheurs dans les instances de gestion de l’eau du barrage (CLE) ;</w:t>
            </w:r>
          </w:p>
          <w:p>
            <w:pPr>
              <w:pStyle w:val="style179"/>
              <w:numPr>
                <w:ilvl w:val="0"/>
                <w:numId w:val="44"/>
              </w:numPr>
              <w:contextualSpacing/>
              <w:rPr>
                <w:sz w:val="18"/>
                <w:szCs w:val="18"/>
              </w:rPr>
            </w:pPr>
            <w:r>
              <w:rPr>
                <w:sz w:val="18"/>
                <w:szCs w:val="18"/>
              </w:rPr>
              <w:t>Protéger les berges du fleuve Léraba et travailler à sauvegarder le complexe Léraba-mare de Golona.</w:t>
            </w:r>
          </w:p>
        </w:tc>
      </w:tr>
      <w:tr>
        <w:tblPrEx/>
        <w:trPr>
          <w:jc w:val="center"/>
        </w:trPr>
        <w:tc>
          <w:tcPr>
            <w:tcW w:w="2286" w:type="dxa"/>
            <w:tcBorders/>
            <w:vAlign w:val="center"/>
          </w:tcPr>
          <w:p>
            <w:pPr>
              <w:pStyle w:val="style0"/>
              <w:rPr>
                <w:b/>
                <w:sz w:val="18"/>
                <w:szCs w:val="18"/>
              </w:rPr>
            </w:pPr>
            <w:r>
              <w:rPr>
                <w:b/>
                <w:sz w:val="18"/>
                <w:szCs w:val="18"/>
              </w:rPr>
              <w:t xml:space="preserve">Programme de Restructuration et de mise en valeur de la plaine de Douna/Niofila </w:t>
            </w:r>
          </w:p>
        </w:tc>
        <w:tc>
          <w:tcPr>
            <w:tcW w:w="3204" w:type="dxa"/>
            <w:tcBorders/>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gr</w:t>
            </w:r>
            <w:r>
              <w:rPr>
                <w:sz w:val="18"/>
                <w:szCs w:val="18"/>
              </w:rPr>
              <w:t>amme</w:t>
            </w:r>
          </w:p>
        </w:tc>
        <w:tc>
          <w:tcPr>
            <w:tcW w:w="2869" w:type="dxa"/>
            <w:tcBorders/>
          </w:tcPr>
          <w:p>
            <w:pPr>
              <w:pStyle w:val="style179"/>
              <w:numPr>
                <w:ilvl w:val="0"/>
                <w:numId w:val="44"/>
              </w:numPr>
              <w:spacing w:before="120" w:after="120"/>
              <w:jc w:val="both"/>
              <w:contextualSpacing/>
              <w:rPr>
                <w:sz w:val="18"/>
                <w:szCs w:val="18"/>
              </w:rPr>
            </w:pPr>
            <w:r>
              <w:rPr>
                <w:sz w:val="18"/>
                <w:szCs w:val="18"/>
              </w:rPr>
              <w:t>Décongestion de l’ancien périmètre qui a une superficie de 410 ha pour 1 200 exploitants ;</w:t>
            </w:r>
          </w:p>
          <w:p>
            <w:pPr>
              <w:pStyle w:val="style179"/>
              <w:numPr>
                <w:ilvl w:val="0"/>
                <w:numId w:val="44"/>
              </w:numPr>
              <w:spacing w:before="120" w:after="120"/>
              <w:jc w:val="both"/>
              <w:contextualSpacing/>
              <w:rPr>
                <w:sz w:val="18"/>
                <w:szCs w:val="18"/>
              </w:rPr>
            </w:pPr>
            <w:r>
              <w:rPr>
                <w:sz w:val="18"/>
                <w:szCs w:val="18"/>
              </w:rPr>
              <w:t>Apport d’un appui financier au PRMVP-N/D pour la réalisation des 580 ha de périmètre ;</w:t>
            </w:r>
          </w:p>
          <w:p>
            <w:pPr>
              <w:pStyle w:val="style179"/>
              <w:numPr>
                <w:ilvl w:val="0"/>
                <w:numId w:val="44"/>
              </w:numPr>
              <w:contextualSpacing/>
              <w:rPr>
                <w:sz w:val="18"/>
                <w:szCs w:val="18"/>
              </w:rPr>
            </w:pPr>
            <w:r>
              <w:rPr>
                <w:sz w:val="18"/>
                <w:szCs w:val="18"/>
              </w:rPr>
              <w:t>Accompagnement du Programme actuel pour la finalisation de la restructuration de l’ancien périmètre</w:t>
            </w:r>
          </w:p>
        </w:tc>
        <w:tc>
          <w:tcPr>
            <w:tcW w:w="3118" w:type="dxa"/>
            <w:tcBorders/>
          </w:tcPr>
          <w:p>
            <w:pPr>
              <w:pStyle w:val="style179"/>
              <w:numPr>
                <w:ilvl w:val="0"/>
                <w:numId w:val="44"/>
              </w:numPr>
              <w:contextualSpacing/>
              <w:rPr>
                <w:sz w:val="18"/>
                <w:szCs w:val="18"/>
              </w:rPr>
            </w:pPr>
            <w:r>
              <w:rPr>
                <w:sz w:val="18"/>
                <w:szCs w:val="18"/>
              </w:rPr>
              <w:t>Non prise en compte des exploitants ayant de petites parcelles (0,25 ha) sur le nouveau périmètre ;</w:t>
            </w:r>
          </w:p>
          <w:p>
            <w:pPr>
              <w:pStyle w:val="style179"/>
              <w:numPr>
                <w:ilvl w:val="0"/>
                <w:numId w:val="44"/>
              </w:numPr>
              <w:contextualSpacing/>
              <w:rPr>
                <w:sz w:val="18"/>
                <w:szCs w:val="18"/>
              </w:rPr>
            </w:pPr>
            <w:r>
              <w:rPr>
                <w:sz w:val="18"/>
                <w:szCs w:val="18"/>
              </w:rPr>
              <w:t>Manque de coordination entre les autres bailleurs intervenant sur le terrain pour les aménagements (BAD et Etat) ;</w:t>
            </w:r>
          </w:p>
          <w:p>
            <w:pPr>
              <w:pStyle w:val="style179"/>
              <w:numPr>
                <w:ilvl w:val="0"/>
                <w:numId w:val="44"/>
              </w:numPr>
              <w:contextualSpacing/>
              <w:rPr>
                <w:sz w:val="18"/>
                <w:szCs w:val="18"/>
              </w:rPr>
            </w:pPr>
            <w:r>
              <w:rPr>
                <w:sz w:val="18"/>
                <w:szCs w:val="18"/>
              </w:rPr>
              <w:t>Non -prise en compte des expropriations de terres ;</w:t>
            </w:r>
          </w:p>
          <w:p>
            <w:pPr>
              <w:pStyle w:val="style179"/>
              <w:numPr>
                <w:ilvl w:val="0"/>
                <w:numId w:val="44"/>
              </w:numPr>
              <w:contextualSpacing/>
              <w:rPr>
                <w:sz w:val="18"/>
                <w:szCs w:val="18"/>
              </w:rPr>
            </w:pPr>
            <w:r>
              <w:rPr>
                <w:sz w:val="18"/>
                <w:szCs w:val="18"/>
              </w:rPr>
              <w:t>Non-prise en compte de la sécurisation des exploitations ;</w:t>
            </w:r>
          </w:p>
        </w:tc>
        <w:tc>
          <w:tcPr>
            <w:tcW w:w="3814" w:type="dxa"/>
            <w:tcBorders/>
          </w:tcPr>
          <w:p>
            <w:pPr>
              <w:pStyle w:val="style179"/>
              <w:numPr>
                <w:ilvl w:val="0"/>
                <w:numId w:val="44"/>
              </w:numPr>
              <w:contextualSpacing/>
              <w:rPr>
                <w:sz w:val="18"/>
                <w:szCs w:val="18"/>
              </w:rPr>
            </w:pPr>
            <w:r>
              <w:rPr>
                <w:sz w:val="18"/>
                <w:szCs w:val="18"/>
              </w:rPr>
              <w:t>Décongestionner l’ancien périmètre en tenant compte de ceux qui disposent de petite parcelle sur l’ancien périmètre ;</w:t>
            </w:r>
          </w:p>
          <w:p>
            <w:pPr>
              <w:pStyle w:val="style179"/>
              <w:numPr>
                <w:ilvl w:val="0"/>
                <w:numId w:val="44"/>
              </w:numPr>
              <w:contextualSpacing/>
              <w:rPr>
                <w:sz w:val="18"/>
                <w:szCs w:val="18"/>
              </w:rPr>
            </w:pPr>
            <w:r>
              <w:rPr>
                <w:sz w:val="18"/>
                <w:szCs w:val="18"/>
              </w:rPr>
              <w:t>Confier la coordination de la réalisation des aménagements à une seule structure ;</w:t>
            </w:r>
          </w:p>
          <w:p>
            <w:pPr>
              <w:pStyle w:val="style179"/>
              <w:numPr>
                <w:ilvl w:val="0"/>
                <w:numId w:val="44"/>
              </w:numPr>
              <w:contextualSpacing/>
              <w:rPr>
                <w:sz w:val="18"/>
                <w:szCs w:val="18"/>
              </w:rPr>
            </w:pPr>
            <w:r>
              <w:rPr>
                <w:sz w:val="18"/>
                <w:szCs w:val="18"/>
              </w:rPr>
              <w:t xml:space="preserve"> Conduire le recensement des PAP de façon consensuelle ;</w:t>
            </w:r>
          </w:p>
          <w:p>
            <w:pPr>
              <w:pStyle w:val="style179"/>
              <w:numPr>
                <w:ilvl w:val="0"/>
                <w:numId w:val="44"/>
              </w:numPr>
              <w:contextualSpacing/>
              <w:rPr>
                <w:sz w:val="18"/>
                <w:szCs w:val="18"/>
              </w:rPr>
            </w:pPr>
            <w:r>
              <w:rPr>
                <w:sz w:val="18"/>
                <w:szCs w:val="18"/>
              </w:rPr>
              <w:t>Procéder à l’immatriculation des terres afin de sécuriser les exploitants.</w:t>
            </w:r>
          </w:p>
        </w:tc>
      </w:tr>
      <w:tr>
        <w:tblPrEx/>
        <w:trPr>
          <w:jc w:val="center"/>
        </w:trPr>
        <w:tc>
          <w:tcPr>
            <w:tcW w:w="2286" w:type="dxa"/>
            <w:tcBorders/>
            <w:vAlign w:val="center"/>
          </w:tcPr>
          <w:p>
            <w:pPr>
              <w:pStyle w:val="style0"/>
              <w:rPr>
                <w:b/>
                <w:sz w:val="18"/>
                <w:szCs w:val="18"/>
              </w:rPr>
            </w:pPr>
            <w:r>
              <w:rPr>
                <w:b/>
                <w:sz w:val="18"/>
                <w:szCs w:val="18"/>
              </w:rPr>
              <w:t xml:space="preserve">Producteurs de la plaine de Douna / Niofila (Coopérative, étuveuses, irrigants, CLE </w:t>
            </w:r>
          </w:p>
        </w:tc>
        <w:tc>
          <w:tcPr>
            <w:tcW w:w="3204" w:type="dxa"/>
            <w:tcBorders/>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des parties prenantes par rapport au </w:t>
            </w:r>
            <w:r>
              <w:rPr>
                <w:sz w:val="18"/>
                <w:szCs w:val="18"/>
              </w:rPr>
              <w:t>pro</w:t>
            </w:r>
            <w:r>
              <w:rPr>
                <w:sz w:val="18"/>
                <w:szCs w:val="18"/>
              </w:rPr>
              <w:t>gramme</w:t>
            </w:r>
          </w:p>
        </w:tc>
        <w:tc>
          <w:tcPr>
            <w:tcW w:w="2869" w:type="dxa"/>
            <w:tcBorders/>
          </w:tcPr>
          <w:p>
            <w:pPr>
              <w:pStyle w:val="style179"/>
              <w:numPr>
                <w:ilvl w:val="0"/>
                <w:numId w:val="44"/>
              </w:numPr>
              <w:contextualSpacing/>
              <w:rPr>
                <w:sz w:val="18"/>
                <w:szCs w:val="18"/>
              </w:rPr>
            </w:pPr>
            <w:r>
              <w:rPr>
                <w:sz w:val="18"/>
                <w:szCs w:val="18"/>
              </w:rPr>
              <w:t>Augmentation de la production rizicole avec l’extension du périmètre ;</w:t>
            </w:r>
          </w:p>
          <w:p>
            <w:pPr>
              <w:pStyle w:val="style179"/>
              <w:numPr>
                <w:ilvl w:val="0"/>
                <w:numId w:val="44"/>
              </w:numPr>
              <w:contextualSpacing/>
              <w:rPr>
                <w:sz w:val="18"/>
                <w:szCs w:val="18"/>
              </w:rPr>
            </w:pPr>
            <w:r>
              <w:rPr>
                <w:sz w:val="18"/>
                <w:szCs w:val="18"/>
              </w:rPr>
              <w:t>Renforcement de l’équipement des femmes pour la transformation et la commercialisation du riz ;</w:t>
            </w:r>
          </w:p>
          <w:p>
            <w:pPr>
              <w:pStyle w:val="style179"/>
              <w:numPr>
                <w:ilvl w:val="0"/>
                <w:numId w:val="44"/>
              </w:numPr>
              <w:contextualSpacing/>
              <w:rPr>
                <w:sz w:val="18"/>
                <w:szCs w:val="18"/>
              </w:rPr>
            </w:pPr>
            <w:r>
              <w:rPr>
                <w:sz w:val="18"/>
                <w:szCs w:val="18"/>
              </w:rPr>
              <w:t>Réhabilitation de l’ancien périmètre ;</w:t>
            </w:r>
          </w:p>
          <w:p>
            <w:pPr>
              <w:pStyle w:val="style179"/>
              <w:numPr>
                <w:ilvl w:val="0"/>
                <w:numId w:val="44"/>
              </w:numPr>
              <w:contextualSpacing/>
              <w:rPr>
                <w:sz w:val="18"/>
                <w:szCs w:val="18"/>
              </w:rPr>
            </w:pPr>
            <w:r>
              <w:rPr>
                <w:sz w:val="18"/>
                <w:szCs w:val="18"/>
              </w:rPr>
              <w:t>Meilleur écoulement des produits suite à l’aménagement des pistes de la commune.</w:t>
            </w:r>
          </w:p>
        </w:tc>
        <w:tc>
          <w:tcPr>
            <w:tcW w:w="3118" w:type="dxa"/>
            <w:tcBorders/>
          </w:tcPr>
          <w:p>
            <w:pPr>
              <w:pStyle w:val="style179"/>
              <w:numPr>
                <w:ilvl w:val="0"/>
                <w:numId w:val="44"/>
              </w:numPr>
              <w:contextualSpacing/>
              <w:rPr>
                <w:sz w:val="18"/>
                <w:szCs w:val="18"/>
              </w:rPr>
            </w:pPr>
            <w:r>
              <w:rPr>
                <w:sz w:val="18"/>
                <w:szCs w:val="18"/>
              </w:rPr>
              <w:t>Non prise en compte des exploitants de l’ancien périmètre ayant de petite parcelle ;</w:t>
            </w:r>
          </w:p>
          <w:p>
            <w:pPr>
              <w:pStyle w:val="style179"/>
              <w:numPr>
                <w:ilvl w:val="0"/>
                <w:numId w:val="44"/>
              </w:numPr>
              <w:contextualSpacing/>
              <w:rPr>
                <w:sz w:val="18"/>
                <w:szCs w:val="18"/>
              </w:rPr>
            </w:pPr>
            <w:r>
              <w:rPr>
                <w:sz w:val="18"/>
                <w:szCs w:val="18"/>
              </w:rPr>
              <w:t>Non-prise en compte de la main d’œuvre locale pendant les travaux ;</w:t>
            </w:r>
          </w:p>
          <w:p>
            <w:pPr>
              <w:pStyle w:val="style179"/>
              <w:numPr>
                <w:ilvl w:val="0"/>
                <w:numId w:val="44"/>
              </w:numPr>
              <w:contextualSpacing/>
              <w:rPr>
                <w:sz w:val="18"/>
                <w:szCs w:val="18"/>
              </w:rPr>
            </w:pPr>
            <w:r>
              <w:rPr>
                <w:sz w:val="18"/>
                <w:szCs w:val="18"/>
              </w:rPr>
              <w:t>Perte de rendement des parcelles pendant les travaux de réhabilitation ;</w:t>
            </w:r>
          </w:p>
          <w:p>
            <w:pPr>
              <w:pStyle w:val="style179"/>
              <w:numPr>
                <w:ilvl w:val="0"/>
                <w:numId w:val="44"/>
              </w:numPr>
              <w:contextualSpacing/>
              <w:rPr>
                <w:sz w:val="18"/>
                <w:szCs w:val="18"/>
              </w:rPr>
            </w:pPr>
            <w:r>
              <w:rPr>
                <w:sz w:val="18"/>
                <w:szCs w:val="18"/>
              </w:rPr>
              <w:t>Recrudescence des dégâts d’hippopotames sur la plaine si des mesures ne sont pas prises ;</w:t>
            </w:r>
          </w:p>
        </w:tc>
        <w:tc>
          <w:tcPr>
            <w:tcW w:w="3814" w:type="dxa"/>
            <w:tcBorders/>
          </w:tcPr>
          <w:p>
            <w:pPr>
              <w:pStyle w:val="style179"/>
              <w:numPr>
                <w:ilvl w:val="0"/>
                <w:numId w:val="44"/>
              </w:numPr>
              <w:contextualSpacing/>
              <w:rPr>
                <w:sz w:val="18"/>
                <w:szCs w:val="18"/>
              </w:rPr>
            </w:pPr>
            <w:r>
              <w:rPr>
                <w:sz w:val="18"/>
                <w:szCs w:val="18"/>
              </w:rPr>
              <w:t>Décongestionner l’ancien périmètre en tenant compte de ceux qui disposent de petite parcelle sur l’ancien périmètre ;</w:t>
            </w:r>
          </w:p>
          <w:p>
            <w:pPr>
              <w:pStyle w:val="style179"/>
              <w:numPr>
                <w:ilvl w:val="0"/>
                <w:numId w:val="44"/>
              </w:numPr>
              <w:contextualSpacing/>
              <w:rPr>
                <w:sz w:val="18"/>
                <w:szCs w:val="18"/>
              </w:rPr>
            </w:pPr>
            <w:r>
              <w:rPr>
                <w:sz w:val="18"/>
                <w:szCs w:val="18"/>
              </w:rPr>
              <w:t>Prioriser la main d’œuvre locale pour les travaux non qualifiés ;</w:t>
            </w:r>
          </w:p>
          <w:p>
            <w:pPr>
              <w:pStyle w:val="style179"/>
              <w:numPr>
                <w:ilvl w:val="0"/>
                <w:numId w:val="44"/>
              </w:numPr>
              <w:contextualSpacing/>
              <w:rPr>
                <w:sz w:val="18"/>
                <w:szCs w:val="18"/>
              </w:rPr>
            </w:pPr>
            <w:r>
              <w:rPr>
                <w:sz w:val="18"/>
                <w:szCs w:val="18"/>
              </w:rPr>
              <w:t>Informer les exploitants à temps sur le programme de réhabilitation et d’extension ;</w:t>
            </w:r>
          </w:p>
          <w:p>
            <w:pPr>
              <w:pStyle w:val="style179"/>
              <w:ind w:left="360"/>
              <w:contextualSpacing/>
              <w:rPr>
                <w:sz w:val="18"/>
                <w:szCs w:val="18"/>
              </w:rPr>
            </w:pPr>
          </w:p>
        </w:tc>
      </w:tr>
    </w:tbl>
    <w:p>
      <w:pPr>
        <w:pStyle w:val="style0"/>
        <w:jc w:val="both"/>
        <w:rPr>
          <w:b/>
        </w:rPr>
      </w:pPr>
    </w:p>
    <w:p>
      <w:pPr>
        <w:pStyle w:val="style0"/>
        <w:rPr>
          <w:b/>
          <w:sz w:val="22"/>
          <w:szCs w:val="22"/>
        </w:rPr>
      </w:pPr>
      <w:r>
        <w:rPr>
          <w:b/>
        </w:rPr>
        <w:br w:type="page"/>
      </w:r>
      <w:r>
        <w:rPr>
          <w:b/>
          <w:sz w:val="22"/>
          <w:szCs w:val="22"/>
        </w:rPr>
        <w:t xml:space="preserve">Synthèse des consultations publiques avec les parties prenantes du site de Banzon (Banzon/Kénédougou/Cascades), </w:t>
      </w:r>
      <w:r>
        <w:rPr>
          <w:sz w:val="22"/>
          <w:szCs w:val="22"/>
        </w:rPr>
        <w:t>10 janvier 2019</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652"/>
        <w:gridCol w:w="2750"/>
        <w:gridCol w:w="3118"/>
        <w:gridCol w:w="4088"/>
      </w:tblGrid>
      <w:tr>
        <w:trPr>
          <w:tblHeader/>
          <w:jc w:val="center"/>
        </w:trPr>
        <w:tc>
          <w:tcPr>
            <w:tcW w:w="1838" w:type="dxa"/>
            <w:tcBorders/>
            <w:shd w:val="clear" w:color="auto" w:fill="f2f2f2"/>
          </w:tcPr>
          <w:p>
            <w:pPr>
              <w:pStyle w:val="style0"/>
              <w:jc w:val="center"/>
              <w:rPr>
                <w:b/>
                <w:sz w:val="18"/>
                <w:szCs w:val="18"/>
              </w:rPr>
            </w:pPr>
            <w:r>
              <w:rPr>
                <w:b/>
                <w:sz w:val="18"/>
                <w:szCs w:val="18"/>
              </w:rPr>
              <w:t>Acteurs/institutions</w:t>
            </w:r>
          </w:p>
        </w:tc>
        <w:tc>
          <w:tcPr>
            <w:tcW w:w="3652" w:type="dxa"/>
            <w:tcBorders/>
            <w:shd w:val="clear" w:color="auto" w:fill="f2f2f2"/>
          </w:tcPr>
          <w:p>
            <w:pPr>
              <w:pStyle w:val="style0"/>
              <w:jc w:val="center"/>
              <w:rPr>
                <w:b/>
                <w:sz w:val="18"/>
                <w:szCs w:val="18"/>
              </w:rPr>
            </w:pPr>
            <w:r>
              <w:rPr>
                <w:b/>
                <w:sz w:val="18"/>
                <w:szCs w:val="18"/>
              </w:rPr>
              <w:t>Points discutés</w:t>
            </w:r>
          </w:p>
        </w:tc>
        <w:tc>
          <w:tcPr>
            <w:tcW w:w="2750" w:type="dxa"/>
            <w:tcBorders/>
            <w:shd w:val="clear" w:color="auto" w:fill="f2f2f2"/>
          </w:tcPr>
          <w:p>
            <w:pPr>
              <w:pStyle w:val="style0"/>
              <w:jc w:val="center"/>
              <w:rPr>
                <w:b/>
                <w:sz w:val="18"/>
                <w:szCs w:val="18"/>
              </w:rPr>
            </w:pPr>
            <w:r>
              <w:rPr>
                <w:b/>
                <w:sz w:val="18"/>
                <w:szCs w:val="18"/>
              </w:rPr>
              <w:t>Attentes</w:t>
            </w:r>
          </w:p>
        </w:tc>
        <w:tc>
          <w:tcPr>
            <w:tcW w:w="3118" w:type="dxa"/>
            <w:tcBorders/>
            <w:shd w:val="clear" w:color="auto" w:fill="f2f2f2"/>
          </w:tcPr>
          <w:p>
            <w:pPr>
              <w:pStyle w:val="style0"/>
              <w:jc w:val="center"/>
              <w:rPr>
                <w:b/>
                <w:sz w:val="18"/>
                <w:szCs w:val="18"/>
              </w:rPr>
            </w:pPr>
            <w:r>
              <w:rPr>
                <w:b/>
                <w:sz w:val="18"/>
                <w:szCs w:val="18"/>
              </w:rPr>
              <w:t>Préoccupations et craintes</w:t>
            </w:r>
          </w:p>
        </w:tc>
        <w:tc>
          <w:tcPr>
            <w:tcW w:w="4088" w:type="dxa"/>
            <w:tcBorders/>
            <w:shd w:val="clear" w:color="auto" w:fill="f2f2f2"/>
          </w:tcPr>
          <w:p>
            <w:pPr>
              <w:pStyle w:val="style0"/>
              <w:jc w:val="center"/>
              <w:rPr>
                <w:b/>
                <w:sz w:val="18"/>
                <w:szCs w:val="18"/>
              </w:rPr>
            </w:pPr>
            <w:r>
              <w:rPr>
                <w:b/>
                <w:sz w:val="18"/>
                <w:szCs w:val="18"/>
              </w:rPr>
              <w:t>Suggestions et recommandations</w:t>
            </w:r>
          </w:p>
        </w:tc>
      </w:tr>
      <w:tr>
        <w:tblPrEx/>
        <w:trPr>
          <w:jc w:val="center"/>
        </w:trPr>
        <w:tc>
          <w:tcPr>
            <w:tcW w:w="1838" w:type="dxa"/>
            <w:tcBorders/>
            <w:vAlign w:val="center"/>
          </w:tcPr>
          <w:p>
            <w:pPr>
              <w:pStyle w:val="style0"/>
              <w:rPr>
                <w:b/>
                <w:sz w:val="18"/>
                <w:szCs w:val="18"/>
              </w:rPr>
            </w:pPr>
            <w:r>
              <w:rPr>
                <w:b/>
                <w:sz w:val="18"/>
                <w:szCs w:val="18"/>
              </w:rPr>
              <w:t>Autorités administratives et coutumières (Haut-Commissaire, Préfet, maire, chef de village)</w:t>
            </w:r>
          </w:p>
        </w:tc>
        <w:tc>
          <w:tcPr>
            <w:tcW w:w="3652"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cPr>
          <w:p>
            <w:pPr>
              <w:pStyle w:val="style179"/>
              <w:numPr>
                <w:ilvl w:val="0"/>
                <w:numId w:val="44"/>
              </w:numPr>
              <w:contextualSpacing/>
              <w:rPr>
                <w:sz w:val="18"/>
                <w:szCs w:val="18"/>
              </w:rPr>
            </w:pPr>
            <w:r>
              <w:rPr>
                <w:sz w:val="18"/>
                <w:szCs w:val="18"/>
              </w:rPr>
              <w:t>Baisse du chômage dans la province ;</w:t>
            </w:r>
          </w:p>
          <w:p>
            <w:pPr>
              <w:pStyle w:val="style179"/>
              <w:numPr>
                <w:ilvl w:val="0"/>
                <w:numId w:val="44"/>
              </w:numPr>
              <w:contextualSpacing/>
              <w:rPr>
                <w:sz w:val="18"/>
                <w:szCs w:val="18"/>
              </w:rPr>
            </w:pPr>
            <w:r>
              <w:rPr>
                <w:sz w:val="18"/>
                <w:szCs w:val="18"/>
              </w:rPr>
              <w:t>Amélioration de la production rizicole ;</w:t>
            </w:r>
          </w:p>
          <w:p>
            <w:pPr>
              <w:pStyle w:val="style179"/>
              <w:numPr>
                <w:ilvl w:val="0"/>
                <w:numId w:val="44"/>
              </w:numPr>
              <w:contextualSpacing/>
              <w:rPr>
                <w:sz w:val="18"/>
                <w:szCs w:val="18"/>
              </w:rPr>
            </w:pPr>
            <w:r>
              <w:rPr>
                <w:sz w:val="18"/>
                <w:szCs w:val="18"/>
              </w:rPr>
              <w:t>Sécurisation de la production agricole ;</w:t>
            </w:r>
          </w:p>
          <w:p>
            <w:pPr>
              <w:pStyle w:val="style179"/>
              <w:numPr>
                <w:ilvl w:val="0"/>
                <w:numId w:val="44"/>
              </w:numPr>
              <w:contextualSpacing/>
              <w:rPr>
                <w:sz w:val="18"/>
                <w:szCs w:val="18"/>
              </w:rPr>
            </w:pPr>
            <w:r>
              <w:rPr>
                <w:sz w:val="18"/>
                <w:szCs w:val="18"/>
              </w:rPr>
              <w:t>Meilleure écoulement des productions agricoles ;</w:t>
            </w:r>
          </w:p>
          <w:p>
            <w:pPr>
              <w:pStyle w:val="style179"/>
              <w:numPr>
                <w:ilvl w:val="0"/>
                <w:numId w:val="44"/>
              </w:numPr>
              <w:contextualSpacing/>
              <w:rPr>
                <w:sz w:val="18"/>
                <w:szCs w:val="18"/>
              </w:rPr>
            </w:pPr>
            <w:r>
              <w:rPr>
                <w:sz w:val="18"/>
                <w:szCs w:val="18"/>
              </w:rPr>
              <w:t>Implication des autorités dans la mise en œuvre du programme.</w:t>
            </w:r>
          </w:p>
        </w:tc>
        <w:tc>
          <w:tcPr>
            <w:tcW w:w="3118" w:type="dxa"/>
            <w:tcBorders/>
            <w:vAlign w:val="center"/>
          </w:tcPr>
          <w:p>
            <w:pPr>
              <w:pStyle w:val="style179"/>
              <w:numPr>
                <w:ilvl w:val="0"/>
                <w:numId w:val="44"/>
              </w:numPr>
              <w:contextualSpacing/>
              <w:rPr>
                <w:sz w:val="18"/>
                <w:szCs w:val="18"/>
              </w:rPr>
            </w:pPr>
            <w:r>
              <w:rPr>
                <w:sz w:val="18"/>
                <w:szCs w:val="18"/>
              </w:rPr>
              <w:t xml:space="preserve">Non implication des autorités dans la mise en œuvre du </w:t>
            </w:r>
            <w:r>
              <w:rPr>
                <w:sz w:val="18"/>
                <w:szCs w:val="18"/>
              </w:rPr>
              <w:t>pro</w:t>
            </w:r>
            <w:r>
              <w:rPr>
                <w:sz w:val="18"/>
                <w:szCs w:val="18"/>
              </w:rPr>
              <w:t>gramme</w:t>
            </w:r>
            <w:r>
              <w:rPr>
                <w:sz w:val="18"/>
                <w:szCs w:val="18"/>
              </w:rPr>
              <w:t>;</w:t>
            </w:r>
          </w:p>
          <w:p>
            <w:pPr>
              <w:pStyle w:val="style179"/>
              <w:numPr>
                <w:ilvl w:val="0"/>
                <w:numId w:val="44"/>
              </w:numPr>
              <w:contextualSpacing/>
              <w:rPr>
                <w:sz w:val="18"/>
                <w:szCs w:val="18"/>
              </w:rPr>
            </w:pPr>
            <w:r>
              <w:rPr>
                <w:sz w:val="18"/>
                <w:szCs w:val="18"/>
              </w:rPr>
              <w:t>Non prise en compte de la main d’œuvre œuvre locale ;</w:t>
            </w:r>
          </w:p>
          <w:p>
            <w:pPr>
              <w:pStyle w:val="style179"/>
              <w:numPr>
                <w:ilvl w:val="0"/>
                <w:numId w:val="44"/>
              </w:numPr>
              <w:contextualSpacing/>
              <w:rPr>
                <w:sz w:val="18"/>
                <w:szCs w:val="18"/>
              </w:rPr>
            </w:pPr>
            <w:r>
              <w:rPr>
                <w:sz w:val="18"/>
                <w:szCs w:val="18"/>
              </w:rPr>
              <w:t xml:space="preserve">Non prise en compte de l’indemnisation des biens touchés par le </w:t>
            </w:r>
            <w:r>
              <w:rPr>
                <w:sz w:val="18"/>
                <w:szCs w:val="18"/>
              </w:rPr>
              <w:t>pro</w:t>
            </w:r>
            <w:r>
              <w:rPr>
                <w:sz w:val="18"/>
                <w:szCs w:val="18"/>
              </w:rPr>
              <w:t>gramme</w:t>
            </w:r>
          </w:p>
        </w:tc>
        <w:tc>
          <w:tcPr>
            <w:tcW w:w="4088" w:type="dxa"/>
            <w:tcBorders/>
            <w:vAlign w:val="center"/>
          </w:tcPr>
          <w:p>
            <w:pPr>
              <w:pStyle w:val="style179"/>
              <w:numPr>
                <w:ilvl w:val="0"/>
                <w:numId w:val="44"/>
              </w:numPr>
              <w:contextualSpacing/>
              <w:rPr>
                <w:sz w:val="18"/>
                <w:szCs w:val="18"/>
              </w:rPr>
            </w:pPr>
            <w:r>
              <w:rPr>
                <w:sz w:val="18"/>
                <w:szCs w:val="18"/>
              </w:rPr>
              <w:t>A</w:t>
            </w:r>
            <w:r>
              <w:rPr>
                <w:sz w:val="18"/>
                <w:szCs w:val="18"/>
              </w:rPr>
              <w:t xml:space="preserve">ssurer </w:t>
            </w:r>
            <w:r>
              <w:rPr>
                <w:sz w:val="18"/>
                <w:szCs w:val="18"/>
              </w:rPr>
              <w:t>l’</w:t>
            </w:r>
            <w:r>
              <w:rPr>
                <w:sz w:val="18"/>
                <w:szCs w:val="18"/>
              </w:rPr>
              <w:t xml:space="preserve">implication des autorités dans la mise en œuvre du projet en instituant des cadres de concertation permanents ; </w:t>
            </w:r>
          </w:p>
          <w:p>
            <w:pPr>
              <w:pStyle w:val="style179"/>
              <w:numPr>
                <w:ilvl w:val="0"/>
                <w:numId w:val="44"/>
              </w:numPr>
              <w:contextualSpacing/>
              <w:rPr>
                <w:sz w:val="18"/>
                <w:szCs w:val="18"/>
              </w:rPr>
            </w:pPr>
            <w:r>
              <w:rPr>
                <w:sz w:val="18"/>
                <w:szCs w:val="18"/>
              </w:rPr>
              <w:t>Prioriser la main d’œuvre locale dans tous les travaux non qualifiés ;</w:t>
            </w:r>
          </w:p>
          <w:p>
            <w:pPr>
              <w:pStyle w:val="style179"/>
              <w:numPr>
                <w:ilvl w:val="0"/>
                <w:numId w:val="44"/>
              </w:numPr>
              <w:contextualSpacing/>
              <w:rPr>
                <w:sz w:val="18"/>
                <w:szCs w:val="18"/>
              </w:rPr>
            </w:pPr>
            <w:r>
              <w:rPr>
                <w:sz w:val="18"/>
                <w:szCs w:val="18"/>
              </w:rPr>
              <w:t>Veiller au recensement consensuel des personnes affectées par le projet et procéder à l’apurement des droits liés au foncier et aux autres biens ;</w:t>
            </w:r>
          </w:p>
          <w:p>
            <w:pPr>
              <w:pStyle w:val="style179"/>
              <w:numPr>
                <w:ilvl w:val="0"/>
                <w:numId w:val="44"/>
              </w:numPr>
              <w:contextualSpacing/>
              <w:rPr>
                <w:sz w:val="18"/>
                <w:szCs w:val="18"/>
              </w:rPr>
            </w:pPr>
            <w:r>
              <w:rPr>
                <w:sz w:val="18"/>
                <w:szCs w:val="18"/>
              </w:rPr>
              <w:t>Immatriculer les terres afin de sécuriser la production.</w:t>
            </w:r>
          </w:p>
        </w:tc>
      </w:tr>
      <w:tr>
        <w:tblPrEx/>
        <w:trPr>
          <w:jc w:val="center"/>
        </w:trPr>
        <w:tc>
          <w:tcPr>
            <w:tcW w:w="1838" w:type="dxa"/>
            <w:tcBorders/>
            <w:vAlign w:val="center"/>
          </w:tcPr>
          <w:p>
            <w:pPr>
              <w:pStyle w:val="style0"/>
              <w:rPr>
                <w:b/>
                <w:sz w:val="18"/>
                <w:szCs w:val="18"/>
              </w:rPr>
            </w:pPr>
            <w:r>
              <w:rPr>
                <w:b/>
                <w:sz w:val="18"/>
                <w:szCs w:val="18"/>
              </w:rPr>
              <w:t>Services techniques (agriculture, ressources animales, environnement)</w:t>
            </w:r>
          </w:p>
        </w:tc>
        <w:tc>
          <w:tcPr>
            <w:tcW w:w="3652" w:type="dxa"/>
            <w:tcBorders/>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cPr>
          <w:p>
            <w:pPr>
              <w:pStyle w:val="style179"/>
              <w:numPr>
                <w:ilvl w:val="0"/>
                <w:numId w:val="44"/>
              </w:numPr>
              <w:contextualSpacing/>
              <w:rPr>
                <w:sz w:val="18"/>
                <w:szCs w:val="18"/>
              </w:rPr>
            </w:pPr>
            <w:r>
              <w:rPr>
                <w:sz w:val="18"/>
                <w:szCs w:val="18"/>
              </w:rPr>
              <w:t>Amélioration en quantité et en qualité de la production rizicole sur la plaine suite à sa réhabilitation (canaux, prise d’eau…) ;</w:t>
            </w:r>
          </w:p>
          <w:p>
            <w:pPr>
              <w:pStyle w:val="style179"/>
              <w:numPr>
                <w:ilvl w:val="0"/>
                <w:numId w:val="44"/>
              </w:numPr>
              <w:contextualSpacing/>
              <w:rPr>
                <w:sz w:val="18"/>
                <w:szCs w:val="18"/>
              </w:rPr>
            </w:pPr>
            <w:r>
              <w:rPr>
                <w:sz w:val="18"/>
                <w:szCs w:val="18"/>
              </w:rPr>
              <w:t>Renforcement en équipement du potentiel de transformation et de commercialisation des femmes ;</w:t>
            </w:r>
          </w:p>
          <w:p>
            <w:pPr>
              <w:pStyle w:val="style179"/>
              <w:numPr>
                <w:ilvl w:val="0"/>
                <w:numId w:val="44"/>
              </w:numPr>
              <w:contextualSpacing/>
              <w:rPr>
                <w:sz w:val="18"/>
                <w:szCs w:val="18"/>
              </w:rPr>
            </w:pPr>
            <w:r>
              <w:rPr>
                <w:sz w:val="18"/>
                <w:szCs w:val="18"/>
              </w:rPr>
              <w:t>Meilleur écoulement des productions avec l’aménagement des pistes rurales ;</w:t>
            </w:r>
          </w:p>
          <w:p>
            <w:pPr>
              <w:pStyle w:val="style179"/>
              <w:numPr>
                <w:ilvl w:val="0"/>
                <w:numId w:val="44"/>
              </w:numPr>
              <w:contextualSpacing/>
              <w:rPr>
                <w:sz w:val="18"/>
                <w:szCs w:val="18"/>
              </w:rPr>
            </w:pPr>
            <w:r>
              <w:rPr>
                <w:sz w:val="18"/>
                <w:szCs w:val="18"/>
              </w:rPr>
              <w:t>Résorption des inondations sur certaines parcelles.</w:t>
            </w:r>
          </w:p>
        </w:tc>
        <w:tc>
          <w:tcPr>
            <w:tcW w:w="3118" w:type="dxa"/>
            <w:tcBorders/>
          </w:tcPr>
          <w:p>
            <w:pPr>
              <w:pStyle w:val="style179"/>
              <w:numPr>
                <w:ilvl w:val="0"/>
                <w:numId w:val="44"/>
              </w:numPr>
              <w:contextualSpacing/>
              <w:rPr>
                <w:sz w:val="18"/>
                <w:szCs w:val="18"/>
              </w:rPr>
            </w:pPr>
            <w:r>
              <w:rPr>
                <w:sz w:val="18"/>
                <w:szCs w:val="18"/>
              </w:rPr>
              <w:t>Non-prise en compte de la main d’œuvre locale pendant les travaux ;</w:t>
            </w:r>
          </w:p>
          <w:p>
            <w:pPr>
              <w:pStyle w:val="style179"/>
              <w:numPr>
                <w:ilvl w:val="0"/>
                <w:numId w:val="44"/>
              </w:numPr>
              <w:contextualSpacing/>
              <w:rPr>
                <w:sz w:val="18"/>
                <w:szCs w:val="18"/>
              </w:rPr>
            </w:pPr>
            <w:r>
              <w:rPr>
                <w:sz w:val="18"/>
                <w:szCs w:val="18"/>
              </w:rPr>
              <w:t>Non-prise en compte des pertes de cultures pendant les aménagements ;</w:t>
            </w:r>
          </w:p>
          <w:p>
            <w:pPr>
              <w:pStyle w:val="style179"/>
              <w:numPr>
                <w:ilvl w:val="0"/>
                <w:numId w:val="44"/>
              </w:numPr>
              <w:contextualSpacing/>
              <w:rPr>
                <w:sz w:val="18"/>
                <w:szCs w:val="18"/>
              </w:rPr>
            </w:pPr>
            <w:r>
              <w:rPr>
                <w:sz w:val="18"/>
                <w:szCs w:val="18"/>
              </w:rPr>
              <w:t>Non-prise en compte des compensations pour les occupants actuels du futur site d’extension ;</w:t>
            </w:r>
          </w:p>
          <w:p>
            <w:pPr>
              <w:pStyle w:val="style179"/>
              <w:numPr>
                <w:ilvl w:val="0"/>
                <w:numId w:val="44"/>
              </w:numPr>
              <w:contextualSpacing/>
              <w:rPr>
                <w:sz w:val="18"/>
                <w:szCs w:val="18"/>
              </w:rPr>
            </w:pPr>
            <w:r>
              <w:rPr>
                <w:sz w:val="18"/>
                <w:szCs w:val="18"/>
              </w:rPr>
              <w:t xml:space="preserve"> Non-prise en compte des conflits récurrents entre hippopotames/exploitants du périmètre ;</w:t>
            </w:r>
          </w:p>
          <w:p>
            <w:pPr>
              <w:pStyle w:val="style179"/>
              <w:numPr>
                <w:ilvl w:val="0"/>
                <w:numId w:val="44"/>
              </w:numPr>
              <w:contextualSpacing/>
              <w:rPr>
                <w:sz w:val="18"/>
                <w:szCs w:val="18"/>
              </w:rPr>
            </w:pPr>
            <w:r>
              <w:rPr>
                <w:sz w:val="18"/>
                <w:szCs w:val="18"/>
              </w:rPr>
              <w:t>Non prise en compte des préoccupations des éleveurs ;</w:t>
            </w:r>
          </w:p>
          <w:p>
            <w:pPr>
              <w:pStyle w:val="style179"/>
              <w:numPr>
                <w:ilvl w:val="0"/>
                <w:numId w:val="44"/>
              </w:numPr>
              <w:contextualSpacing/>
              <w:rPr>
                <w:sz w:val="18"/>
                <w:szCs w:val="18"/>
              </w:rPr>
            </w:pPr>
            <w:r>
              <w:rPr>
                <w:sz w:val="18"/>
                <w:szCs w:val="18"/>
              </w:rPr>
              <w:t xml:space="preserve">Non prise en compte d’une utilisation rationnelle des pesticides et des engrais </w:t>
            </w:r>
          </w:p>
        </w:tc>
        <w:tc>
          <w:tcPr>
            <w:tcW w:w="4088" w:type="dxa"/>
            <w:tcBorders/>
          </w:tcPr>
          <w:p>
            <w:pPr>
              <w:pStyle w:val="style179"/>
              <w:numPr>
                <w:ilvl w:val="0"/>
                <w:numId w:val="44"/>
              </w:numPr>
              <w:contextualSpacing/>
              <w:rPr>
                <w:sz w:val="18"/>
                <w:szCs w:val="18"/>
              </w:rPr>
            </w:pPr>
            <w:r>
              <w:rPr>
                <w:sz w:val="18"/>
                <w:szCs w:val="18"/>
              </w:rPr>
              <w:t>Prioriser la main d’œuvre locale pendant les travaux d’aménagement ;</w:t>
            </w:r>
          </w:p>
          <w:p>
            <w:pPr>
              <w:pStyle w:val="style179"/>
              <w:numPr>
                <w:ilvl w:val="0"/>
                <w:numId w:val="44"/>
              </w:numPr>
              <w:contextualSpacing/>
              <w:rPr>
                <w:sz w:val="18"/>
                <w:szCs w:val="18"/>
              </w:rPr>
            </w:pPr>
            <w:r>
              <w:rPr>
                <w:sz w:val="18"/>
                <w:szCs w:val="18"/>
              </w:rPr>
              <w:t>Informer les exploitants sur la durée des travaux d’aménagement pour leur permettre de s’organiser en conséquence et aussi les prioriser dans le recrutement de la main d’œuvre ;</w:t>
            </w:r>
          </w:p>
          <w:p>
            <w:pPr>
              <w:pStyle w:val="style179"/>
              <w:numPr>
                <w:ilvl w:val="0"/>
                <w:numId w:val="44"/>
              </w:numPr>
              <w:contextualSpacing/>
              <w:rPr>
                <w:sz w:val="18"/>
                <w:szCs w:val="18"/>
              </w:rPr>
            </w:pPr>
            <w:r>
              <w:rPr>
                <w:sz w:val="18"/>
                <w:szCs w:val="18"/>
              </w:rPr>
              <w:t>Recenser les personnes présentes actuellement sur le site en définissant leur statut (exploitants, propriétaires terriens…) ;</w:t>
            </w:r>
          </w:p>
          <w:p>
            <w:pPr>
              <w:pStyle w:val="style179"/>
              <w:numPr>
                <w:ilvl w:val="0"/>
                <w:numId w:val="44"/>
              </w:numPr>
              <w:contextualSpacing/>
              <w:rPr>
                <w:sz w:val="18"/>
                <w:szCs w:val="18"/>
              </w:rPr>
            </w:pPr>
            <w:r>
              <w:rPr>
                <w:sz w:val="18"/>
                <w:szCs w:val="18"/>
              </w:rPr>
              <w:t>Impliquer les services en charge des ressources animales pour la prise en compte de leurs préoccupations ;</w:t>
            </w:r>
          </w:p>
          <w:p>
            <w:pPr>
              <w:pStyle w:val="style179"/>
              <w:numPr>
                <w:ilvl w:val="0"/>
                <w:numId w:val="44"/>
              </w:numPr>
              <w:contextualSpacing/>
              <w:rPr>
                <w:sz w:val="18"/>
                <w:szCs w:val="18"/>
              </w:rPr>
            </w:pPr>
            <w:r>
              <w:rPr>
                <w:sz w:val="18"/>
                <w:szCs w:val="18"/>
              </w:rPr>
              <w:t>Encadrer les producteurs sur l’utilisation rationnelle des pesticides et des engrais chimiques pour une diminution de la pollution de l’environnement.</w:t>
            </w:r>
          </w:p>
        </w:tc>
      </w:tr>
      <w:tr>
        <w:tblPrEx/>
        <w:trPr>
          <w:jc w:val="center"/>
        </w:trPr>
        <w:tc>
          <w:tcPr>
            <w:tcW w:w="1838" w:type="dxa"/>
            <w:tcBorders/>
            <w:vAlign w:val="center"/>
          </w:tcPr>
          <w:p>
            <w:pPr>
              <w:pStyle w:val="style0"/>
              <w:rPr>
                <w:b/>
                <w:sz w:val="18"/>
                <w:szCs w:val="18"/>
              </w:rPr>
            </w:pPr>
            <w:r>
              <w:rPr>
                <w:b/>
                <w:sz w:val="18"/>
                <w:szCs w:val="18"/>
              </w:rPr>
              <w:t>Producteurs de la plaine de Banzon</w:t>
            </w:r>
          </w:p>
        </w:tc>
        <w:tc>
          <w:tcPr>
            <w:tcW w:w="3652" w:type="dxa"/>
            <w:tcBorders/>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gr</w:t>
            </w:r>
            <w:r>
              <w:rPr>
                <w:sz w:val="18"/>
                <w:szCs w:val="18"/>
              </w:rPr>
              <w:t>amme</w:t>
            </w:r>
          </w:p>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ind w:left="360"/>
              <w:rPr>
                <w:sz w:val="18"/>
                <w:szCs w:val="18"/>
              </w:rPr>
            </w:pPr>
          </w:p>
        </w:tc>
        <w:tc>
          <w:tcPr>
            <w:tcW w:w="2750" w:type="dxa"/>
            <w:tcBorders/>
          </w:tcPr>
          <w:p>
            <w:pPr>
              <w:pStyle w:val="style179"/>
              <w:numPr>
                <w:ilvl w:val="0"/>
                <w:numId w:val="44"/>
              </w:numPr>
              <w:contextualSpacing/>
              <w:rPr>
                <w:sz w:val="18"/>
                <w:szCs w:val="18"/>
              </w:rPr>
            </w:pPr>
            <w:r>
              <w:rPr>
                <w:sz w:val="18"/>
                <w:szCs w:val="18"/>
              </w:rPr>
              <w:t xml:space="preserve">Bonne appréciation des activités du </w:t>
            </w:r>
            <w:r>
              <w:rPr>
                <w:sz w:val="18"/>
                <w:szCs w:val="18"/>
              </w:rPr>
              <w:t>pro</w:t>
            </w:r>
            <w:r>
              <w:rPr>
                <w:sz w:val="18"/>
                <w:szCs w:val="18"/>
              </w:rPr>
              <w:t>gram</w:t>
            </w:r>
            <w:r>
              <w:rPr>
                <w:sz w:val="18"/>
                <w:szCs w:val="18"/>
              </w:rPr>
              <w:t>me</w:t>
            </w:r>
            <w:r>
              <w:rPr>
                <w:sz w:val="18"/>
                <w:szCs w:val="18"/>
              </w:rPr>
              <w:t xml:space="preserve"> </w:t>
            </w:r>
            <w:r>
              <w:rPr>
                <w:sz w:val="18"/>
                <w:szCs w:val="18"/>
              </w:rPr>
              <w:t>et de ses retombées positives</w:t>
            </w:r>
          </w:p>
          <w:p>
            <w:pPr>
              <w:pStyle w:val="style179"/>
              <w:numPr>
                <w:ilvl w:val="0"/>
                <w:numId w:val="44"/>
              </w:numPr>
              <w:contextualSpacing/>
              <w:rPr>
                <w:sz w:val="18"/>
                <w:szCs w:val="18"/>
              </w:rPr>
            </w:pPr>
            <w:r>
              <w:rPr>
                <w:sz w:val="18"/>
                <w:szCs w:val="18"/>
              </w:rPr>
              <w:t>Amélioration de la productivité et de la production sur le périmètre ;</w:t>
            </w:r>
          </w:p>
          <w:p>
            <w:pPr>
              <w:pStyle w:val="style179"/>
              <w:numPr>
                <w:ilvl w:val="0"/>
                <w:numId w:val="44"/>
              </w:numPr>
              <w:contextualSpacing/>
              <w:rPr>
                <w:sz w:val="18"/>
                <w:szCs w:val="18"/>
              </w:rPr>
            </w:pPr>
            <w:r>
              <w:rPr>
                <w:sz w:val="18"/>
                <w:szCs w:val="18"/>
              </w:rPr>
              <w:t>Réhabilitation des infrastructures de la coopérative ;</w:t>
            </w:r>
          </w:p>
          <w:p>
            <w:pPr>
              <w:pStyle w:val="style179"/>
              <w:numPr>
                <w:ilvl w:val="0"/>
                <w:numId w:val="44"/>
              </w:numPr>
              <w:contextualSpacing/>
              <w:rPr>
                <w:sz w:val="18"/>
                <w:szCs w:val="18"/>
              </w:rPr>
            </w:pPr>
            <w:r>
              <w:rPr>
                <w:sz w:val="18"/>
                <w:szCs w:val="18"/>
              </w:rPr>
              <w:t>Amélioration de la performance des producteurs à travers des équipements</w:t>
            </w:r>
          </w:p>
        </w:tc>
        <w:tc>
          <w:tcPr>
            <w:tcW w:w="3118" w:type="dxa"/>
            <w:tcBorders/>
          </w:tcPr>
          <w:p>
            <w:pPr>
              <w:pStyle w:val="style179"/>
              <w:numPr>
                <w:ilvl w:val="0"/>
                <w:numId w:val="44"/>
              </w:numPr>
              <w:contextualSpacing/>
              <w:rPr>
                <w:sz w:val="18"/>
                <w:szCs w:val="18"/>
              </w:rPr>
            </w:pPr>
            <w:r>
              <w:rPr>
                <w:sz w:val="18"/>
                <w:szCs w:val="18"/>
              </w:rPr>
              <w:t>Non prise en compte de la main d’œuvre locale ;</w:t>
            </w:r>
          </w:p>
          <w:p>
            <w:pPr>
              <w:pStyle w:val="style179"/>
              <w:numPr>
                <w:ilvl w:val="0"/>
                <w:numId w:val="44"/>
              </w:numPr>
              <w:contextualSpacing/>
              <w:rPr>
                <w:sz w:val="18"/>
                <w:szCs w:val="18"/>
              </w:rPr>
            </w:pPr>
            <w:r>
              <w:rPr>
                <w:sz w:val="18"/>
                <w:szCs w:val="18"/>
              </w:rPr>
              <w:t>Perte de production pendant les travaux d’aménagement Perte de production liée aux ravages des hippopotames devenus récurrents ;</w:t>
            </w:r>
          </w:p>
          <w:p>
            <w:pPr>
              <w:pStyle w:val="style179"/>
              <w:numPr>
                <w:ilvl w:val="0"/>
                <w:numId w:val="44"/>
              </w:numPr>
              <w:contextualSpacing/>
              <w:rPr>
                <w:sz w:val="18"/>
                <w:szCs w:val="18"/>
              </w:rPr>
            </w:pPr>
            <w:r>
              <w:rPr>
                <w:sz w:val="18"/>
                <w:szCs w:val="18"/>
              </w:rPr>
              <w:t>Non priorisation des exploitants installés sur le site à aménager.</w:t>
            </w:r>
          </w:p>
        </w:tc>
        <w:tc>
          <w:tcPr>
            <w:tcW w:w="4088" w:type="dxa"/>
            <w:tcBorders/>
          </w:tcPr>
          <w:p>
            <w:pPr>
              <w:pStyle w:val="style179"/>
              <w:numPr>
                <w:ilvl w:val="0"/>
                <w:numId w:val="44"/>
              </w:numPr>
              <w:contextualSpacing/>
              <w:rPr>
                <w:sz w:val="18"/>
                <w:szCs w:val="18"/>
              </w:rPr>
            </w:pPr>
            <w:r>
              <w:rPr>
                <w:sz w:val="18"/>
                <w:szCs w:val="18"/>
              </w:rPr>
              <w:t xml:space="preserve">Prioriser la main d’œuvre locale pour les travaux d’aménagement. </w:t>
            </w:r>
          </w:p>
          <w:p>
            <w:pPr>
              <w:pStyle w:val="style179"/>
              <w:numPr>
                <w:ilvl w:val="0"/>
                <w:numId w:val="44"/>
              </w:numPr>
              <w:contextualSpacing/>
              <w:rPr>
                <w:sz w:val="18"/>
                <w:szCs w:val="18"/>
              </w:rPr>
            </w:pPr>
            <w:r>
              <w:rPr>
                <w:sz w:val="18"/>
                <w:szCs w:val="18"/>
              </w:rPr>
              <w:t>Initier des solutions novatrices pour la cohabitation entre hippopotames et producteurs ;</w:t>
            </w:r>
          </w:p>
          <w:p>
            <w:pPr>
              <w:pStyle w:val="style179"/>
              <w:numPr>
                <w:ilvl w:val="0"/>
                <w:numId w:val="44"/>
              </w:numPr>
              <w:contextualSpacing/>
              <w:rPr>
                <w:sz w:val="18"/>
                <w:szCs w:val="18"/>
              </w:rPr>
            </w:pPr>
            <w:r>
              <w:rPr>
                <w:sz w:val="18"/>
                <w:szCs w:val="18"/>
              </w:rPr>
              <w:t>Sensibiliser les producteurs sur une utilisation rationnelle des pesticides et engrais chimiques pour une meilleure protection de l’environnement</w:t>
            </w:r>
          </w:p>
        </w:tc>
      </w:tr>
    </w:tbl>
    <w:p>
      <w:pPr>
        <w:pStyle w:val="style0"/>
        <w:jc w:val="center"/>
        <w:rPr>
          <w:b/>
        </w:rPr>
      </w:pPr>
      <w:r>
        <w:rPr>
          <w:b/>
        </w:rPr>
        <w:t xml:space="preserve">Synthèse des consultations publiques avec les parties prenantes du site de </w:t>
      </w:r>
      <w:r>
        <w:rPr>
          <w:b/>
        </w:rPr>
        <w:t>Dangoumana</w:t>
      </w:r>
      <w:r>
        <w:rPr>
          <w:b/>
        </w:rPr>
        <w:t xml:space="preserve"> (</w:t>
      </w:r>
      <w:r>
        <w:rPr>
          <w:b/>
        </w:rPr>
        <w:t>Sono/</w:t>
      </w:r>
      <w:r>
        <w:rPr>
          <w:b/>
        </w:rPr>
        <w:t>K</w:t>
      </w:r>
      <w:r>
        <w:rPr>
          <w:b/>
        </w:rPr>
        <w:t>ossi</w:t>
      </w:r>
      <w:r>
        <w:rPr>
          <w:b/>
        </w:rPr>
        <w:t>/</w:t>
      </w:r>
      <w:r>
        <w:rPr>
          <w:b/>
        </w:rPr>
        <w:t>Boucle du Mouhoun</w:t>
      </w:r>
      <w:r>
        <w:rPr>
          <w:b/>
        </w:rPr>
        <w:t>)</w:t>
      </w:r>
      <w:r>
        <w:rPr>
          <w:b/>
        </w:rPr>
        <w:t xml:space="preserve">, </w:t>
      </w:r>
      <w:r>
        <w:t>12</w:t>
      </w:r>
      <w:r>
        <w:t xml:space="preserve"> janvier 2019</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3204"/>
        <w:gridCol w:w="2750"/>
        <w:gridCol w:w="3118"/>
        <w:gridCol w:w="3814"/>
      </w:tblGrid>
      <w:tr>
        <w:trPr>
          <w:tblHeader/>
          <w:jc w:val="center"/>
        </w:trPr>
        <w:tc>
          <w:tcPr>
            <w:tcW w:w="2286" w:type="dxa"/>
            <w:tcBorders/>
            <w:shd w:val="clear" w:color="auto" w:fill="f2f2f2"/>
          </w:tcPr>
          <w:p>
            <w:pPr>
              <w:pStyle w:val="style0"/>
              <w:jc w:val="center"/>
              <w:rPr>
                <w:b/>
                <w:sz w:val="18"/>
                <w:szCs w:val="18"/>
              </w:rPr>
            </w:pPr>
            <w:r>
              <w:rPr>
                <w:b/>
                <w:sz w:val="18"/>
                <w:szCs w:val="18"/>
              </w:rPr>
              <w:t>Acteurs/institutions</w:t>
            </w:r>
          </w:p>
        </w:tc>
        <w:tc>
          <w:tcPr>
            <w:tcW w:w="3204" w:type="dxa"/>
            <w:tcBorders/>
            <w:shd w:val="clear" w:color="auto" w:fill="f2f2f2"/>
          </w:tcPr>
          <w:p>
            <w:pPr>
              <w:pStyle w:val="style0"/>
              <w:jc w:val="center"/>
              <w:rPr>
                <w:b/>
                <w:sz w:val="18"/>
                <w:szCs w:val="18"/>
              </w:rPr>
            </w:pPr>
            <w:r>
              <w:rPr>
                <w:b/>
                <w:sz w:val="18"/>
                <w:szCs w:val="18"/>
              </w:rPr>
              <w:t>Points discutés</w:t>
            </w:r>
          </w:p>
        </w:tc>
        <w:tc>
          <w:tcPr>
            <w:tcW w:w="2750" w:type="dxa"/>
            <w:tcBorders/>
            <w:shd w:val="clear" w:color="auto" w:fill="f2f2f2"/>
          </w:tcPr>
          <w:p>
            <w:pPr>
              <w:pStyle w:val="style0"/>
              <w:jc w:val="center"/>
              <w:rPr>
                <w:b/>
                <w:sz w:val="18"/>
                <w:szCs w:val="18"/>
              </w:rPr>
            </w:pPr>
            <w:r>
              <w:rPr>
                <w:b/>
                <w:sz w:val="18"/>
                <w:szCs w:val="18"/>
              </w:rPr>
              <w:t>Attentes</w:t>
            </w:r>
          </w:p>
        </w:tc>
        <w:tc>
          <w:tcPr>
            <w:tcW w:w="3118" w:type="dxa"/>
            <w:tcBorders/>
            <w:shd w:val="clear" w:color="auto" w:fill="f2f2f2"/>
          </w:tcPr>
          <w:p>
            <w:pPr>
              <w:pStyle w:val="style0"/>
              <w:jc w:val="center"/>
              <w:rPr>
                <w:b/>
                <w:sz w:val="18"/>
                <w:szCs w:val="18"/>
              </w:rPr>
            </w:pPr>
            <w:r>
              <w:rPr>
                <w:b/>
                <w:sz w:val="18"/>
                <w:szCs w:val="18"/>
              </w:rPr>
              <w:t>Préoccupations et craintes</w:t>
            </w:r>
          </w:p>
        </w:tc>
        <w:tc>
          <w:tcPr>
            <w:tcW w:w="3814" w:type="dxa"/>
            <w:tcBorders/>
            <w:shd w:val="clear" w:color="auto" w:fill="f2f2f2"/>
          </w:tcPr>
          <w:p>
            <w:pPr>
              <w:pStyle w:val="style0"/>
              <w:jc w:val="center"/>
              <w:rPr>
                <w:b/>
                <w:sz w:val="18"/>
                <w:szCs w:val="18"/>
              </w:rPr>
            </w:pPr>
            <w:r>
              <w:rPr>
                <w:b/>
                <w:sz w:val="18"/>
                <w:szCs w:val="18"/>
              </w:rPr>
              <w:t>Suggestions et recommandations</w:t>
            </w:r>
          </w:p>
        </w:tc>
      </w:tr>
      <w:tr>
        <w:tblPrEx/>
        <w:trPr>
          <w:jc w:val="center"/>
        </w:trPr>
        <w:tc>
          <w:tcPr>
            <w:tcW w:w="2286" w:type="dxa"/>
            <w:tcBorders/>
            <w:vAlign w:val="center"/>
          </w:tcPr>
          <w:p>
            <w:pPr>
              <w:pStyle w:val="style0"/>
              <w:rPr>
                <w:b/>
                <w:sz w:val="18"/>
                <w:szCs w:val="18"/>
              </w:rPr>
            </w:pPr>
            <w:r>
              <w:rPr>
                <w:b/>
                <w:sz w:val="18"/>
                <w:szCs w:val="18"/>
              </w:rPr>
              <w:t>Autorités administratives et coutumières (Haut-Commissaire, Préfet, maire, chef de village)</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cPr>
          <w:p>
            <w:pPr>
              <w:pStyle w:val="style179"/>
              <w:numPr>
                <w:ilvl w:val="0"/>
                <w:numId w:val="44"/>
              </w:numPr>
              <w:contextualSpacing/>
              <w:rPr>
                <w:sz w:val="18"/>
                <w:szCs w:val="18"/>
              </w:rPr>
            </w:pPr>
            <w:r>
              <w:rPr>
                <w:sz w:val="18"/>
                <w:szCs w:val="18"/>
              </w:rPr>
              <w:t>Amélioration de la productivité et de la production sur le périmètre ;</w:t>
            </w:r>
          </w:p>
          <w:p>
            <w:pPr>
              <w:pStyle w:val="style179"/>
              <w:numPr>
                <w:ilvl w:val="0"/>
                <w:numId w:val="44"/>
              </w:numPr>
              <w:contextualSpacing/>
              <w:rPr>
                <w:sz w:val="18"/>
                <w:szCs w:val="18"/>
              </w:rPr>
            </w:pPr>
            <w:r>
              <w:rPr>
                <w:sz w:val="18"/>
                <w:szCs w:val="18"/>
              </w:rPr>
              <w:t>Lutte contre l’insécurité alimentaire ;</w:t>
            </w:r>
          </w:p>
          <w:p>
            <w:pPr>
              <w:pStyle w:val="style179"/>
              <w:numPr>
                <w:ilvl w:val="0"/>
                <w:numId w:val="44"/>
              </w:numPr>
              <w:contextualSpacing/>
              <w:rPr>
                <w:sz w:val="18"/>
                <w:szCs w:val="18"/>
              </w:rPr>
            </w:pPr>
            <w:r>
              <w:rPr>
                <w:sz w:val="18"/>
                <w:szCs w:val="18"/>
              </w:rPr>
              <w:t>Lutte contre le chômage des jeunes.</w:t>
            </w:r>
          </w:p>
        </w:tc>
        <w:tc>
          <w:tcPr>
            <w:tcW w:w="3118" w:type="dxa"/>
            <w:tcBorders/>
            <w:vAlign w:val="center"/>
          </w:tcPr>
          <w:p>
            <w:pPr>
              <w:pStyle w:val="style179"/>
              <w:numPr>
                <w:ilvl w:val="0"/>
                <w:numId w:val="44"/>
              </w:numPr>
              <w:contextualSpacing/>
              <w:rPr>
                <w:sz w:val="18"/>
                <w:szCs w:val="18"/>
              </w:rPr>
            </w:pPr>
            <w:r>
              <w:rPr>
                <w:sz w:val="18"/>
                <w:szCs w:val="18"/>
              </w:rPr>
              <w:t>Non implication des autorités dans la mise en œuvre du projet ;</w:t>
            </w:r>
          </w:p>
          <w:p>
            <w:pPr>
              <w:pStyle w:val="style179"/>
              <w:numPr>
                <w:ilvl w:val="0"/>
                <w:numId w:val="44"/>
              </w:numPr>
              <w:contextualSpacing/>
              <w:rPr>
                <w:sz w:val="18"/>
                <w:szCs w:val="18"/>
              </w:rPr>
            </w:pPr>
            <w:r>
              <w:rPr>
                <w:sz w:val="18"/>
                <w:szCs w:val="18"/>
              </w:rPr>
              <w:t>Non priorisation des exploitants présents sur le site ;</w:t>
            </w:r>
          </w:p>
          <w:p>
            <w:pPr>
              <w:pStyle w:val="style179"/>
              <w:numPr>
                <w:ilvl w:val="0"/>
                <w:numId w:val="44"/>
              </w:numPr>
              <w:contextualSpacing/>
              <w:rPr>
                <w:sz w:val="18"/>
                <w:szCs w:val="18"/>
              </w:rPr>
            </w:pPr>
            <w:r>
              <w:rPr>
                <w:sz w:val="18"/>
                <w:szCs w:val="18"/>
              </w:rPr>
              <w:t>Expropriation des propriétaires terriens ;</w:t>
            </w:r>
          </w:p>
          <w:p>
            <w:pPr>
              <w:pStyle w:val="style179"/>
              <w:numPr>
                <w:ilvl w:val="0"/>
                <w:numId w:val="44"/>
              </w:numPr>
              <w:contextualSpacing/>
              <w:rPr>
                <w:sz w:val="18"/>
                <w:szCs w:val="18"/>
              </w:rPr>
            </w:pPr>
            <w:r>
              <w:rPr>
                <w:sz w:val="18"/>
                <w:szCs w:val="18"/>
              </w:rPr>
              <w:t>Non priorisation de la main d’œuvre locale.</w:t>
            </w:r>
          </w:p>
        </w:tc>
        <w:tc>
          <w:tcPr>
            <w:tcW w:w="3814" w:type="dxa"/>
            <w:tcBorders/>
            <w:vAlign w:val="center"/>
          </w:tcPr>
          <w:p>
            <w:pPr>
              <w:pStyle w:val="style179"/>
              <w:numPr>
                <w:ilvl w:val="0"/>
                <w:numId w:val="44"/>
              </w:numPr>
              <w:contextualSpacing/>
              <w:rPr>
                <w:sz w:val="18"/>
                <w:szCs w:val="18"/>
              </w:rPr>
            </w:pPr>
            <w:r>
              <w:rPr>
                <w:sz w:val="18"/>
                <w:szCs w:val="18"/>
              </w:rPr>
              <w:t>A</w:t>
            </w:r>
            <w:r>
              <w:rPr>
                <w:sz w:val="18"/>
                <w:szCs w:val="18"/>
              </w:rPr>
              <w:t xml:space="preserve">ssurer une prise en compte des </w:t>
            </w:r>
            <w:r>
              <w:rPr>
                <w:sz w:val="18"/>
                <w:szCs w:val="18"/>
              </w:rPr>
              <w:t>autorités locales à travers la mise en place de cadre de concertation ;</w:t>
            </w:r>
          </w:p>
          <w:p>
            <w:pPr>
              <w:pStyle w:val="style179"/>
              <w:numPr>
                <w:ilvl w:val="0"/>
                <w:numId w:val="44"/>
              </w:numPr>
              <w:contextualSpacing/>
              <w:rPr>
                <w:sz w:val="18"/>
                <w:szCs w:val="18"/>
              </w:rPr>
            </w:pPr>
            <w:r>
              <w:rPr>
                <w:sz w:val="18"/>
                <w:szCs w:val="18"/>
              </w:rPr>
              <w:t>Prioriser les exploitants actuels du site pour la répartition des parcelles ;</w:t>
            </w:r>
          </w:p>
          <w:p>
            <w:pPr>
              <w:pStyle w:val="style179"/>
              <w:numPr>
                <w:ilvl w:val="0"/>
                <w:numId w:val="44"/>
              </w:numPr>
              <w:contextualSpacing/>
              <w:rPr>
                <w:sz w:val="18"/>
                <w:szCs w:val="18"/>
              </w:rPr>
            </w:pPr>
            <w:r>
              <w:rPr>
                <w:sz w:val="18"/>
                <w:szCs w:val="18"/>
              </w:rPr>
              <w:t>Veiller à l’identification des propriétaires terriens en vue de l’apurement de leurs droits ;</w:t>
            </w:r>
          </w:p>
          <w:p>
            <w:pPr>
              <w:pStyle w:val="style179"/>
              <w:numPr>
                <w:ilvl w:val="0"/>
                <w:numId w:val="44"/>
              </w:numPr>
              <w:contextualSpacing/>
              <w:rPr>
                <w:sz w:val="18"/>
                <w:szCs w:val="18"/>
              </w:rPr>
            </w:pPr>
            <w:r>
              <w:rPr>
                <w:sz w:val="18"/>
                <w:szCs w:val="18"/>
              </w:rPr>
              <w:t>Prioriser la main d’œuvre locale pendant les travaux d’aménagement</w:t>
            </w:r>
            <w:r>
              <w:rPr>
                <w:sz w:val="18"/>
                <w:szCs w:val="18"/>
              </w:rPr>
              <w:t>.</w:t>
            </w:r>
          </w:p>
        </w:tc>
      </w:tr>
      <w:tr>
        <w:tblPrEx/>
        <w:trPr>
          <w:jc w:val="center"/>
        </w:trPr>
        <w:tc>
          <w:tcPr>
            <w:tcW w:w="2286" w:type="dxa"/>
            <w:tcBorders/>
            <w:vAlign w:val="center"/>
          </w:tcPr>
          <w:p>
            <w:pPr>
              <w:pStyle w:val="style0"/>
              <w:rPr>
                <w:b/>
                <w:sz w:val="18"/>
                <w:szCs w:val="18"/>
              </w:rPr>
            </w:pPr>
            <w:r>
              <w:rPr>
                <w:b/>
                <w:sz w:val="18"/>
                <w:szCs w:val="18"/>
              </w:rPr>
              <w:t>Services techniques (agriculture, ressources animales, environnement)</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cPr>
          <w:p>
            <w:pPr>
              <w:pStyle w:val="style179"/>
              <w:numPr>
                <w:ilvl w:val="0"/>
                <w:numId w:val="44"/>
              </w:numPr>
              <w:contextualSpacing/>
              <w:rPr>
                <w:sz w:val="18"/>
                <w:szCs w:val="18"/>
              </w:rPr>
            </w:pPr>
            <w:r>
              <w:rPr>
                <w:sz w:val="18"/>
                <w:szCs w:val="18"/>
              </w:rPr>
              <w:t>Meilleure valorisation du site ;</w:t>
            </w:r>
          </w:p>
          <w:p>
            <w:pPr>
              <w:pStyle w:val="style179"/>
              <w:numPr>
                <w:ilvl w:val="0"/>
                <w:numId w:val="44"/>
              </w:numPr>
              <w:contextualSpacing/>
              <w:rPr>
                <w:sz w:val="18"/>
                <w:szCs w:val="18"/>
              </w:rPr>
            </w:pPr>
            <w:r>
              <w:rPr>
                <w:sz w:val="18"/>
                <w:szCs w:val="18"/>
              </w:rPr>
              <w:t>Amélioration de la production avec l’aménagement de 1 500 ha de périmètres irrigués ;</w:t>
            </w:r>
          </w:p>
          <w:p>
            <w:pPr>
              <w:pStyle w:val="style179"/>
              <w:numPr>
                <w:ilvl w:val="0"/>
                <w:numId w:val="44"/>
              </w:numPr>
              <w:contextualSpacing/>
              <w:rPr>
                <w:sz w:val="18"/>
                <w:szCs w:val="18"/>
              </w:rPr>
            </w:pPr>
            <w:r>
              <w:rPr>
                <w:sz w:val="18"/>
                <w:szCs w:val="18"/>
              </w:rPr>
              <w:t xml:space="preserve">Meilleure organisation des </w:t>
            </w:r>
            <w:r>
              <w:rPr>
                <w:sz w:val="18"/>
                <w:szCs w:val="18"/>
              </w:rPr>
              <w:t>producteurs et meilleur écoulement des produits agricoles ;</w:t>
            </w:r>
          </w:p>
          <w:p>
            <w:pPr>
              <w:pStyle w:val="style179"/>
              <w:numPr>
                <w:ilvl w:val="0"/>
                <w:numId w:val="44"/>
              </w:numPr>
              <w:contextualSpacing/>
              <w:rPr>
                <w:sz w:val="18"/>
                <w:szCs w:val="18"/>
              </w:rPr>
            </w:pPr>
            <w:r>
              <w:rPr>
                <w:sz w:val="18"/>
                <w:szCs w:val="18"/>
              </w:rPr>
              <w:t>Amélioration des conditions des femmes</w:t>
            </w:r>
          </w:p>
        </w:tc>
        <w:tc>
          <w:tcPr>
            <w:tcW w:w="3118" w:type="dxa"/>
            <w:tcBorders/>
          </w:tcPr>
          <w:p>
            <w:pPr>
              <w:pStyle w:val="style179"/>
              <w:numPr>
                <w:ilvl w:val="0"/>
                <w:numId w:val="44"/>
              </w:numPr>
              <w:contextualSpacing/>
              <w:rPr>
                <w:sz w:val="18"/>
                <w:szCs w:val="18"/>
              </w:rPr>
            </w:pPr>
            <w:r>
              <w:rPr>
                <w:sz w:val="18"/>
                <w:szCs w:val="18"/>
              </w:rPr>
              <w:t>Non-priorisation des exploitants actuels dans la répartition des terres après aménagement ;</w:t>
            </w:r>
          </w:p>
          <w:p>
            <w:pPr>
              <w:pStyle w:val="style179"/>
              <w:numPr>
                <w:ilvl w:val="0"/>
                <w:numId w:val="44"/>
              </w:numPr>
              <w:contextualSpacing/>
              <w:rPr>
                <w:sz w:val="18"/>
                <w:szCs w:val="18"/>
              </w:rPr>
            </w:pPr>
            <w:r>
              <w:rPr>
                <w:sz w:val="18"/>
                <w:szCs w:val="18"/>
              </w:rPr>
              <w:t>Non-priorisation de la main d’œuvre locale pour les travaux ;</w:t>
            </w:r>
          </w:p>
          <w:p>
            <w:pPr>
              <w:pStyle w:val="style179"/>
              <w:numPr>
                <w:ilvl w:val="0"/>
                <w:numId w:val="44"/>
              </w:numPr>
              <w:contextualSpacing/>
              <w:rPr>
                <w:sz w:val="18"/>
                <w:szCs w:val="18"/>
              </w:rPr>
            </w:pPr>
            <w:r>
              <w:rPr>
                <w:sz w:val="18"/>
                <w:szCs w:val="18"/>
              </w:rPr>
              <w:t xml:space="preserve">Non indemnisation des personnes affectées par le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Non accompagnement des populations par le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Perte de zone de pâture et de point d’abreuvement pour le bétail ;</w:t>
            </w:r>
          </w:p>
          <w:p>
            <w:pPr>
              <w:pStyle w:val="style179"/>
              <w:numPr>
                <w:ilvl w:val="0"/>
                <w:numId w:val="44"/>
              </w:numPr>
              <w:contextualSpacing/>
              <w:rPr>
                <w:sz w:val="18"/>
                <w:szCs w:val="18"/>
              </w:rPr>
            </w:pPr>
            <w:r>
              <w:rPr>
                <w:sz w:val="18"/>
                <w:szCs w:val="18"/>
              </w:rPr>
              <w:t>Perte d’une forêt villageoise situé</w:t>
            </w:r>
            <w:r>
              <w:rPr>
                <w:sz w:val="18"/>
                <w:szCs w:val="18"/>
              </w:rPr>
              <w:t>e</w:t>
            </w:r>
            <w:r>
              <w:rPr>
                <w:sz w:val="18"/>
                <w:szCs w:val="18"/>
              </w:rPr>
              <w:t xml:space="preserve"> sur le futur périmètre ;</w:t>
            </w:r>
          </w:p>
          <w:p>
            <w:pPr>
              <w:pStyle w:val="style179"/>
              <w:numPr>
                <w:ilvl w:val="0"/>
                <w:numId w:val="44"/>
              </w:numPr>
              <w:contextualSpacing/>
              <w:rPr>
                <w:sz w:val="18"/>
                <w:szCs w:val="18"/>
              </w:rPr>
            </w:pPr>
            <w:r>
              <w:rPr>
                <w:sz w:val="18"/>
                <w:szCs w:val="18"/>
              </w:rPr>
              <w:t>Perte de la petite faune vivant dans les reliques boisées</w:t>
            </w:r>
          </w:p>
        </w:tc>
        <w:tc>
          <w:tcPr>
            <w:tcW w:w="3814" w:type="dxa"/>
            <w:tcBorders/>
          </w:tcPr>
          <w:p>
            <w:pPr>
              <w:pStyle w:val="style179"/>
              <w:numPr>
                <w:ilvl w:val="0"/>
                <w:numId w:val="44"/>
              </w:numPr>
              <w:contextualSpacing/>
              <w:rPr>
                <w:sz w:val="18"/>
                <w:szCs w:val="18"/>
              </w:rPr>
            </w:pPr>
            <w:r>
              <w:rPr>
                <w:sz w:val="18"/>
                <w:szCs w:val="18"/>
              </w:rPr>
              <w:t>Prioriser les exploitants agricoles qui sont sur le site actuellement ;</w:t>
            </w:r>
          </w:p>
          <w:p>
            <w:pPr>
              <w:pStyle w:val="style179"/>
              <w:numPr>
                <w:ilvl w:val="0"/>
                <w:numId w:val="44"/>
              </w:numPr>
              <w:contextualSpacing/>
              <w:rPr>
                <w:sz w:val="18"/>
                <w:szCs w:val="18"/>
              </w:rPr>
            </w:pPr>
            <w:r>
              <w:rPr>
                <w:sz w:val="18"/>
                <w:szCs w:val="18"/>
              </w:rPr>
              <w:t>Prioris</w:t>
            </w:r>
            <w:r>
              <w:rPr>
                <w:sz w:val="18"/>
                <w:szCs w:val="18"/>
              </w:rPr>
              <w:t>e</w:t>
            </w:r>
            <w:r>
              <w:rPr>
                <w:sz w:val="18"/>
                <w:szCs w:val="18"/>
              </w:rPr>
              <w:t>r</w:t>
            </w:r>
            <w:r>
              <w:rPr>
                <w:sz w:val="18"/>
                <w:szCs w:val="18"/>
              </w:rPr>
              <w:t xml:space="preserve"> la main d’œuvre locale dans les travaux d’aménagement ;</w:t>
            </w:r>
          </w:p>
          <w:p>
            <w:pPr>
              <w:pStyle w:val="style179"/>
              <w:numPr>
                <w:ilvl w:val="0"/>
                <w:numId w:val="44"/>
              </w:numPr>
              <w:contextualSpacing/>
              <w:rPr>
                <w:sz w:val="18"/>
                <w:szCs w:val="18"/>
              </w:rPr>
            </w:pPr>
            <w:r>
              <w:rPr>
                <w:sz w:val="18"/>
                <w:szCs w:val="18"/>
              </w:rPr>
              <w:t>Recenser de façon consensuelle et apurer les droits des personnes affectées par le projet ;</w:t>
            </w:r>
          </w:p>
          <w:p>
            <w:pPr>
              <w:pStyle w:val="style179"/>
              <w:numPr>
                <w:ilvl w:val="0"/>
                <w:numId w:val="44"/>
              </w:numPr>
              <w:contextualSpacing/>
              <w:rPr>
                <w:sz w:val="18"/>
                <w:szCs w:val="18"/>
              </w:rPr>
            </w:pPr>
            <w:r>
              <w:rPr>
                <w:sz w:val="18"/>
                <w:szCs w:val="18"/>
              </w:rPr>
              <w:t>Accompagner les producteurs à travers un encadrement adéquat (formations en paquets technologiques) car ils manquent d’expériences en matière de production rizicole ;</w:t>
            </w:r>
          </w:p>
          <w:p>
            <w:pPr>
              <w:pStyle w:val="style179"/>
              <w:numPr>
                <w:ilvl w:val="0"/>
                <w:numId w:val="44"/>
              </w:numPr>
              <w:contextualSpacing/>
              <w:rPr>
                <w:sz w:val="18"/>
                <w:szCs w:val="18"/>
              </w:rPr>
            </w:pPr>
            <w:r>
              <w:rPr>
                <w:sz w:val="18"/>
                <w:szCs w:val="18"/>
              </w:rPr>
              <w:t>Aménager dans la mesure du possible des zone</w:t>
            </w:r>
            <w:r>
              <w:rPr>
                <w:sz w:val="18"/>
                <w:szCs w:val="18"/>
              </w:rPr>
              <w:t>s</w:t>
            </w:r>
            <w:r>
              <w:rPr>
                <w:sz w:val="18"/>
                <w:szCs w:val="18"/>
              </w:rPr>
              <w:t xml:space="preserve"> de pâture et des points d’abreuvement pour le bétail ;</w:t>
            </w:r>
          </w:p>
          <w:p>
            <w:pPr>
              <w:pStyle w:val="style179"/>
              <w:numPr>
                <w:ilvl w:val="0"/>
                <w:numId w:val="44"/>
              </w:numPr>
              <w:contextualSpacing/>
              <w:rPr>
                <w:sz w:val="18"/>
                <w:szCs w:val="18"/>
              </w:rPr>
            </w:pPr>
            <w:r>
              <w:rPr>
                <w:sz w:val="18"/>
                <w:szCs w:val="18"/>
              </w:rPr>
              <w:t>Compenser la perte de la forêt villageoise à travers la création d’une autre forêt.</w:t>
            </w:r>
          </w:p>
        </w:tc>
      </w:tr>
      <w:tr>
        <w:tblPrEx/>
        <w:trPr>
          <w:jc w:val="center"/>
        </w:trPr>
        <w:tc>
          <w:tcPr>
            <w:tcW w:w="2286" w:type="dxa"/>
            <w:tcBorders/>
            <w:vAlign w:val="center"/>
          </w:tcPr>
          <w:p>
            <w:pPr>
              <w:pStyle w:val="style0"/>
              <w:rPr>
                <w:b/>
                <w:sz w:val="18"/>
                <w:szCs w:val="18"/>
              </w:rPr>
            </w:pPr>
            <w:r>
              <w:rPr>
                <w:b/>
                <w:sz w:val="18"/>
                <w:szCs w:val="18"/>
              </w:rPr>
              <w:t>Producteurs / populations de Dangoumana</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gra</w:t>
            </w:r>
            <w:r>
              <w:rPr>
                <w:sz w:val="18"/>
                <w:szCs w:val="18"/>
              </w:rPr>
              <w:t>mme</w:t>
            </w:r>
          </w:p>
          <w:p>
            <w:pPr>
              <w:pStyle w:val="style179"/>
              <w:numPr>
                <w:ilvl w:val="0"/>
                <w:numId w:val="44"/>
              </w:numPr>
              <w:contextualSpacing/>
              <w:rPr>
                <w:sz w:val="18"/>
                <w:szCs w:val="18"/>
              </w:rPr>
            </w:pPr>
            <w:r>
              <w:rPr>
                <w:sz w:val="18"/>
                <w:szCs w:val="18"/>
              </w:rPr>
              <w:t xml:space="preserve"> </w:t>
            </w:r>
            <w:r>
              <w:rPr>
                <w:sz w:val="18"/>
                <w:szCs w:val="18"/>
              </w:rPr>
              <w:t xml:space="preserve">Information sur </w:t>
            </w:r>
            <w:r>
              <w:rPr>
                <w:sz w:val="18"/>
                <w:szCs w:val="18"/>
              </w:rPr>
              <w:t xml:space="preserve">le </w:t>
            </w:r>
            <w:r>
              <w:rPr>
                <w:sz w:val="18"/>
                <w:szCs w:val="18"/>
              </w:rPr>
              <w:t>Pro</w:t>
            </w:r>
            <w:r>
              <w:rPr>
                <w:sz w:val="18"/>
                <w:szCs w:val="18"/>
              </w:rPr>
              <w:t>gramme</w:t>
            </w:r>
          </w:p>
        </w:tc>
        <w:tc>
          <w:tcPr>
            <w:tcW w:w="2750" w:type="dxa"/>
            <w:tcBorders/>
          </w:tcPr>
          <w:p>
            <w:pPr>
              <w:pStyle w:val="style179"/>
              <w:numPr>
                <w:ilvl w:val="0"/>
                <w:numId w:val="44"/>
              </w:numPr>
              <w:contextualSpacing/>
              <w:rPr>
                <w:sz w:val="18"/>
                <w:szCs w:val="18"/>
              </w:rPr>
            </w:pPr>
            <w:r>
              <w:rPr>
                <w:sz w:val="18"/>
                <w:szCs w:val="18"/>
              </w:rPr>
              <w:t xml:space="preserve">Bonne appréciation des activités du </w:t>
            </w:r>
            <w:r>
              <w:rPr>
                <w:sz w:val="18"/>
                <w:szCs w:val="18"/>
              </w:rPr>
              <w:t>pro</w:t>
            </w:r>
            <w:r>
              <w:rPr>
                <w:sz w:val="18"/>
                <w:szCs w:val="18"/>
              </w:rPr>
              <w:t>gr</w:t>
            </w:r>
            <w:r>
              <w:rPr>
                <w:sz w:val="18"/>
                <w:szCs w:val="18"/>
              </w:rPr>
              <w:t>amme</w:t>
            </w:r>
            <w:r>
              <w:rPr>
                <w:sz w:val="18"/>
                <w:szCs w:val="18"/>
              </w:rPr>
              <w:t xml:space="preserve"> </w:t>
            </w:r>
            <w:r>
              <w:rPr>
                <w:sz w:val="18"/>
                <w:szCs w:val="18"/>
              </w:rPr>
              <w:t>et de ses retombées positives </w:t>
            </w:r>
            <w:r>
              <w:rPr>
                <w:sz w:val="18"/>
                <w:szCs w:val="18"/>
              </w:rPr>
              <w:t>;</w:t>
            </w:r>
          </w:p>
          <w:p>
            <w:pPr>
              <w:pStyle w:val="style179"/>
              <w:numPr>
                <w:ilvl w:val="0"/>
                <w:numId w:val="44"/>
              </w:numPr>
              <w:contextualSpacing/>
              <w:rPr>
                <w:sz w:val="18"/>
                <w:szCs w:val="18"/>
              </w:rPr>
            </w:pPr>
          </w:p>
          <w:p>
            <w:pPr>
              <w:pStyle w:val="style179"/>
              <w:ind w:left="360"/>
              <w:rPr>
                <w:sz w:val="18"/>
                <w:szCs w:val="18"/>
              </w:rPr>
            </w:pPr>
          </w:p>
        </w:tc>
        <w:tc>
          <w:tcPr>
            <w:tcW w:w="3118" w:type="dxa"/>
            <w:tcBorders/>
          </w:tcPr>
          <w:p>
            <w:pPr>
              <w:pStyle w:val="style179"/>
              <w:numPr>
                <w:ilvl w:val="0"/>
                <w:numId w:val="44"/>
              </w:numPr>
              <w:contextualSpacing/>
              <w:rPr>
                <w:sz w:val="18"/>
                <w:szCs w:val="18"/>
              </w:rPr>
            </w:pPr>
            <w:r>
              <w:rPr>
                <w:sz w:val="18"/>
                <w:szCs w:val="18"/>
              </w:rPr>
              <w:t>I</w:t>
            </w:r>
            <w:r>
              <w:rPr>
                <w:sz w:val="18"/>
                <w:szCs w:val="18"/>
              </w:rPr>
              <w:t>nexistence de structures spécialisées pour la gestion des déchets de laboratoires</w:t>
            </w:r>
          </w:p>
          <w:p>
            <w:pPr>
              <w:pStyle w:val="style179"/>
              <w:numPr>
                <w:ilvl w:val="0"/>
                <w:numId w:val="44"/>
              </w:numPr>
              <w:contextualSpacing/>
              <w:rPr>
                <w:sz w:val="18"/>
                <w:szCs w:val="18"/>
              </w:rPr>
            </w:pPr>
            <w:r>
              <w:rPr>
                <w:sz w:val="18"/>
                <w:szCs w:val="18"/>
              </w:rPr>
              <w:t>P</w:t>
            </w:r>
            <w:r>
              <w:rPr>
                <w:sz w:val="18"/>
                <w:szCs w:val="18"/>
              </w:rPr>
              <w:t>ersistance d’odeurs nauséabondes liées aux déchets</w:t>
            </w:r>
          </w:p>
          <w:p>
            <w:pPr>
              <w:pStyle w:val="style179"/>
              <w:numPr>
                <w:ilvl w:val="0"/>
                <w:numId w:val="44"/>
              </w:numPr>
              <w:contextualSpacing/>
              <w:rPr>
                <w:sz w:val="18"/>
                <w:szCs w:val="18"/>
              </w:rPr>
            </w:pPr>
            <w:r>
              <w:rPr>
                <w:sz w:val="18"/>
                <w:szCs w:val="18"/>
              </w:rPr>
              <w:t>F</w:t>
            </w:r>
            <w:r>
              <w:rPr>
                <w:sz w:val="18"/>
                <w:szCs w:val="18"/>
              </w:rPr>
              <w:t>aiblesse d’engagement en faveur de l’innovation</w:t>
            </w:r>
          </w:p>
          <w:p>
            <w:pPr>
              <w:pStyle w:val="style179"/>
              <w:ind w:left="360"/>
              <w:rPr>
                <w:sz w:val="18"/>
                <w:szCs w:val="18"/>
              </w:rPr>
            </w:pPr>
          </w:p>
        </w:tc>
        <w:tc>
          <w:tcPr>
            <w:tcW w:w="3814" w:type="dxa"/>
            <w:tcBorders/>
          </w:tcPr>
          <w:p>
            <w:pPr>
              <w:pStyle w:val="style179"/>
              <w:numPr>
                <w:ilvl w:val="0"/>
                <w:numId w:val="44"/>
              </w:numPr>
              <w:contextualSpacing/>
              <w:rPr>
                <w:sz w:val="18"/>
                <w:szCs w:val="18"/>
              </w:rPr>
            </w:pPr>
            <w:r>
              <w:rPr>
                <w:sz w:val="18"/>
                <w:szCs w:val="18"/>
              </w:rPr>
              <w:t>Mettre au centre des décisions, un accent sur l’innovation dans les Centres de recherche sélectionnés</w:t>
            </w:r>
          </w:p>
        </w:tc>
      </w:tr>
    </w:tbl>
    <w:p>
      <w:pPr>
        <w:pStyle w:val="style0"/>
        <w:rPr/>
      </w:pPr>
    </w:p>
    <w:p>
      <w:pPr>
        <w:pStyle w:val="style0"/>
        <w:rPr/>
      </w:pPr>
      <w:r>
        <w:br w:type="page"/>
      </w:r>
    </w:p>
    <w:p>
      <w:pPr>
        <w:pStyle w:val="style0"/>
        <w:jc w:val="center"/>
        <w:rPr>
          <w:b/>
        </w:rPr>
      </w:pPr>
      <w:r>
        <w:rPr>
          <w:b/>
        </w:rPr>
        <w:t xml:space="preserve">Synthèse des consultations publiques avec les parties prenantes du site de </w:t>
      </w:r>
      <w:r>
        <w:rPr>
          <w:b/>
        </w:rPr>
        <w:t>Bissan</w:t>
      </w:r>
      <w:r>
        <w:rPr>
          <w:b/>
        </w:rPr>
        <w:t xml:space="preserve"> (</w:t>
      </w:r>
      <w:r>
        <w:rPr>
          <w:b/>
        </w:rPr>
        <w:t>Lanfiéra/</w:t>
      </w:r>
      <w:r>
        <w:rPr>
          <w:b/>
        </w:rPr>
        <w:t>K</w:t>
      </w:r>
      <w:r>
        <w:rPr>
          <w:b/>
        </w:rPr>
        <w:t>ossi</w:t>
      </w:r>
      <w:r>
        <w:rPr>
          <w:b/>
        </w:rPr>
        <w:t>/</w:t>
      </w:r>
      <w:r>
        <w:rPr>
          <w:b/>
        </w:rPr>
        <w:t>Boucle du Mouhoun</w:t>
      </w:r>
      <w:r>
        <w:rPr>
          <w:b/>
        </w:rPr>
        <w:t>)</w:t>
      </w:r>
      <w:r>
        <w:rPr>
          <w:b/>
        </w:rPr>
        <w:t xml:space="preserve">, </w:t>
      </w:r>
      <w:r>
        <w:t>12</w:t>
      </w:r>
      <w:r>
        <w:t xml:space="preserve"> janvier 2019</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3204"/>
        <w:gridCol w:w="2750"/>
        <w:gridCol w:w="3118"/>
        <w:gridCol w:w="3814"/>
      </w:tblGrid>
      <w:tr>
        <w:trPr>
          <w:tblHeader/>
          <w:jc w:val="center"/>
        </w:trPr>
        <w:tc>
          <w:tcPr>
            <w:tcW w:w="2286" w:type="dxa"/>
            <w:tcBorders/>
            <w:shd w:val="clear" w:color="auto" w:fill="bfbfbf"/>
          </w:tcPr>
          <w:p>
            <w:pPr>
              <w:pStyle w:val="style0"/>
              <w:jc w:val="center"/>
              <w:rPr>
                <w:b/>
                <w:sz w:val="18"/>
                <w:szCs w:val="18"/>
              </w:rPr>
            </w:pPr>
            <w:r>
              <w:rPr>
                <w:b/>
                <w:sz w:val="18"/>
                <w:szCs w:val="18"/>
              </w:rPr>
              <w:t>Acteurs/institutions</w:t>
            </w:r>
          </w:p>
        </w:tc>
        <w:tc>
          <w:tcPr>
            <w:tcW w:w="3204" w:type="dxa"/>
            <w:tcBorders/>
            <w:shd w:val="clear" w:color="auto" w:fill="bfbfbf"/>
          </w:tcPr>
          <w:p>
            <w:pPr>
              <w:pStyle w:val="style0"/>
              <w:jc w:val="center"/>
              <w:rPr>
                <w:b/>
                <w:sz w:val="18"/>
                <w:szCs w:val="18"/>
              </w:rPr>
            </w:pPr>
            <w:r>
              <w:rPr>
                <w:b/>
                <w:sz w:val="18"/>
                <w:szCs w:val="18"/>
              </w:rPr>
              <w:t>Points discutés</w:t>
            </w:r>
          </w:p>
        </w:tc>
        <w:tc>
          <w:tcPr>
            <w:tcW w:w="2750" w:type="dxa"/>
            <w:tcBorders/>
            <w:shd w:val="clear" w:color="auto" w:fill="bfbfbf"/>
          </w:tcPr>
          <w:p>
            <w:pPr>
              <w:pStyle w:val="style0"/>
              <w:jc w:val="center"/>
              <w:rPr>
                <w:b/>
                <w:sz w:val="18"/>
                <w:szCs w:val="18"/>
              </w:rPr>
            </w:pPr>
            <w:r>
              <w:rPr>
                <w:b/>
                <w:sz w:val="18"/>
                <w:szCs w:val="18"/>
              </w:rPr>
              <w:t>Attentes</w:t>
            </w:r>
          </w:p>
        </w:tc>
        <w:tc>
          <w:tcPr>
            <w:tcW w:w="3118" w:type="dxa"/>
            <w:tcBorders/>
            <w:shd w:val="clear" w:color="auto" w:fill="bfbfbf"/>
          </w:tcPr>
          <w:p>
            <w:pPr>
              <w:pStyle w:val="style0"/>
              <w:jc w:val="center"/>
              <w:rPr>
                <w:b/>
                <w:sz w:val="18"/>
                <w:szCs w:val="18"/>
              </w:rPr>
            </w:pPr>
            <w:r>
              <w:rPr>
                <w:b/>
                <w:sz w:val="18"/>
                <w:szCs w:val="18"/>
              </w:rPr>
              <w:t>Préoccupations et craintes</w:t>
            </w:r>
          </w:p>
        </w:tc>
        <w:tc>
          <w:tcPr>
            <w:tcW w:w="3814" w:type="dxa"/>
            <w:tcBorders/>
            <w:shd w:val="clear" w:color="auto" w:fill="bfbfbf"/>
          </w:tcPr>
          <w:p>
            <w:pPr>
              <w:pStyle w:val="style0"/>
              <w:jc w:val="center"/>
              <w:rPr>
                <w:b/>
                <w:sz w:val="18"/>
                <w:szCs w:val="18"/>
              </w:rPr>
            </w:pPr>
            <w:r>
              <w:rPr>
                <w:b/>
                <w:sz w:val="18"/>
                <w:szCs w:val="18"/>
              </w:rPr>
              <w:t>Suggestions et recommandations</w:t>
            </w:r>
          </w:p>
        </w:tc>
      </w:tr>
      <w:tr>
        <w:tblPrEx/>
        <w:trPr>
          <w:jc w:val="center"/>
        </w:trPr>
        <w:tc>
          <w:tcPr>
            <w:tcW w:w="2286" w:type="dxa"/>
            <w:tcBorders/>
            <w:vAlign w:val="center"/>
          </w:tcPr>
          <w:p>
            <w:pPr>
              <w:pStyle w:val="style0"/>
              <w:rPr>
                <w:b/>
                <w:sz w:val="18"/>
                <w:szCs w:val="18"/>
              </w:rPr>
            </w:pPr>
            <w:r>
              <w:rPr>
                <w:b/>
                <w:sz w:val="18"/>
                <w:szCs w:val="18"/>
              </w:rPr>
              <w:t>Producteurs de Bissan</w:t>
            </w:r>
          </w:p>
        </w:tc>
        <w:tc>
          <w:tcPr>
            <w:tcW w:w="3204" w:type="dxa"/>
            <w:tcBorders/>
            <w:vAlign w:val="center"/>
          </w:tcPr>
          <w:p>
            <w:pPr>
              <w:pStyle w:val="style179"/>
              <w:numPr>
                <w:ilvl w:val="0"/>
                <w:numId w:val="44"/>
              </w:numPr>
              <w:contextualSpacing/>
              <w:rPr>
                <w:sz w:val="18"/>
                <w:szCs w:val="18"/>
              </w:rPr>
            </w:pPr>
            <w:r>
              <w:rPr>
                <w:sz w:val="18"/>
                <w:szCs w:val="18"/>
              </w:rPr>
              <w:t xml:space="preserve">Information sur </w:t>
            </w:r>
            <w:r>
              <w:rPr>
                <w:sz w:val="18"/>
                <w:szCs w:val="18"/>
              </w:rPr>
              <w:t xml:space="preserve">le </w:t>
            </w:r>
            <w:r>
              <w:rPr>
                <w:sz w:val="18"/>
                <w:szCs w:val="18"/>
              </w:rPr>
              <w:t>Pro</w:t>
            </w:r>
            <w:r>
              <w:rPr>
                <w:sz w:val="18"/>
                <w:szCs w:val="18"/>
              </w:rPr>
              <w:t>gramme</w:t>
            </w:r>
          </w:p>
          <w:p>
            <w:pPr>
              <w:pStyle w:val="style179"/>
              <w:numPr>
                <w:ilvl w:val="0"/>
                <w:numId w:val="44"/>
              </w:numPr>
              <w:contextualSpacing/>
              <w:rPr>
                <w:sz w:val="18"/>
                <w:szCs w:val="18"/>
              </w:rPr>
            </w:pPr>
            <w:r>
              <w:rPr>
                <w:sz w:val="18"/>
                <w:szCs w:val="18"/>
              </w:rPr>
              <w:t>E</w:t>
            </w:r>
            <w:r>
              <w:rPr>
                <w:sz w:val="18"/>
                <w:szCs w:val="18"/>
              </w:rPr>
              <w:t xml:space="preserve">njeux </w:t>
            </w:r>
            <w:r>
              <w:rPr>
                <w:sz w:val="18"/>
                <w:szCs w:val="18"/>
              </w:rPr>
              <w:t>environnementaux et sociaux</w:t>
            </w:r>
            <w:r>
              <w:rPr>
                <w:sz w:val="18"/>
                <w:szCs w:val="18"/>
              </w:rPr>
              <w:t xml:space="preserve"> liés à la mise en œuvre du </w:t>
            </w:r>
            <w:r>
              <w:rPr>
                <w:sz w:val="18"/>
                <w:szCs w:val="18"/>
              </w:rPr>
              <w:t>pro</w:t>
            </w:r>
            <w:r>
              <w:rPr>
                <w:sz w:val="18"/>
                <w:szCs w:val="18"/>
              </w:rPr>
              <w:t>gramme</w:t>
            </w:r>
            <w:r>
              <w:rPr>
                <w:sz w:val="18"/>
                <w:szCs w:val="18"/>
              </w:rPr>
              <w:t> </w:t>
            </w:r>
            <w:r>
              <w:rPr>
                <w:sz w:val="18"/>
                <w:szCs w:val="18"/>
              </w:rPr>
              <w:t>;</w:t>
            </w:r>
          </w:p>
          <w:p>
            <w:pPr>
              <w:pStyle w:val="style179"/>
              <w:numPr>
                <w:ilvl w:val="0"/>
                <w:numId w:val="44"/>
              </w:numPr>
              <w:contextualSpacing/>
              <w:rPr>
                <w:sz w:val="18"/>
                <w:szCs w:val="18"/>
              </w:rPr>
            </w:pPr>
            <w:r>
              <w:rPr>
                <w:sz w:val="18"/>
                <w:szCs w:val="18"/>
              </w:rPr>
              <w:t xml:space="preserve">Principales préoccupations et recommandations </w:t>
            </w:r>
            <w:r>
              <w:rPr>
                <w:sz w:val="18"/>
                <w:szCs w:val="18"/>
              </w:rPr>
              <w:t xml:space="preserve">des parties prenantes </w:t>
            </w:r>
            <w:r>
              <w:rPr>
                <w:sz w:val="18"/>
                <w:szCs w:val="18"/>
              </w:rPr>
              <w:t xml:space="preserve">par rapport au </w:t>
            </w:r>
            <w:r>
              <w:rPr>
                <w:sz w:val="18"/>
                <w:szCs w:val="18"/>
              </w:rPr>
              <w:t>pro</w:t>
            </w:r>
            <w:r>
              <w:rPr>
                <w:sz w:val="18"/>
                <w:szCs w:val="18"/>
              </w:rPr>
              <w:t>g</w:t>
            </w:r>
            <w:r>
              <w:rPr>
                <w:sz w:val="18"/>
                <w:szCs w:val="18"/>
              </w:rPr>
              <w:t>ramme</w:t>
            </w:r>
          </w:p>
        </w:tc>
        <w:tc>
          <w:tcPr>
            <w:tcW w:w="2750" w:type="dxa"/>
            <w:tcBorders/>
          </w:tcPr>
          <w:p>
            <w:pPr>
              <w:pStyle w:val="style179"/>
              <w:numPr>
                <w:ilvl w:val="0"/>
                <w:numId w:val="44"/>
              </w:numPr>
              <w:contextualSpacing/>
              <w:rPr>
                <w:sz w:val="18"/>
                <w:szCs w:val="18"/>
              </w:rPr>
            </w:pPr>
            <w:r>
              <w:rPr>
                <w:sz w:val="18"/>
                <w:szCs w:val="18"/>
              </w:rPr>
              <w:t xml:space="preserve">Bonne connaissance du </w:t>
            </w:r>
            <w:r>
              <w:rPr>
                <w:sz w:val="18"/>
                <w:szCs w:val="18"/>
              </w:rPr>
              <w:t>pro</w:t>
            </w:r>
            <w:r>
              <w:rPr>
                <w:sz w:val="18"/>
                <w:szCs w:val="18"/>
              </w:rPr>
              <w:t>gramme</w:t>
            </w:r>
            <w:r>
              <w:rPr>
                <w:sz w:val="18"/>
                <w:szCs w:val="18"/>
              </w:rPr>
              <w:t>et des activités ;</w:t>
            </w:r>
          </w:p>
          <w:p>
            <w:pPr>
              <w:pStyle w:val="style179"/>
              <w:numPr>
                <w:ilvl w:val="0"/>
                <w:numId w:val="44"/>
              </w:numPr>
              <w:contextualSpacing/>
              <w:rPr>
                <w:sz w:val="18"/>
                <w:szCs w:val="18"/>
              </w:rPr>
            </w:pPr>
            <w:r>
              <w:rPr>
                <w:sz w:val="18"/>
                <w:szCs w:val="18"/>
              </w:rPr>
              <w:t>Amélioration de la productivité et de la production agricole ;</w:t>
            </w:r>
          </w:p>
          <w:p>
            <w:pPr>
              <w:pStyle w:val="style179"/>
              <w:numPr>
                <w:ilvl w:val="0"/>
                <w:numId w:val="44"/>
              </w:numPr>
              <w:contextualSpacing/>
              <w:rPr>
                <w:sz w:val="18"/>
                <w:szCs w:val="18"/>
              </w:rPr>
            </w:pPr>
            <w:r>
              <w:rPr>
                <w:sz w:val="18"/>
                <w:szCs w:val="18"/>
              </w:rPr>
              <w:t>Amélioration des conditions de vie des populations ;</w:t>
            </w:r>
          </w:p>
          <w:p>
            <w:pPr>
              <w:pStyle w:val="style179"/>
              <w:numPr>
                <w:ilvl w:val="0"/>
                <w:numId w:val="44"/>
              </w:numPr>
              <w:contextualSpacing/>
              <w:rPr>
                <w:sz w:val="18"/>
                <w:szCs w:val="18"/>
              </w:rPr>
            </w:pPr>
            <w:r>
              <w:rPr>
                <w:sz w:val="18"/>
                <w:szCs w:val="18"/>
              </w:rPr>
              <w:t>Meilleure accessibilité du village suite à l’aménagement des pistes rurales.</w:t>
            </w:r>
          </w:p>
        </w:tc>
        <w:tc>
          <w:tcPr>
            <w:tcW w:w="3118" w:type="dxa"/>
            <w:tcBorders/>
            <w:vAlign w:val="center"/>
          </w:tcPr>
          <w:p>
            <w:pPr>
              <w:pStyle w:val="style179"/>
              <w:numPr>
                <w:ilvl w:val="0"/>
                <w:numId w:val="44"/>
              </w:numPr>
              <w:contextualSpacing/>
              <w:rPr>
                <w:sz w:val="18"/>
                <w:szCs w:val="18"/>
              </w:rPr>
            </w:pPr>
            <w:r>
              <w:rPr>
                <w:sz w:val="18"/>
                <w:szCs w:val="18"/>
              </w:rPr>
              <w:t xml:space="preserve">Non prise en compte des </w:t>
            </w:r>
            <w:r>
              <w:rPr>
                <w:sz w:val="18"/>
                <w:szCs w:val="18"/>
              </w:rPr>
              <w:t>propriétaires terriens dans la répartition des périmètres :</w:t>
            </w:r>
          </w:p>
          <w:p>
            <w:pPr>
              <w:pStyle w:val="style179"/>
              <w:numPr>
                <w:ilvl w:val="0"/>
                <w:numId w:val="44"/>
              </w:numPr>
              <w:contextualSpacing/>
              <w:rPr>
                <w:sz w:val="18"/>
                <w:szCs w:val="18"/>
              </w:rPr>
            </w:pPr>
            <w:r>
              <w:rPr>
                <w:sz w:val="18"/>
                <w:szCs w:val="18"/>
              </w:rPr>
              <w:t>Non priorisation de la main d’œuvre locale pendant les travaux d’aménagement ;</w:t>
            </w:r>
          </w:p>
          <w:p>
            <w:pPr>
              <w:pStyle w:val="style179"/>
              <w:numPr>
                <w:ilvl w:val="0"/>
                <w:numId w:val="44"/>
              </w:numPr>
              <w:contextualSpacing/>
              <w:rPr>
                <w:sz w:val="18"/>
                <w:szCs w:val="18"/>
              </w:rPr>
            </w:pPr>
            <w:r>
              <w:rPr>
                <w:sz w:val="18"/>
                <w:szCs w:val="18"/>
              </w:rPr>
              <w:t xml:space="preserve">Non accompagnement des producteurs ; </w:t>
            </w:r>
          </w:p>
          <w:p>
            <w:pPr>
              <w:pStyle w:val="style179"/>
              <w:numPr>
                <w:ilvl w:val="0"/>
                <w:numId w:val="44"/>
              </w:numPr>
              <w:contextualSpacing/>
              <w:rPr>
                <w:sz w:val="18"/>
                <w:szCs w:val="18"/>
              </w:rPr>
            </w:pPr>
            <w:r>
              <w:rPr>
                <w:sz w:val="18"/>
                <w:szCs w:val="18"/>
              </w:rPr>
              <w:t>Non prise en compte des deux sites sacrés présents sur le site ;</w:t>
            </w:r>
          </w:p>
          <w:p>
            <w:pPr>
              <w:pStyle w:val="style179"/>
              <w:numPr>
                <w:ilvl w:val="0"/>
                <w:numId w:val="44"/>
              </w:numPr>
              <w:contextualSpacing/>
              <w:rPr>
                <w:sz w:val="18"/>
                <w:szCs w:val="18"/>
              </w:rPr>
            </w:pPr>
            <w:r>
              <w:rPr>
                <w:sz w:val="18"/>
                <w:szCs w:val="18"/>
              </w:rPr>
              <w:t>Non réalisation d’infrastructures sociales (école, CSPS) après les aménagements ;</w:t>
            </w:r>
          </w:p>
          <w:p>
            <w:pPr>
              <w:pStyle w:val="style179"/>
              <w:numPr>
                <w:ilvl w:val="0"/>
                <w:numId w:val="44"/>
              </w:numPr>
              <w:contextualSpacing/>
              <w:rPr>
                <w:sz w:val="18"/>
                <w:szCs w:val="18"/>
              </w:rPr>
            </w:pPr>
            <w:r>
              <w:rPr>
                <w:sz w:val="18"/>
                <w:szCs w:val="18"/>
              </w:rPr>
              <w:t>La gestion de la cohabitation entre hippopotames et producteurs.</w:t>
            </w:r>
          </w:p>
        </w:tc>
        <w:tc>
          <w:tcPr>
            <w:tcW w:w="3814" w:type="dxa"/>
            <w:tcBorders/>
            <w:vAlign w:val="center"/>
          </w:tcPr>
          <w:p>
            <w:pPr>
              <w:pStyle w:val="style179"/>
              <w:numPr>
                <w:ilvl w:val="0"/>
                <w:numId w:val="44"/>
              </w:numPr>
              <w:contextualSpacing/>
              <w:rPr>
                <w:sz w:val="18"/>
                <w:szCs w:val="18"/>
              </w:rPr>
            </w:pPr>
            <w:r>
              <w:rPr>
                <w:sz w:val="18"/>
                <w:szCs w:val="18"/>
              </w:rPr>
              <w:t>A</w:t>
            </w:r>
            <w:r>
              <w:rPr>
                <w:sz w:val="18"/>
                <w:szCs w:val="18"/>
              </w:rPr>
              <w:t xml:space="preserve">ssurer </w:t>
            </w:r>
            <w:r>
              <w:rPr>
                <w:sz w:val="18"/>
                <w:szCs w:val="18"/>
              </w:rPr>
              <w:t>la</w:t>
            </w:r>
            <w:r>
              <w:rPr>
                <w:sz w:val="18"/>
                <w:szCs w:val="18"/>
              </w:rPr>
              <w:t xml:space="preserve"> </w:t>
            </w:r>
            <w:r>
              <w:rPr>
                <w:sz w:val="18"/>
                <w:szCs w:val="18"/>
              </w:rPr>
              <w:t xml:space="preserve">prise en compte des </w:t>
            </w:r>
            <w:r>
              <w:rPr>
                <w:sz w:val="18"/>
                <w:szCs w:val="18"/>
              </w:rPr>
              <w:t>propriétaires terriens à travers l’apurement de leurs droits ;</w:t>
            </w:r>
          </w:p>
          <w:p>
            <w:pPr>
              <w:pStyle w:val="style179"/>
              <w:numPr>
                <w:ilvl w:val="0"/>
                <w:numId w:val="44"/>
              </w:numPr>
              <w:contextualSpacing/>
              <w:rPr>
                <w:sz w:val="18"/>
                <w:szCs w:val="18"/>
              </w:rPr>
            </w:pPr>
            <w:r>
              <w:rPr>
                <w:sz w:val="18"/>
                <w:szCs w:val="18"/>
              </w:rPr>
              <w:t>Prioriser la main d’œuvre locale pour les travaux d’aménagement ;</w:t>
            </w:r>
          </w:p>
          <w:p>
            <w:pPr>
              <w:pStyle w:val="style179"/>
              <w:numPr>
                <w:ilvl w:val="0"/>
                <w:numId w:val="44"/>
              </w:numPr>
              <w:contextualSpacing/>
              <w:rPr>
                <w:sz w:val="18"/>
                <w:szCs w:val="18"/>
              </w:rPr>
            </w:pPr>
            <w:r>
              <w:rPr>
                <w:sz w:val="18"/>
                <w:szCs w:val="18"/>
              </w:rPr>
              <w:t>Encadrer les producteurs à travers des formations ;</w:t>
            </w:r>
          </w:p>
          <w:p>
            <w:pPr>
              <w:pStyle w:val="style179"/>
              <w:numPr>
                <w:ilvl w:val="0"/>
                <w:numId w:val="44"/>
              </w:numPr>
              <w:contextualSpacing/>
              <w:rPr>
                <w:sz w:val="18"/>
                <w:szCs w:val="18"/>
              </w:rPr>
            </w:pPr>
            <w:r>
              <w:rPr>
                <w:sz w:val="18"/>
                <w:szCs w:val="18"/>
              </w:rPr>
              <w:t xml:space="preserve">Recenser les sites sacrés touchés, procéder à leur désacralisation et leur </w:t>
            </w:r>
            <w:r>
              <w:rPr>
                <w:sz w:val="18"/>
                <w:szCs w:val="18"/>
              </w:rPr>
              <w:t xml:space="preserve">relocalisation </w:t>
            </w:r>
            <w:r>
              <w:rPr>
                <w:sz w:val="18"/>
                <w:szCs w:val="18"/>
              </w:rPr>
              <w:t>;</w:t>
            </w:r>
          </w:p>
          <w:p>
            <w:pPr>
              <w:pStyle w:val="style179"/>
              <w:numPr>
                <w:ilvl w:val="0"/>
                <w:numId w:val="44"/>
              </w:numPr>
              <w:contextualSpacing/>
              <w:rPr>
                <w:sz w:val="18"/>
                <w:szCs w:val="18"/>
              </w:rPr>
            </w:pPr>
            <w:r>
              <w:rPr>
                <w:sz w:val="18"/>
                <w:szCs w:val="18"/>
              </w:rPr>
              <w:t>Pr</w:t>
            </w:r>
            <w:r>
              <w:rPr>
                <w:sz w:val="18"/>
                <w:szCs w:val="18"/>
              </w:rPr>
              <w:t xml:space="preserve">endre </w:t>
            </w:r>
            <w:r>
              <w:rPr>
                <w:sz w:val="18"/>
                <w:szCs w:val="18"/>
              </w:rPr>
              <w:t>en compte la réalisation des infrastructures sociales après les aménagements ;</w:t>
            </w:r>
          </w:p>
          <w:p>
            <w:pPr>
              <w:pStyle w:val="style179"/>
              <w:numPr>
                <w:ilvl w:val="0"/>
                <w:numId w:val="44"/>
              </w:numPr>
              <w:contextualSpacing/>
              <w:rPr>
                <w:sz w:val="18"/>
                <w:szCs w:val="18"/>
              </w:rPr>
            </w:pPr>
            <w:r>
              <w:rPr>
                <w:sz w:val="18"/>
                <w:szCs w:val="18"/>
              </w:rPr>
              <w:t>Proposer des méthodes innovantes pou</w:t>
            </w:r>
            <w:r>
              <w:rPr>
                <w:sz w:val="18"/>
                <w:szCs w:val="18"/>
              </w:rPr>
              <w:t>r</w:t>
            </w:r>
            <w:r>
              <w:rPr>
                <w:sz w:val="18"/>
                <w:szCs w:val="18"/>
              </w:rPr>
              <w:t xml:space="preserve"> la cohabitation pacifique entre hommes/hippopotames.</w:t>
            </w:r>
          </w:p>
        </w:tc>
      </w:tr>
    </w:tbl>
    <w:p>
      <w:pPr>
        <w:pStyle w:val="style0"/>
        <w:rPr/>
      </w:pPr>
    </w:p>
    <w:p>
      <w:pPr>
        <w:pStyle w:val="style0"/>
        <w:jc w:val="both"/>
        <w:rPr/>
      </w:pPr>
    </w:p>
    <w:p>
      <w:pPr>
        <w:pStyle w:val="style0"/>
        <w:jc w:val="both"/>
        <w:rPr/>
        <w:sectPr>
          <w:pgSz w:w="16838" w:h="11906" w:orient="landscape"/>
          <w:pgMar w:top="1418" w:right="1418" w:bottom="1418" w:left="1418" w:header="720" w:footer="720" w:gutter="0"/>
          <w:cols w:space="720"/>
          <w:titlePg/>
          <w:docGrid w:linePitch="360"/>
        </w:sectPr>
      </w:pPr>
    </w:p>
    <w:p>
      <w:pPr>
        <w:pStyle w:val="style4307"/>
        <w:numPr>
          <w:ilvl w:val="0"/>
          <w:numId w:val="0"/>
        </w:numPr>
        <w:ind w:left="390"/>
        <w:rPr>
          <w:iCs/>
          <w:sz w:val="22"/>
          <w:szCs w:val="22"/>
        </w:rPr>
      </w:pPr>
    </w:p>
    <w:bookmarkStart w:id="1243" w:name="_Toc686119"/>
    <w:bookmarkStart w:id="1244" w:name="_Toc2780501"/>
    <w:p>
      <w:pPr>
        <w:pStyle w:val="style1"/>
        <w:rPr>
          <w:iCs/>
        </w:rPr>
      </w:pPr>
      <w:r>
        <w:rPr>
          <w:iCs/>
        </w:rPr>
        <w:t xml:space="preserve">VII. </w:t>
      </w:r>
      <w:r>
        <w:rPr>
          <w:iCs/>
        </w:rPr>
        <w:t>PLAN</w:t>
      </w:r>
      <w:r>
        <w:rPr>
          <w:iCs/>
        </w:rPr>
        <w:t xml:space="preserve"> </w:t>
      </w:r>
      <w:r>
        <w:rPr>
          <w:iCs/>
        </w:rPr>
        <w:t xml:space="preserve">CADRE </w:t>
      </w:r>
      <w:r>
        <w:rPr>
          <w:iCs/>
        </w:rPr>
        <w:t>DE GESTION ENVIRONNEMENTALE ET SOCIALE</w:t>
      </w:r>
      <w:bookmarkEnd w:id="1243"/>
      <w:r>
        <w:rPr>
          <w:iCs/>
        </w:rPr>
        <w:t xml:space="preserve"> </w:t>
      </w:r>
      <w:r>
        <w:rPr>
          <w:iCs/>
        </w:rPr>
        <w:t>(PCGES)</w:t>
      </w:r>
      <w:bookmarkEnd w:id="1244"/>
    </w:p>
    <w:p>
      <w:pPr>
        <w:pStyle w:val="style0"/>
        <w:rPr>
          <w:sz w:val="22"/>
          <w:szCs w:val="22"/>
        </w:rPr>
      </w:pPr>
    </w:p>
    <w:p>
      <w:pPr>
        <w:pStyle w:val="style0"/>
        <w:rPr>
          <w:sz w:val="22"/>
          <w:szCs w:val="22"/>
        </w:rPr>
      </w:pPr>
      <w:r>
        <w:rPr>
          <w:sz w:val="22"/>
          <w:szCs w:val="22"/>
        </w:rPr>
        <w:t>Le présent chapitre consacré au P</w:t>
      </w:r>
      <w:r>
        <w:rPr>
          <w:sz w:val="22"/>
          <w:szCs w:val="22"/>
        </w:rPr>
        <w:t>C</w:t>
      </w:r>
      <w:r>
        <w:rPr>
          <w:sz w:val="22"/>
          <w:szCs w:val="22"/>
        </w:rPr>
        <w:t>GES traite des points suivants :</w:t>
      </w:r>
    </w:p>
    <w:p>
      <w:pPr>
        <w:pStyle w:val="style0"/>
        <w:numPr>
          <w:ilvl w:val="0"/>
          <w:numId w:val="121"/>
        </w:numPr>
        <w:ind w:left="360"/>
        <w:rPr>
          <w:sz w:val="22"/>
          <w:szCs w:val="22"/>
        </w:rPr>
      </w:pPr>
      <w:r>
        <w:rPr>
          <w:sz w:val="22"/>
          <w:szCs w:val="22"/>
        </w:rPr>
        <w:t xml:space="preserve">méthodologie pour la préparation, l’approbation et l’exécution des activités du </w:t>
      </w:r>
      <w:r>
        <w:rPr>
          <w:sz w:val="22"/>
          <w:szCs w:val="22"/>
        </w:rPr>
        <w:t>pro</w:t>
      </w:r>
      <w:r>
        <w:rPr>
          <w:sz w:val="22"/>
          <w:szCs w:val="22"/>
        </w:rPr>
        <w:t>gramme</w:t>
      </w:r>
      <w:r>
        <w:rPr>
          <w:sz w:val="22"/>
          <w:szCs w:val="22"/>
        </w:rPr>
        <w:t xml:space="preserve"> </w:t>
      </w:r>
      <w:r>
        <w:rPr>
          <w:sz w:val="22"/>
          <w:szCs w:val="22"/>
        </w:rPr>
        <w:t>;</w:t>
      </w:r>
    </w:p>
    <w:p>
      <w:pPr>
        <w:pStyle w:val="style0"/>
        <w:numPr>
          <w:ilvl w:val="0"/>
          <w:numId w:val="121"/>
        </w:numPr>
        <w:ind w:left="360"/>
        <w:rPr>
          <w:sz w:val="22"/>
          <w:szCs w:val="22"/>
        </w:rPr>
      </w:pPr>
      <w:r>
        <w:rPr>
          <w:sz w:val="22"/>
          <w:szCs w:val="22"/>
        </w:rPr>
        <w:t xml:space="preserve">recommandations pour la gestion environnementale et sociale du </w:t>
      </w:r>
      <w:r>
        <w:rPr>
          <w:sz w:val="22"/>
          <w:szCs w:val="22"/>
        </w:rPr>
        <w:t>pro</w:t>
      </w:r>
      <w:r>
        <w:rPr>
          <w:sz w:val="22"/>
          <w:szCs w:val="22"/>
        </w:rPr>
        <w:t>gramme</w:t>
      </w:r>
      <w:r>
        <w:rPr>
          <w:sz w:val="22"/>
          <w:szCs w:val="22"/>
        </w:rPr>
        <w:t xml:space="preserve"> </w:t>
      </w:r>
      <w:r>
        <w:rPr>
          <w:sz w:val="22"/>
          <w:szCs w:val="22"/>
        </w:rPr>
        <w:t>;</w:t>
      </w:r>
    </w:p>
    <w:p>
      <w:pPr>
        <w:pStyle w:val="style0"/>
        <w:numPr>
          <w:ilvl w:val="0"/>
          <w:numId w:val="121"/>
        </w:numPr>
        <w:ind w:left="360"/>
        <w:rPr>
          <w:sz w:val="22"/>
          <w:szCs w:val="22"/>
        </w:rPr>
      </w:pPr>
      <w:r>
        <w:rPr>
          <w:sz w:val="22"/>
          <w:szCs w:val="22"/>
        </w:rPr>
        <w:t>programme de suivi environnemental et social ;</w:t>
      </w:r>
    </w:p>
    <w:p>
      <w:pPr>
        <w:pStyle w:val="style0"/>
        <w:numPr>
          <w:ilvl w:val="0"/>
          <w:numId w:val="121"/>
        </w:numPr>
        <w:ind w:left="360"/>
        <w:rPr>
          <w:sz w:val="22"/>
          <w:szCs w:val="22"/>
        </w:rPr>
      </w:pPr>
      <w:r>
        <w:rPr>
          <w:sz w:val="22"/>
          <w:szCs w:val="22"/>
        </w:rPr>
        <w:t xml:space="preserve">arrangements institutionnels ; </w:t>
      </w:r>
    </w:p>
    <w:p>
      <w:pPr>
        <w:pStyle w:val="style0"/>
        <w:numPr>
          <w:ilvl w:val="0"/>
          <w:numId w:val="121"/>
        </w:numPr>
        <w:ind w:left="360"/>
        <w:rPr>
          <w:sz w:val="22"/>
          <w:szCs w:val="22"/>
        </w:rPr>
      </w:pPr>
      <w:r>
        <w:rPr>
          <w:sz w:val="22"/>
          <w:szCs w:val="22"/>
        </w:rPr>
        <w:t>calendrier de mise en œuvre ;</w:t>
      </w:r>
    </w:p>
    <w:p>
      <w:pPr>
        <w:pStyle w:val="style0"/>
        <w:numPr>
          <w:ilvl w:val="0"/>
          <w:numId w:val="121"/>
        </w:numPr>
        <w:ind w:left="360"/>
        <w:rPr>
          <w:sz w:val="22"/>
          <w:szCs w:val="22"/>
        </w:rPr>
      </w:pPr>
      <w:r>
        <w:rPr>
          <w:sz w:val="22"/>
          <w:szCs w:val="22"/>
        </w:rPr>
        <w:t>coûts de mise en œuvre des mesures environnementales et sociales ;</w:t>
      </w:r>
    </w:p>
    <w:p>
      <w:pPr>
        <w:pStyle w:val="style0"/>
        <w:numPr>
          <w:ilvl w:val="0"/>
          <w:numId w:val="121"/>
        </w:numPr>
        <w:ind w:left="360"/>
        <w:rPr>
          <w:sz w:val="22"/>
          <w:szCs w:val="22"/>
        </w:rPr>
      </w:pPr>
      <w:r>
        <w:rPr>
          <w:sz w:val="22"/>
          <w:szCs w:val="22"/>
        </w:rPr>
        <w:t>mécanisme de gestion des plaintes.</w:t>
      </w:r>
    </w:p>
    <w:p>
      <w:pPr>
        <w:pStyle w:val="style0"/>
        <w:ind w:left="720"/>
        <w:rPr>
          <w:sz w:val="22"/>
          <w:szCs w:val="22"/>
        </w:rPr>
      </w:pPr>
    </w:p>
    <w:bookmarkStart w:id="1245" w:name="_Toc536410718"/>
    <w:bookmarkStart w:id="1246" w:name="_Toc686120"/>
    <w:bookmarkStart w:id="1247" w:name="_Toc2780502"/>
    <w:p>
      <w:pPr>
        <w:pStyle w:val="style4307"/>
        <w:numPr>
          <w:ilvl w:val="0"/>
          <w:numId w:val="0"/>
        </w:numPr>
        <w:ind w:left="390"/>
        <w:rPr/>
      </w:pPr>
      <w:r>
        <w:t>7</w:t>
      </w:r>
      <w:r>
        <w:t>.1.</w:t>
      </w:r>
      <w:r>
        <w:t xml:space="preserve"> </w:t>
      </w:r>
      <w:bookmarkEnd w:id="1245"/>
      <w:bookmarkEnd w:id="1246"/>
      <w:r>
        <w:t xml:space="preserve"> Procédure de gestion environnementale et sociale des sous-projets</w:t>
      </w:r>
      <w:bookmarkEnd w:id="1247"/>
    </w:p>
    <w:bookmarkStart w:id="1248" w:name="_Toc129856480"/>
    <w:bookmarkStart w:id="1249" w:name="_Toc536410719"/>
    <w:bookmarkStart w:id="1250" w:name="_Toc686121"/>
    <w:bookmarkStart w:id="1251" w:name="_Toc2780503"/>
    <w:p>
      <w:pPr>
        <w:pStyle w:val="style3"/>
        <w:numPr>
          <w:ilvl w:val="0"/>
          <w:numId w:val="0"/>
        </w:numPr>
        <w:ind w:left="644" w:hanging="360"/>
        <w:rPr>
          <w:b/>
          <w:u w:val="none"/>
        </w:rPr>
      </w:pPr>
      <w:r>
        <w:rPr>
          <w:b/>
          <w:u w:val="none"/>
        </w:rPr>
        <w:t>7</w:t>
      </w:r>
      <w:r>
        <w:rPr>
          <w:b/>
          <w:u w:val="none"/>
        </w:rPr>
        <w:t>.1.1</w:t>
      </w:r>
      <w:bookmarkStart w:id="1252" w:name="_Toc247603832"/>
      <w:r>
        <w:rPr>
          <w:b/>
          <w:u w:val="none"/>
        </w:rPr>
        <w:t>.</w:t>
      </w:r>
      <w:r>
        <w:rPr>
          <w:b/>
          <w:u w:val="none"/>
        </w:rPr>
        <w:t xml:space="preserve"> Etapes</w:t>
      </w:r>
      <w:r>
        <w:rPr>
          <w:b/>
          <w:u w:val="none"/>
        </w:rPr>
        <w:t xml:space="preserve"> de la </w:t>
      </w:r>
      <w:bookmarkEnd w:id="1248"/>
      <w:r>
        <w:rPr>
          <w:b/>
          <w:u w:val="none"/>
        </w:rPr>
        <w:t>gestion environnementale et sociale des activités</w:t>
      </w:r>
      <w:bookmarkEnd w:id="1252"/>
      <w:r>
        <w:rPr>
          <w:b/>
          <w:u w:val="none"/>
        </w:rPr>
        <w:t xml:space="preserve"> du </w:t>
      </w:r>
      <w:bookmarkEnd w:id="1249"/>
      <w:r>
        <w:rPr>
          <w:b/>
          <w:u w:val="none"/>
        </w:rPr>
        <w:t>Programme</w:t>
      </w:r>
      <w:bookmarkEnd w:id="1250"/>
      <w:bookmarkEnd w:id="1251"/>
    </w:p>
    <w:p>
      <w:pPr>
        <w:pStyle w:val="style0"/>
        <w:jc w:val="both"/>
        <w:rPr>
          <w:sz w:val="22"/>
          <w:szCs w:val="22"/>
          <w:lang w:eastAsia="en-US"/>
        </w:rPr>
      </w:pPr>
      <w:r>
        <w:rPr>
          <w:sz w:val="22"/>
          <w:szCs w:val="22"/>
          <w:lang w:eastAsia="en-US"/>
        </w:rPr>
        <w:t xml:space="preserve">En référence au cadre légal et réglementaire, il ressort que le code de l’environnement au Burkina Faso détermine le processus de conduite d’une EIES et la classification des projets en trois (3) catégories (A, B et C) suivant l’ampleur et l’acuité des impacts qu’ils sont susceptibles de générer. </w:t>
      </w:r>
    </w:p>
    <w:p>
      <w:pPr>
        <w:pStyle w:val="style0"/>
        <w:jc w:val="both"/>
        <w:rPr>
          <w:sz w:val="22"/>
          <w:szCs w:val="22"/>
          <w:lang w:eastAsia="en-US"/>
        </w:rPr>
      </w:pPr>
      <w:r>
        <w:rPr>
          <w:sz w:val="22"/>
          <w:szCs w:val="22"/>
          <w:lang w:eastAsia="en-US"/>
        </w:rPr>
        <w:t xml:space="preserve">Cependant, le code reste muet sur le processus de sélection aboutissant à cette catégorisation. </w:t>
      </w:r>
      <w:r>
        <w:rPr>
          <w:sz w:val="22"/>
          <w:szCs w:val="22"/>
          <w:lang w:val="fr-CA" w:eastAsia="en-US"/>
        </w:rPr>
        <w:t xml:space="preserve">Ce faisant, il sera proposé ci-dessous un processus de sélection environnementale et sociale pour les projets éligibles dans le cadre du PDCA. </w:t>
      </w:r>
      <w:r>
        <w:rPr>
          <w:sz w:val="22"/>
          <w:szCs w:val="22"/>
          <w:lang w:eastAsia="en-US"/>
        </w:rPr>
        <w:t xml:space="preserve">Le processus de sélection environnementale et sociale ou « screening », de mise en œuvre et de suivi vise à garantir l’effectivité de la prise en compte des exigences environnementales et sociales dans tout le processus de planification, de préparation, de mise en œuvre et de suivi-évaluation des activités du PDCA. </w:t>
      </w:r>
    </w:p>
    <w:p>
      <w:pPr>
        <w:pStyle w:val="style0"/>
        <w:jc w:val="both"/>
        <w:rPr>
          <w:sz w:val="22"/>
          <w:szCs w:val="22"/>
          <w:lang w:eastAsia="en-US"/>
        </w:rPr>
      </w:pPr>
    </w:p>
    <w:p>
      <w:pPr>
        <w:pStyle w:val="style0"/>
        <w:jc w:val="both"/>
        <w:rPr>
          <w:sz w:val="22"/>
          <w:szCs w:val="22"/>
          <w:lang w:eastAsia="en-US"/>
        </w:rPr>
      </w:pPr>
      <w:r>
        <w:rPr>
          <w:sz w:val="22"/>
          <w:szCs w:val="22"/>
          <w:lang w:eastAsia="en-US"/>
        </w:rPr>
        <w:t>Les différentes activités du Programme, notamment celles relatives à réalisation et/ou de réhabilitation d’infrastructures physiques (aménagements hydro</w:t>
      </w:r>
      <w:r>
        <w:rPr>
          <w:sz w:val="22"/>
          <w:szCs w:val="22"/>
          <w:lang w:eastAsia="en-US"/>
        </w:rPr>
        <w:t>-</w:t>
      </w:r>
      <w:r>
        <w:rPr>
          <w:sz w:val="22"/>
          <w:szCs w:val="22"/>
          <w:lang w:eastAsia="en-US"/>
        </w:rPr>
        <w:t>agricoles, unités de transformation et de conditionnement, retenues d’eau, construction de pistes rurales, etc.) doivent obligatoirement faire l’objet d’un « screening » avant leur mise en œuvre. Ceci permettra de déterminer si la mise en œuvre de l’activité nécessite au préalable un travail environnemental et social. Les résultats du</w:t>
      </w:r>
      <w:r>
        <w:rPr>
          <w:sz w:val="23"/>
          <w:szCs w:val="23"/>
          <w:lang w:eastAsia="en-US"/>
        </w:rPr>
        <w:t xml:space="preserve"> </w:t>
      </w:r>
      <w:r>
        <w:rPr>
          <w:sz w:val="22"/>
          <w:szCs w:val="22"/>
          <w:lang w:eastAsia="en-US"/>
        </w:rPr>
        <w:t xml:space="preserve">processus de sélection permettront ensuite de formuler les mesures environnementales et sociales qui doivent encadrer l’exécution des activités du </w:t>
      </w:r>
      <w:r>
        <w:rPr>
          <w:sz w:val="22"/>
          <w:szCs w:val="22"/>
          <w:lang w:eastAsia="en-US"/>
        </w:rPr>
        <w:t>Programme</w:t>
      </w:r>
      <w:r>
        <w:rPr>
          <w:sz w:val="22"/>
          <w:szCs w:val="22"/>
          <w:lang w:eastAsia="en-US"/>
        </w:rPr>
        <w:t>.</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La démarche de gestion environnementale et sociale des activités du </w:t>
      </w:r>
      <w:r>
        <w:rPr>
          <w:sz w:val="22"/>
          <w:szCs w:val="22"/>
          <w:lang w:eastAsia="en-US"/>
        </w:rPr>
        <w:t>Programme</w:t>
      </w:r>
      <w:r>
        <w:rPr>
          <w:sz w:val="22"/>
          <w:szCs w:val="22"/>
          <w:lang w:eastAsia="en-US"/>
        </w:rPr>
        <w:t xml:space="preserve"> comportera </w:t>
      </w:r>
      <w:r>
        <w:rPr>
          <w:sz w:val="22"/>
          <w:szCs w:val="22"/>
          <w:lang w:eastAsia="en-US"/>
        </w:rPr>
        <w:t>dix</w:t>
      </w:r>
      <w:r>
        <w:rPr>
          <w:sz w:val="22"/>
          <w:szCs w:val="22"/>
          <w:lang w:eastAsia="en-US"/>
        </w:rPr>
        <w:t xml:space="preserve"> </w:t>
      </w:r>
      <w:r>
        <w:rPr>
          <w:sz w:val="22"/>
          <w:szCs w:val="22"/>
          <w:lang w:eastAsia="en-US"/>
        </w:rPr>
        <w:t>(</w:t>
      </w:r>
      <w:r>
        <w:rPr>
          <w:sz w:val="22"/>
          <w:szCs w:val="22"/>
          <w:lang w:eastAsia="en-US"/>
        </w:rPr>
        <w:t>10</w:t>
      </w:r>
      <w:r>
        <w:rPr>
          <w:sz w:val="22"/>
          <w:szCs w:val="22"/>
          <w:lang w:eastAsia="en-US"/>
        </w:rPr>
        <w:t>) étapes décrites ci-dessous :</w:t>
      </w:r>
    </w:p>
    <w:p>
      <w:pPr>
        <w:pStyle w:val="style0"/>
        <w:jc w:val="both"/>
        <w:rPr>
          <w:iCs/>
          <w:sz w:val="22"/>
          <w:szCs w:val="22"/>
        </w:rPr>
      </w:pPr>
    </w:p>
    <w:bookmarkStart w:id="1253" w:name="_Toc533690213"/>
    <w:bookmarkStart w:id="1254" w:name="_Toc533690354"/>
    <w:bookmarkStart w:id="1255" w:name="_Toc533691936"/>
    <w:bookmarkStart w:id="1256" w:name="_Toc536385788"/>
    <w:bookmarkStart w:id="1257" w:name="_Toc536386008"/>
    <w:bookmarkStart w:id="1258" w:name="_Toc536386119"/>
    <w:bookmarkStart w:id="1259" w:name="_Toc536386661"/>
    <w:bookmarkStart w:id="1260" w:name="_Toc536386752"/>
    <w:bookmarkStart w:id="1261" w:name="_Toc536392427"/>
    <w:bookmarkStart w:id="1262" w:name="_Toc536399090"/>
    <w:bookmarkStart w:id="1263" w:name="_Toc536399268"/>
    <w:bookmarkStart w:id="1264" w:name="_Toc536399387"/>
    <w:bookmarkStart w:id="1265" w:name="_Toc536399480"/>
    <w:bookmarkStart w:id="1266" w:name="_Toc348799"/>
    <w:bookmarkStart w:id="1267" w:name="_Toc467170"/>
    <w:bookmarkStart w:id="1268" w:name="_Toc478113"/>
    <w:bookmarkStart w:id="1269" w:name="_Toc500474"/>
    <w:bookmarkStart w:id="1270" w:name="_Toc501439"/>
    <w:bookmarkStart w:id="1271" w:name="_Toc686031"/>
    <w:bookmarkStart w:id="1272" w:name="_Toc686122"/>
    <w:bookmarkStart w:id="1273" w:name="_Toc1189508"/>
    <w:bookmarkStart w:id="1274" w:name="_Toc1189597"/>
    <w:bookmarkStart w:id="1275" w:name="_Toc1954230"/>
    <w:bookmarkStart w:id="1276" w:name="_Toc1958712"/>
    <w:bookmarkStart w:id="1277" w:name="_Toc1959645"/>
    <w:bookmarkStart w:id="1278" w:name="_Toc2140831"/>
    <w:bookmarkStart w:id="1279" w:name="_Toc2141228"/>
    <w:bookmarkStart w:id="1280" w:name="_Toc2150215"/>
    <w:bookmarkStart w:id="1281" w:name="_Toc2780504"/>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Pr>
        <w:pStyle w:val="style179"/>
        <w:keepNext/>
        <w:numPr>
          <w:ilvl w:val="0"/>
          <w:numId w:val="86"/>
        </w:numPr>
        <w:autoSpaceDE w:val="false"/>
        <w:autoSpaceDN w:val="false"/>
        <w:adjustRightInd w:val="false"/>
        <w:spacing w:lineRule="atLeast" w:line="240"/>
        <w:outlineLvl w:val="1"/>
        <w:rPr>
          <w:bCs/>
          <w:vanish/>
          <w:color w:val="000000"/>
          <w:szCs w:val="20"/>
        </w:rPr>
      </w:pPr>
    </w:p>
    <w:bookmarkStart w:id="1282" w:name="_Toc536386120"/>
    <w:bookmarkStart w:id="1283" w:name="_Toc536386662"/>
    <w:bookmarkStart w:id="1284" w:name="_Toc536386753"/>
    <w:bookmarkStart w:id="1285" w:name="_Toc536392428"/>
    <w:bookmarkStart w:id="1286" w:name="_Toc536399091"/>
    <w:bookmarkStart w:id="1287" w:name="_Toc536399269"/>
    <w:bookmarkStart w:id="1288" w:name="_Toc536399388"/>
    <w:bookmarkStart w:id="1289" w:name="_Toc536399481"/>
    <w:bookmarkStart w:id="1290" w:name="_Toc348800"/>
    <w:bookmarkStart w:id="1291" w:name="_Toc467171"/>
    <w:bookmarkStart w:id="1292" w:name="_Toc478114"/>
    <w:bookmarkStart w:id="1293" w:name="_Toc500475"/>
    <w:bookmarkStart w:id="1294" w:name="_Toc501440"/>
    <w:bookmarkStart w:id="1295" w:name="_Toc686032"/>
    <w:bookmarkStart w:id="1296" w:name="_Toc686123"/>
    <w:bookmarkStart w:id="1297" w:name="_Toc1189509"/>
    <w:bookmarkStart w:id="1298" w:name="_Toc1189598"/>
    <w:bookmarkStart w:id="1299" w:name="_Toc1954231"/>
    <w:bookmarkStart w:id="1300" w:name="_Toc1958713"/>
    <w:bookmarkStart w:id="1301" w:name="_Toc1959646"/>
    <w:bookmarkStart w:id="1302" w:name="_Toc2140832"/>
    <w:bookmarkStart w:id="1303" w:name="_Toc2141229"/>
    <w:bookmarkStart w:id="1304" w:name="_Toc2150216"/>
    <w:bookmarkStart w:id="1305" w:name="_Toc2780505"/>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Pr>
        <w:pStyle w:val="style179"/>
        <w:keepNext/>
        <w:numPr>
          <w:ilvl w:val="0"/>
          <w:numId w:val="86"/>
        </w:numPr>
        <w:autoSpaceDE w:val="false"/>
        <w:autoSpaceDN w:val="false"/>
        <w:adjustRightInd w:val="false"/>
        <w:spacing w:lineRule="atLeast" w:line="240"/>
        <w:outlineLvl w:val="1"/>
        <w:rPr>
          <w:bCs/>
          <w:vanish/>
          <w:color w:val="000000"/>
          <w:szCs w:val="20"/>
        </w:rPr>
      </w:pPr>
    </w:p>
    <w:bookmarkStart w:id="1306" w:name="_Toc536386121"/>
    <w:bookmarkStart w:id="1307" w:name="_Toc536386663"/>
    <w:bookmarkStart w:id="1308" w:name="_Toc536386754"/>
    <w:bookmarkStart w:id="1309" w:name="_Toc536392429"/>
    <w:bookmarkStart w:id="1310" w:name="_Toc536399092"/>
    <w:bookmarkStart w:id="1311" w:name="_Toc536399270"/>
    <w:bookmarkStart w:id="1312" w:name="_Toc536399389"/>
    <w:bookmarkStart w:id="1313" w:name="_Toc536399482"/>
    <w:bookmarkStart w:id="1314" w:name="_Toc348801"/>
    <w:bookmarkStart w:id="1315" w:name="_Toc467172"/>
    <w:bookmarkStart w:id="1316" w:name="_Toc478115"/>
    <w:bookmarkStart w:id="1317" w:name="_Toc500476"/>
    <w:bookmarkStart w:id="1318" w:name="_Toc501441"/>
    <w:bookmarkStart w:id="1319" w:name="_Toc686033"/>
    <w:bookmarkStart w:id="1320" w:name="_Toc686124"/>
    <w:bookmarkStart w:id="1321" w:name="_Toc1189510"/>
    <w:bookmarkStart w:id="1322" w:name="_Toc1189599"/>
    <w:bookmarkStart w:id="1323" w:name="_Toc1954232"/>
    <w:bookmarkStart w:id="1324" w:name="_Toc1958714"/>
    <w:bookmarkStart w:id="1325" w:name="_Toc1959647"/>
    <w:bookmarkStart w:id="1326" w:name="_Toc2140833"/>
    <w:bookmarkStart w:id="1327" w:name="_Toc2141230"/>
    <w:bookmarkStart w:id="1328" w:name="_Toc2150217"/>
    <w:bookmarkStart w:id="1329" w:name="_Toc2780506"/>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Pr>
        <w:pStyle w:val="style179"/>
        <w:keepNext/>
        <w:numPr>
          <w:ilvl w:val="0"/>
          <w:numId w:val="86"/>
        </w:numPr>
        <w:autoSpaceDE w:val="false"/>
        <w:autoSpaceDN w:val="false"/>
        <w:adjustRightInd w:val="false"/>
        <w:spacing w:lineRule="atLeast" w:line="240"/>
        <w:outlineLvl w:val="1"/>
        <w:rPr>
          <w:bCs/>
          <w:vanish/>
          <w:color w:val="000000"/>
          <w:szCs w:val="20"/>
        </w:rPr>
      </w:pPr>
    </w:p>
    <w:bookmarkStart w:id="1330" w:name="_Toc348803"/>
    <w:bookmarkStart w:id="1331" w:name="_Toc467176"/>
    <w:bookmarkStart w:id="1332" w:name="_Toc468886933"/>
    <w:bookmarkStart w:id="1333" w:name="_Toc518551488"/>
    <w:bookmarkStart w:id="1334" w:name="_Toc284240660"/>
    <w:bookmarkStart w:id="1335" w:name="_Toc291144430"/>
    <w:bookmarkStart w:id="1336" w:name="_Toc322715099"/>
    <w:bookmarkEnd w:id="1330"/>
    <w:bookmarkEnd w:id="1331"/>
    <w:p>
      <w:pPr>
        <w:pStyle w:val="style0"/>
        <w:jc w:val="both"/>
        <w:rPr>
          <w:rFonts w:eastAsia="Arial Unicode MS"/>
          <w:b/>
          <w:sz w:val="22"/>
          <w:szCs w:val="22"/>
          <w:lang w:eastAsia="en-US"/>
        </w:rPr>
      </w:pPr>
      <w:r>
        <w:rPr>
          <w:rFonts w:eastAsia="Arial Unicode MS"/>
          <w:b/>
          <w:sz w:val="22"/>
          <w:szCs w:val="22"/>
          <w:lang w:eastAsia="en-US"/>
        </w:rPr>
        <w:t>Etape</w:t>
      </w:r>
      <w:r>
        <w:rPr>
          <w:rFonts w:eastAsia="Arial Unicode MS"/>
          <w:b/>
          <w:sz w:val="22"/>
          <w:szCs w:val="22"/>
          <w:lang w:eastAsia="en-US"/>
        </w:rPr>
        <w:t xml:space="preserve"> </w:t>
      </w:r>
      <w:r>
        <w:rPr>
          <w:rFonts w:eastAsia="Arial Unicode MS"/>
          <w:b/>
          <w:sz w:val="22"/>
          <w:szCs w:val="22"/>
          <w:lang w:eastAsia="en-US"/>
        </w:rPr>
        <w:t>1:</w:t>
      </w:r>
      <w:r>
        <w:rPr>
          <w:rFonts w:eastAsia="Arial Unicode MS"/>
          <w:b/>
          <w:sz w:val="22"/>
          <w:szCs w:val="22"/>
          <w:lang w:eastAsia="en-US"/>
        </w:rPr>
        <w:t xml:space="preserve"> </w:t>
      </w:r>
      <w:r>
        <w:rPr>
          <w:rFonts w:eastAsia="Arial Unicode MS"/>
          <w:b/>
          <w:iCs/>
          <w:sz w:val="22"/>
          <w:szCs w:val="22"/>
          <w:lang w:eastAsia="en-US"/>
        </w:rPr>
        <w:t xml:space="preserve">Identification de la localisation et </w:t>
      </w:r>
      <w:r>
        <w:rPr>
          <w:rFonts w:eastAsia="Arial Unicode MS"/>
          <w:b/>
          <w:iCs/>
          <w:sz w:val="22"/>
          <w:szCs w:val="22"/>
          <w:lang w:eastAsia="en-US"/>
        </w:rPr>
        <w:t xml:space="preserve">définition des </w:t>
      </w:r>
      <w:r>
        <w:rPr>
          <w:rFonts w:eastAsia="Arial Unicode MS"/>
          <w:b/>
          <w:iCs/>
          <w:sz w:val="22"/>
          <w:szCs w:val="22"/>
          <w:lang w:eastAsia="en-US"/>
        </w:rPr>
        <w:t>principales caractéristiques techniques du sous-projet</w:t>
      </w:r>
    </w:p>
    <w:p>
      <w:pPr>
        <w:pStyle w:val="style0"/>
        <w:jc w:val="both"/>
        <w:rPr>
          <w:sz w:val="22"/>
          <w:szCs w:val="22"/>
        </w:rPr>
      </w:pPr>
      <w:r>
        <w:rPr>
          <w:sz w:val="22"/>
          <w:szCs w:val="22"/>
        </w:rPr>
        <w:t>L</w:t>
      </w:r>
      <w:r>
        <w:rPr>
          <w:sz w:val="22"/>
          <w:szCs w:val="22"/>
        </w:rPr>
        <w:t>e Responsable Technique (chargé de projet) de l</w:t>
      </w:r>
      <w:r>
        <w:rPr>
          <w:sz w:val="22"/>
          <w:szCs w:val="22"/>
        </w:rPr>
        <w:t>’UNC</w:t>
      </w:r>
      <w:r>
        <w:rPr>
          <w:sz w:val="22"/>
          <w:szCs w:val="22"/>
        </w:rPr>
        <w:t xml:space="preserve"> (RT/UNC)</w:t>
      </w:r>
      <w:r>
        <w:rPr>
          <w:sz w:val="22"/>
          <w:szCs w:val="22"/>
        </w:rPr>
        <w:t xml:space="preserve"> avec l’appui de la DGAHDI </w:t>
      </w:r>
      <w:r>
        <w:rPr>
          <w:sz w:val="22"/>
          <w:szCs w:val="22"/>
        </w:rPr>
        <w:t xml:space="preserve">assure la </w:t>
      </w:r>
      <w:r>
        <w:rPr>
          <w:sz w:val="22"/>
          <w:szCs w:val="22"/>
        </w:rPr>
        <w:t>coord</w:t>
      </w:r>
      <w:r>
        <w:rPr>
          <w:sz w:val="22"/>
          <w:szCs w:val="22"/>
        </w:rPr>
        <w:t>ination de l’étape d’i</w:t>
      </w:r>
      <w:r>
        <w:rPr>
          <w:iCs/>
          <w:sz w:val="22"/>
          <w:szCs w:val="22"/>
        </w:rPr>
        <w:t>dentification de la localisation</w:t>
      </w:r>
      <w:r>
        <w:rPr>
          <w:iCs/>
          <w:sz w:val="22"/>
          <w:szCs w:val="22"/>
        </w:rPr>
        <w:t xml:space="preserve"> et de définition des</w:t>
      </w:r>
      <w:r>
        <w:rPr>
          <w:iCs/>
          <w:sz w:val="22"/>
          <w:szCs w:val="22"/>
        </w:rPr>
        <w:t xml:space="preserve"> principales caractéristiques techniques du sous-projet</w:t>
      </w:r>
      <w:r>
        <w:rPr>
          <w:iCs/>
          <w:sz w:val="22"/>
          <w:szCs w:val="22"/>
        </w:rPr>
        <w:t>.</w:t>
      </w:r>
      <w:r>
        <w:rPr>
          <w:iCs/>
          <w:sz w:val="22"/>
          <w:szCs w:val="22"/>
        </w:rPr>
        <w:t xml:space="preserve"> </w:t>
      </w:r>
      <w:r>
        <w:rPr>
          <w:iCs/>
          <w:sz w:val="22"/>
          <w:szCs w:val="22"/>
        </w:rPr>
        <w:t xml:space="preserve">Ceci débouche sur </w:t>
      </w:r>
      <w:r>
        <w:rPr>
          <w:sz w:val="22"/>
          <w:szCs w:val="22"/>
        </w:rPr>
        <w:t>la préparation des dossiers techniques des activités à réaliser</w:t>
      </w:r>
      <w:r>
        <w:rPr>
          <w:sz w:val="22"/>
          <w:szCs w:val="22"/>
        </w:rPr>
        <w:t xml:space="preserve"> avec l’appui </w:t>
      </w:r>
      <w:r>
        <w:rPr>
          <w:sz w:val="22"/>
          <w:szCs w:val="22"/>
        </w:rPr>
        <w:t>de consultants.</w:t>
      </w:r>
      <w:r>
        <w:rPr>
          <w:sz w:val="22"/>
          <w:szCs w:val="22"/>
        </w:rPr>
        <w:t xml:space="preserve"> Il s’agira de procéder à l</w:t>
      </w:r>
      <w:r>
        <w:rPr>
          <w:sz w:val="22"/>
          <w:szCs w:val="22"/>
        </w:rPr>
        <w:t>a réalisation/actualisation des études APS</w:t>
      </w:r>
      <w:r>
        <w:rPr>
          <w:sz w:val="22"/>
          <w:szCs w:val="22"/>
        </w:rPr>
        <w:t>/</w:t>
      </w:r>
      <w:r>
        <w:rPr>
          <w:sz w:val="22"/>
          <w:szCs w:val="22"/>
        </w:rPr>
        <w:t xml:space="preserve">APD et DAO. </w:t>
      </w:r>
    </w:p>
    <w:p>
      <w:pPr>
        <w:pStyle w:val="style0"/>
        <w:jc w:val="both"/>
        <w:rPr>
          <w:rFonts w:eastAsia="Arial Unicode MS"/>
          <w:b/>
          <w:sz w:val="22"/>
          <w:szCs w:val="22"/>
          <w:lang w:eastAsia="en-US"/>
        </w:rPr>
      </w:pPr>
    </w:p>
    <w:p>
      <w:pPr>
        <w:pStyle w:val="style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 xml:space="preserve">2 : </w:t>
      </w:r>
      <w:r>
        <w:rPr>
          <w:rFonts w:eastAsia="Arial Unicode MS"/>
          <w:b/>
          <w:sz w:val="22"/>
          <w:szCs w:val="22"/>
          <w:lang w:eastAsia="en-US"/>
        </w:rPr>
        <w:t>S</w:t>
      </w:r>
      <w:r>
        <w:rPr>
          <w:rFonts w:eastAsia="Arial Unicode MS"/>
          <w:b/>
          <w:sz w:val="22"/>
          <w:szCs w:val="22"/>
          <w:lang w:eastAsia="en-US"/>
        </w:rPr>
        <w:t>élection environnementale et sociale</w:t>
      </w:r>
      <w:bookmarkEnd w:id="1332"/>
      <w:bookmarkEnd w:id="1333"/>
      <w:r>
        <w:rPr>
          <w:rFonts w:eastAsia="Arial Unicode MS"/>
          <w:b/>
          <w:sz w:val="22"/>
          <w:szCs w:val="22"/>
          <w:lang w:eastAsia="en-US"/>
        </w:rPr>
        <w:t xml:space="preserve"> du sous-projet </w:t>
      </w:r>
      <w:r>
        <w:rPr>
          <w:rFonts w:eastAsia="Arial Unicode MS"/>
          <w:b/>
          <w:sz w:val="22"/>
          <w:szCs w:val="22"/>
          <w:lang w:eastAsia="en-US"/>
        </w:rPr>
        <w:t xml:space="preserve"> </w:t>
      </w:r>
    </w:p>
    <w:p>
      <w:pPr>
        <w:pStyle w:val="style0"/>
        <w:jc w:val="both"/>
        <w:rPr>
          <w:sz w:val="22"/>
          <w:szCs w:val="22"/>
          <w:lang w:eastAsia="en-US"/>
        </w:rPr>
      </w:pPr>
      <w:r>
        <w:rPr>
          <w:sz w:val="22"/>
          <w:szCs w:val="22"/>
          <w:lang w:eastAsia="en-US"/>
        </w:rPr>
        <w:t xml:space="preserve">Pour chaque sous-projet susceptible d’impacter négativement les matrices de l’environnement ou les communautés, un formulaire de sélection environnementale et social sera rempli. Le type </w:t>
      </w:r>
      <w:r>
        <w:rPr>
          <w:sz w:val="22"/>
          <w:szCs w:val="22"/>
          <w:lang w:eastAsia="en-US"/>
        </w:rPr>
        <w:t xml:space="preserve">de </w:t>
      </w:r>
      <w:r>
        <w:rPr>
          <w:sz w:val="22"/>
          <w:szCs w:val="22"/>
          <w:lang w:eastAsia="en-US"/>
        </w:rPr>
        <w:t>formulaire de</w:t>
      </w:r>
      <w:r>
        <w:rPr>
          <w:sz w:val="22"/>
          <w:szCs w:val="22"/>
          <w:lang w:eastAsia="en-US"/>
        </w:rPr>
        <w:t xml:space="preserve"> sélection qui sera utilisé est donné en annexe du présent CGES (Annexe1). </w:t>
      </w:r>
    </w:p>
    <w:p>
      <w:pPr>
        <w:pStyle w:val="style0"/>
        <w:jc w:val="both"/>
        <w:rPr>
          <w:sz w:val="22"/>
          <w:szCs w:val="22"/>
          <w:lang w:eastAsia="en-US"/>
        </w:rPr>
      </w:pPr>
    </w:p>
    <w:p>
      <w:pPr>
        <w:pStyle w:val="style0"/>
        <w:jc w:val="both"/>
        <w:rPr>
          <w:sz w:val="22"/>
          <w:szCs w:val="22"/>
          <w:lang w:eastAsia="en-US"/>
        </w:rPr>
      </w:pPr>
      <w:r>
        <w:rPr>
          <w:sz w:val="22"/>
          <w:szCs w:val="22"/>
          <w:lang w:eastAsia="en-US"/>
        </w:rPr>
        <w:t>Le remplissage du formulaire sera réalisé par le Spécialiste en Sauvegarde Environnementale (</w:t>
      </w:r>
      <w:r>
        <w:rPr>
          <w:sz w:val="22"/>
          <w:szCs w:val="22"/>
          <w:lang w:eastAsia="en-US"/>
        </w:rPr>
        <w:t>S</w:t>
      </w:r>
      <w:r>
        <w:rPr>
          <w:sz w:val="22"/>
          <w:szCs w:val="22"/>
          <w:lang w:eastAsia="en-US"/>
        </w:rPr>
        <w:t>SE</w:t>
      </w:r>
      <w:r>
        <w:rPr>
          <w:sz w:val="22"/>
          <w:szCs w:val="22"/>
          <w:lang w:eastAsia="en-US"/>
        </w:rPr>
        <w:t>)</w:t>
      </w:r>
      <w:r>
        <w:rPr>
          <w:sz w:val="22"/>
          <w:szCs w:val="22"/>
          <w:lang w:eastAsia="en-US"/>
        </w:rPr>
        <w:t xml:space="preserve"> et le </w:t>
      </w:r>
      <w:r>
        <w:rPr>
          <w:sz w:val="22"/>
          <w:szCs w:val="22"/>
          <w:lang w:eastAsia="en-US"/>
        </w:rPr>
        <w:t xml:space="preserve">Spécialiste </w:t>
      </w:r>
      <w:r>
        <w:rPr>
          <w:sz w:val="22"/>
          <w:szCs w:val="22"/>
          <w:lang w:eastAsia="en-US"/>
        </w:rPr>
        <w:t xml:space="preserve">en </w:t>
      </w:r>
      <w:r>
        <w:rPr>
          <w:sz w:val="22"/>
          <w:szCs w:val="22"/>
          <w:lang w:eastAsia="en-US"/>
        </w:rPr>
        <w:t xml:space="preserve">Sauvegarde Sociale </w:t>
      </w:r>
      <w:r>
        <w:rPr>
          <w:sz w:val="22"/>
          <w:szCs w:val="22"/>
          <w:lang w:eastAsia="en-US"/>
        </w:rPr>
        <w:t>(SSS)</w:t>
      </w:r>
      <w:r>
        <w:rPr>
          <w:sz w:val="22"/>
          <w:szCs w:val="22"/>
          <w:lang w:eastAsia="en-US"/>
        </w:rPr>
        <w:t xml:space="preserve"> du </w:t>
      </w:r>
      <w:r>
        <w:rPr>
          <w:sz w:val="22"/>
          <w:szCs w:val="22"/>
          <w:lang w:eastAsia="en-US"/>
        </w:rPr>
        <w:t>PDCA</w:t>
      </w:r>
      <w:r>
        <w:rPr>
          <w:sz w:val="22"/>
          <w:szCs w:val="22"/>
          <w:lang w:eastAsia="en-US"/>
        </w:rPr>
        <w:t xml:space="preserve"> en collaboration avec les</w:t>
      </w:r>
      <w:r>
        <w:rPr>
          <w:sz w:val="22"/>
          <w:szCs w:val="22"/>
          <w:lang w:eastAsia="en-US"/>
        </w:rPr>
        <w:t xml:space="preserve"> Direction</w:t>
      </w:r>
      <w:r>
        <w:rPr>
          <w:sz w:val="22"/>
          <w:szCs w:val="22"/>
          <w:lang w:eastAsia="en-US"/>
        </w:rPr>
        <w:t>s</w:t>
      </w:r>
      <w:r>
        <w:rPr>
          <w:sz w:val="22"/>
          <w:szCs w:val="22"/>
          <w:lang w:eastAsia="en-US"/>
        </w:rPr>
        <w:t xml:space="preserve"> Régional</w:t>
      </w:r>
      <w:r>
        <w:rPr>
          <w:sz w:val="22"/>
          <w:szCs w:val="22"/>
          <w:lang w:eastAsia="en-US"/>
        </w:rPr>
        <w:t>e</w:t>
      </w:r>
      <w:r>
        <w:rPr>
          <w:sz w:val="22"/>
          <w:szCs w:val="22"/>
          <w:lang w:eastAsia="en-US"/>
        </w:rPr>
        <w:t>s</w:t>
      </w:r>
      <w:r>
        <w:rPr>
          <w:sz w:val="22"/>
          <w:szCs w:val="22"/>
          <w:lang w:eastAsia="en-US"/>
        </w:rPr>
        <w:t xml:space="preserve"> de l’Agriculture et des Aménagements Hydrauliques</w:t>
      </w:r>
      <w:r>
        <w:rPr>
          <w:sz w:val="22"/>
          <w:szCs w:val="22"/>
          <w:lang w:eastAsia="en-US"/>
        </w:rPr>
        <w:t xml:space="preserve"> </w:t>
      </w:r>
      <w:r>
        <w:rPr>
          <w:sz w:val="22"/>
          <w:szCs w:val="22"/>
          <w:lang w:eastAsia="en-US"/>
        </w:rPr>
        <w:t>(DRA</w:t>
      </w:r>
      <w:r>
        <w:rPr>
          <w:sz w:val="22"/>
          <w:szCs w:val="22"/>
          <w:lang w:eastAsia="en-US"/>
        </w:rPr>
        <w:t>AH), les services techniqu</w:t>
      </w:r>
      <w:r>
        <w:rPr>
          <w:sz w:val="22"/>
          <w:szCs w:val="22"/>
          <w:lang w:eastAsia="en-US"/>
        </w:rPr>
        <w:t>es déconcentrés du Ministère des Ressources Animales et Halieutiques (MR</w:t>
      </w:r>
      <w:r>
        <w:rPr>
          <w:sz w:val="22"/>
          <w:szCs w:val="22"/>
          <w:lang w:eastAsia="en-US"/>
        </w:rPr>
        <w:t xml:space="preserve">AH), </w:t>
      </w:r>
      <w:r>
        <w:rPr>
          <w:sz w:val="22"/>
          <w:szCs w:val="22"/>
          <w:lang w:eastAsia="en-US"/>
        </w:rPr>
        <w:t>du Ministère</w:t>
      </w:r>
      <w:r>
        <w:rPr>
          <w:sz w:val="22"/>
          <w:szCs w:val="22"/>
          <w:lang w:eastAsia="en-US"/>
        </w:rPr>
        <w:t xml:space="preserve"> de la Santé</w:t>
      </w:r>
      <w:r>
        <w:rPr>
          <w:sz w:val="22"/>
          <w:szCs w:val="22"/>
          <w:lang w:eastAsia="en-US"/>
        </w:rPr>
        <w:t xml:space="preserve"> </w:t>
      </w:r>
      <w:r>
        <w:rPr>
          <w:sz w:val="22"/>
          <w:szCs w:val="22"/>
          <w:lang w:eastAsia="en-US"/>
        </w:rPr>
        <w:t>(MS)</w:t>
      </w:r>
      <w:r>
        <w:rPr>
          <w:sz w:val="22"/>
          <w:szCs w:val="22"/>
          <w:lang w:eastAsia="en-US"/>
        </w:rPr>
        <w:t xml:space="preserve">, du Ministère des </w:t>
      </w:r>
      <w:r>
        <w:rPr>
          <w:sz w:val="22"/>
          <w:szCs w:val="22"/>
          <w:lang w:eastAsia="en-US"/>
        </w:rPr>
        <w:t>Infrastructures</w:t>
      </w:r>
      <w:r>
        <w:rPr>
          <w:sz w:val="22"/>
          <w:szCs w:val="22"/>
          <w:lang w:eastAsia="en-US"/>
        </w:rPr>
        <w:t xml:space="preserve"> </w:t>
      </w:r>
      <w:r>
        <w:rPr>
          <w:sz w:val="22"/>
          <w:szCs w:val="22"/>
          <w:lang w:eastAsia="en-US"/>
        </w:rPr>
        <w:t xml:space="preserve">et du Ministère de l’Environnement, de l’Economie Verte et du Changement Climatique (MEEVCC) de chaque région. </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De même, dans ce processus de remplissage </w:t>
      </w:r>
      <w:r>
        <w:rPr>
          <w:sz w:val="22"/>
          <w:szCs w:val="22"/>
          <w:lang w:eastAsia="en-US"/>
        </w:rPr>
        <w:t>du formulaire</w:t>
      </w:r>
      <w:r>
        <w:rPr>
          <w:sz w:val="22"/>
          <w:szCs w:val="22"/>
          <w:lang w:eastAsia="en-US"/>
        </w:rPr>
        <w:t xml:space="preserve">, les collectivités locales et les Organisations de producteurs interviendront de façon active dans la collecte et l’analyse de l’information. Pour y parvenir, le renforcement des capacités de ces acteurs locaux sur les aspects environnementaux et sociaux des activités </w:t>
      </w:r>
      <w:r>
        <w:rPr>
          <w:sz w:val="22"/>
          <w:szCs w:val="22"/>
          <w:lang w:eastAsia="en-US"/>
        </w:rPr>
        <w:t>du Programme</w:t>
      </w:r>
      <w:r>
        <w:rPr>
          <w:sz w:val="22"/>
          <w:szCs w:val="22"/>
          <w:lang w:eastAsia="en-US"/>
        </w:rPr>
        <w:t xml:space="preserve">, s’avère nécessaire. </w:t>
      </w:r>
    </w:p>
    <w:p>
      <w:pPr>
        <w:pStyle w:val="style0"/>
        <w:jc w:val="both"/>
        <w:rPr>
          <w:sz w:val="22"/>
          <w:szCs w:val="22"/>
          <w:lang w:eastAsia="en-US"/>
        </w:rPr>
      </w:pPr>
    </w:p>
    <w:p>
      <w:pPr>
        <w:pStyle w:val="style0"/>
        <w:jc w:val="both"/>
        <w:rPr>
          <w:sz w:val="22"/>
          <w:szCs w:val="22"/>
          <w:lang w:eastAsia="en-US"/>
        </w:rPr>
      </w:pPr>
      <w:r>
        <w:rPr>
          <w:sz w:val="22"/>
          <w:szCs w:val="22"/>
          <w:lang w:eastAsia="en-US"/>
        </w:rPr>
        <w:t>Enfin, le SSE</w:t>
      </w:r>
      <w:r>
        <w:rPr>
          <w:sz w:val="22"/>
          <w:szCs w:val="22"/>
          <w:lang w:eastAsia="en-US"/>
        </w:rPr>
        <w:t xml:space="preserve"> et le SSS</w:t>
      </w:r>
      <w:r>
        <w:rPr>
          <w:sz w:val="22"/>
          <w:szCs w:val="22"/>
          <w:lang w:eastAsia="en-US"/>
        </w:rPr>
        <w:t xml:space="preserve">/PDCA </w:t>
      </w:r>
      <w:r>
        <w:rPr>
          <w:sz w:val="22"/>
          <w:szCs w:val="22"/>
          <w:lang w:eastAsia="en-US"/>
        </w:rPr>
        <w:t>assurer</w:t>
      </w:r>
      <w:r>
        <w:rPr>
          <w:sz w:val="22"/>
          <w:szCs w:val="22"/>
          <w:lang w:eastAsia="en-US"/>
        </w:rPr>
        <w:t>ont</w:t>
      </w:r>
      <w:r>
        <w:rPr>
          <w:sz w:val="22"/>
          <w:szCs w:val="22"/>
          <w:lang w:eastAsia="en-US"/>
        </w:rPr>
        <w:t xml:space="preserve"> </w:t>
      </w:r>
      <w:r>
        <w:rPr>
          <w:sz w:val="22"/>
          <w:szCs w:val="22"/>
          <w:lang w:eastAsia="en-US"/>
        </w:rPr>
        <w:t xml:space="preserve">également l’implication </w:t>
      </w:r>
      <w:r>
        <w:rPr>
          <w:bCs/>
          <w:sz w:val="22"/>
          <w:szCs w:val="22"/>
          <w:lang w:eastAsia="en-US"/>
        </w:rPr>
        <w:t>des</w:t>
      </w:r>
      <w:r>
        <w:rPr>
          <w:bCs/>
          <w:sz w:val="22"/>
          <w:szCs w:val="22"/>
          <w:lang w:eastAsia="en-US"/>
        </w:rPr>
        <w:t xml:space="preserve"> Unités régionales de coordination (URC)  </w:t>
      </w:r>
      <w:r>
        <w:rPr>
          <w:bCs/>
          <w:sz w:val="22"/>
          <w:szCs w:val="22"/>
          <w:lang w:eastAsia="en-US"/>
        </w:rPr>
        <w:t xml:space="preserve">déployées </w:t>
      </w:r>
      <w:r>
        <w:rPr>
          <w:sz w:val="22"/>
          <w:szCs w:val="22"/>
          <w:lang w:eastAsia="en-US"/>
        </w:rPr>
        <w:t xml:space="preserve">dans chacune des </w:t>
      </w:r>
      <w:r>
        <w:rPr>
          <w:sz w:val="22"/>
          <w:szCs w:val="22"/>
          <w:lang w:eastAsia="en-US"/>
        </w:rPr>
        <w:t xml:space="preserve">quatre (4) </w:t>
      </w:r>
      <w:r>
        <w:rPr>
          <w:sz w:val="22"/>
          <w:szCs w:val="22"/>
          <w:lang w:eastAsia="en-US"/>
        </w:rPr>
        <w:t>régions d’intervention du Programme,</w:t>
      </w:r>
    </w:p>
    <w:p>
      <w:pPr>
        <w:pStyle w:val="style0"/>
        <w:jc w:val="both"/>
        <w:rPr>
          <w:sz w:val="22"/>
          <w:szCs w:val="22"/>
          <w:lang w:eastAsia="en-US"/>
        </w:rPr>
      </w:pPr>
    </w:p>
    <w:p>
      <w:pPr>
        <w:pStyle w:val="style0"/>
        <w:jc w:val="both"/>
        <w:rPr>
          <w:sz w:val="22"/>
          <w:szCs w:val="22"/>
          <w:lang w:eastAsia="en-US"/>
        </w:rPr>
      </w:pPr>
      <w:r>
        <w:rPr>
          <w:sz w:val="22"/>
          <w:szCs w:val="22"/>
          <w:lang w:eastAsia="en-US"/>
        </w:rPr>
        <w:t>Après le remplissage du formulaire, l</w:t>
      </w:r>
      <w:r>
        <w:rPr>
          <w:sz w:val="22"/>
          <w:szCs w:val="22"/>
          <w:lang w:eastAsia="en-US"/>
        </w:rPr>
        <w:t xml:space="preserve">a classification de chaque sous-projet soumis à sélection se fera suivant </w:t>
      </w:r>
      <w:r>
        <w:rPr>
          <w:sz w:val="22"/>
          <w:szCs w:val="22"/>
          <w:lang w:eastAsia="en-US"/>
        </w:rPr>
        <w:t>la catégorisation environnementale arrêtée</w:t>
      </w:r>
      <w:r>
        <w:rPr>
          <w:sz w:val="22"/>
          <w:szCs w:val="22"/>
          <w:lang w:eastAsia="en-US"/>
        </w:rPr>
        <w:t xml:space="preserve"> </w:t>
      </w:r>
      <w:r>
        <w:rPr>
          <w:sz w:val="22"/>
          <w:szCs w:val="22"/>
          <w:lang w:eastAsia="en-US"/>
        </w:rPr>
        <w:t>par</w:t>
      </w:r>
      <w:r>
        <w:rPr>
          <w:sz w:val="22"/>
          <w:szCs w:val="22"/>
          <w:lang w:eastAsia="en-US"/>
        </w:rPr>
        <w:t xml:space="preserve"> </w:t>
      </w:r>
      <w:r>
        <w:rPr>
          <w:sz w:val="22"/>
          <w:szCs w:val="22"/>
          <w:lang w:eastAsia="en-US"/>
        </w:rPr>
        <w:t xml:space="preserve">la législation nationale </w:t>
      </w:r>
      <w:r>
        <w:rPr>
          <w:sz w:val="22"/>
          <w:szCs w:val="22"/>
          <w:lang w:eastAsia="en-US"/>
        </w:rPr>
        <w:t>et qui épouse parfaitement celle définie par l</w:t>
      </w:r>
      <w:r>
        <w:rPr>
          <w:sz w:val="22"/>
          <w:szCs w:val="22"/>
          <w:lang w:eastAsia="en-US"/>
        </w:rPr>
        <w:t>es politiques de sauvegarde de la Banque mondiale</w:t>
      </w:r>
      <w:r>
        <w:rPr>
          <w:sz w:val="22"/>
          <w:szCs w:val="22"/>
          <w:lang w:eastAsia="en-US"/>
        </w:rPr>
        <w:t>.</w:t>
      </w:r>
      <w:r>
        <w:rPr>
          <w:sz w:val="22"/>
          <w:szCs w:val="22"/>
          <w:lang w:eastAsia="en-US"/>
        </w:rPr>
        <w:t xml:space="preserve"> </w:t>
      </w:r>
      <w:r>
        <w:rPr>
          <w:sz w:val="22"/>
          <w:szCs w:val="22"/>
          <w:lang w:eastAsia="en-US"/>
        </w:rPr>
        <w:t>Il s’agit de</w:t>
      </w:r>
      <w:r>
        <w:rPr>
          <w:sz w:val="22"/>
          <w:szCs w:val="22"/>
          <w:lang w:eastAsia="en-US"/>
        </w:rPr>
        <w:t xml:space="preserve"> :  </w:t>
      </w:r>
    </w:p>
    <w:p>
      <w:pPr>
        <w:pStyle w:val="style0"/>
        <w:numPr>
          <w:ilvl w:val="0"/>
          <w:numId w:val="99"/>
        </w:numPr>
        <w:autoSpaceDE w:val="false"/>
        <w:autoSpaceDN w:val="false"/>
        <w:adjustRightInd w:val="false"/>
        <w:ind w:left="360"/>
        <w:rPr>
          <w:sz w:val="22"/>
          <w:szCs w:val="22"/>
          <w:lang w:eastAsia="en-US"/>
        </w:rPr>
      </w:pPr>
      <w:r>
        <w:rPr>
          <w:sz w:val="22"/>
          <w:szCs w:val="22"/>
          <w:lang w:eastAsia="en-US"/>
        </w:rPr>
        <w:t>Catégorie A : activités soumises à une étude d'impact environnemental et social (EIES) ;</w:t>
      </w:r>
    </w:p>
    <w:p>
      <w:pPr>
        <w:pStyle w:val="style0"/>
        <w:numPr>
          <w:ilvl w:val="0"/>
          <w:numId w:val="99"/>
        </w:numPr>
        <w:autoSpaceDE w:val="false"/>
        <w:autoSpaceDN w:val="false"/>
        <w:adjustRightInd w:val="false"/>
        <w:ind w:left="360"/>
        <w:rPr>
          <w:sz w:val="22"/>
          <w:szCs w:val="22"/>
          <w:lang w:eastAsia="en-US"/>
        </w:rPr>
      </w:pPr>
      <w:r>
        <w:rPr>
          <w:sz w:val="22"/>
          <w:szCs w:val="22"/>
          <w:lang w:eastAsia="en-US"/>
        </w:rPr>
        <w:t>Catégorie B : activités soumises à une notice d'impact environnemental et social (NIES) ;</w:t>
      </w:r>
    </w:p>
    <w:p>
      <w:pPr>
        <w:pStyle w:val="style0"/>
        <w:numPr>
          <w:ilvl w:val="0"/>
          <w:numId w:val="99"/>
        </w:numPr>
        <w:autoSpaceDE w:val="false"/>
        <w:autoSpaceDN w:val="false"/>
        <w:adjustRightInd w:val="false"/>
        <w:ind w:left="360"/>
        <w:rPr>
          <w:sz w:val="22"/>
          <w:szCs w:val="22"/>
          <w:lang w:eastAsia="en-US"/>
        </w:rPr>
      </w:pPr>
      <w:r>
        <w:rPr>
          <w:sz w:val="22"/>
          <w:szCs w:val="22"/>
          <w:lang w:eastAsia="en-US"/>
        </w:rPr>
        <w:t>Catégorie C : activités faisant objet de prescriptions environnementales et sociales.</w:t>
      </w:r>
    </w:p>
    <w:p>
      <w:pPr>
        <w:pStyle w:val="style0"/>
        <w:ind w:left="360"/>
        <w:jc w:val="both"/>
        <w:rPr>
          <w:sz w:val="22"/>
          <w:szCs w:val="22"/>
          <w:lang w:eastAsia="en-US"/>
        </w:rPr>
      </w:pP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Le </w:t>
      </w:r>
      <w:r>
        <w:rPr>
          <w:sz w:val="22"/>
          <w:szCs w:val="22"/>
          <w:lang w:eastAsia="en-US"/>
        </w:rPr>
        <w:t>PDCA</w:t>
      </w:r>
      <w:r>
        <w:rPr>
          <w:sz w:val="22"/>
          <w:szCs w:val="22"/>
          <w:lang w:eastAsia="en-US"/>
        </w:rPr>
        <w:t xml:space="preserve"> </w:t>
      </w:r>
      <w:r>
        <w:rPr>
          <w:sz w:val="22"/>
          <w:szCs w:val="22"/>
          <w:lang w:eastAsia="en-US"/>
        </w:rPr>
        <w:t>est classé en</w:t>
      </w:r>
      <w:r>
        <w:rPr>
          <w:sz w:val="22"/>
          <w:szCs w:val="22"/>
          <w:lang w:eastAsia="en-US"/>
        </w:rPr>
        <w:t xml:space="preserve"> catégorie « </w:t>
      </w:r>
      <w:r>
        <w:rPr>
          <w:sz w:val="22"/>
          <w:szCs w:val="22"/>
          <w:lang w:eastAsia="en-US"/>
        </w:rPr>
        <w:t>A</w:t>
      </w:r>
      <w:r>
        <w:rPr>
          <w:sz w:val="22"/>
          <w:szCs w:val="22"/>
          <w:lang w:eastAsia="en-US"/>
        </w:rPr>
        <w:t> </w:t>
      </w:r>
      <w:r>
        <w:rPr>
          <w:sz w:val="22"/>
          <w:szCs w:val="22"/>
          <w:lang w:eastAsia="en-US"/>
        </w:rPr>
        <w:t>» suivant l’évaluation environnementale de la Banque mondiale</w:t>
      </w:r>
      <w:r>
        <w:rPr>
          <w:sz w:val="22"/>
          <w:szCs w:val="22"/>
          <w:lang w:eastAsia="en-US"/>
        </w:rPr>
        <w:t>.</w:t>
      </w:r>
    </w:p>
    <w:p>
      <w:pPr>
        <w:pStyle w:val="style0"/>
        <w:jc w:val="both"/>
        <w:rPr>
          <w:sz w:val="22"/>
          <w:szCs w:val="22"/>
          <w:lang w:eastAsia="en-US"/>
        </w:rPr>
      </w:pPr>
      <w:r>
        <w:rPr>
          <w:sz w:val="22"/>
          <w:szCs w:val="22"/>
          <w:lang w:eastAsia="en-US"/>
        </w:rPr>
        <w:t xml:space="preserve"> </w:t>
      </w:r>
    </w:p>
    <w:p>
      <w:pPr>
        <w:pStyle w:val="style0"/>
        <w:jc w:val="both"/>
        <w:rPr>
          <w:sz w:val="22"/>
          <w:szCs w:val="22"/>
          <w:lang w:eastAsia="en-US"/>
        </w:rPr>
      </w:pPr>
      <w:r>
        <w:rPr>
          <w:sz w:val="22"/>
          <w:szCs w:val="22"/>
          <w:lang w:eastAsia="en-US"/>
        </w:rPr>
        <w:t xml:space="preserve">Suivant l’ampleur des impacts négatifs potentiels du sous-projet, le </w:t>
      </w:r>
      <w:r>
        <w:rPr>
          <w:sz w:val="22"/>
          <w:szCs w:val="22"/>
          <w:lang w:eastAsia="en-US"/>
        </w:rPr>
        <w:t>S</w:t>
      </w:r>
      <w:r>
        <w:rPr>
          <w:sz w:val="22"/>
          <w:szCs w:val="22"/>
          <w:lang w:eastAsia="en-US"/>
        </w:rPr>
        <w:t>SE</w:t>
      </w:r>
      <w:r>
        <w:rPr>
          <w:sz w:val="22"/>
          <w:szCs w:val="22"/>
          <w:lang w:eastAsia="en-US"/>
        </w:rPr>
        <w:t xml:space="preserve"> et le SSS </w:t>
      </w:r>
      <w:r>
        <w:rPr>
          <w:sz w:val="22"/>
          <w:szCs w:val="22"/>
          <w:lang w:eastAsia="en-US"/>
        </w:rPr>
        <w:t>/</w:t>
      </w:r>
      <w:r>
        <w:rPr>
          <w:sz w:val="22"/>
          <w:szCs w:val="22"/>
          <w:lang w:eastAsia="en-US"/>
        </w:rPr>
        <w:t>PDCA</w:t>
      </w:r>
      <w:r>
        <w:rPr>
          <w:sz w:val="22"/>
          <w:szCs w:val="22"/>
          <w:lang w:eastAsia="en-US"/>
        </w:rPr>
        <w:t xml:space="preserve"> </w:t>
      </w:r>
      <w:r>
        <w:rPr>
          <w:sz w:val="22"/>
          <w:szCs w:val="22"/>
          <w:lang w:eastAsia="en-US"/>
        </w:rPr>
        <w:t>procéder</w:t>
      </w:r>
      <w:r>
        <w:rPr>
          <w:sz w:val="22"/>
          <w:szCs w:val="22"/>
          <w:lang w:eastAsia="en-US"/>
        </w:rPr>
        <w:t>ont</w:t>
      </w:r>
      <w:r>
        <w:rPr>
          <w:sz w:val="22"/>
          <w:szCs w:val="22"/>
          <w:lang w:eastAsia="en-US"/>
        </w:rPr>
        <w:t xml:space="preserve"> </w:t>
      </w:r>
      <w:r>
        <w:rPr>
          <w:sz w:val="22"/>
          <w:szCs w:val="22"/>
          <w:lang w:eastAsia="en-US"/>
        </w:rPr>
        <w:t xml:space="preserve">à la classification du sous-projet en indiquant la catégorie correspondante suivant les trois (3) catégories ci-dessus et </w:t>
      </w:r>
      <w:r>
        <w:rPr>
          <w:sz w:val="22"/>
          <w:szCs w:val="22"/>
          <w:lang w:eastAsia="en-US"/>
        </w:rPr>
        <w:t>formuler</w:t>
      </w:r>
      <w:r>
        <w:rPr>
          <w:sz w:val="22"/>
          <w:szCs w:val="22"/>
          <w:lang w:eastAsia="en-US"/>
        </w:rPr>
        <w:t>ont</w:t>
      </w:r>
      <w:r>
        <w:rPr>
          <w:sz w:val="22"/>
          <w:szCs w:val="22"/>
          <w:lang w:eastAsia="en-US"/>
        </w:rPr>
        <w:t xml:space="preserve"> </w:t>
      </w:r>
      <w:r>
        <w:rPr>
          <w:sz w:val="22"/>
          <w:szCs w:val="22"/>
          <w:lang w:eastAsia="en-US"/>
        </w:rPr>
        <w:t xml:space="preserve">une recommandation pour dire si : </w:t>
      </w:r>
    </w:p>
    <w:p>
      <w:pPr>
        <w:pStyle w:val="style0"/>
        <w:numPr>
          <w:ilvl w:val="0"/>
          <w:numId w:val="130"/>
        </w:numPr>
        <w:jc w:val="both"/>
        <w:rPr>
          <w:sz w:val="22"/>
          <w:szCs w:val="22"/>
          <w:lang w:eastAsia="en-US"/>
        </w:rPr>
      </w:pPr>
      <w:r>
        <w:rPr>
          <w:sz w:val="22"/>
          <w:szCs w:val="22"/>
          <w:lang w:eastAsia="en-US"/>
        </w:rPr>
        <w:t>une EIES spécifique devra être effectuée ;</w:t>
      </w:r>
    </w:p>
    <w:p>
      <w:pPr>
        <w:pStyle w:val="style0"/>
        <w:numPr>
          <w:ilvl w:val="0"/>
          <w:numId w:val="130"/>
        </w:numPr>
        <w:jc w:val="both"/>
        <w:rPr>
          <w:sz w:val="22"/>
          <w:szCs w:val="22"/>
          <w:lang w:eastAsia="en-US"/>
        </w:rPr>
      </w:pPr>
      <w:r>
        <w:rPr>
          <w:sz w:val="22"/>
          <w:szCs w:val="22"/>
          <w:lang w:eastAsia="en-US"/>
        </w:rPr>
        <w:t xml:space="preserve">une NIES est à réaliser ; </w:t>
      </w:r>
    </w:p>
    <w:p>
      <w:pPr>
        <w:pStyle w:val="style0"/>
        <w:numPr>
          <w:ilvl w:val="0"/>
          <w:numId w:val="130"/>
        </w:numPr>
        <w:jc w:val="both"/>
        <w:rPr>
          <w:sz w:val="22"/>
          <w:szCs w:val="22"/>
          <w:lang w:eastAsia="en-US"/>
        </w:rPr>
      </w:pPr>
      <w:r>
        <w:rPr>
          <w:sz w:val="22"/>
          <w:szCs w:val="22"/>
          <w:lang w:eastAsia="en-US"/>
        </w:rPr>
        <w:t xml:space="preserve">un travail environnemental et social ne sera pas nécessaire et que l’application de simples mesures d’atténuation suffira. </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Une fois le formulaire de sélection environnementale et sociale est validé par le </w:t>
      </w:r>
      <w:r>
        <w:rPr>
          <w:sz w:val="22"/>
          <w:szCs w:val="22"/>
          <w:lang w:eastAsia="en-US"/>
        </w:rPr>
        <w:t>S</w:t>
      </w:r>
      <w:r>
        <w:rPr>
          <w:sz w:val="22"/>
          <w:szCs w:val="22"/>
          <w:lang w:eastAsia="en-US"/>
        </w:rPr>
        <w:t>SE</w:t>
      </w:r>
      <w:r>
        <w:rPr>
          <w:sz w:val="22"/>
          <w:szCs w:val="22"/>
          <w:lang w:eastAsia="en-US"/>
        </w:rPr>
        <w:t xml:space="preserve"> et le SSS </w:t>
      </w:r>
      <w:r>
        <w:rPr>
          <w:sz w:val="22"/>
          <w:szCs w:val="22"/>
          <w:lang w:eastAsia="en-US"/>
        </w:rPr>
        <w:t>/</w:t>
      </w:r>
      <w:r>
        <w:rPr>
          <w:sz w:val="22"/>
          <w:szCs w:val="22"/>
          <w:lang w:eastAsia="en-US"/>
        </w:rPr>
        <w:t>PDCA</w:t>
      </w:r>
      <w:r>
        <w:rPr>
          <w:sz w:val="22"/>
          <w:szCs w:val="22"/>
          <w:lang w:eastAsia="en-US"/>
        </w:rPr>
        <w:t xml:space="preserve">, il sera soumis au BUNEE pour observations et approbation. </w:t>
      </w:r>
    </w:p>
    <w:p>
      <w:pPr>
        <w:pStyle w:val="style0"/>
        <w:jc w:val="both"/>
        <w:rPr>
          <w:sz w:val="22"/>
          <w:szCs w:val="22"/>
          <w:lang w:eastAsia="en-US"/>
        </w:rPr>
      </w:pPr>
    </w:p>
    <w:p>
      <w:pPr>
        <w:pStyle w:val="style0"/>
        <w:jc w:val="both"/>
        <w:rPr>
          <w:b/>
          <w:sz w:val="22"/>
          <w:szCs w:val="22"/>
          <w:lang w:eastAsia="en-US"/>
        </w:rPr>
      </w:pPr>
      <w:r>
        <w:rPr>
          <w:b/>
          <w:sz w:val="22"/>
          <w:szCs w:val="22"/>
          <w:lang w:eastAsia="en-US"/>
        </w:rPr>
        <w:t xml:space="preserve">Etape </w:t>
      </w:r>
      <w:r>
        <w:rPr>
          <w:b/>
          <w:sz w:val="22"/>
          <w:szCs w:val="22"/>
          <w:lang w:eastAsia="en-US"/>
        </w:rPr>
        <w:t>3</w:t>
      </w:r>
      <w:r>
        <w:rPr>
          <w:b/>
          <w:sz w:val="22"/>
          <w:szCs w:val="22"/>
          <w:lang w:eastAsia="en-US"/>
        </w:rPr>
        <w:t xml:space="preserve">: </w:t>
      </w:r>
      <w:r>
        <w:rPr>
          <w:b/>
          <w:iCs/>
          <w:sz w:val="22"/>
          <w:szCs w:val="22"/>
          <w:lang w:eastAsia="en-US"/>
        </w:rPr>
        <w:t>Approbation de la catégorisation</w:t>
      </w:r>
      <w:r>
        <w:rPr>
          <w:b/>
          <w:iCs/>
          <w:sz w:val="22"/>
          <w:szCs w:val="22"/>
          <w:lang w:eastAsia="en-US"/>
        </w:rPr>
        <w:t xml:space="preserve"> environnementale du sous-projet</w:t>
      </w:r>
    </w:p>
    <w:p>
      <w:pPr>
        <w:pStyle w:val="style0"/>
        <w:jc w:val="both"/>
        <w:rPr>
          <w:sz w:val="22"/>
          <w:szCs w:val="22"/>
          <w:lang w:eastAsia="en-US"/>
        </w:rPr>
      </w:pPr>
      <w:r>
        <w:rPr>
          <w:bCs/>
          <w:sz w:val="22"/>
          <w:szCs w:val="22"/>
          <w:lang w:eastAsia="en-US"/>
        </w:rPr>
        <w:t>Une fois rempli</w:t>
      </w:r>
      <w:r>
        <w:rPr>
          <w:sz w:val="22"/>
          <w:szCs w:val="22"/>
          <w:lang w:eastAsia="en-US"/>
        </w:rPr>
        <w:t xml:space="preserve">, </w:t>
      </w:r>
      <w:r>
        <w:rPr>
          <w:bCs/>
          <w:sz w:val="22"/>
          <w:szCs w:val="22"/>
          <w:lang w:eastAsia="en-US"/>
        </w:rPr>
        <w:t xml:space="preserve">le formulaire de sélection environnementale et sociale sera soumis </w:t>
      </w:r>
      <w:r>
        <w:rPr>
          <w:sz w:val="22"/>
          <w:szCs w:val="22"/>
          <w:lang w:eastAsia="en-US"/>
        </w:rPr>
        <w:t>au BUNEE</w:t>
      </w:r>
      <w:r>
        <w:rPr>
          <w:sz w:val="22"/>
          <w:szCs w:val="22"/>
          <w:lang w:eastAsia="en-US"/>
        </w:rPr>
        <w:t xml:space="preserve"> par le biais du SSE de l’UNC/PDCA</w:t>
      </w:r>
      <w:r>
        <w:rPr>
          <w:bCs/>
          <w:sz w:val="22"/>
          <w:szCs w:val="22"/>
          <w:lang w:eastAsia="en-US"/>
        </w:rPr>
        <w:t>, pour observations.</w:t>
      </w:r>
    </w:p>
    <w:p>
      <w:pPr>
        <w:pStyle w:val="style0"/>
        <w:jc w:val="both"/>
        <w:rPr>
          <w:b/>
          <w:bCs/>
          <w:sz w:val="22"/>
          <w:szCs w:val="22"/>
          <w:lang w:eastAsia="en-US"/>
        </w:rPr>
      </w:pPr>
    </w:p>
    <w:bookmarkStart w:id="1337" w:name="_Toc468886935"/>
    <w:bookmarkStart w:id="1338" w:name="_Toc518551490"/>
    <w:p>
      <w:pPr>
        <w:pStyle w:val="style0"/>
        <w:numPr>
          <w:ilvl w:val="2"/>
          <w:numId w:val="0"/>
        </w:numPr>
        <w:tabs>
          <w:tab w:val="left" w:leader="none" w:pos="720"/>
        </w:tabs>
        <w:ind w:left="720" w:hanging="72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4</w:t>
      </w:r>
      <w:r>
        <w:rPr>
          <w:rFonts w:eastAsia="Arial Unicode MS"/>
          <w:b/>
          <w:sz w:val="22"/>
          <w:szCs w:val="22"/>
          <w:lang w:eastAsia="en-US"/>
        </w:rPr>
        <w:t> </w:t>
      </w:r>
      <w:r>
        <w:rPr>
          <w:rFonts w:eastAsia="Arial Unicode MS"/>
          <w:b/>
          <w:sz w:val="22"/>
          <w:szCs w:val="22"/>
          <w:lang w:eastAsia="en-US"/>
        </w:rPr>
        <w:t>: Réalisation du « travail » environnemental et social</w:t>
      </w:r>
      <w:bookmarkEnd w:id="1337"/>
      <w:bookmarkEnd w:id="1338"/>
    </w:p>
    <w:p>
      <w:pPr>
        <w:pStyle w:val="style0"/>
        <w:jc w:val="both"/>
        <w:rPr>
          <w:sz w:val="22"/>
          <w:szCs w:val="22"/>
          <w:lang w:eastAsia="en-US"/>
        </w:rPr>
      </w:pPr>
      <w:r>
        <w:rPr>
          <w:sz w:val="22"/>
          <w:szCs w:val="22"/>
          <w:lang w:eastAsia="en-US"/>
        </w:rPr>
        <w:t>Le travail environnemental et social se réalisera de la manière suivante :</w:t>
      </w:r>
    </w:p>
    <w:p>
      <w:pPr>
        <w:pStyle w:val="style0"/>
        <w:jc w:val="both"/>
        <w:rPr>
          <w:sz w:val="22"/>
          <w:szCs w:val="22"/>
          <w:lang w:eastAsia="en-US"/>
        </w:rPr>
      </w:pPr>
    </w:p>
    <w:p>
      <w:pPr>
        <w:pStyle w:val="style0"/>
        <w:numPr>
          <w:ilvl w:val="0"/>
          <w:numId w:val="130"/>
        </w:numPr>
        <w:jc w:val="both"/>
        <w:rPr>
          <w:sz w:val="22"/>
          <w:szCs w:val="22"/>
          <w:lang w:eastAsia="en-US"/>
        </w:rPr>
      </w:pPr>
      <w:r>
        <w:rPr>
          <w:b/>
          <w:sz w:val="22"/>
          <w:szCs w:val="22"/>
          <w:lang w:eastAsia="en-US"/>
        </w:rPr>
        <w:t>Lorsqu’une évaluation environnementale spécifique n’est pas nécessaire</w:t>
      </w:r>
      <w:r>
        <w:rPr>
          <w:sz w:val="22"/>
          <w:szCs w:val="22"/>
          <w:lang w:eastAsia="en-US"/>
        </w:rPr>
        <w:t> :</w:t>
      </w:r>
    </w:p>
    <w:p>
      <w:pPr>
        <w:pStyle w:val="style0"/>
        <w:jc w:val="both"/>
        <w:rPr>
          <w:sz w:val="22"/>
          <w:szCs w:val="22"/>
          <w:lang w:eastAsia="en-US"/>
        </w:rPr>
      </w:pPr>
      <w:r>
        <w:rPr>
          <w:sz w:val="22"/>
          <w:szCs w:val="22"/>
          <w:lang w:eastAsia="en-US"/>
        </w:rPr>
        <w:t xml:space="preserve">Dans ce cas, le </w:t>
      </w:r>
      <w:r>
        <w:rPr>
          <w:sz w:val="22"/>
          <w:szCs w:val="22"/>
          <w:lang w:eastAsia="en-US"/>
        </w:rPr>
        <w:t>S</w:t>
      </w:r>
      <w:r>
        <w:rPr>
          <w:sz w:val="22"/>
          <w:szCs w:val="22"/>
          <w:lang w:eastAsia="en-US"/>
        </w:rPr>
        <w:t>SE</w:t>
      </w:r>
      <w:r>
        <w:rPr>
          <w:sz w:val="22"/>
          <w:szCs w:val="22"/>
          <w:lang w:eastAsia="en-US"/>
        </w:rPr>
        <w:t xml:space="preserve"> et le SSS </w:t>
      </w:r>
      <w:r>
        <w:rPr>
          <w:sz w:val="22"/>
          <w:szCs w:val="22"/>
          <w:lang w:eastAsia="en-US"/>
        </w:rPr>
        <w:t>/</w:t>
      </w:r>
      <w:r>
        <w:rPr>
          <w:sz w:val="22"/>
          <w:szCs w:val="22"/>
          <w:lang w:eastAsia="en-US"/>
        </w:rPr>
        <w:t xml:space="preserve">PDCA </w:t>
      </w:r>
      <w:r>
        <w:rPr>
          <w:sz w:val="22"/>
          <w:szCs w:val="22"/>
          <w:lang w:eastAsia="en-US"/>
        </w:rPr>
        <w:t>sélectionner</w:t>
      </w:r>
      <w:r>
        <w:rPr>
          <w:sz w:val="22"/>
          <w:szCs w:val="22"/>
          <w:lang w:eastAsia="en-US"/>
        </w:rPr>
        <w:t xml:space="preserve">ont </w:t>
      </w:r>
      <w:r>
        <w:rPr>
          <w:sz w:val="22"/>
          <w:szCs w:val="22"/>
          <w:lang w:eastAsia="en-US"/>
        </w:rPr>
        <w:t xml:space="preserve">les mesures d’atténuation des impacts négatifs du </w:t>
      </w:r>
      <w:r>
        <w:rPr>
          <w:sz w:val="22"/>
          <w:szCs w:val="22"/>
          <w:lang w:eastAsia="en-US"/>
        </w:rPr>
        <w:t>sous-</w:t>
      </w:r>
      <w:r>
        <w:rPr>
          <w:sz w:val="22"/>
          <w:szCs w:val="22"/>
          <w:lang w:eastAsia="en-US"/>
        </w:rPr>
        <w:t>projet proposé à l’annexe du présent CGES.</w:t>
      </w:r>
      <w:r>
        <w:rPr>
          <w:sz w:val="22"/>
          <w:szCs w:val="22"/>
          <w:lang w:eastAsia="en-US"/>
        </w:rPr>
        <w:t xml:space="preserve"> </w:t>
      </w:r>
    </w:p>
    <w:p>
      <w:pPr>
        <w:pStyle w:val="style0"/>
        <w:jc w:val="both"/>
        <w:rPr>
          <w:sz w:val="22"/>
          <w:szCs w:val="22"/>
          <w:lang w:eastAsia="en-US"/>
        </w:rPr>
      </w:pPr>
    </w:p>
    <w:p>
      <w:pPr>
        <w:pStyle w:val="style0"/>
        <w:numPr>
          <w:ilvl w:val="0"/>
          <w:numId w:val="130"/>
        </w:numPr>
        <w:jc w:val="both"/>
        <w:rPr>
          <w:b/>
          <w:sz w:val="22"/>
          <w:szCs w:val="22"/>
          <w:lang w:eastAsia="en-US"/>
        </w:rPr>
      </w:pPr>
      <w:r>
        <w:rPr>
          <w:b/>
          <w:sz w:val="22"/>
          <w:szCs w:val="22"/>
          <w:lang w:eastAsia="en-US"/>
        </w:rPr>
        <w:t>Lorsqu’une évaluation environnementale spécifique est éventuellement nécessaire pour une activité donnée :</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Le </w:t>
      </w:r>
      <w:r>
        <w:rPr>
          <w:sz w:val="22"/>
          <w:szCs w:val="22"/>
          <w:lang w:eastAsia="en-US"/>
        </w:rPr>
        <w:t>S</w:t>
      </w:r>
      <w:r>
        <w:rPr>
          <w:sz w:val="22"/>
          <w:szCs w:val="22"/>
          <w:lang w:eastAsia="en-US"/>
        </w:rPr>
        <w:t>SE</w:t>
      </w:r>
      <w:r>
        <w:rPr>
          <w:sz w:val="22"/>
          <w:szCs w:val="22"/>
          <w:lang w:eastAsia="en-US"/>
        </w:rPr>
        <w:t xml:space="preserve"> et le SSS </w:t>
      </w:r>
      <w:r>
        <w:rPr>
          <w:sz w:val="22"/>
          <w:szCs w:val="22"/>
          <w:lang w:eastAsia="en-US"/>
        </w:rPr>
        <w:t>/</w:t>
      </w:r>
      <w:r>
        <w:rPr>
          <w:sz w:val="22"/>
          <w:szCs w:val="22"/>
          <w:lang w:eastAsia="en-US"/>
        </w:rPr>
        <w:t>PDCA</w:t>
      </w:r>
      <w:r>
        <w:rPr>
          <w:sz w:val="22"/>
          <w:szCs w:val="22"/>
          <w:lang w:eastAsia="en-US"/>
        </w:rPr>
        <w:t xml:space="preserve"> </w:t>
      </w:r>
      <w:r>
        <w:rPr>
          <w:sz w:val="22"/>
          <w:szCs w:val="22"/>
          <w:lang w:eastAsia="en-US"/>
        </w:rPr>
        <w:t>effectuer</w:t>
      </w:r>
      <w:r>
        <w:rPr>
          <w:sz w:val="22"/>
          <w:szCs w:val="22"/>
          <w:lang w:eastAsia="en-US"/>
        </w:rPr>
        <w:t>ont</w:t>
      </w:r>
      <w:r>
        <w:rPr>
          <w:sz w:val="22"/>
          <w:szCs w:val="22"/>
          <w:lang w:eastAsia="en-US"/>
        </w:rPr>
        <w:t xml:space="preserve"> </w:t>
      </w:r>
      <w:r>
        <w:rPr>
          <w:sz w:val="22"/>
          <w:szCs w:val="22"/>
          <w:lang w:eastAsia="en-US"/>
        </w:rPr>
        <w:t xml:space="preserve">les activités suivantes : (i) préparation des termes de référence (TDR) pour les </w:t>
      </w:r>
      <w:r>
        <w:rPr>
          <w:b/>
          <w:sz w:val="22"/>
          <w:szCs w:val="22"/>
          <w:lang w:eastAsia="en-US"/>
        </w:rPr>
        <w:t>évaluations environnementales spécifiques</w:t>
      </w:r>
      <w:r>
        <w:rPr>
          <w:sz w:val="22"/>
          <w:szCs w:val="22"/>
          <w:lang w:eastAsia="en-US"/>
        </w:rPr>
        <w:t xml:space="preserve">, (ii) approbation des TDR, (iii) recrutement d’un consultant pour la réalisation des </w:t>
      </w:r>
      <w:r>
        <w:rPr>
          <w:b/>
          <w:sz w:val="22"/>
          <w:szCs w:val="22"/>
          <w:lang w:eastAsia="en-US"/>
        </w:rPr>
        <w:t>évaluations environnementales spécifiques</w:t>
      </w:r>
      <w:r>
        <w:rPr>
          <w:sz w:val="22"/>
          <w:szCs w:val="22"/>
          <w:lang w:eastAsia="en-US"/>
        </w:rPr>
        <w:t xml:space="preserve">, (iv) la réalisation des </w:t>
      </w:r>
      <w:r>
        <w:rPr>
          <w:b/>
          <w:sz w:val="22"/>
          <w:szCs w:val="22"/>
          <w:lang w:eastAsia="en-US"/>
        </w:rPr>
        <w:t>évaluations environnementales spécifiques</w:t>
      </w:r>
      <w:r>
        <w:rPr>
          <w:sz w:val="22"/>
          <w:szCs w:val="22"/>
          <w:lang w:eastAsia="en-US"/>
        </w:rPr>
        <w:t xml:space="preserve">.  </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Au cours de l’étape 4, interviennent également l’examen et l’approbation des rapports d’évaluations environnementales spécifiques. </w:t>
      </w:r>
      <w:r>
        <w:rPr>
          <w:sz w:val="22"/>
          <w:szCs w:val="22"/>
          <w:lang w:eastAsia="en-US"/>
        </w:rPr>
        <w:t>Le BUNEE avec l’appui des autres services techniques concernés</w:t>
      </w:r>
      <w:r>
        <w:rPr>
          <w:sz w:val="22"/>
          <w:szCs w:val="22"/>
          <w:lang w:eastAsia="en-US"/>
        </w:rPr>
        <w:t>,</w:t>
      </w:r>
      <w:r>
        <w:rPr>
          <w:sz w:val="22"/>
          <w:szCs w:val="22"/>
          <w:lang w:eastAsia="en-US"/>
        </w:rPr>
        <w:t xml:space="preserve"> va procéder à l’examen des </w:t>
      </w:r>
      <w:r>
        <w:rPr>
          <w:sz w:val="22"/>
          <w:szCs w:val="22"/>
          <w:lang w:eastAsia="en-US"/>
        </w:rPr>
        <w:t>rapports d’</w:t>
      </w:r>
      <w:r>
        <w:rPr>
          <w:sz w:val="22"/>
          <w:szCs w:val="22"/>
          <w:lang w:eastAsia="en-US"/>
        </w:rPr>
        <w:t>études environnementales réalisées pour les sous</w:t>
      </w:r>
      <w:r>
        <w:rPr>
          <w:sz w:val="22"/>
          <w:szCs w:val="22"/>
          <w:lang w:eastAsia="en-US"/>
        </w:rPr>
        <w:t>-</w:t>
      </w:r>
      <w:r>
        <w:rPr>
          <w:sz w:val="22"/>
          <w:szCs w:val="22"/>
          <w:lang w:eastAsia="en-US"/>
        </w:rPr>
        <w:t xml:space="preserve">projets du </w:t>
      </w:r>
      <w:r>
        <w:rPr>
          <w:sz w:val="22"/>
          <w:szCs w:val="22"/>
          <w:lang w:eastAsia="en-US"/>
        </w:rPr>
        <w:t>PDCA</w:t>
      </w:r>
      <w:r>
        <w:rPr>
          <w:sz w:val="22"/>
          <w:szCs w:val="22"/>
          <w:lang w:eastAsia="en-US"/>
        </w:rPr>
        <w:t xml:space="preserve"> en vue de leur approbation ou rejet.  </w:t>
      </w:r>
      <w:r>
        <w:rPr>
          <w:sz w:val="22"/>
          <w:szCs w:val="22"/>
          <w:lang w:eastAsia="en-US"/>
        </w:rPr>
        <w:t>Le Ministre de l'Environnement, de l’Economie Verte et du Changement Climatique donne, par écrit, à l’unité de coordination du projet, un avis sur la faisabilité environnementale du projet à réaliser. En cas d'avis défavorable, celui-ci doit être dûment motivé.</w:t>
      </w:r>
    </w:p>
    <w:p>
      <w:pPr>
        <w:pStyle w:val="style0"/>
        <w:jc w:val="both"/>
        <w:rPr>
          <w:sz w:val="22"/>
          <w:szCs w:val="22"/>
          <w:lang w:eastAsia="en-US"/>
        </w:rPr>
      </w:pPr>
    </w:p>
    <w:bookmarkStart w:id="1339" w:name="_Toc468886938"/>
    <w:bookmarkStart w:id="1340" w:name="_Toc518551493"/>
    <w:p>
      <w:pPr>
        <w:pStyle w:val="style0"/>
        <w:numPr>
          <w:ilvl w:val="2"/>
          <w:numId w:val="0"/>
        </w:numPr>
        <w:tabs>
          <w:tab w:val="left" w:leader="none" w:pos="720"/>
        </w:tabs>
        <w:ind w:left="720" w:hanging="720"/>
        <w:jc w:val="both"/>
        <w:rPr>
          <w:rFonts w:eastAsia="Arial Unicode MS"/>
          <w:b/>
          <w:sz w:val="22"/>
          <w:szCs w:val="22"/>
          <w:lang w:eastAsia="en-US"/>
        </w:rPr>
      </w:pPr>
      <w:r>
        <w:rPr>
          <w:rFonts w:eastAsia="Arial Unicode MS"/>
          <w:b/>
          <w:sz w:val="22"/>
          <w:szCs w:val="22"/>
          <w:lang w:eastAsia="en-US"/>
        </w:rPr>
        <w:t xml:space="preserve">Étape </w:t>
      </w:r>
      <w:r>
        <w:rPr>
          <w:rFonts w:eastAsia="Arial Unicode MS"/>
          <w:b/>
          <w:sz w:val="22"/>
          <w:szCs w:val="22"/>
          <w:lang w:eastAsia="en-US"/>
        </w:rPr>
        <w:t>5</w:t>
      </w:r>
      <w:r>
        <w:rPr>
          <w:rFonts w:eastAsia="Arial Unicode MS"/>
          <w:b/>
          <w:sz w:val="22"/>
          <w:szCs w:val="22"/>
          <w:lang w:eastAsia="en-US"/>
        </w:rPr>
        <w:t> </w:t>
      </w:r>
      <w:r>
        <w:rPr>
          <w:rFonts w:eastAsia="Arial Unicode MS"/>
          <w:b/>
          <w:sz w:val="22"/>
          <w:szCs w:val="22"/>
          <w:lang w:eastAsia="en-US"/>
        </w:rPr>
        <w:t xml:space="preserve">: </w:t>
      </w:r>
      <w:r>
        <w:rPr>
          <w:rFonts w:eastAsia="Arial Unicode MS"/>
          <w:b/>
          <w:iCs/>
          <w:sz w:val="22"/>
          <w:szCs w:val="22"/>
          <w:lang w:eastAsia="en-US"/>
        </w:rPr>
        <w:t>Intégration dans le dossier d’appel d’offres (DAO) du sous-projet, de toutes les mesures de la phase des travaux contractualisables avec l’entreprise</w:t>
      </w:r>
    </w:p>
    <w:bookmarkEnd w:id="1339"/>
    <w:bookmarkEnd w:id="1340"/>
    <w:p>
      <w:pPr>
        <w:pStyle w:val="style0"/>
        <w:jc w:val="both"/>
        <w:rPr>
          <w:sz w:val="22"/>
          <w:szCs w:val="22"/>
          <w:lang w:eastAsia="en-US"/>
        </w:rPr>
      </w:pPr>
      <w:r>
        <w:rPr>
          <w:sz w:val="22"/>
          <w:szCs w:val="22"/>
          <w:lang w:eastAsia="en-US"/>
        </w:rPr>
        <w:t xml:space="preserve">En cas de travail environnemental, le </w:t>
      </w:r>
      <w:r>
        <w:rPr>
          <w:sz w:val="22"/>
          <w:szCs w:val="22"/>
          <w:lang w:eastAsia="en-US"/>
        </w:rPr>
        <w:t>S</w:t>
      </w:r>
      <w:r>
        <w:rPr>
          <w:sz w:val="22"/>
          <w:szCs w:val="22"/>
          <w:lang w:eastAsia="en-US"/>
        </w:rPr>
        <w:t>SE</w:t>
      </w:r>
      <w:r>
        <w:rPr>
          <w:sz w:val="22"/>
          <w:szCs w:val="22"/>
          <w:lang w:eastAsia="en-US"/>
        </w:rPr>
        <w:t xml:space="preserve"> et le SSS</w:t>
      </w:r>
      <w:r>
        <w:rPr>
          <w:sz w:val="22"/>
          <w:szCs w:val="22"/>
          <w:lang w:eastAsia="en-US"/>
        </w:rPr>
        <w:t>/</w:t>
      </w:r>
      <w:r>
        <w:rPr>
          <w:sz w:val="22"/>
          <w:szCs w:val="22"/>
          <w:lang w:eastAsia="en-US"/>
        </w:rPr>
        <w:t>PDCA</w:t>
      </w:r>
      <w:r>
        <w:rPr>
          <w:sz w:val="22"/>
          <w:szCs w:val="22"/>
          <w:lang w:eastAsia="en-US"/>
        </w:rPr>
        <w:t xml:space="preserve">, </w:t>
      </w:r>
      <w:r>
        <w:rPr>
          <w:sz w:val="22"/>
          <w:szCs w:val="22"/>
          <w:lang w:eastAsia="en-US"/>
        </w:rPr>
        <w:t>veiller</w:t>
      </w:r>
      <w:r>
        <w:rPr>
          <w:sz w:val="22"/>
          <w:szCs w:val="22"/>
          <w:lang w:eastAsia="en-US"/>
        </w:rPr>
        <w:t>ont</w:t>
      </w:r>
      <w:r>
        <w:rPr>
          <w:sz w:val="22"/>
          <w:szCs w:val="22"/>
          <w:lang w:eastAsia="en-US"/>
        </w:rPr>
        <w:t xml:space="preserve"> </w:t>
      </w:r>
      <w:r>
        <w:rPr>
          <w:sz w:val="22"/>
          <w:szCs w:val="22"/>
          <w:lang w:eastAsia="en-US"/>
        </w:rPr>
        <w:t xml:space="preserve">à ce que les recommandations et autres mesures de gestion environnementale et sociale soient intégrées dans les Dossiers d’Appel d’Offre (DAO) et les dossiers d’exécution des travaux de réalisation d’infrastructure. </w:t>
      </w:r>
      <w:r>
        <w:rPr>
          <w:sz w:val="22"/>
          <w:szCs w:val="22"/>
          <w:lang w:eastAsia="en-US"/>
        </w:rPr>
        <w:t>Le SSE</w:t>
      </w:r>
      <w:r>
        <w:rPr>
          <w:sz w:val="22"/>
          <w:szCs w:val="22"/>
          <w:lang w:eastAsia="en-US"/>
        </w:rPr>
        <w:t xml:space="preserve"> et le SSS</w:t>
      </w:r>
      <w:r>
        <w:rPr>
          <w:sz w:val="22"/>
          <w:szCs w:val="22"/>
          <w:lang w:eastAsia="en-US"/>
        </w:rPr>
        <w:t xml:space="preserve">/PDCA </w:t>
      </w:r>
      <w:r>
        <w:rPr>
          <w:sz w:val="22"/>
          <w:szCs w:val="22"/>
          <w:lang w:eastAsia="en-US"/>
        </w:rPr>
        <w:t xml:space="preserve">travailleront </w:t>
      </w:r>
      <w:r>
        <w:rPr>
          <w:sz w:val="22"/>
          <w:szCs w:val="22"/>
          <w:lang w:eastAsia="en-US"/>
        </w:rPr>
        <w:t xml:space="preserve">en collaboration avec le </w:t>
      </w:r>
      <w:r>
        <w:rPr>
          <w:sz w:val="22"/>
          <w:szCs w:val="22"/>
          <w:lang w:eastAsia="en-US"/>
        </w:rPr>
        <w:t>spécialiste en passation de marché</w:t>
      </w:r>
      <w:r>
        <w:rPr>
          <w:sz w:val="22"/>
          <w:szCs w:val="22"/>
          <w:lang w:eastAsia="en-US"/>
        </w:rPr>
        <w:t xml:space="preserve"> </w:t>
      </w:r>
      <w:r>
        <w:rPr>
          <w:sz w:val="22"/>
          <w:szCs w:val="22"/>
          <w:lang w:eastAsia="en-US"/>
        </w:rPr>
        <w:t>(SPM) et le R</w:t>
      </w:r>
      <w:r>
        <w:rPr>
          <w:sz w:val="22"/>
          <w:szCs w:val="22"/>
          <w:lang w:eastAsia="en-US"/>
        </w:rPr>
        <w:t xml:space="preserve">esponsable </w:t>
      </w:r>
      <w:r>
        <w:rPr>
          <w:sz w:val="22"/>
          <w:szCs w:val="22"/>
          <w:lang w:eastAsia="en-US"/>
        </w:rPr>
        <w:t>T</w:t>
      </w:r>
      <w:r>
        <w:rPr>
          <w:sz w:val="22"/>
          <w:szCs w:val="22"/>
          <w:lang w:eastAsia="en-US"/>
        </w:rPr>
        <w:t>echnique de l’activité en question</w:t>
      </w:r>
      <w:r>
        <w:rPr>
          <w:sz w:val="22"/>
          <w:szCs w:val="22"/>
          <w:lang w:eastAsia="en-US"/>
        </w:rPr>
        <w:t xml:space="preserve"> du PDCA.</w:t>
      </w:r>
    </w:p>
    <w:p>
      <w:pPr>
        <w:pStyle w:val="style0"/>
        <w:jc w:val="both"/>
        <w:rPr>
          <w:sz w:val="22"/>
          <w:szCs w:val="22"/>
          <w:lang w:eastAsia="en-US"/>
        </w:rPr>
      </w:pPr>
    </w:p>
    <w:bookmarkStart w:id="1341" w:name="_Toc468886939"/>
    <w:bookmarkStart w:id="1342" w:name="_Toc518551494"/>
    <w:p>
      <w:pPr>
        <w:pStyle w:val="style0"/>
        <w:numPr>
          <w:ilvl w:val="2"/>
          <w:numId w:val="0"/>
        </w:numPr>
        <w:tabs>
          <w:tab w:val="left" w:leader="none" w:pos="720"/>
        </w:tabs>
        <w:ind w:left="720" w:hanging="72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6</w:t>
      </w:r>
      <w:r>
        <w:rPr>
          <w:rFonts w:eastAsia="Arial Unicode MS"/>
          <w:b/>
          <w:sz w:val="22"/>
          <w:szCs w:val="22"/>
          <w:lang w:eastAsia="en-US"/>
        </w:rPr>
        <w:t> </w:t>
      </w:r>
      <w:r>
        <w:rPr>
          <w:rFonts w:eastAsia="Arial Unicode MS"/>
          <w:b/>
          <w:sz w:val="22"/>
          <w:szCs w:val="22"/>
          <w:lang w:eastAsia="en-US"/>
        </w:rPr>
        <w:t xml:space="preserve">: </w:t>
      </w:r>
      <w:r>
        <w:rPr>
          <w:rFonts w:eastAsia="Arial Unicode MS"/>
          <w:b/>
          <w:iCs/>
          <w:sz w:val="22"/>
          <w:szCs w:val="22"/>
          <w:lang w:eastAsia="en-US"/>
        </w:rPr>
        <w:t>Exécution/m</w:t>
      </w:r>
      <w:r>
        <w:rPr>
          <w:rFonts w:eastAsia="Arial Unicode MS"/>
          <w:b/>
          <w:iCs/>
          <w:sz w:val="22"/>
          <w:szCs w:val="22"/>
          <w:lang w:eastAsia="en-US"/>
        </w:rPr>
        <w:t>ise en œuvre des mesures contractualisées avec l’entreprise de construction</w:t>
      </w:r>
    </w:p>
    <w:bookmarkEnd w:id="1341"/>
    <w:bookmarkEnd w:id="1342"/>
    <w:p>
      <w:pPr>
        <w:pStyle w:val="style0"/>
        <w:jc w:val="both"/>
        <w:rPr>
          <w:sz w:val="22"/>
          <w:szCs w:val="22"/>
          <w:lang w:eastAsia="en-US"/>
        </w:rPr>
      </w:pPr>
      <w:r>
        <w:rPr>
          <w:sz w:val="22"/>
          <w:szCs w:val="22"/>
          <w:lang w:eastAsia="en-US"/>
        </w:rPr>
        <w:t xml:space="preserve">Pour la réalisation de chaque sous-projet, les entreprises de travaux sont chargées </w:t>
      </w:r>
      <w:r>
        <w:rPr>
          <w:sz w:val="22"/>
          <w:szCs w:val="22"/>
          <w:lang w:eastAsia="en-US"/>
        </w:rPr>
        <w:t xml:space="preserve">contractuellement </w:t>
      </w:r>
      <w:r>
        <w:rPr>
          <w:sz w:val="22"/>
          <w:szCs w:val="22"/>
          <w:lang w:eastAsia="en-US"/>
        </w:rPr>
        <w:t xml:space="preserve">de la mise en œuvre des mesures environnementales et sociales. </w:t>
      </w:r>
    </w:p>
    <w:p>
      <w:pPr>
        <w:pStyle w:val="style0"/>
        <w:jc w:val="both"/>
        <w:rPr>
          <w:sz w:val="22"/>
          <w:szCs w:val="22"/>
          <w:lang w:eastAsia="en-US"/>
        </w:rPr>
      </w:pPr>
    </w:p>
    <w:p>
      <w:pPr>
        <w:pStyle w:val="style0"/>
        <w:jc w:val="both"/>
        <w:rPr>
          <w:rFonts w:eastAsia="MS Mincho"/>
          <w:iCs/>
          <w:sz w:val="22"/>
          <w:szCs w:val="22"/>
        </w:rPr>
      </w:pPr>
      <w:r>
        <w:rPr>
          <w:rFonts w:eastAsia="Arial Unicode MS"/>
          <w:b/>
          <w:sz w:val="22"/>
          <w:szCs w:val="22"/>
          <w:lang w:eastAsia="en-US"/>
        </w:rPr>
        <w:t xml:space="preserve">Etape 7 : </w:t>
      </w:r>
      <w:r>
        <w:rPr>
          <w:rFonts w:eastAsia="MS Mincho"/>
          <w:b/>
          <w:iCs/>
          <w:sz w:val="22"/>
          <w:szCs w:val="22"/>
        </w:rPr>
        <w:t>Surveillance interne de la mise en œuvre des mesures environnementales et sociales</w:t>
      </w:r>
    </w:p>
    <w:p>
      <w:pPr>
        <w:pStyle w:val="style0"/>
        <w:jc w:val="both"/>
        <w:rPr>
          <w:sz w:val="22"/>
          <w:szCs w:val="22"/>
          <w:lang w:eastAsia="en-US"/>
        </w:rPr>
      </w:pPr>
      <w:r>
        <w:rPr>
          <w:sz w:val="22"/>
          <w:szCs w:val="22"/>
          <w:lang w:eastAsia="en-US"/>
        </w:rPr>
        <w:t>La s</w:t>
      </w:r>
      <w:r>
        <w:rPr>
          <w:sz w:val="22"/>
          <w:szCs w:val="22"/>
          <w:lang w:eastAsia="en-US"/>
        </w:rPr>
        <w:t xml:space="preserve">urveillance </w:t>
      </w:r>
      <w:r>
        <w:rPr>
          <w:sz w:val="22"/>
          <w:szCs w:val="22"/>
          <w:lang w:eastAsia="en-US"/>
        </w:rPr>
        <w:t xml:space="preserve">interne </w:t>
      </w:r>
      <w:r>
        <w:rPr>
          <w:sz w:val="22"/>
          <w:szCs w:val="22"/>
          <w:lang w:eastAsia="en-US"/>
        </w:rPr>
        <w:t xml:space="preserve">de la mise en œuvre des mesures environnementales et sociales </w:t>
      </w:r>
      <w:r>
        <w:rPr>
          <w:sz w:val="22"/>
          <w:szCs w:val="22"/>
          <w:lang w:eastAsia="en-US"/>
        </w:rPr>
        <w:t xml:space="preserve">est de la responsabilité de  l’UNC/PDCA à travers le </w:t>
      </w:r>
      <w:r>
        <w:rPr>
          <w:sz w:val="22"/>
          <w:szCs w:val="22"/>
          <w:lang w:eastAsia="en-US"/>
        </w:rPr>
        <w:t xml:space="preserve">SSE et </w:t>
      </w:r>
      <w:r>
        <w:rPr>
          <w:sz w:val="22"/>
          <w:szCs w:val="22"/>
          <w:lang w:eastAsia="en-US"/>
        </w:rPr>
        <w:t xml:space="preserve">le </w:t>
      </w:r>
      <w:r>
        <w:rPr>
          <w:sz w:val="22"/>
          <w:szCs w:val="22"/>
          <w:lang w:eastAsia="en-US"/>
        </w:rPr>
        <w:t>SSS</w:t>
      </w:r>
      <w:r>
        <w:rPr>
          <w:sz w:val="22"/>
          <w:szCs w:val="22"/>
          <w:lang w:eastAsia="en-US"/>
        </w:rPr>
        <w:t>. Ces derniers s’appuieront sur les rapports de suivi préparés par le</w:t>
      </w:r>
      <w:r>
        <w:rPr>
          <w:sz w:val="22"/>
          <w:szCs w:val="22"/>
          <w:lang w:eastAsia="en-US"/>
        </w:rPr>
        <w:t xml:space="preserve"> Bureau de contrôle</w:t>
      </w:r>
      <w:r>
        <w:rPr>
          <w:sz w:val="22"/>
          <w:szCs w:val="22"/>
          <w:lang w:eastAsia="en-US"/>
        </w:rPr>
        <w:t xml:space="preserve"> et consultants recrutés par l’UCN/PDCA. </w:t>
      </w:r>
      <w:r>
        <w:rPr>
          <w:sz w:val="22"/>
          <w:szCs w:val="22"/>
          <w:lang w:eastAsia="en-US"/>
        </w:rPr>
        <w:t xml:space="preserve">Pour ce qui est de </w:t>
      </w:r>
      <w:r>
        <w:rPr>
          <w:sz w:val="22"/>
          <w:szCs w:val="22"/>
          <w:lang w:eastAsia="en-US"/>
        </w:rPr>
        <w:t>la d</w:t>
      </w:r>
      <w:r>
        <w:rPr>
          <w:sz w:val="22"/>
          <w:szCs w:val="22"/>
          <w:lang w:eastAsia="en-US"/>
        </w:rPr>
        <w:t>iffusion du rapport de surveillance interne</w:t>
      </w:r>
      <w:r>
        <w:rPr>
          <w:sz w:val="22"/>
          <w:szCs w:val="22"/>
          <w:lang w:eastAsia="en-US"/>
        </w:rPr>
        <w:t>, elle se fera par le SSE et le SSS sous la responsabilité du</w:t>
      </w:r>
      <w:r>
        <w:rPr>
          <w:sz w:val="22"/>
          <w:szCs w:val="22"/>
          <w:lang w:eastAsia="en-US"/>
        </w:rPr>
        <w:t xml:space="preserve"> Coordonnateur </w:t>
      </w:r>
      <w:r>
        <w:rPr>
          <w:sz w:val="22"/>
          <w:szCs w:val="22"/>
          <w:lang w:eastAsia="en-US"/>
        </w:rPr>
        <w:t>de l’UNC/</w:t>
      </w:r>
      <w:r>
        <w:rPr>
          <w:sz w:val="22"/>
          <w:szCs w:val="22"/>
          <w:lang w:eastAsia="en-US"/>
        </w:rPr>
        <w:t>PDCA</w:t>
      </w:r>
      <w:r>
        <w:rPr>
          <w:sz w:val="22"/>
          <w:szCs w:val="22"/>
          <w:lang w:eastAsia="en-US"/>
        </w:rPr>
        <w:t>.</w:t>
      </w:r>
    </w:p>
    <w:p>
      <w:pPr>
        <w:pStyle w:val="style0"/>
        <w:jc w:val="both"/>
        <w:rPr>
          <w:rFonts w:eastAsia="MS Mincho"/>
          <w:iCs/>
        </w:rPr>
      </w:pPr>
    </w:p>
    <w:p>
      <w:pPr>
        <w:pStyle w:val="style0"/>
        <w:jc w:val="both"/>
        <w:rPr>
          <w:sz w:val="22"/>
          <w:szCs w:val="22"/>
          <w:lang w:eastAsia="en-US"/>
        </w:rPr>
      </w:pPr>
      <w:r>
        <w:rPr>
          <w:sz w:val="22"/>
          <w:szCs w:val="22"/>
          <w:lang w:eastAsia="en-US"/>
        </w:rPr>
        <w:t>La surveillance externe sera assurée par le BUNEE.</w:t>
      </w:r>
    </w:p>
    <w:p>
      <w:pPr>
        <w:pStyle w:val="style0"/>
        <w:jc w:val="both"/>
        <w:rPr>
          <w:rFonts w:eastAsia="MS Mincho"/>
          <w:iCs/>
        </w:rPr>
      </w:pPr>
    </w:p>
    <w:p>
      <w:pPr>
        <w:pStyle w:val="style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8</w:t>
      </w:r>
      <w:r>
        <w:rPr>
          <w:rFonts w:eastAsia="Arial Unicode MS"/>
          <w:b/>
          <w:sz w:val="22"/>
          <w:szCs w:val="22"/>
          <w:lang w:eastAsia="en-US"/>
        </w:rPr>
        <w:t xml:space="preserve"> : </w:t>
      </w:r>
      <w:r>
        <w:rPr>
          <w:rFonts w:eastAsia="Arial Unicode MS"/>
          <w:b/>
          <w:sz w:val="22"/>
          <w:szCs w:val="22"/>
          <w:lang w:eastAsia="en-US"/>
        </w:rPr>
        <w:t>Suivi environnemental et social</w:t>
      </w:r>
    </w:p>
    <w:p>
      <w:pPr>
        <w:pStyle w:val="style0"/>
        <w:jc w:val="both"/>
        <w:rPr>
          <w:sz w:val="22"/>
          <w:szCs w:val="22"/>
          <w:lang w:eastAsia="en-US"/>
        </w:rPr>
      </w:pPr>
      <w:r>
        <w:rPr>
          <w:sz w:val="22"/>
          <w:szCs w:val="22"/>
          <w:lang w:eastAsia="en-US"/>
        </w:rPr>
        <w:t>L’étape du suivi environnemental et social du sous-projet est conduite sous la responsabilité du</w:t>
      </w:r>
      <w:r>
        <w:rPr>
          <w:sz w:val="22"/>
          <w:szCs w:val="22"/>
          <w:lang w:eastAsia="en-US"/>
        </w:rPr>
        <w:t xml:space="preserve"> </w:t>
      </w:r>
      <w:r>
        <w:rPr>
          <w:sz w:val="22"/>
          <w:szCs w:val="22"/>
          <w:lang w:eastAsia="en-US"/>
        </w:rPr>
        <w:t xml:space="preserve">SSE et </w:t>
      </w:r>
      <w:r>
        <w:rPr>
          <w:sz w:val="22"/>
          <w:szCs w:val="22"/>
          <w:lang w:eastAsia="en-US"/>
        </w:rPr>
        <w:t xml:space="preserve">du </w:t>
      </w:r>
      <w:r>
        <w:rPr>
          <w:sz w:val="22"/>
          <w:szCs w:val="22"/>
          <w:lang w:eastAsia="en-US"/>
        </w:rPr>
        <w:t xml:space="preserve">SSS </w:t>
      </w:r>
      <w:r>
        <w:rPr>
          <w:sz w:val="22"/>
          <w:szCs w:val="22"/>
          <w:lang w:eastAsia="en-US"/>
        </w:rPr>
        <w:t>qui auront recours aux l</w:t>
      </w:r>
      <w:r>
        <w:rPr>
          <w:sz w:val="22"/>
          <w:szCs w:val="22"/>
          <w:lang w:eastAsia="en-US"/>
        </w:rPr>
        <w:t>aboratoires</w:t>
      </w:r>
      <w:r>
        <w:rPr>
          <w:sz w:val="22"/>
          <w:szCs w:val="22"/>
          <w:lang w:eastAsia="en-US"/>
        </w:rPr>
        <w:t xml:space="preserve"> et </w:t>
      </w:r>
      <w:r>
        <w:rPr>
          <w:sz w:val="22"/>
          <w:szCs w:val="22"/>
          <w:lang w:eastAsia="en-US"/>
        </w:rPr>
        <w:t>centres spécialisés</w:t>
      </w:r>
      <w:r>
        <w:rPr>
          <w:sz w:val="22"/>
          <w:szCs w:val="22"/>
          <w:lang w:eastAsia="en-US"/>
        </w:rPr>
        <w:t xml:space="preserve"> en la matière ainsi qu’à des </w:t>
      </w:r>
      <w:r>
        <w:rPr>
          <w:sz w:val="22"/>
          <w:szCs w:val="22"/>
          <w:lang w:eastAsia="en-US"/>
        </w:rPr>
        <w:t>ONG</w:t>
      </w:r>
      <w:r>
        <w:rPr>
          <w:sz w:val="22"/>
          <w:szCs w:val="22"/>
          <w:lang w:eastAsia="en-US"/>
        </w:rPr>
        <w:t xml:space="preserve"> en cas de besoin. </w:t>
      </w:r>
    </w:p>
    <w:p>
      <w:pPr>
        <w:pStyle w:val="style0"/>
        <w:jc w:val="both"/>
        <w:rPr>
          <w:iCs/>
          <w:sz w:val="22"/>
          <w:szCs w:val="22"/>
          <w:lang w:eastAsia="en-US"/>
        </w:rPr>
      </w:pPr>
    </w:p>
    <w:p>
      <w:pPr>
        <w:pStyle w:val="style0"/>
        <w:jc w:val="both"/>
        <w:rPr>
          <w:iCs/>
          <w:sz w:val="22"/>
          <w:szCs w:val="22"/>
          <w:lang w:eastAsia="en-US"/>
        </w:rPr>
      </w:pPr>
      <w:r>
        <w:rPr>
          <w:iCs/>
          <w:sz w:val="22"/>
          <w:szCs w:val="22"/>
          <w:lang w:eastAsia="en-US"/>
        </w:rPr>
        <w:t>D’autres acteurs tels que le RSE de l’UNC/PDCA, les DGESS des Ministères impliqués, les DREP des régions d’intervention du sous-projet ainsi que les maires, les services techniques (PDAAH) collaboreront à l’opérationnalisation de cette étape.</w:t>
      </w:r>
    </w:p>
    <w:p>
      <w:pPr>
        <w:pStyle w:val="style0"/>
        <w:jc w:val="both"/>
        <w:rPr>
          <w:sz w:val="22"/>
          <w:szCs w:val="22"/>
          <w:lang w:eastAsia="en-US"/>
        </w:rPr>
      </w:pPr>
    </w:p>
    <w:p>
      <w:pPr>
        <w:pStyle w:val="style0"/>
        <w:jc w:val="both"/>
        <w:rPr>
          <w:rFonts w:eastAsia="MS Mincho"/>
          <w:iCs/>
        </w:rPr>
      </w:pPr>
    </w:p>
    <w:p>
      <w:pPr>
        <w:pStyle w:val="style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9</w:t>
      </w:r>
      <w:r>
        <w:rPr>
          <w:rFonts w:eastAsia="Arial Unicode MS"/>
          <w:b/>
          <w:sz w:val="22"/>
          <w:szCs w:val="22"/>
          <w:lang w:eastAsia="en-US"/>
        </w:rPr>
        <w:t xml:space="preserve"> : </w:t>
      </w:r>
      <w:r>
        <w:rPr>
          <w:rFonts w:eastAsia="Arial Unicode MS"/>
          <w:b/>
          <w:sz w:val="22"/>
          <w:szCs w:val="22"/>
          <w:lang w:eastAsia="en-US"/>
        </w:rPr>
        <w:t>Renforcement des capacités des acteurs de mise en œuvre des mesures environnementales et sociales</w:t>
      </w:r>
    </w:p>
    <w:p>
      <w:pPr>
        <w:pStyle w:val="style0"/>
        <w:jc w:val="both"/>
        <w:rPr>
          <w:iCs/>
          <w:sz w:val="22"/>
          <w:szCs w:val="22"/>
          <w:lang w:eastAsia="en-US"/>
        </w:rPr>
      </w:pPr>
      <w:r>
        <w:rPr>
          <w:iCs/>
          <w:sz w:val="22"/>
          <w:szCs w:val="22"/>
          <w:lang w:eastAsia="en-US"/>
        </w:rPr>
        <w:t>La mise en œuvre des actions de r</w:t>
      </w:r>
      <w:r>
        <w:rPr>
          <w:iCs/>
          <w:sz w:val="22"/>
          <w:szCs w:val="22"/>
          <w:lang w:eastAsia="en-US"/>
        </w:rPr>
        <w:t xml:space="preserve">enforcement des capacités des acteurs </w:t>
      </w:r>
      <w:r>
        <w:rPr>
          <w:iCs/>
          <w:sz w:val="22"/>
          <w:szCs w:val="22"/>
          <w:lang w:eastAsia="en-US"/>
        </w:rPr>
        <w:t>retenus dans le cadre des arrangements institutionnels prévus, se fera sous la responsabilité du</w:t>
      </w:r>
      <w:r>
        <w:rPr>
          <w:iCs/>
          <w:sz w:val="22"/>
          <w:szCs w:val="22"/>
          <w:lang w:eastAsia="en-US"/>
        </w:rPr>
        <w:t xml:space="preserve"> SSE et </w:t>
      </w:r>
      <w:r>
        <w:rPr>
          <w:iCs/>
          <w:sz w:val="22"/>
          <w:szCs w:val="22"/>
          <w:lang w:eastAsia="en-US"/>
        </w:rPr>
        <w:t xml:space="preserve">du </w:t>
      </w:r>
      <w:r>
        <w:rPr>
          <w:iCs/>
          <w:sz w:val="22"/>
          <w:szCs w:val="22"/>
          <w:lang w:eastAsia="en-US"/>
        </w:rPr>
        <w:t>SSS</w:t>
      </w:r>
      <w:r>
        <w:rPr>
          <w:iCs/>
          <w:sz w:val="22"/>
          <w:szCs w:val="22"/>
          <w:lang w:eastAsia="en-US"/>
        </w:rPr>
        <w:t xml:space="preserve"> de l’UNC</w:t>
      </w:r>
      <w:r>
        <w:rPr>
          <w:iCs/>
          <w:sz w:val="22"/>
          <w:szCs w:val="22"/>
          <w:lang w:eastAsia="en-US"/>
        </w:rPr>
        <w:t>/PDCA</w:t>
      </w:r>
      <w:r>
        <w:rPr>
          <w:iCs/>
          <w:sz w:val="22"/>
          <w:szCs w:val="22"/>
          <w:lang w:eastAsia="en-US"/>
        </w:rPr>
        <w:t>. Ils pourront recourir aux compétences de c</w:t>
      </w:r>
      <w:r>
        <w:rPr>
          <w:iCs/>
          <w:sz w:val="22"/>
          <w:szCs w:val="22"/>
          <w:lang w:eastAsia="en-US"/>
        </w:rPr>
        <w:t>onsultants</w:t>
      </w:r>
      <w:r>
        <w:rPr>
          <w:iCs/>
          <w:sz w:val="22"/>
          <w:szCs w:val="22"/>
          <w:lang w:eastAsia="en-US"/>
        </w:rPr>
        <w:t xml:space="preserve"> ou de s</w:t>
      </w:r>
      <w:r>
        <w:rPr>
          <w:iCs/>
          <w:sz w:val="22"/>
          <w:szCs w:val="22"/>
          <w:lang w:eastAsia="en-US"/>
        </w:rPr>
        <w:t>tructures publiques compétentes</w:t>
      </w:r>
      <w:r>
        <w:rPr>
          <w:iCs/>
          <w:sz w:val="22"/>
          <w:szCs w:val="22"/>
          <w:lang w:eastAsia="en-US"/>
        </w:rPr>
        <w:t xml:space="preserve"> pour assurer l’exécution de ces actions d’information, de sensibilisation et de formation.</w:t>
      </w:r>
    </w:p>
    <w:p>
      <w:pPr>
        <w:pStyle w:val="style0"/>
        <w:jc w:val="both"/>
        <w:rPr>
          <w:rFonts w:eastAsia="MS Mincho"/>
          <w:iCs/>
        </w:rPr>
      </w:pPr>
    </w:p>
    <w:p>
      <w:pPr>
        <w:pStyle w:val="style0"/>
        <w:jc w:val="both"/>
        <w:rPr>
          <w:rFonts w:eastAsia="Arial Unicode MS"/>
          <w:b/>
          <w:sz w:val="22"/>
          <w:szCs w:val="22"/>
          <w:lang w:eastAsia="en-US"/>
        </w:rPr>
      </w:pPr>
      <w:r>
        <w:rPr>
          <w:rFonts w:eastAsia="Arial Unicode MS"/>
          <w:b/>
          <w:sz w:val="22"/>
          <w:szCs w:val="22"/>
          <w:lang w:eastAsia="en-US"/>
        </w:rPr>
        <w:t xml:space="preserve">Etape </w:t>
      </w:r>
      <w:r>
        <w:rPr>
          <w:rFonts w:eastAsia="Arial Unicode MS"/>
          <w:b/>
          <w:sz w:val="22"/>
          <w:szCs w:val="22"/>
          <w:lang w:eastAsia="en-US"/>
        </w:rPr>
        <w:t>10</w:t>
      </w:r>
      <w:r>
        <w:rPr>
          <w:rFonts w:eastAsia="Arial Unicode MS"/>
          <w:b/>
          <w:sz w:val="22"/>
          <w:szCs w:val="22"/>
          <w:lang w:eastAsia="en-US"/>
        </w:rPr>
        <w:t xml:space="preserve"> : </w:t>
      </w:r>
      <w:r>
        <w:rPr>
          <w:rFonts w:eastAsia="Arial Unicode MS"/>
          <w:b/>
          <w:sz w:val="22"/>
          <w:szCs w:val="22"/>
          <w:lang w:eastAsia="en-US"/>
        </w:rPr>
        <w:t>Audits</w:t>
      </w:r>
    </w:p>
    <w:p>
      <w:pPr>
        <w:pStyle w:val="style0"/>
        <w:jc w:val="both"/>
        <w:rPr>
          <w:iCs/>
          <w:sz w:val="22"/>
          <w:szCs w:val="22"/>
          <w:lang w:eastAsia="en-US"/>
        </w:rPr>
      </w:pPr>
      <w:r>
        <w:rPr>
          <w:iCs/>
          <w:sz w:val="22"/>
          <w:szCs w:val="22"/>
          <w:lang w:eastAsia="en-US"/>
        </w:rPr>
        <w:t xml:space="preserve">Les audits (évaluation) de mise en œuvre des mesures environnementales et sociales auront lieu à </w:t>
      </w:r>
      <w:r>
        <w:rPr>
          <w:iCs/>
          <w:sz w:val="22"/>
          <w:szCs w:val="22"/>
          <w:lang w:eastAsia="en-US"/>
        </w:rPr>
        <w:t>mi-parcours</w:t>
      </w:r>
      <w:r>
        <w:rPr>
          <w:iCs/>
          <w:sz w:val="22"/>
          <w:szCs w:val="22"/>
          <w:lang w:eastAsia="en-US"/>
        </w:rPr>
        <w:t xml:space="preserve"> et à la c</w:t>
      </w:r>
      <w:r>
        <w:rPr>
          <w:iCs/>
          <w:sz w:val="22"/>
          <w:szCs w:val="22"/>
          <w:lang w:eastAsia="en-US"/>
        </w:rPr>
        <w:t>lôture</w:t>
      </w:r>
      <w:r>
        <w:rPr>
          <w:iCs/>
          <w:sz w:val="22"/>
          <w:szCs w:val="22"/>
          <w:lang w:eastAsia="en-US"/>
        </w:rPr>
        <w:t xml:space="preserve"> du sous-projet.</w:t>
      </w:r>
      <w:r>
        <w:rPr>
          <w:iCs/>
          <w:sz w:val="22"/>
          <w:szCs w:val="22"/>
          <w:lang w:eastAsia="en-US"/>
        </w:rPr>
        <w:t xml:space="preserve"> </w:t>
      </w:r>
      <w:r>
        <w:rPr>
          <w:iCs/>
          <w:sz w:val="22"/>
          <w:szCs w:val="22"/>
          <w:lang w:eastAsia="en-US"/>
        </w:rPr>
        <w:t xml:space="preserve">La responsabilité de la conduite de cette étape est assurée par le </w:t>
      </w:r>
      <w:r>
        <w:rPr>
          <w:iCs/>
          <w:sz w:val="22"/>
          <w:szCs w:val="22"/>
          <w:lang w:eastAsia="en-US"/>
        </w:rPr>
        <w:t xml:space="preserve">SSE </w:t>
      </w:r>
      <w:r>
        <w:rPr>
          <w:iCs/>
          <w:sz w:val="22"/>
          <w:szCs w:val="22"/>
          <w:lang w:eastAsia="en-US"/>
        </w:rPr>
        <w:t>avec la facilitation par des opérateurs que sont les c</w:t>
      </w:r>
      <w:r>
        <w:rPr>
          <w:iCs/>
          <w:sz w:val="22"/>
          <w:szCs w:val="22"/>
          <w:lang w:eastAsia="en-US"/>
        </w:rPr>
        <w:t>onsultants</w:t>
      </w:r>
      <w:r>
        <w:rPr>
          <w:iCs/>
          <w:sz w:val="22"/>
          <w:szCs w:val="22"/>
          <w:lang w:eastAsia="en-US"/>
        </w:rPr>
        <w:t>.</w:t>
      </w:r>
    </w:p>
    <w:p>
      <w:pPr>
        <w:pStyle w:val="style0"/>
        <w:jc w:val="both"/>
        <w:rPr>
          <w:sz w:val="22"/>
          <w:szCs w:val="22"/>
          <w:lang w:eastAsia="en-US"/>
        </w:rPr>
      </w:pPr>
    </w:p>
    <w:p>
      <w:pPr>
        <w:pStyle w:val="style0"/>
        <w:jc w:val="both"/>
        <w:rPr>
          <w:sz w:val="22"/>
          <w:szCs w:val="22"/>
        </w:rPr>
      </w:pPr>
      <w:r>
        <w:rPr>
          <w:sz w:val="22"/>
          <w:szCs w:val="22"/>
          <w:highlight w:val="yellow"/>
          <w:lang w:eastAsia="en-US"/>
        </w:rPr>
        <w:br w:type="page"/>
      </w:r>
      <w:r>
        <w:rPr>
          <w:sz w:val="22"/>
          <w:szCs w:val="22"/>
        </w:rPr>
        <w:t xml:space="preserve">Les principales étapes de la </w:t>
      </w:r>
      <w:r>
        <w:rPr>
          <w:sz w:val="22"/>
          <w:szCs w:val="22"/>
        </w:rPr>
        <w:t>procédure</w:t>
      </w:r>
      <w:r>
        <w:rPr>
          <w:sz w:val="22"/>
          <w:szCs w:val="22"/>
        </w:rPr>
        <w:t xml:space="preserve"> </w:t>
      </w:r>
      <w:r>
        <w:rPr>
          <w:sz w:val="22"/>
          <w:szCs w:val="22"/>
        </w:rPr>
        <w:t xml:space="preserve">de gestion environnementale et sociale </w:t>
      </w:r>
      <w:r>
        <w:rPr>
          <w:sz w:val="22"/>
          <w:szCs w:val="22"/>
        </w:rPr>
        <w:t>des sous-</w:t>
      </w:r>
      <w:r>
        <w:rPr>
          <w:sz w:val="22"/>
          <w:szCs w:val="22"/>
        </w:rPr>
        <w:t>projet</w:t>
      </w:r>
      <w:r>
        <w:rPr>
          <w:sz w:val="22"/>
          <w:szCs w:val="22"/>
        </w:rPr>
        <w:t>s</w:t>
      </w:r>
      <w:r>
        <w:rPr>
          <w:sz w:val="22"/>
          <w:szCs w:val="22"/>
        </w:rPr>
        <w:t xml:space="preserve"> font l’objet d’une synthèse à travers la figure suivante :</w:t>
      </w:r>
    </w:p>
    <w:p>
      <w:pPr>
        <w:pStyle w:val="style0"/>
        <w:jc w:val="both"/>
        <w:rPr>
          <w:sz w:val="22"/>
          <w:szCs w:val="22"/>
          <w:lang w:eastAsia="en-US"/>
        </w:rPr>
      </w:pPr>
    </w:p>
    <w:p>
      <w:pPr>
        <w:pStyle w:val="style34"/>
        <w:rPr>
          <w:bCs w:val="false"/>
          <w:color w:val="auto"/>
          <w:sz w:val="20"/>
          <w:szCs w:val="20"/>
        </w:rPr>
      </w:pPr>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Pr>
          <w:noProof/>
          <w:color w:val="auto"/>
          <w:sz w:val="20"/>
          <w:szCs w:val="20"/>
        </w:rPr>
        <w:t>1</w:t>
      </w:r>
      <w:r>
        <w:rPr>
          <w:color w:val="auto"/>
          <w:sz w:val="20"/>
          <w:szCs w:val="20"/>
        </w:rPr>
        <w:fldChar w:fldCharType="end"/>
      </w:r>
      <w:r>
        <w:rPr>
          <w:bCs w:val="false"/>
          <w:color w:val="auto"/>
          <w:sz w:val="20"/>
          <w:szCs w:val="20"/>
        </w:rPr>
        <w:t xml:space="preserve">: Diagramme de flux pour la gestion environnementale et sociale des </w:t>
      </w:r>
      <w:r>
        <w:rPr>
          <w:bCs w:val="false"/>
          <w:color w:val="auto"/>
          <w:sz w:val="20"/>
          <w:szCs w:val="20"/>
        </w:rPr>
        <w:t>sous-</w:t>
      </w:r>
      <w:r>
        <w:rPr>
          <w:bCs w:val="false"/>
          <w:color w:val="auto"/>
          <w:sz w:val="20"/>
          <w:szCs w:val="20"/>
        </w:rPr>
        <w:t>projet</w:t>
      </w:r>
      <w:r>
        <w:rPr>
          <w:bCs w:val="false"/>
          <w:color w:val="auto"/>
          <w:sz w:val="20"/>
          <w:szCs w:val="20"/>
        </w:rPr>
        <w:t>s</w:t>
      </w: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13" behindDoc="false" locked="false" layoutInCell="true" allowOverlap="true">
                <wp:simplePos x="0" y="0"/>
                <wp:positionH relativeFrom="column">
                  <wp:posOffset>571500</wp:posOffset>
                </wp:positionH>
                <wp:positionV relativeFrom="paragraph">
                  <wp:posOffset>21590</wp:posOffset>
                </wp:positionV>
                <wp:extent cx="5419090" cy="708660"/>
                <wp:effectExtent l="9525" t="12065" r="10160" b="12700"/>
                <wp:wrapNone/>
                <wp:docPr id="1031" name="Rectangle 1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19090" cy="708660"/>
                        </a:xfrm>
                        <a:prstGeom prst="rect"/>
                        <a:solidFill>
                          <a:srgbClr val="ffffff"/>
                        </a:solidFill>
                        <a:ln cmpd="sng" cap="flat" w="9525">
                          <a:solidFill>
                            <a:srgbClr val="000000"/>
                          </a:solidFill>
                          <a:prstDash val="solid"/>
                          <a:miter/>
                          <a:headEnd len="med" type="none" w="med"/>
                          <a:tailEnd len="med" type="none" w="med"/>
                        </a:ln>
                      </wps:spPr>
                      <wps:txbx id="1031">
                        <w:txbxContent>
                          <w:p>
                            <w:pPr>
                              <w:pStyle w:val="style0"/>
                              <w:jc w:val="center"/>
                              <w:rPr>
                                <w:sz w:val="20"/>
                                <w:szCs w:val="20"/>
                              </w:rPr>
                            </w:pPr>
                            <w:r>
                              <w:rPr>
                                <w:b/>
                                <w:bCs/>
                                <w:i/>
                                <w:sz w:val="18"/>
                                <w:szCs w:val="18"/>
                              </w:rPr>
                              <w:t>Etape 1</w:t>
                            </w:r>
                            <w:r>
                              <w:rPr>
                                <w:i/>
                                <w:sz w:val="18"/>
                                <w:szCs w:val="18"/>
                              </w:rPr>
                              <w:t xml:space="preserve"> : </w:t>
                            </w:r>
                            <w:r>
                              <w:rPr>
                                <w:b/>
                                <w:i/>
                                <w:sz w:val="18"/>
                                <w:szCs w:val="18"/>
                              </w:rPr>
                              <w:t xml:space="preserve">Identification de la </w:t>
                            </w:r>
                            <w:r>
                              <w:rPr>
                                <w:b/>
                                <w:bCs/>
                                <w:i/>
                                <w:sz w:val="18"/>
                                <w:szCs w:val="18"/>
                              </w:rPr>
                              <w:t>localisation et définition des principales caractéristiques du sous-projet</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1" fillcolor="white" stroked="t" style="position:absolute;margin-left:45.0pt;margin-top:1.7pt;width:426.7pt;height:55.8pt;z-index:13;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sz w:val="20"/>
                          <w:szCs w:val="20"/>
                        </w:rPr>
                      </w:pPr>
                      <w:r>
                        <w:rPr>
                          <w:b/>
                          <w:bCs/>
                          <w:i/>
                          <w:sz w:val="18"/>
                          <w:szCs w:val="18"/>
                        </w:rPr>
                        <w:t>Etape 1</w:t>
                      </w:r>
                      <w:r>
                        <w:rPr>
                          <w:i/>
                          <w:sz w:val="18"/>
                          <w:szCs w:val="18"/>
                        </w:rPr>
                        <w:t xml:space="preserve"> : </w:t>
                      </w:r>
                      <w:r>
                        <w:rPr>
                          <w:b/>
                          <w:i/>
                          <w:sz w:val="18"/>
                          <w:szCs w:val="18"/>
                        </w:rPr>
                        <w:t xml:space="preserve">Identification de la </w:t>
                      </w:r>
                      <w:r>
                        <w:rPr>
                          <w:b/>
                          <w:bCs/>
                          <w:i/>
                          <w:sz w:val="18"/>
                          <w:szCs w:val="18"/>
                        </w:rPr>
                        <w:t>localisation et définition des principales caractéristiques du sous-projet</w:t>
                      </w:r>
                    </w:p>
                  </w:txbxContent>
                </v:textbox>
              </v:rect>
            </w:pict>
          </mc:Fallback>
        </mc:AlternateContent>
      </w: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31" behindDoc="false" locked="false" layoutInCell="true" allowOverlap="true">
                <wp:simplePos x="0" y="0"/>
                <wp:positionH relativeFrom="column">
                  <wp:posOffset>1595755</wp:posOffset>
                </wp:positionH>
                <wp:positionV relativeFrom="paragraph">
                  <wp:posOffset>135890</wp:posOffset>
                </wp:positionV>
                <wp:extent cx="2905125" cy="285750"/>
                <wp:effectExtent l="5080" t="12065" r="13970" b="6985"/>
                <wp:wrapNone/>
                <wp:docPr id="1032" name="Rectangle 1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05125" cy="285750"/>
                        </a:xfrm>
                        <a:prstGeom prst="rect"/>
                        <a:solidFill>
                          <a:srgbClr val="ffff00"/>
                        </a:solidFill>
                        <a:ln cmpd="sng" cap="flat" w="9525">
                          <a:solidFill>
                            <a:srgbClr val="000000"/>
                          </a:solidFill>
                          <a:prstDash val="solid"/>
                          <a:miter/>
                          <a:headEnd len="med" type="none" w="med"/>
                          <a:tailEnd len="med" type="none" w="med"/>
                        </a:ln>
                      </wps:spPr>
                      <wps:txbx id="1032">
                        <w:txbxContent>
                          <w:p>
                            <w:pPr>
                              <w:pStyle w:val="style0"/>
                              <w:shd w:val="clear" w:color="auto" w:fill="ffff00"/>
                              <w:jc w:val="center"/>
                              <w:rPr>
                                <w:sz w:val="18"/>
                                <w:szCs w:val="18"/>
                              </w:rPr>
                            </w:pPr>
                            <w:r>
                              <w:rPr>
                                <w:sz w:val="18"/>
                                <w:szCs w:val="18"/>
                              </w:rPr>
                              <w:t>RT/PDCA, DGAHDI, SSE</w:t>
                            </w:r>
                            <w:r>
                              <w:rPr>
                                <w:sz w:val="18"/>
                                <w:szCs w:val="18"/>
                              </w:rPr>
                              <w:t xml:space="preserve"> et SSS</w:t>
                            </w:r>
                            <w:r>
                              <w:rPr>
                                <w:sz w:val="18"/>
                                <w:szCs w:val="18"/>
                              </w:rPr>
                              <w:t>/UNC</w:t>
                            </w:r>
                          </w:p>
                          <w:p>
                            <w:pPr>
                              <w:pStyle w:val="style0"/>
                              <w:jc w:val="center"/>
                              <w:rPr>
                                <w:szCs w:val="22"/>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2" fillcolor="yellow" stroked="t" style="position:absolute;margin-left:125.65pt;margin-top:10.7pt;width:228.75pt;height:22.5pt;z-index:31;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shd w:val="clear" w:color="auto" w:fill="ffff00"/>
                        <w:jc w:val="center"/>
                        <w:rPr>
                          <w:sz w:val="18"/>
                          <w:szCs w:val="18"/>
                        </w:rPr>
                      </w:pPr>
                      <w:r>
                        <w:rPr>
                          <w:sz w:val="18"/>
                          <w:szCs w:val="18"/>
                        </w:rPr>
                        <w:t>RT/PDCA, DGAHDI, SSE</w:t>
                      </w:r>
                      <w:r>
                        <w:rPr>
                          <w:sz w:val="18"/>
                          <w:szCs w:val="18"/>
                        </w:rPr>
                        <w:t xml:space="preserve"> et SSS</w:t>
                      </w:r>
                      <w:r>
                        <w:rPr>
                          <w:sz w:val="18"/>
                          <w:szCs w:val="18"/>
                        </w:rPr>
                        <w:t>/UNC</w:t>
                      </w:r>
                    </w:p>
                    <w:p>
                      <w:pPr>
                        <w:pStyle w:val="style0"/>
                        <w:jc w:val="center"/>
                        <w:rPr>
                          <w:szCs w:val="22"/>
                        </w:rPr>
                      </w:pPr>
                    </w:p>
                  </w:txbxContent>
                </v:textbox>
              </v:rect>
            </w:pict>
          </mc:Fallback>
        </mc:AlternateContent>
      </w:r>
    </w:p>
    <w:p>
      <w:pPr>
        <w:pStyle w:val="style0"/>
        <w:jc w:val="both"/>
        <w:rPr>
          <w:rFonts w:ascii="Arial" w:cs="Arial" w:hAnsi="Arial"/>
          <w:lang w:eastAsia="en-US"/>
        </w:rPr>
      </w:pPr>
    </w:p>
    <w:p>
      <w:pPr>
        <w:pStyle w:val="style0"/>
        <w:jc w:val="both"/>
        <w:rPr>
          <w:rFonts w:ascii="Arial" w:cs="Arial" w:hAnsi="Arial"/>
          <w:b/>
          <w:lang w:eastAsia="en-US"/>
        </w:rPr>
      </w:pPr>
    </w:p>
    <w:p>
      <w:pPr>
        <w:pStyle w:val="style0"/>
        <w:jc w:val="both"/>
        <w:rPr>
          <w:rFonts w:ascii="Arial" w:cs="Arial" w:hAnsi="Arial"/>
          <w:b/>
          <w:lang w:eastAsia="en-US"/>
        </w:rPr>
      </w:pPr>
      <w:r>
        <w:rPr>
          <w:rFonts w:ascii="Arial" w:cs="Arial" w:hAnsi="Arial"/>
          <w:noProof/>
        </w:rPr>
        <mc:AlternateContent>
          <mc:Choice Requires="wps">
            <w:drawing>
              <wp:anchor distT="0" distB="0" distL="0" distR="0" simplePos="false" relativeHeight="24" behindDoc="false" locked="false" layoutInCell="true" allowOverlap="true">
                <wp:simplePos x="0" y="0"/>
                <wp:positionH relativeFrom="column">
                  <wp:posOffset>2014220</wp:posOffset>
                </wp:positionH>
                <wp:positionV relativeFrom="paragraph">
                  <wp:posOffset>29210</wp:posOffset>
                </wp:positionV>
                <wp:extent cx="0" cy="173355"/>
                <wp:effectExtent l="61594" t="10160" r="52705" b="16510"/>
                <wp:wrapNone/>
                <wp:docPr id="1033" name="Line 1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0" cy="173355"/>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3" filled="f" stroked="t" from="158.6pt,2.3000002pt" to="158.6pt,15.95pt" style="position:absolute;z-index:24;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p>
    <w:p>
      <w:pPr>
        <w:pStyle w:val="style0"/>
        <w:jc w:val="both"/>
        <w:rPr>
          <w:rFonts w:ascii="Arial" w:cs="Arial" w:hAnsi="Arial"/>
          <w:b/>
          <w:lang w:eastAsia="en-US"/>
        </w:rPr>
      </w:pPr>
      <w:r>
        <w:rPr>
          <w:rFonts w:ascii="Arial" w:cs="Arial" w:hAnsi="Arial"/>
          <w:noProof/>
        </w:rPr>
        <mc:AlternateContent>
          <mc:Choice Requires="wps">
            <w:drawing>
              <wp:anchor distT="0" distB="0" distL="0" distR="0" simplePos="false" relativeHeight="50" behindDoc="false" locked="false" layoutInCell="true" allowOverlap="true">
                <wp:simplePos x="0" y="0"/>
                <wp:positionH relativeFrom="column">
                  <wp:posOffset>3948430</wp:posOffset>
                </wp:positionH>
                <wp:positionV relativeFrom="paragraph">
                  <wp:posOffset>27305</wp:posOffset>
                </wp:positionV>
                <wp:extent cx="1786254" cy="786765"/>
                <wp:effectExtent l="5080" t="8255" r="8890" b="5080"/>
                <wp:wrapNone/>
                <wp:docPr id="1034" name="Rectangle 1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86254" cy="786765"/>
                        </a:xfrm>
                        <a:prstGeom prst="rect"/>
                        <a:solidFill>
                          <a:srgbClr val="ffffff"/>
                        </a:solidFill>
                        <a:ln cmpd="sng" cap="flat" w="9525">
                          <a:solidFill>
                            <a:srgbClr val="000000"/>
                          </a:solidFill>
                          <a:prstDash val="solid"/>
                          <a:miter/>
                          <a:headEnd len="med" type="none" w="med"/>
                          <a:tailEnd len="med" type="none" w="med"/>
                        </a:ln>
                      </wps:spPr>
                      <wps:txbx id="1034">
                        <w:txbxContent>
                          <w:p>
                            <w:pPr>
                              <w:pStyle w:val="style0"/>
                              <w:jc w:val="center"/>
                              <w:rPr>
                                <w:i/>
                                <w:color w:val="000000"/>
                                <w:sz w:val="20"/>
                                <w:szCs w:val="20"/>
                              </w:rPr>
                            </w:pPr>
                            <w:r>
                              <w:rPr>
                                <w:b/>
                                <w:bCs/>
                                <w:i/>
                                <w:sz w:val="20"/>
                                <w:szCs w:val="20"/>
                              </w:rPr>
                              <w:t>Etape 3</w:t>
                            </w:r>
                            <w:r>
                              <w:rPr>
                                <w:i/>
                                <w:sz w:val="20"/>
                                <w:szCs w:val="20"/>
                              </w:rPr>
                              <w:t> :</w:t>
                            </w:r>
                          </w:p>
                          <w:p>
                            <w:pPr>
                              <w:pStyle w:val="style0"/>
                              <w:rPr>
                                <w:b/>
                                <w:bCs/>
                                <w:i/>
                                <w:sz w:val="18"/>
                                <w:szCs w:val="18"/>
                              </w:rPr>
                            </w:pPr>
                            <w:r>
                              <w:rPr>
                                <w:b/>
                                <w:bCs/>
                                <w:i/>
                                <w:sz w:val="18"/>
                                <w:szCs w:val="18"/>
                              </w:rPr>
                              <w:t>Approbation de la catégorie environnementale du sous-projet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tblGrid>
                            <w:tr>
                              <w:trPr>
                                <w:trHeight w:val="507" w:hRule="atLeast"/>
                              </w:trPr>
                              <w:tc>
                                <w:tcPr>
                                  <w:tcW w:w="1918" w:type="dxa"/>
                                  <w:tcBorders/>
                                  <w:shd w:val="clear" w:color="auto" w:fill="ffff00"/>
                                </w:tcPr>
                                <w:p>
                                  <w:pPr>
                                    <w:pStyle w:val="style0"/>
                                    <w:jc w:val="center"/>
                                    <w:rPr>
                                      <w:sz w:val="22"/>
                                      <w:szCs w:val="22"/>
                                    </w:rPr>
                                  </w:pPr>
                                  <w:r>
                                    <w:rPr>
                                      <w:sz w:val="20"/>
                                      <w:szCs w:val="20"/>
                                    </w:rPr>
                                    <w:t>BUNEE, Coordonnateur,</w:t>
                                  </w:r>
                                  <w:r>
                                    <w:rPr>
                                      <w:sz w:val="22"/>
                                      <w:szCs w:val="22"/>
                                    </w:rPr>
                                    <w:t xml:space="preserve"> BM</w:t>
                                  </w:r>
                                </w:p>
                              </w:tc>
                            </w:tr>
                          </w:tbl>
                          <w:p>
                            <w:pPr>
                              <w:pStyle w:val="style0"/>
                              <w:rPr>
                                <w:b/>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4" fillcolor="white" stroked="t" style="position:absolute;margin-left:310.9pt;margin-top:2.15pt;width:140.65pt;height:61.95pt;z-index:50;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i/>
                          <w:color w:val="000000"/>
                          <w:sz w:val="20"/>
                          <w:szCs w:val="20"/>
                        </w:rPr>
                      </w:pPr>
                      <w:r>
                        <w:rPr>
                          <w:b/>
                          <w:bCs/>
                          <w:i/>
                          <w:sz w:val="20"/>
                          <w:szCs w:val="20"/>
                        </w:rPr>
                        <w:t>Etape 3</w:t>
                      </w:r>
                      <w:r>
                        <w:rPr>
                          <w:i/>
                          <w:sz w:val="20"/>
                          <w:szCs w:val="20"/>
                        </w:rPr>
                        <w:t> :</w:t>
                      </w:r>
                    </w:p>
                    <w:p>
                      <w:pPr>
                        <w:pStyle w:val="style0"/>
                        <w:rPr>
                          <w:b/>
                          <w:bCs/>
                          <w:i/>
                          <w:sz w:val="18"/>
                          <w:szCs w:val="18"/>
                        </w:rPr>
                      </w:pPr>
                      <w:r>
                        <w:rPr>
                          <w:b/>
                          <w:bCs/>
                          <w:i/>
                          <w:sz w:val="18"/>
                          <w:szCs w:val="18"/>
                        </w:rPr>
                        <w:t>Approbation de la catégorie environnementale du sous-projet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tblGrid>
                      <w:tr>
                        <w:trPr>
                          <w:trHeight w:val="507" w:hRule="atLeast"/>
                        </w:trPr>
                        <w:tc>
                          <w:tcPr>
                            <w:tcW w:w="1918" w:type="dxa"/>
                            <w:tcBorders/>
                            <w:shd w:val="clear" w:color="auto" w:fill="ffff00"/>
                          </w:tcPr>
                          <w:p>
                            <w:pPr>
                              <w:pStyle w:val="style0"/>
                              <w:jc w:val="center"/>
                              <w:rPr>
                                <w:sz w:val="22"/>
                                <w:szCs w:val="22"/>
                              </w:rPr>
                            </w:pPr>
                            <w:r>
                              <w:rPr>
                                <w:sz w:val="20"/>
                                <w:szCs w:val="20"/>
                              </w:rPr>
                              <w:t>BUNEE, Coordonnateur,</w:t>
                            </w:r>
                            <w:r>
                              <w:rPr>
                                <w:sz w:val="22"/>
                                <w:szCs w:val="22"/>
                              </w:rPr>
                              <w:t xml:space="preserve"> BM</w:t>
                            </w:r>
                          </w:p>
                        </w:tc>
                      </w:tr>
                    </w:tbl>
                    <w:p>
                      <w:pPr>
                        <w:pStyle w:val="style0"/>
                        <w:rPr>
                          <w:b/>
                        </w:rPr>
                      </w:pPr>
                    </w:p>
                  </w:txbxContent>
                </v:textbox>
              </v:rect>
            </w:pict>
          </mc:Fallback>
        </mc:AlternateContent>
      </w:r>
      <w:r>
        <w:rPr>
          <w:rFonts w:ascii="Arial" w:cs="Arial" w:hAnsi="Arial"/>
          <w:noProof/>
        </w:rPr>
        <mc:AlternateContent>
          <mc:Choice Requires="wps">
            <w:drawing>
              <wp:anchor distT="0" distB="0" distL="0" distR="0" simplePos="false" relativeHeight="16" behindDoc="false" locked="false" layoutInCell="true" allowOverlap="true">
                <wp:simplePos x="0" y="0"/>
                <wp:positionH relativeFrom="column">
                  <wp:posOffset>-21590</wp:posOffset>
                </wp:positionH>
                <wp:positionV relativeFrom="paragraph">
                  <wp:posOffset>27305</wp:posOffset>
                </wp:positionV>
                <wp:extent cx="3340734" cy="993139"/>
                <wp:effectExtent l="6985" t="8255" r="5080" b="8255"/>
                <wp:wrapNone/>
                <wp:docPr id="1035" name="Rectangle 1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340734" cy="993139"/>
                        </a:xfrm>
                        <a:prstGeom prst="rect"/>
                        <a:solidFill>
                          <a:srgbClr val="ffffff"/>
                        </a:solidFill>
                        <a:ln cmpd="sng" cap="flat" w="9525">
                          <a:solidFill>
                            <a:srgbClr val="000000"/>
                          </a:solidFill>
                          <a:prstDash val="solid"/>
                          <a:miter/>
                          <a:headEnd len="med" type="none" w="med"/>
                          <a:tailEnd len="med" type="none" w="med"/>
                        </a:ln>
                      </wps:spPr>
                      <wps:txbx id="1035">
                        <w:txbxContent>
                          <w:p>
                            <w:pPr>
                              <w:pStyle w:val="style0"/>
                              <w:jc w:val="center"/>
                              <w:rPr>
                                <w:bCs/>
                                <w:i/>
                                <w:sz w:val="18"/>
                                <w:szCs w:val="18"/>
                              </w:rPr>
                            </w:pPr>
                            <w:r>
                              <w:rPr>
                                <w:b/>
                                <w:bCs/>
                                <w:i/>
                                <w:sz w:val="18"/>
                                <w:szCs w:val="18"/>
                              </w:rPr>
                              <w:t>Etape 2:</w:t>
                            </w:r>
                          </w:p>
                          <w:p>
                            <w:pPr>
                              <w:pStyle w:val="style0"/>
                              <w:jc w:val="center"/>
                              <w:rPr>
                                <w:bCs/>
                                <w:sz w:val="18"/>
                                <w:szCs w:val="18"/>
                              </w:rPr>
                            </w:pPr>
                            <w:r>
                              <w:rPr>
                                <w:b/>
                                <w:bCs/>
                                <w:i/>
                                <w:sz w:val="18"/>
                                <w:szCs w:val="18"/>
                              </w:rPr>
                              <w:t>S</w:t>
                            </w:r>
                            <w:r>
                              <w:rPr>
                                <w:b/>
                                <w:bCs/>
                                <w:i/>
                                <w:sz w:val="18"/>
                                <w:szCs w:val="18"/>
                              </w:rPr>
                              <w:t xml:space="preserve">élection environnementale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5" fillcolor="white" stroked="t" style="position:absolute;margin-left:-1.7pt;margin-top:2.15pt;width:263.05pt;height:78.2pt;z-index:16;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bCs/>
                          <w:i/>
                          <w:sz w:val="18"/>
                          <w:szCs w:val="18"/>
                        </w:rPr>
                      </w:pPr>
                      <w:r>
                        <w:rPr>
                          <w:b/>
                          <w:bCs/>
                          <w:i/>
                          <w:sz w:val="18"/>
                          <w:szCs w:val="18"/>
                        </w:rPr>
                        <w:t>Etape 2:</w:t>
                      </w:r>
                    </w:p>
                    <w:p>
                      <w:pPr>
                        <w:pStyle w:val="style0"/>
                        <w:jc w:val="center"/>
                        <w:rPr>
                          <w:bCs/>
                          <w:sz w:val="18"/>
                          <w:szCs w:val="18"/>
                        </w:rPr>
                      </w:pPr>
                      <w:r>
                        <w:rPr>
                          <w:b/>
                          <w:bCs/>
                          <w:i/>
                          <w:sz w:val="18"/>
                          <w:szCs w:val="18"/>
                        </w:rPr>
                        <w:t>S</w:t>
                      </w:r>
                      <w:r>
                        <w:rPr>
                          <w:b/>
                          <w:bCs/>
                          <w:i/>
                          <w:sz w:val="18"/>
                          <w:szCs w:val="18"/>
                        </w:rPr>
                        <w:t xml:space="preserve">élection environnementale </w:t>
                      </w:r>
                    </w:p>
                  </w:txbxContent>
                </v:textbox>
              </v:rect>
            </w:pict>
          </mc:Fallback>
        </mc:AlternateContent>
      </w:r>
    </w:p>
    <w:p>
      <w:pPr>
        <w:pStyle w:val="style0"/>
        <w:jc w:val="both"/>
        <w:rPr>
          <w:rFonts w:ascii="Arial" w:cs="Arial" w:hAnsi="Arial"/>
          <w:lang w:eastAsia="en-US"/>
        </w:rPr>
      </w:pP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51" behindDoc="false" locked="false" layoutInCell="true" allowOverlap="true">
                <wp:simplePos x="0" y="0"/>
                <wp:positionH relativeFrom="column">
                  <wp:posOffset>3319145</wp:posOffset>
                </wp:positionH>
                <wp:positionV relativeFrom="paragraph">
                  <wp:posOffset>133350</wp:posOffset>
                </wp:positionV>
                <wp:extent cx="629284" cy="0"/>
                <wp:effectExtent l="13970" t="57150" r="23495" b="57150"/>
                <wp:wrapNone/>
                <wp:docPr id="1036" name="Line 1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29284" cy="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6" filled="f" stroked="t" from="261.35pt,10.5pt" to="310.9pt,10.5pt" style="position:absolute;z-index:51;mso-position-horizontal-relative:text;mso-position-vertical-relative:text;mso-width-percent:0;mso-height-percent:0;mso-width-relative:page;mso-height-relative:page;mso-wrap-distance-left:0.0pt;mso-wrap-distance-right:0.0pt;visibility:visible;">
                <v:stroke endarrow="block"/>
                <v:fill/>
              </v:line>
            </w:pict>
          </mc:Fallback>
        </mc:AlternateContent>
      </w: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32" behindDoc="false" locked="false" layoutInCell="true" allowOverlap="true">
                <wp:simplePos x="0" y="0"/>
                <wp:positionH relativeFrom="column">
                  <wp:posOffset>114300</wp:posOffset>
                </wp:positionH>
                <wp:positionV relativeFrom="paragraph">
                  <wp:posOffset>7620</wp:posOffset>
                </wp:positionV>
                <wp:extent cx="3039110" cy="409575"/>
                <wp:effectExtent l="9525" t="7620" r="8890" b="11430"/>
                <wp:wrapNone/>
                <wp:docPr id="1037" name="Rectangle 1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39110" cy="409575"/>
                        </a:xfrm>
                        <a:prstGeom prst="rect"/>
                        <a:solidFill>
                          <a:srgbClr val="ffff00"/>
                        </a:solidFill>
                        <a:ln cmpd="sng" cap="flat" w="9525">
                          <a:solidFill>
                            <a:srgbClr val="000000"/>
                          </a:solidFill>
                          <a:prstDash val="solid"/>
                          <a:miter/>
                          <a:headEnd len="med" type="none" w="med"/>
                          <a:tailEnd len="med" type="none" w="med"/>
                        </a:ln>
                      </wps:spPr>
                      <wps:txbx id="1037">
                        <w:txbxContent>
                          <w:p>
                            <w:pPr>
                              <w:pStyle w:val="style0"/>
                              <w:shd w:val="clear" w:color="auto" w:fill="ffff00"/>
                              <w:jc w:val="center"/>
                              <w:rPr>
                                <w:sz w:val="18"/>
                                <w:szCs w:val="18"/>
                              </w:rPr>
                            </w:pPr>
                            <w:r>
                              <w:rPr>
                                <w:sz w:val="18"/>
                                <w:szCs w:val="18"/>
                              </w:rPr>
                              <w:t>SSE et SSS/PDCA, DRAAH, DRRAH, DREEVCC, DRS, URC</w:t>
                            </w:r>
                          </w:p>
                          <w:p>
                            <w:pPr>
                              <w:pStyle w:val="style0"/>
                              <w:ind w:left="360"/>
                              <w:jc w:val="center"/>
                              <w:rPr>
                                <w:sz w:val="20"/>
                                <w:szCs w:val="20"/>
                              </w:rPr>
                            </w:pPr>
                          </w:p>
                          <w:p>
                            <w:pPr>
                              <w:pStyle w:val="style0"/>
                              <w:rPr>
                                <w:szCs w:val="22"/>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7" fillcolor="yellow" stroked="t" style="position:absolute;margin-left:9.0pt;margin-top:0.6pt;width:239.3pt;height:32.25pt;z-index:32;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shd w:val="clear" w:color="auto" w:fill="ffff00"/>
                        <w:jc w:val="center"/>
                        <w:rPr>
                          <w:sz w:val="18"/>
                          <w:szCs w:val="18"/>
                        </w:rPr>
                      </w:pPr>
                      <w:r>
                        <w:rPr>
                          <w:sz w:val="18"/>
                          <w:szCs w:val="18"/>
                        </w:rPr>
                        <w:t>SSE et SSS/PDCA, DRAAH, DRRAH, DREEVCC, DRS, URC</w:t>
                      </w:r>
                    </w:p>
                    <w:p>
                      <w:pPr>
                        <w:pStyle w:val="style0"/>
                        <w:ind w:left="360"/>
                        <w:jc w:val="center"/>
                        <w:rPr>
                          <w:sz w:val="20"/>
                          <w:szCs w:val="20"/>
                        </w:rPr>
                      </w:pPr>
                    </w:p>
                    <w:p>
                      <w:pPr>
                        <w:pStyle w:val="style0"/>
                        <w:rPr>
                          <w:szCs w:val="22"/>
                        </w:rPr>
                      </w:pPr>
                    </w:p>
                  </w:txbxContent>
                </v:textbox>
              </v:rect>
            </w:pict>
          </mc:Fallback>
        </mc:AlternateContent>
      </w: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49" behindDoc="false" locked="false" layoutInCell="true" allowOverlap="true">
                <wp:simplePos x="0" y="0"/>
                <wp:positionH relativeFrom="column">
                  <wp:posOffset>5109845</wp:posOffset>
                </wp:positionH>
                <wp:positionV relativeFrom="paragraph">
                  <wp:posOffset>113030</wp:posOffset>
                </wp:positionV>
                <wp:extent cx="0" cy="284480"/>
                <wp:effectExtent l="61594" t="8255" r="52705" b="21590"/>
                <wp:wrapNone/>
                <wp:docPr id="1038" name="Line 1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0" cy="28448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38" filled="f" stroked="t" from="402.35pt,8.9pt" to="402.35pt,31.300001pt" style="position:absolute;z-index:49;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p>
    <w:p>
      <w:pPr>
        <w:pStyle w:val="style0"/>
        <w:jc w:val="both"/>
        <w:rPr>
          <w:rFonts w:ascii="Arial" w:cs="Arial" w:hAnsi="Arial"/>
          <w:lang w:eastAsia="en-US"/>
        </w:rPr>
      </w:pPr>
    </w:p>
    <w:p>
      <w:pPr>
        <w:pStyle w:val="style0"/>
        <w:jc w:val="both"/>
        <w:rPr>
          <w:rFonts w:ascii="Arial" w:cs="Arial" w:hAnsi="Arial"/>
          <w:lang w:eastAsia="en-US"/>
        </w:rPr>
      </w:pPr>
      <w:r>
        <w:rPr>
          <w:rFonts w:ascii="Arial" w:cs="Arial" w:hAnsi="Arial"/>
          <w:b/>
          <w:bCs/>
          <w:noProof/>
        </w:rPr>
        <mc:AlternateContent>
          <mc:Choice Requires="wps">
            <w:drawing>
              <wp:anchor distT="0" distB="0" distL="0" distR="0" simplePos="false" relativeHeight="25" behindDoc="false" locked="false" layoutInCell="true" allowOverlap="true">
                <wp:simplePos x="0" y="0"/>
                <wp:positionH relativeFrom="column">
                  <wp:posOffset>3319145</wp:posOffset>
                </wp:positionH>
                <wp:positionV relativeFrom="paragraph">
                  <wp:posOffset>46990</wp:posOffset>
                </wp:positionV>
                <wp:extent cx="3101339" cy="525780"/>
                <wp:effectExtent l="13970" t="8890" r="8890" b="8255"/>
                <wp:wrapNone/>
                <wp:docPr id="1039" name="Rectangle 1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01339" cy="525780"/>
                        </a:xfrm>
                        <a:prstGeom prst="rect"/>
                        <a:solidFill>
                          <a:srgbClr val="ffffff"/>
                        </a:solidFill>
                        <a:ln cmpd="sng" cap="flat" w="9525">
                          <a:solidFill>
                            <a:srgbClr val="000000"/>
                          </a:solidFill>
                          <a:prstDash val="solid"/>
                          <a:miter/>
                          <a:headEnd len="med" type="none" w="med"/>
                          <a:tailEnd len="med" type="none" w="med"/>
                        </a:ln>
                      </wps:spPr>
                      <wps:txbx id="1039">
                        <w:txbxContent>
                          <w:p>
                            <w:pPr>
                              <w:pStyle w:val="style0"/>
                              <w:jc w:val="center"/>
                              <w:rPr>
                                <w:i/>
                                <w:color w:val="000000"/>
                                <w:sz w:val="20"/>
                                <w:szCs w:val="20"/>
                              </w:rPr>
                            </w:pPr>
                            <w:r>
                              <w:rPr>
                                <w:b/>
                                <w:bCs/>
                                <w:i/>
                                <w:sz w:val="20"/>
                                <w:szCs w:val="20"/>
                              </w:rPr>
                              <w:t xml:space="preserve">Etape </w:t>
                            </w:r>
                            <w:r>
                              <w:rPr>
                                <w:b/>
                                <w:bCs/>
                                <w:i/>
                                <w:sz w:val="20"/>
                                <w:szCs w:val="20"/>
                              </w:rPr>
                              <w:t>4</w:t>
                            </w:r>
                            <w:r>
                              <w:rPr>
                                <w:i/>
                                <w:sz w:val="20"/>
                                <w:szCs w:val="20"/>
                              </w:rPr>
                              <w:t> :</w:t>
                            </w:r>
                          </w:p>
                          <w:p>
                            <w:pPr>
                              <w:pStyle w:val="style0"/>
                              <w:jc w:val="center"/>
                              <w:rPr>
                                <w:b/>
                                <w:i/>
                                <w:color w:val="000000"/>
                                <w:sz w:val="20"/>
                                <w:szCs w:val="20"/>
                              </w:rPr>
                            </w:pPr>
                            <w:r>
                              <w:rPr>
                                <w:b/>
                                <w:bCs/>
                                <w:i/>
                                <w:sz w:val="20"/>
                                <w:szCs w:val="20"/>
                              </w:rPr>
                              <w:t>Exécution du travail environnemental et social</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39" fillcolor="white" stroked="t" style="position:absolute;margin-left:261.35pt;margin-top:3.7pt;width:244.2pt;height:41.4pt;z-index:25;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i/>
                          <w:color w:val="000000"/>
                          <w:sz w:val="20"/>
                          <w:szCs w:val="20"/>
                        </w:rPr>
                      </w:pPr>
                      <w:r>
                        <w:rPr>
                          <w:b/>
                          <w:bCs/>
                          <w:i/>
                          <w:sz w:val="20"/>
                          <w:szCs w:val="20"/>
                        </w:rPr>
                        <w:t xml:space="preserve">Etape </w:t>
                      </w:r>
                      <w:r>
                        <w:rPr>
                          <w:b/>
                          <w:bCs/>
                          <w:i/>
                          <w:sz w:val="20"/>
                          <w:szCs w:val="20"/>
                        </w:rPr>
                        <w:t>4</w:t>
                      </w:r>
                      <w:r>
                        <w:rPr>
                          <w:i/>
                          <w:sz w:val="20"/>
                          <w:szCs w:val="20"/>
                        </w:rPr>
                        <w:t> :</w:t>
                      </w:r>
                    </w:p>
                    <w:p>
                      <w:pPr>
                        <w:pStyle w:val="style0"/>
                        <w:jc w:val="center"/>
                        <w:rPr>
                          <w:b/>
                          <w:i/>
                          <w:color w:val="000000"/>
                          <w:sz w:val="20"/>
                          <w:szCs w:val="20"/>
                        </w:rPr>
                      </w:pPr>
                      <w:r>
                        <w:rPr>
                          <w:b/>
                          <w:bCs/>
                          <w:i/>
                          <w:sz w:val="20"/>
                          <w:szCs w:val="20"/>
                        </w:rPr>
                        <w:t>Exécution du travail environnemental et social</w:t>
                      </w:r>
                    </w:p>
                  </w:txbxContent>
                </v:textbox>
              </v:rect>
            </w:pict>
          </mc:Fallback>
        </mc:AlternateContent>
      </w:r>
    </w:p>
    <w:p>
      <w:pPr>
        <w:pStyle w:val="style0"/>
        <w:jc w:val="both"/>
        <w:rPr>
          <w:rFonts w:ascii="Arial" w:cs="Arial" w:hAnsi="Arial"/>
          <w:b/>
          <w:lang w:eastAsia="en-US"/>
        </w:rPr>
      </w:pPr>
      <w:r>
        <w:rPr>
          <w:rFonts w:ascii="Arial" w:cs="Arial" w:hAnsi="Arial"/>
          <w:b/>
          <w:noProof/>
        </w:rPr>
        <mc:AlternateContent>
          <mc:Choice Requires="wps">
            <w:drawing>
              <wp:anchor distT="0" distB="0" distL="0" distR="0" simplePos="false" relativeHeight="28" behindDoc="false" locked="false" layoutInCell="true" allowOverlap="true">
                <wp:simplePos x="0" y="0"/>
                <wp:positionH relativeFrom="column">
                  <wp:posOffset>114300</wp:posOffset>
                </wp:positionH>
                <wp:positionV relativeFrom="paragraph">
                  <wp:posOffset>146685</wp:posOffset>
                </wp:positionV>
                <wp:extent cx="0" cy="3453765"/>
                <wp:effectExtent l="57150" t="13334" r="57150" b="19050"/>
                <wp:wrapNone/>
                <wp:docPr id="1040" name="Line 1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53765"/>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0" filled="f" stroked="t" from="9.0pt,11.549999pt" to="9.0pt,283.5pt" style="position:absolute;z-index:28;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b/>
          <w:noProof/>
        </w:rPr>
        <mc:AlternateContent>
          <mc:Choice Requires="wps">
            <w:drawing>
              <wp:anchor distT="0" distB="0" distL="0" distR="0" simplePos="false" relativeHeight="46" behindDoc="false" locked="false" layoutInCell="true" allowOverlap="true">
                <wp:simplePos x="0" y="0"/>
                <wp:positionH relativeFrom="column">
                  <wp:posOffset>1890395</wp:posOffset>
                </wp:positionH>
                <wp:positionV relativeFrom="paragraph">
                  <wp:posOffset>22860</wp:posOffset>
                </wp:positionV>
                <wp:extent cx="1057275" cy="276225"/>
                <wp:effectExtent l="13970" t="13334" r="5080" b="5715"/>
                <wp:wrapNone/>
                <wp:docPr id="1041" name="Rectangle 1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7275" cy="276225"/>
                        </a:xfrm>
                        <a:prstGeom prst="rect"/>
                        <a:solidFill>
                          <a:srgbClr val="ffffff"/>
                        </a:solidFill>
                        <a:ln cmpd="sng" cap="flat" w="9525">
                          <a:solidFill>
                            <a:srgbClr val="000000"/>
                          </a:solidFill>
                          <a:prstDash val="solid"/>
                          <a:miter/>
                          <a:headEnd len="med" type="none" w="med"/>
                          <a:tailEnd len="med" type="none" w="med"/>
                        </a:ln>
                      </wps:spPr>
                      <wps:txbx id="1041">
                        <w:txbxContent>
                          <w:p>
                            <w:pPr>
                              <w:pStyle w:val="style0"/>
                              <w:rPr>
                                <w:b/>
                                <w:sz w:val="20"/>
                              </w:rPr>
                            </w:pPr>
                            <w:r>
                              <w:rPr>
                                <w:b/>
                                <w:sz w:val="20"/>
                              </w:rPr>
                              <w:t>Catégorie C</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1" fillcolor="white" stroked="t" style="position:absolute;margin-left:148.85pt;margin-top:1.8pt;width:83.25pt;height:21.75pt;z-index:46;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b/>
                          <w:sz w:val="20"/>
                        </w:rPr>
                      </w:pPr>
                      <w:r>
                        <w:rPr>
                          <w:b/>
                          <w:sz w:val="20"/>
                        </w:rPr>
                        <w:t>Catégorie C</w:t>
                      </w:r>
                    </w:p>
                  </w:txbxContent>
                </v:textbox>
              </v:rect>
            </w:pict>
          </mc:Fallback>
        </mc:AlternateContent>
      </w:r>
      <w:r>
        <w:rPr>
          <w:rFonts w:ascii="Arial" w:cs="Arial" w:hAnsi="Arial"/>
          <w:b/>
          <w:noProof/>
        </w:rPr>
        <mc:AlternateContent>
          <mc:Choice Requires="wps">
            <w:drawing>
              <wp:anchor distT="0" distB="0" distL="0" distR="0" simplePos="false" relativeHeight="30" behindDoc="false" locked="false" layoutInCell="true" allowOverlap="true">
                <wp:simplePos x="0" y="0"/>
                <wp:positionH relativeFrom="column">
                  <wp:posOffset>114300</wp:posOffset>
                </wp:positionH>
                <wp:positionV relativeFrom="paragraph">
                  <wp:posOffset>146685</wp:posOffset>
                </wp:positionV>
                <wp:extent cx="3204845" cy="0"/>
                <wp:effectExtent l="19050" t="60960" r="5080" b="53339"/>
                <wp:wrapNone/>
                <wp:docPr id="1042" name="Line 1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204845" cy="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2" filled="f" stroked="t" from="9.0pt,11.549999pt" to="261.35pt,11.549999pt" style="position:absolute;z-index:30;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p>
    <w:p>
      <w:pPr>
        <w:pStyle w:val="style0"/>
        <w:jc w:val="both"/>
        <w:rPr>
          <w:rFonts w:ascii="Arial" w:cs="Arial" w:hAnsi="Arial"/>
          <w:b/>
          <w:lang w:eastAsia="en-US"/>
        </w:rPr>
      </w:pPr>
    </w:p>
    <w:p>
      <w:pPr>
        <w:pStyle w:val="style0"/>
        <w:jc w:val="both"/>
        <w:rPr>
          <w:rFonts w:ascii="Arial" w:cs="Arial" w:hAnsi="Arial"/>
          <w:b/>
          <w:lang w:eastAsia="en-US"/>
        </w:rPr>
      </w:pPr>
      <w:r>
        <w:rPr>
          <w:rFonts w:ascii="Arial" w:cs="Arial" w:hAnsi="Arial"/>
          <w:b/>
          <w:noProof/>
        </w:rPr>
        <mc:AlternateContent>
          <mc:Choice Requires="wps">
            <w:drawing>
              <wp:anchor distT="0" distB="0" distL="0" distR="0" simplePos="false" relativeHeight="47" behindDoc="false" locked="false" layoutInCell="true" allowOverlap="true">
                <wp:simplePos x="0" y="0"/>
                <wp:positionH relativeFrom="column">
                  <wp:posOffset>1371600</wp:posOffset>
                </wp:positionH>
                <wp:positionV relativeFrom="paragraph">
                  <wp:posOffset>163830</wp:posOffset>
                </wp:positionV>
                <wp:extent cx="1595754" cy="276225"/>
                <wp:effectExtent l="9525" t="11430" r="13970" b="7620"/>
                <wp:wrapNone/>
                <wp:docPr id="1043" name="Rectangle 1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95754" cy="276225"/>
                        </a:xfrm>
                        <a:prstGeom prst="rect"/>
                        <a:solidFill>
                          <a:srgbClr val="ffffff"/>
                        </a:solidFill>
                        <a:ln cmpd="sng" cap="flat" w="9525">
                          <a:solidFill>
                            <a:srgbClr val="000000"/>
                          </a:solidFill>
                          <a:prstDash val="solid"/>
                          <a:miter/>
                          <a:headEnd len="med" type="none" w="med"/>
                          <a:tailEnd len="med" type="none" w="med"/>
                        </a:ln>
                      </wps:spPr>
                      <wps:txbx id="1043">
                        <w:txbxContent>
                          <w:p>
                            <w:pPr>
                              <w:pStyle w:val="style0"/>
                              <w:rPr>
                                <w:b/>
                                <w:sz w:val="20"/>
                              </w:rPr>
                            </w:pPr>
                            <w:r>
                              <w:rPr>
                                <w:b/>
                                <w:sz w:val="20"/>
                              </w:rPr>
                              <w:t>Catégorie A ou B</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3" fillcolor="white" stroked="t" style="position:absolute;margin-left:108.0pt;margin-top:12.9pt;width:125.65pt;height:21.75pt;z-index:47;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b/>
                          <w:sz w:val="20"/>
                        </w:rPr>
                      </w:pPr>
                      <w:r>
                        <w:rPr>
                          <w:b/>
                          <w:sz w:val="20"/>
                        </w:rPr>
                        <w:t>Catégorie A ou B</w:t>
                      </w:r>
                    </w:p>
                  </w:txbxContent>
                </v:textbox>
              </v:rect>
            </w:pict>
          </mc:Fallback>
        </mc:AlternateContent>
      </w:r>
      <w:r>
        <w:rPr>
          <w:rFonts w:ascii="Arial" w:cs="Arial" w:hAnsi="Arial"/>
          <w:b/>
          <w:noProof/>
        </w:rPr>
        <mc:AlternateContent>
          <mc:Choice Requires="wps">
            <w:drawing>
              <wp:anchor distT="0" distB="0" distL="0" distR="0" simplePos="false" relativeHeight="48" behindDoc="false" locked="false" layoutInCell="true" allowOverlap="true">
                <wp:simplePos x="0" y="0"/>
                <wp:positionH relativeFrom="column">
                  <wp:posOffset>2967355</wp:posOffset>
                </wp:positionH>
                <wp:positionV relativeFrom="paragraph">
                  <wp:posOffset>46990</wp:posOffset>
                </wp:positionV>
                <wp:extent cx="351790" cy="116840"/>
                <wp:effectExtent l="33655" t="8890" r="5080" b="55245"/>
                <wp:wrapNone/>
                <wp:docPr id="1044" name="Line 1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51790" cy="11684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4" filled="f" stroked="t" from="233.65pt,3.7pt" to="261.35pt,12.900001pt" style="position:absolute;z-index:48;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p>
    <w:p>
      <w:pPr>
        <w:pStyle w:val="style0"/>
        <w:jc w:val="both"/>
        <w:rPr>
          <w:rFonts w:ascii="Arial" w:cs="Arial" w:hAnsi="Arial"/>
          <w:lang w:eastAsia="en-US"/>
        </w:rPr>
      </w:pPr>
      <w:r>
        <w:rPr>
          <w:rFonts w:ascii="Arial" w:cs="Arial" w:hAnsi="Arial"/>
          <w:bCs/>
          <w:noProof/>
        </w:rPr>
        <mc:AlternateContent>
          <mc:Choice Requires="wps">
            <w:drawing>
              <wp:anchor distT="0" distB="0" distL="0" distR="0" simplePos="false" relativeHeight="45" behindDoc="false" locked="false" layoutInCell="true" allowOverlap="true">
                <wp:simplePos x="0" y="0"/>
                <wp:positionH relativeFrom="column">
                  <wp:posOffset>571500</wp:posOffset>
                </wp:positionH>
                <wp:positionV relativeFrom="paragraph">
                  <wp:posOffset>2402840</wp:posOffset>
                </wp:positionV>
                <wp:extent cx="3042920" cy="285750"/>
                <wp:effectExtent l="9525" t="12065" r="5080" b="6985"/>
                <wp:wrapNone/>
                <wp:docPr id="1045" name="Rectangle 1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2920" cy="285750"/>
                        </a:xfrm>
                        <a:prstGeom prst="rect"/>
                        <a:solidFill>
                          <a:srgbClr val="ffff00"/>
                        </a:solidFill>
                        <a:ln cmpd="sng" cap="flat" w="9525">
                          <a:solidFill>
                            <a:srgbClr val="000000"/>
                          </a:solidFill>
                          <a:prstDash val="solid"/>
                          <a:miter/>
                          <a:headEnd len="med" type="none" w="med"/>
                          <a:tailEnd len="med" type="none" w="med"/>
                        </a:ln>
                      </wps:spPr>
                      <wps:txbx id="1045">
                        <w:txbxContent>
                          <w:p>
                            <w:pPr>
                              <w:pStyle w:val="style0"/>
                              <w:rPr>
                                <w:szCs w:val="22"/>
                              </w:rPr>
                            </w:pPr>
                            <w:r>
                              <w:rPr>
                                <w:sz w:val="20"/>
                                <w:szCs w:val="20"/>
                              </w:rPr>
                              <w:t>SPM&amp;RT , SSE et SSS/PDCA</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45" fillcolor="yellow" stroked="t" style="position:absolute;margin-left:45.0pt;margin-top:189.2pt;width:239.6pt;height:22.5pt;z-index:45;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szCs w:val="22"/>
                        </w:rPr>
                      </w:pPr>
                      <w:r>
                        <w:rPr>
                          <w:sz w:val="20"/>
                          <w:szCs w:val="20"/>
                        </w:rPr>
                        <w:t>SPM&amp;RT , SSE et SSS/PDCA</w:t>
                      </w:r>
                    </w:p>
                  </w:txbxContent>
                </v:textbox>
              </v:rect>
            </w:pict>
          </mc:Fallback>
        </mc:AlternateContent>
      </w:r>
      <w:r>
        <w:rPr>
          <w:rFonts w:ascii="Arial" w:cs="Arial" w:hAnsi="Arial"/>
          <w:noProof/>
        </w:rPr>
        <mc:AlternateContent>
          <mc:Choice Requires="wps">
            <w:drawing>
              <wp:anchor distT="0" distB="0" distL="0" distR="0" simplePos="false" relativeHeight="38" behindDoc="false" locked="false" layoutInCell="true" allowOverlap="true">
                <wp:simplePos x="0" y="0"/>
                <wp:positionH relativeFrom="column">
                  <wp:posOffset>2967355</wp:posOffset>
                </wp:positionH>
                <wp:positionV relativeFrom="paragraph">
                  <wp:posOffset>201930</wp:posOffset>
                </wp:positionV>
                <wp:extent cx="351790" cy="264160"/>
                <wp:effectExtent l="5080" t="11430" r="43180" b="57785"/>
                <wp:wrapNone/>
                <wp:docPr id="1046" name="Line 1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1790" cy="26416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6" filled="f" stroked="t" from="233.65pt,15.9pt" to="261.35pt,36.7pt" style="position:absolute;z-index:38;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noProof/>
        </w:rPr>
        <mc:AlternateContent>
          <mc:Choice Requires="wps">
            <w:drawing>
              <wp:anchor distT="0" distB="0" distL="0" distR="0" simplePos="false" relativeHeight="26" behindDoc="false" locked="false" layoutInCell="true" allowOverlap="true">
                <wp:simplePos x="0" y="0"/>
                <wp:positionH relativeFrom="column">
                  <wp:posOffset>1714500</wp:posOffset>
                </wp:positionH>
                <wp:positionV relativeFrom="paragraph">
                  <wp:posOffset>264795</wp:posOffset>
                </wp:positionV>
                <wp:extent cx="175895" cy="230505"/>
                <wp:effectExtent l="57150" t="7620" r="5080" b="47625"/>
                <wp:wrapNone/>
                <wp:docPr id="1047" name="Line 1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5895" cy="230505"/>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7" filled="f" stroked="t" from="135.0pt,20.849998pt" to="148.85pt,39.0pt" style="position:absolute;z-index:26;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r>
        <w:rPr>
          <w:rFonts w:ascii="Arial" w:cs="Arial" w:hAnsi="Arial"/>
          <w:bCs/>
          <w:noProof/>
        </w:rPr>
        <mc:AlternateContent>
          <mc:Choice Requires="wps">
            <w:drawing>
              <wp:anchor distT="0" distB="0" distL="0" distR="0" simplePos="false" relativeHeight="44" behindDoc="false" locked="false" layoutInCell="true" allowOverlap="true">
                <wp:simplePos x="0" y="0"/>
                <wp:positionH relativeFrom="column">
                  <wp:posOffset>2171700</wp:posOffset>
                </wp:positionH>
                <wp:positionV relativeFrom="paragraph">
                  <wp:posOffset>2783840</wp:posOffset>
                </wp:positionV>
                <wp:extent cx="0" cy="290829"/>
                <wp:effectExtent l="57150" t="12065" r="57150" b="20955"/>
                <wp:wrapNone/>
                <wp:docPr id="1048" name="Line 1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90829"/>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8" filled="f" stroked="t" from="171.0pt,219.20001pt" to="171.0pt,242.1pt" style="position:absolute;z-index:44;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noProof/>
        </w:rPr>
        <mc:AlternateContent>
          <mc:Choice Requires="wps">
            <w:drawing>
              <wp:anchor distT="0" distB="0" distL="0" distR="0" simplePos="false" relativeHeight="41" behindDoc="false" locked="false" layoutInCell="true" allowOverlap="true">
                <wp:simplePos x="0" y="0"/>
                <wp:positionH relativeFrom="column">
                  <wp:posOffset>5372100</wp:posOffset>
                </wp:positionH>
                <wp:positionV relativeFrom="paragraph">
                  <wp:posOffset>1583690</wp:posOffset>
                </wp:positionV>
                <wp:extent cx="0" cy="247650"/>
                <wp:effectExtent l="57150" t="12065" r="57150" b="16510"/>
                <wp:wrapNone/>
                <wp:docPr id="1049" name="Line 1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4765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49" filled="f" stroked="t" from="423.0pt,124.7pt" to="423.0pt,144.2pt" style="position:absolute;z-index:41;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bCs/>
          <w:noProof/>
        </w:rPr>
        <mc:AlternateContent>
          <mc:Choice Requires="wps">
            <w:drawing>
              <wp:anchor distT="0" distB="0" distL="0" distR="0" simplePos="false" relativeHeight="43" behindDoc="false" locked="false" layoutInCell="true" allowOverlap="true">
                <wp:simplePos x="0" y="0"/>
                <wp:positionH relativeFrom="column">
                  <wp:posOffset>504824</wp:posOffset>
                </wp:positionH>
                <wp:positionV relativeFrom="paragraph">
                  <wp:posOffset>1831340</wp:posOffset>
                </wp:positionV>
                <wp:extent cx="3204845" cy="952499"/>
                <wp:effectExtent l="9525" t="12065" r="5080" b="6985"/>
                <wp:wrapNone/>
                <wp:docPr id="1050" name="Rectangle 1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04845" cy="952499"/>
                        </a:xfrm>
                        <a:prstGeom prst="rect"/>
                        <a:solidFill>
                          <a:srgbClr val="ffffff"/>
                        </a:solidFill>
                        <a:ln cmpd="sng" cap="flat" w="9525">
                          <a:solidFill>
                            <a:srgbClr val="000000"/>
                          </a:solidFill>
                          <a:prstDash val="solid"/>
                          <a:miter/>
                          <a:headEnd len="med" type="none" w="med"/>
                          <a:tailEnd len="med" type="none" w="med"/>
                        </a:ln>
                      </wps:spPr>
                      <wps:txbx id="1050">
                        <w:txbxContent>
                          <w:p>
                            <w:pPr>
                              <w:pStyle w:val="style0"/>
                              <w:jc w:val="center"/>
                              <w:rPr>
                                <w:b/>
                                <w:i/>
                                <w:sz w:val="20"/>
                                <w:szCs w:val="20"/>
                              </w:rPr>
                            </w:pPr>
                            <w:r>
                              <w:rPr>
                                <w:b/>
                                <w:bCs/>
                                <w:i/>
                                <w:sz w:val="22"/>
                                <w:szCs w:val="22"/>
                              </w:rPr>
                              <w:t>Etape 7 :</w:t>
                            </w:r>
                            <w:r>
                              <w:rPr>
                                <w:b/>
                                <w:i/>
                                <w:sz w:val="22"/>
                                <w:szCs w:val="22"/>
                              </w:rPr>
                              <w:t> </w:t>
                            </w:r>
                            <w:r>
                              <w:rPr>
                                <w:b/>
                                <w:i/>
                                <w:sz w:val="20"/>
                                <w:szCs w:val="20"/>
                              </w:rPr>
                              <w:t xml:space="preserve">Surveillance </w:t>
                            </w:r>
                            <w:r>
                              <w:rPr>
                                <w:b/>
                                <w:i/>
                                <w:color w:val="000000"/>
                                <w:sz w:val="20"/>
                                <w:szCs w:val="20"/>
                              </w:rPr>
                              <w:t xml:space="preserve"> de la mise en œuvre des mesures environnementales et sociales</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0" fillcolor="white" stroked="t" style="position:absolute;margin-left:39.75pt;margin-top:144.2pt;width:252.35pt;height:75.0pt;z-index:43;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b/>
                          <w:i/>
                          <w:sz w:val="20"/>
                          <w:szCs w:val="20"/>
                        </w:rPr>
                      </w:pPr>
                      <w:r>
                        <w:rPr>
                          <w:b/>
                          <w:bCs/>
                          <w:i/>
                          <w:sz w:val="22"/>
                          <w:szCs w:val="22"/>
                        </w:rPr>
                        <w:t>Etape 7 :</w:t>
                      </w:r>
                      <w:r>
                        <w:rPr>
                          <w:b/>
                          <w:i/>
                          <w:sz w:val="22"/>
                          <w:szCs w:val="22"/>
                        </w:rPr>
                        <w:t> </w:t>
                      </w:r>
                      <w:r>
                        <w:rPr>
                          <w:b/>
                          <w:i/>
                          <w:sz w:val="20"/>
                          <w:szCs w:val="20"/>
                        </w:rPr>
                        <w:t xml:space="preserve">Surveillance </w:t>
                      </w:r>
                      <w:r>
                        <w:rPr>
                          <w:b/>
                          <w:i/>
                          <w:color w:val="000000"/>
                          <w:sz w:val="20"/>
                          <w:szCs w:val="20"/>
                        </w:rPr>
                        <w:t xml:space="preserve"> de la mise en œuvre des mesures environnementales et sociales</w:t>
                      </w:r>
                    </w:p>
                  </w:txbxContent>
                </v:textbox>
              </v:rect>
            </w:pict>
          </mc:Fallback>
        </mc:AlternateContent>
      </w:r>
      <w:r>
        <w:rPr>
          <w:rFonts w:ascii="Arial" w:cs="Arial" w:hAnsi="Arial"/>
          <w:noProof/>
        </w:rPr>
        <mc:AlternateContent>
          <mc:Choice Requires="wps">
            <w:drawing>
              <wp:anchor distT="0" distB="0" distL="0" distR="0" simplePos="false" relativeHeight="40" behindDoc="false" locked="false" layoutInCell="true" allowOverlap="true">
                <wp:simplePos x="0" y="0"/>
                <wp:positionH relativeFrom="column">
                  <wp:posOffset>1371600</wp:posOffset>
                </wp:positionH>
                <wp:positionV relativeFrom="paragraph">
                  <wp:posOffset>1583690</wp:posOffset>
                </wp:positionV>
                <wp:extent cx="0" cy="247650"/>
                <wp:effectExtent l="57150" t="12065" r="57150" b="16510"/>
                <wp:wrapNone/>
                <wp:docPr id="1051" name="Line 1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4765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1" filled="f" stroked="t" from="108.0pt,124.7pt" to="108.0pt,144.2pt" style="position:absolute;z-index:40;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noProof/>
        </w:rPr>
        <mc:AlternateContent>
          <mc:Choice Requires="wps">
            <w:drawing>
              <wp:anchor distT="0" distB="0" distL="0" distR="0" simplePos="false" relativeHeight="19" behindDoc="false" locked="false" layoutInCell="true" allowOverlap="true">
                <wp:simplePos x="0" y="0"/>
                <wp:positionH relativeFrom="column">
                  <wp:posOffset>2366645</wp:posOffset>
                </wp:positionH>
                <wp:positionV relativeFrom="paragraph">
                  <wp:posOffset>466090</wp:posOffset>
                </wp:positionV>
                <wp:extent cx="1976755" cy="1117600"/>
                <wp:effectExtent l="13970" t="8890" r="9525" b="6985"/>
                <wp:wrapNone/>
                <wp:docPr id="1052" name="Rectangle 1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76755" cy="1117600"/>
                        </a:xfrm>
                        <a:prstGeom prst="rect"/>
                        <a:solidFill>
                          <a:srgbClr val="ffffff"/>
                        </a:solidFill>
                        <a:ln cmpd="sng" cap="flat" w="9525">
                          <a:solidFill>
                            <a:srgbClr val="000000"/>
                          </a:solidFill>
                          <a:prstDash val="solid"/>
                          <a:miter/>
                          <a:headEnd len="med" type="none" w="med"/>
                          <a:tailEnd len="med" type="none" w="med"/>
                        </a:ln>
                      </wps:spPr>
                      <wps:txbx id="1052">
                        <w:txbxContent>
                          <w:p>
                            <w:pPr>
                              <w:pStyle w:val="style0"/>
                              <w:jc w:val="center"/>
                              <w:rPr>
                                <w:color w:val="000000"/>
                                <w:sz w:val="22"/>
                                <w:szCs w:val="22"/>
                              </w:rPr>
                            </w:pPr>
                            <w:r>
                              <w:rPr>
                                <w:sz w:val="22"/>
                                <w:szCs w:val="22"/>
                              </w:rPr>
                              <w:t>Etape 4</w:t>
                            </w:r>
                            <w:r>
                              <w:rPr>
                                <w:bCs/>
                                <w:sz w:val="22"/>
                                <w:szCs w:val="22"/>
                              </w:rPr>
                              <w:t>.2</w:t>
                            </w:r>
                            <w:r>
                              <w:rPr>
                                <w:sz w:val="22"/>
                                <w:szCs w:val="22"/>
                              </w:rPr>
                              <w:t> :</w:t>
                            </w:r>
                          </w:p>
                          <w:p>
                            <w:pPr>
                              <w:pStyle w:val="style0"/>
                              <w:jc w:val="center"/>
                              <w:rPr>
                                <w:sz w:val="22"/>
                                <w:szCs w:val="22"/>
                              </w:rPr>
                            </w:pPr>
                            <w:r>
                              <w:rPr>
                                <w:color w:val="000000"/>
                                <w:sz w:val="22"/>
                                <w:szCs w:val="22"/>
                              </w:rPr>
                              <w:t>Choix du consultant en cas de réalisation d’un</w:t>
                            </w:r>
                            <w:r>
                              <w:rPr>
                                <w:color w:val="000000"/>
                                <w:sz w:val="22"/>
                                <w:szCs w:val="22"/>
                              </w:rPr>
                              <w:t>e EIES</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2" fillcolor="white" stroked="t" style="position:absolute;margin-left:186.35pt;margin-top:36.7pt;width:155.65pt;height:88.0pt;z-index:19;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color w:val="000000"/>
                          <w:sz w:val="22"/>
                          <w:szCs w:val="22"/>
                        </w:rPr>
                      </w:pPr>
                      <w:r>
                        <w:rPr>
                          <w:sz w:val="22"/>
                          <w:szCs w:val="22"/>
                        </w:rPr>
                        <w:t>Etape 4</w:t>
                      </w:r>
                      <w:r>
                        <w:rPr>
                          <w:bCs/>
                          <w:sz w:val="22"/>
                          <w:szCs w:val="22"/>
                        </w:rPr>
                        <w:t>.2</w:t>
                      </w:r>
                      <w:r>
                        <w:rPr>
                          <w:sz w:val="22"/>
                          <w:szCs w:val="22"/>
                        </w:rPr>
                        <w:t> :</w:t>
                      </w:r>
                    </w:p>
                    <w:p>
                      <w:pPr>
                        <w:pStyle w:val="style0"/>
                        <w:jc w:val="center"/>
                        <w:rPr>
                          <w:sz w:val="22"/>
                          <w:szCs w:val="22"/>
                        </w:rPr>
                      </w:pPr>
                      <w:r>
                        <w:rPr>
                          <w:color w:val="000000"/>
                          <w:sz w:val="22"/>
                          <w:szCs w:val="22"/>
                        </w:rPr>
                        <w:t>Choix du consultant en cas de réalisation d’un</w:t>
                      </w:r>
                      <w:r>
                        <w:rPr>
                          <w:color w:val="000000"/>
                          <w:sz w:val="22"/>
                          <w:szCs w:val="22"/>
                        </w:rPr>
                        <w:t>e EIES</w:t>
                      </w:r>
                    </w:p>
                  </w:txbxContent>
                </v:textbox>
              </v:rect>
            </w:pict>
          </mc:Fallback>
        </mc:AlternateContent>
      </w:r>
      <w:r>
        <w:rPr>
          <w:rFonts w:ascii="Arial" w:cs="Arial" w:hAnsi="Arial"/>
          <w:noProof/>
        </w:rPr>
        <mc:AlternateContent>
          <mc:Choice Requires="wps">
            <w:drawing>
              <wp:anchor distT="0" distB="0" distL="0" distR="0" simplePos="false" relativeHeight="18" behindDoc="false" locked="false" layoutInCell="true" allowOverlap="true">
                <wp:simplePos x="0" y="0"/>
                <wp:positionH relativeFrom="column">
                  <wp:posOffset>342900</wp:posOffset>
                </wp:positionH>
                <wp:positionV relativeFrom="paragraph">
                  <wp:posOffset>487680</wp:posOffset>
                </wp:positionV>
                <wp:extent cx="1828800" cy="1096010"/>
                <wp:effectExtent l="9525" t="11430" r="9525" b="6985"/>
                <wp:wrapNone/>
                <wp:docPr id="1053" name="Rectangle 1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096010"/>
                        </a:xfrm>
                        <a:prstGeom prst="rect"/>
                        <a:solidFill>
                          <a:srgbClr val="ffffff"/>
                        </a:solidFill>
                        <a:ln cmpd="sng" cap="flat" w="9525">
                          <a:solidFill>
                            <a:srgbClr val="000000"/>
                          </a:solidFill>
                          <a:prstDash val="solid"/>
                          <a:miter/>
                          <a:headEnd len="med" type="none" w="med"/>
                          <a:tailEnd len="med" type="none" w="med"/>
                        </a:ln>
                      </wps:spPr>
                      <wps:txbx id="1053">
                        <w:txbxContent>
                          <w:p>
                            <w:pPr>
                              <w:pStyle w:val="style0"/>
                              <w:jc w:val="center"/>
                              <w:rPr>
                                <w:color w:val="000000"/>
                                <w:sz w:val="22"/>
                                <w:szCs w:val="22"/>
                              </w:rPr>
                            </w:pPr>
                            <w:r>
                              <w:rPr>
                                <w:bCs/>
                                <w:sz w:val="22"/>
                                <w:szCs w:val="22"/>
                              </w:rPr>
                              <w:t>Etape 4</w:t>
                            </w:r>
                            <w:r>
                              <w:rPr>
                                <w:bCs/>
                                <w:sz w:val="22"/>
                                <w:szCs w:val="22"/>
                              </w:rPr>
                              <w:t>.1</w:t>
                            </w:r>
                            <w:r>
                              <w:rPr>
                                <w:sz w:val="22"/>
                                <w:szCs w:val="22"/>
                              </w:rPr>
                              <w:t> :</w:t>
                            </w:r>
                          </w:p>
                          <w:p>
                            <w:pPr>
                              <w:pStyle w:val="style0"/>
                              <w:jc w:val="center"/>
                              <w:rPr>
                                <w:sz w:val="22"/>
                                <w:szCs w:val="22"/>
                              </w:rPr>
                            </w:pPr>
                            <w:r>
                              <w:rPr>
                                <w:sz w:val="22"/>
                                <w:szCs w:val="22"/>
                              </w:rPr>
                              <w:t>Choix de simples mesures d’atténuation à appliquer</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3" fillcolor="white" stroked="t" style="position:absolute;margin-left:27.0pt;margin-top:38.4pt;width:144.0pt;height:86.3pt;z-index:18;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color w:val="000000"/>
                          <w:sz w:val="22"/>
                          <w:szCs w:val="22"/>
                        </w:rPr>
                      </w:pPr>
                      <w:r>
                        <w:rPr>
                          <w:bCs/>
                          <w:sz w:val="22"/>
                          <w:szCs w:val="22"/>
                        </w:rPr>
                        <w:t>Etape 4</w:t>
                      </w:r>
                      <w:r>
                        <w:rPr>
                          <w:bCs/>
                          <w:sz w:val="22"/>
                          <w:szCs w:val="22"/>
                        </w:rPr>
                        <w:t>.1</w:t>
                      </w:r>
                      <w:r>
                        <w:rPr>
                          <w:sz w:val="22"/>
                          <w:szCs w:val="22"/>
                        </w:rPr>
                        <w:t> :</w:t>
                      </w:r>
                    </w:p>
                    <w:p>
                      <w:pPr>
                        <w:pStyle w:val="style0"/>
                        <w:jc w:val="center"/>
                        <w:rPr>
                          <w:sz w:val="22"/>
                          <w:szCs w:val="22"/>
                        </w:rPr>
                      </w:pPr>
                      <w:r>
                        <w:rPr>
                          <w:sz w:val="22"/>
                          <w:szCs w:val="22"/>
                        </w:rPr>
                        <w:t>Choix de simples mesures d’atténuation à appliquer</w:t>
                      </w:r>
                    </w:p>
                  </w:txbxContent>
                </v:textbox>
              </v:rect>
            </w:pict>
          </mc:Fallback>
        </mc:AlternateContent>
      </w:r>
      <w:r>
        <w:rPr>
          <w:rFonts w:ascii="Arial" w:cs="Arial" w:hAnsi="Arial"/>
          <w:noProof/>
        </w:rPr>
        <mc:AlternateContent>
          <mc:Choice Requires="wps">
            <w:drawing>
              <wp:anchor distT="0" distB="0" distL="0" distR="0" simplePos="false" relativeHeight="42" behindDoc="false" locked="false" layoutInCell="true" allowOverlap="true">
                <wp:simplePos x="0" y="0"/>
                <wp:positionH relativeFrom="column">
                  <wp:posOffset>3709670</wp:posOffset>
                </wp:positionH>
                <wp:positionV relativeFrom="paragraph">
                  <wp:posOffset>2436495</wp:posOffset>
                </wp:positionV>
                <wp:extent cx="466725" cy="0"/>
                <wp:effectExtent l="23495" t="55245" r="5080" b="59055"/>
                <wp:wrapNone/>
                <wp:docPr id="1054" name="Line 1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66725" cy="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4" filled="f" stroked="t" from="292.1pt,191.85pt" to="328.85pt,191.85pt" style="position:absolute;z-index:42;mso-position-horizontal-relative:text;mso-position-vertical-relative:text;mso-width-percent:0;mso-height-percent:0;mso-width-relative:page;mso-height-relative:page;mso-wrap-distance-left:0.0pt;mso-wrap-distance-right:0.0pt;visibility:visible;flip:x;">
                <v:stroke endarrow="block"/>
                <v:fill/>
              </v:line>
            </w:pict>
          </mc:Fallback>
        </mc:AlternateContent>
      </w:r>
      <w:r>
        <w:rPr>
          <w:rFonts w:ascii="Arial" w:cs="Arial" w:hAnsi="Arial"/>
          <w:noProof/>
        </w:rPr>
        <mc:AlternateContent>
          <mc:Choice Requires="wps">
            <w:drawing>
              <wp:anchor distT="0" distB="0" distL="0" distR="0" simplePos="false" relativeHeight="27" behindDoc="false" locked="false" layoutInCell="true" allowOverlap="true">
                <wp:simplePos x="0" y="0"/>
                <wp:positionH relativeFrom="column">
                  <wp:posOffset>4343400</wp:posOffset>
                </wp:positionH>
                <wp:positionV relativeFrom="paragraph">
                  <wp:posOffset>967105</wp:posOffset>
                </wp:positionV>
                <wp:extent cx="228600" cy="0"/>
                <wp:effectExtent l="9525" t="52705" r="19050" b="61594"/>
                <wp:wrapNone/>
                <wp:docPr id="1055" name="Line 1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55" filled="f" stroked="t" from="342.0pt,76.15pt" to="360.0pt,76.15pt" style="position:absolute;z-index:27;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lang w:eastAsia="en-US"/>
        </w:rPr>
        <w:t xml:space="preserve"> </w:t>
      </w:r>
      <w:r>
        <w:rPr>
          <w:rFonts w:ascii="Arial" w:cs="Arial" w:hAnsi="Arial"/>
          <w:lang w:eastAsia="en-US"/>
        </w:rPr>
        <w:tab/>
      </w:r>
    </w:p>
    <w:p>
      <w:pPr>
        <w:pStyle w:val="style0"/>
        <w:jc w:val="both"/>
        <w:rPr>
          <w:rFonts w:ascii="Arial" w:cs="Arial" w:hAnsi="Arial"/>
          <w:b/>
          <w:lang w:eastAsia="en-US"/>
        </w:rPr>
      </w:pPr>
      <w:r>
        <w:rPr>
          <w:rFonts w:ascii="Arial" w:cs="Arial" w:hAnsi="Arial"/>
          <w:noProof/>
        </w:rPr>
        <mc:AlternateContent>
          <mc:Choice Requires="wps">
            <w:drawing>
              <wp:anchor distT="0" distB="0" distL="0" distR="0" simplePos="false" relativeHeight="21" behindDoc="false" locked="false" layoutInCell="true" allowOverlap="true">
                <wp:simplePos x="0" y="0"/>
                <wp:positionH relativeFrom="column">
                  <wp:posOffset>-100330</wp:posOffset>
                </wp:positionH>
                <wp:positionV relativeFrom="paragraph">
                  <wp:posOffset>2899410</wp:posOffset>
                </wp:positionV>
                <wp:extent cx="6686550" cy="613410"/>
                <wp:effectExtent l="13970" t="13334" r="5080" b="11430"/>
                <wp:wrapNone/>
                <wp:docPr id="1056" name="Rectangle 1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86550" cy="613410"/>
                        </a:xfrm>
                        <a:prstGeom prst="rect"/>
                        <a:solidFill>
                          <a:srgbClr val="ffffff"/>
                        </a:solidFill>
                        <a:ln cmpd="sng" cap="flat" w="9525">
                          <a:solidFill>
                            <a:srgbClr val="000000"/>
                          </a:solidFill>
                          <a:prstDash val="solid"/>
                          <a:miter/>
                          <a:headEnd len="med" type="none" w="med"/>
                          <a:tailEnd len="med" type="none" w="med"/>
                        </a:ln>
                      </wps:spPr>
                      <wps:txbx id="1056">
                        <w:txbxContent>
                          <w:p>
                            <w:pPr>
                              <w:pStyle w:val="style0"/>
                              <w:jc w:val="center"/>
                              <w:rPr>
                                <w:b/>
                                <w:i/>
                                <w:sz w:val="20"/>
                                <w:szCs w:val="20"/>
                              </w:rPr>
                            </w:pPr>
                            <w:r>
                              <w:rPr>
                                <w:b/>
                                <w:i/>
                                <w:color w:val="000000"/>
                                <w:sz w:val="20"/>
                                <w:szCs w:val="20"/>
                              </w:rPr>
                              <w:t xml:space="preserve">Etape </w:t>
                            </w:r>
                            <w:r>
                              <w:rPr>
                                <w:b/>
                                <w:i/>
                                <w:color w:val="000000"/>
                                <w:sz w:val="20"/>
                                <w:szCs w:val="20"/>
                              </w:rPr>
                              <w:t>8 :</w:t>
                            </w:r>
                            <w:r>
                              <w:rPr>
                                <w:b/>
                                <w:i/>
                                <w:color w:val="000000"/>
                                <w:sz w:val="20"/>
                                <w:szCs w:val="20"/>
                              </w:rPr>
                              <w:t xml:space="preserve"> </w:t>
                            </w:r>
                            <w:r>
                              <w:rPr>
                                <w:b/>
                                <w:i/>
                                <w:color w:val="000000"/>
                                <w:sz w:val="20"/>
                                <w:szCs w:val="20"/>
                              </w:rPr>
                              <w:t>Suivi environnemental et social</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6" fillcolor="white" stroked="t" style="position:absolute;margin-left:-7.9pt;margin-top:228.3pt;width:526.5pt;height:48.3pt;z-index:21;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b/>
                          <w:i/>
                          <w:sz w:val="20"/>
                          <w:szCs w:val="20"/>
                        </w:rPr>
                      </w:pPr>
                      <w:r>
                        <w:rPr>
                          <w:b/>
                          <w:i/>
                          <w:color w:val="000000"/>
                          <w:sz w:val="20"/>
                          <w:szCs w:val="20"/>
                        </w:rPr>
                        <w:t xml:space="preserve">Etape </w:t>
                      </w:r>
                      <w:r>
                        <w:rPr>
                          <w:b/>
                          <w:i/>
                          <w:color w:val="000000"/>
                          <w:sz w:val="20"/>
                          <w:szCs w:val="20"/>
                        </w:rPr>
                        <w:t>8 :</w:t>
                      </w:r>
                      <w:r>
                        <w:rPr>
                          <w:b/>
                          <w:i/>
                          <w:color w:val="000000"/>
                          <w:sz w:val="20"/>
                          <w:szCs w:val="20"/>
                        </w:rPr>
                        <w:t xml:space="preserve"> </w:t>
                      </w:r>
                      <w:r>
                        <w:rPr>
                          <w:b/>
                          <w:i/>
                          <w:color w:val="000000"/>
                          <w:sz w:val="20"/>
                          <w:szCs w:val="20"/>
                        </w:rPr>
                        <w:t>Suivi environnemental et social</w:t>
                      </w:r>
                    </w:p>
                  </w:txbxContent>
                </v:textbox>
              </v:rect>
            </w:pict>
          </mc:Fallback>
        </mc:AlternateContent>
      </w:r>
      <w:r>
        <w:rPr>
          <w:rFonts w:ascii="Arial" w:cs="Arial" w:hAnsi="Arial"/>
          <w:noProof/>
        </w:rPr>
        <mc:AlternateContent>
          <mc:Choice Requires="wps">
            <w:drawing>
              <wp:anchor distT="0" distB="0" distL="0" distR="0" simplePos="false" relativeHeight="35" behindDoc="false" locked="false" layoutInCell="true" allowOverlap="true">
                <wp:simplePos x="0" y="0"/>
                <wp:positionH relativeFrom="column">
                  <wp:posOffset>4343400</wp:posOffset>
                </wp:positionH>
                <wp:positionV relativeFrom="paragraph">
                  <wp:posOffset>2118360</wp:posOffset>
                </wp:positionV>
                <wp:extent cx="1828800" cy="490220"/>
                <wp:effectExtent l="9525" t="13334" r="9525" b="10795"/>
                <wp:wrapNone/>
                <wp:docPr id="1057" name="Rectangle 1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490220"/>
                        </a:xfrm>
                        <a:prstGeom prst="rect"/>
                        <a:solidFill>
                          <a:srgbClr val="ffff00"/>
                        </a:solidFill>
                        <a:ln cmpd="sng" cap="flat" w="9525">
                          <a:solidFill>
                            <a:srgbClr val="000000"/>
                          </a:solidFill>
                          <a:prstDash val="solid"/>
                          <a:miter/>
                          <a:headEnd len="med" type="none" w="med"/>
                          <a:tailEnd len="med" type="none" w="med"/>
                        </a:ln>
                      </wps:spPr>
                      <wps:txbx id="1057">
                        <w:txbxContent>
                          <w:p>
                            <w:pPr>
                              <w:pStyle w:val="style0"/>
                              <w:rPr>
                                <w:color w:val="000000"/>
                                <w:sz w:val="18"/>
                                <w:szCs w:val="18"/>
                              </w:rPr>
                            </w:pPr>
                            <w:r>
                              <w:rPr>
                                <w:color w:val="000000"/>
                                <w:sz w:val="18"/>
                                <w:szCs w:val="18"/>
                              </w:rPr>
                              <w:t>SSE, SSS/UNC</w:t>
                            </w:r>
                          </w:p>
                          <w:p>
                            <w:pPr>
                              <w:pStyle w:val="style0"/>
                              <w:rPr>
                                <w:sz w:val="18"/>
                                <w:szCs w:val="18"/>
                              </w:rPr>
                            </w:pPr>
                            <w:r>
                              <w:rPr>
                                <w:sz w:val="18"/>
                                <w:szCs w:val="18"/>
                              </w:rPr>
                              <w:t>Entreprises</w:t>
                            </w:r>
                          </w:p>
                          <w:p>
                            <w:pPr>
                              <w:pStyle w:val="style0"/>
                              <w:rPr>
                                <w:sz w:val="18"/>
                                <w:szCs w:val="18"/>
                              </w:rPr>
                            </w:pPr>
                            <w:r>
                              <w:rPr>
                                <w:sz w:val="18"/>
                                <w:szCs w:val="18"/>
                              </w:rPr>
                              <w:t>Consultants</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7" fillcolor="yellow" stroked="t" style="position:absolute;margin-left:342.0pt;margin-top:166.8pt;width:144.0pt;height:38.6pt;z-index:35;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color w:val="000000"/>
                          <w:sz w:val="18"/>
                          <w:szCs w:val="18"/>
                        </w:rPr>
                      </w:pPr>
                      <w:r>
                        <w:rPr>
                          <w:color w:val="000000"/>
                          <w:sz w:val="18"/>
                          <w:szCs w:val="18"/>
                        </w:rPr>
                        <w:t>SSE, SSS/UNC</w:t>
                      </w:r>
                    </w:p>
                    <w:p>
                      <w:pPr>
                        <w:pStyle w:val="style0"/>
                        <w:rPr>
                          <w:sz w:val="18"/>
                          <w:szCs w:val="18"/>
                        </w:rPr>
                      </w:pPr>
                      <w:r>
                        <w:rPr>
                          <w:sz w:val="18"/>
                          <w:szCs w:val="18"/>
                        </w:rPr>
                        <w:t>Entreprises</w:t>
                      </w:r>
                    </w:p>
                    <w:p>
                      <w:pPr>
                        <w:pStyle w:val="style0"/>
                        <w:rPr>
                          <w:sz w:val="18"/>
                          <w:szCs w:val="18"/>
                        </w:rPr>
                      </w:pPr>
                      <w:r>
                        <w:rPr>
                          <w:sz w:val="18"/>
                          <w:szCs w:val="18"/>
                        </w:rPr>
                        <w:t>Consultants</w:t>
                      </w:r>
                    </w:p>
                  </w:txbxContent>
                </v:textbox>
              </v:rect>
            </w:pict>
          </mc:Fallback>
        </mc:AlternateContent>
      </w:r>
      <w:r>
        <w:rPr>
          <w:rFonts w:ascii="Arial" w:cs="Arial" w:hAnsi="Arial"/>
          <w:noProof/>
        </w:rPr>
        <mc:AlternateContent>
          <mc:Choice Requires="wps">
            <w:drawing>
              <wp:anchor distT="0" distB="0" distL="0" distR="0" simplePos="false" relativeHeight="20" behindDoc="false" locked="false" layoutInCell="true" allowOverlap="true">
                <wp:simplePos x="0" y="0"/>
                <wp:positionH relativeFrom="column">
                  <wp:posOffset>4176394</wp:posOffset>
                </wp:positionH>
                <wp:positionV relativeFrom="paragraph">
                  <wp:posOffset>1656079</wp:posOffset>
                </wp:positionV>
                <wp:extent cx="2057400" cy="1068704"/>
                <wp:effectExtent l="13970" t="8255" r="5080" b="8890"/>
                <wp:wrapNone/>
                <wp:docPr id="1058" name="Rectangle 1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1068704"/>
                        </a:xfrm>
                        <a:prstGeom prst="rect"/>
                        <a:solidFill>
                          <a:srgbClr val="ffffff"/>
                        </a:solidFill>
                        <a:ln cmpd="sng" cap="flat" w="9525">
                          <a:solidFill>
                            <a:srgbClr val="000000"/>
                          </a:solidFill>
                          <a:prstDash val="solid"/>
                          <a:miter/>
                          <a:headEnd len="med" type="none" w="med"/>
                          <a:tailEnd len="med" type="none" w="med"/>
                        </a:ln>
                      </wps:spPr>
                      <wps:txbx id="1058">
                        <w:txbxContent>
                          <w:p>
                            <w:pPr>
                              <w:pStyle w:val="style0"/>
                              <w:jc w:val="center"/>
                              <w:rPr>
                                <w:b/>
                                <w:i/>
                                <w:sz w:val="18"/>
                                <w:szCs w:val="18"/>
                              </w:rPr>
                            </w:pPr>
                            <w:r>
                              <w:rPr>
                                <w:b/>
                                <w:bCs/>
                                <w:i/>
                                <w:sz w:val="22"/>
                                <w:szCs w:val="22"/>
                              </w:rPr>
                              <w:t xml:space="preserve">Etape </w:t>
                            </w:r>
                            <w:r>
                              <w:rPr>
                                <w:b/>
                                <w:bCs/>
                                <w:i/>
                                <w:sz w:val="22"/>
                                <w:szCs w:val="22"/>
                              </w:rPr>
                              <w:t>6</w:t>
                            </w:r>
                            <w:r>
                              <w:rPr>
                                <w:b/>
                                <w:i/>
                                <w:sz w:val="22"/>
                                <w:szCs w:val="22"/>
                              </w:rPr>
                              <w:t> :</w:t>
                            </w:r>
                            <w:r>
                              <w:rPr>
                                <w:b/>
                                <w:i/>
                                <w:color w:val="000000"/>
                                <w:sz w:val="22"/>
                                <w:szCs w:val="22"/>
                              </w:rPr>
                              <w:t xml:space="preserve"> </w:t>
                            </w:r>
                            <w:r>
                              <w:rPr>
                                <w:b/>
                                <w:bCs/>
                                <w:i/>
                                <w:iCs/>
                                <w:sz w:val="18"/>
                                <w:szCs w:val="18"/>
                              </w:rPr>
                              <w:t>Exécution des mesures contractualisées</w:t>
                            </w:r>
                            <w:r>
                              <w:rPr>
                                <w:b/>
                                <w:bCs/>
                                <w:i/>
                                <w:iCs/>
                                <w:sz w:val="18"/>
                                <w:szCs w:val="18"/>
                              </w:rPr>
                              <w:t xml:space="preserve"> </w:t>
                            </w:r>
                            <w:r>
                              <w:rPr>
                                <w:b/>
                                <w:bCs/>
                                <w:i/>
                                <w:iCs/>
                                <w:sz w:val="18"/>
                                <w:szCs w:val="18"/>
                              </w:rPr>
                              <w:t>avec l’entreprise de travaux</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8" fillcolor="white" stroked="t" style="position:absolute;margin-left:328.85pt;margin-top:130.4pt;width:162.0pt;height:84.15pt;z-index:20;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b/>
                          <w:i/>
                          <w:sz w:val="18"/>
                          <w:szCs w:val="18"/>
                        </w:rPr>
                      </w:pPr>
                      <w:r>
                        <w:rPr>
                          <w:b/>
                          <w:bCs/>
                          <w:i/>
                          <w:sz w:val="22"/>
                          <w:szCs w:val="22"/>
                        </w:rPr>
                        <w:t xml:space="preserve">Etape </w:t>
                      </w:r>
                      <w:r>
                        <w:rPr>
                          <w:b/>
                          <w:bCs/>
                          <w:i/>
                          <w:sz w:val="22"/>
                          <w:szCs w:val="22"/>
                        </w:rPr>
                        <w:t>6</w:t>
                      </w:r>
                      <w:r>
                        <w:rPr>
                          <w:b/>
                          <w:i/>
                          <w:sz w:val="22"/>
                          <w:szCs w:val="22"/>
                        </w:rPr>
                        <w:t> :</w:t>
                      </w:r>
                      <w:r>
                        <w:rPr>
                          <w:b/>
                          <w:i/>
                          <w:color w:val="000000"/>
                          <w:sz w:val="22"/>
                          <w:szCs w:val="22"/>
                        </w:rPr>
                        <w:t xml:space="preserve"> </w:t>
                      </w:r>
                      <w:r>
                        <w:rPr>
                          <w:b/>
                          <w:bCs/>
                          <w:i/>
                          <w:iCs/>
                          <w:sz w:val="18"/>
                          <w:szCs w:val="18"/>
                        </w:rPr>
                        <w:t>Exécution des mesures contractualisées</w:t>
                      </w:r>
                      <w:r>
                        <w:rPr>
                          <w:b/>
                          <w:bCs/>
                          <w:i/>
                          <w:iCs/>
                          <w:sz w:val="18"/>
                          <w:szCs w:val="18"/>
                        </w:rPr>
                        <w:t xml:space="preserve"> </w:t>
                      </w:r>
                      <w:r>
                        <w:rPr>
                          <w:b/>
                          <w:bCs/>
                          <w:i/>
                          <w:iCs/>
                          <w:sz w:val="18"/>
                          <w:szCs w:val="18"/>
                        </w:rPr>
                        <w:t>avec l’entreprise de travaux</w:t>
                      </w:r>
                    </w:p>
                  </w:txbxContent>
                </v:textbox>
              </v:rect>
            </w:pict>
          </mc:Fallback>
        </mc:AlternateContent>
      </w:r>
      <w:r>
        <w:rPr>
          <w:rFonts w:ascii="Arial" w:cs="Arial" w:hAnsi="Arial"/>
          <w:noProof/>
        </w:rPr>
        <mc:AlternateContent>
          <mc:Choice Requires="wps">
            <w:drawing>
              <wp:anchor distT="0" distB="0" distL="0" distR="0" simplePos="false" relativeHeight="34" behindDoc="false" locked="false" layoutInCell="true" allowOverlap="true">
                <wp:simplePos x="0" y="0"/>
                <wp:positionH relativeFrom="column">
                  <wp:posOffset>4643755</wp:posOffset>
                </wp:positionH>
                <wp:positionV relativeFrom="paragraph">
                  <wp:posOffset>904240</wp:posOffset>
                </wp:positionV>
                <wp:extent cx="1638300" cy="319405"/>
                <wp:effectExtent l="5080" t="8890" r="13970" b="5080"/>
                <wp:wrapNone/>
                <wp:docPr id="1059" name="Rectangle 1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38300" cy="319405"/>
                        </a:xfrm>
                        <a:prstGeom prst="rect"/>
                        <a:solidFill>
                          <a:srgbClr val="ffff00"/>
                        </a:solidFill>
                        <a:ln cmpd="sng" cap="flat" w="9525">
                          <a:solidFill>
                            <a:srgbClr val="000000"/>
                          </a:solidFill>
                          <a:prstDash val="solid"/>
                          <a:miter/>
                          <a:headEnd len="med" type="none" w="med"/>
                          <a:tailEnd len="med" type="none" w="med"/>
                        </a:ln>
                      </wps:spPr>
                      <wps:txbx id="1059">
                        <w:txbxContent>
                          <w:p>
                            <w:pPr>
                              <w:pStyle w:val="style0"/>
                              <w:jc w:val="center"/>
                              <w:rPr>
                                <w:sz w:val="20"/>
                              </w:rPr>
                            </w:pPr>
                            <w:r>
                              <w:rPr>
                                <w:sz w:val="20"/>
                              </w:rPr>
                              <w:t>RT, SSE-SSS/UNC</w:t>
                            </w:r>
                          </w:p>
                          <w:p>
                            <w:pPr>
                              <w:pStyle w:val="style0"/>
                              <w:rPr>
                                <w:szCs w:val="22"/>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9" fillcolor="yellow" stroked="t" style="position:absolute;margin-left:365.65pt;margin-top:71.2pt;width:129.0pt;height:25.15pt;z-index:34;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sz w:val="20"/>
                        </w:rPr>
                      </w:pPr>
                      <w:r>
                        <w:rPr>
                          <w:sz w:val="20"/>
                        </w:rPr>
                        <w:t>RT, SSE-SSS/UNC</w:t>
                      </w:r>
                    </w:p>
                    <w:p>
                      <w:pPr>
                        <w:pStyle w:val="style0"/>
                        <w:rPr>
                          <w:szCs w:val="22"/>
                        </w:rPr>
                      </w:pPr>
                    </w:p>
                  </w:txbxContent>
                </v:textbox>
              </v:rect>
            </w:pict>
          </mc:Fallback>
        </mc:AlternateContent>
      </w:r>
      <w:r>
        <w:rPr>
          <w:rFonts w:ascii="Arial" w:cs="Arial" w:hAnsi="Arial"/>
          <w:noProof/>
        </w:rPr>
        <mc:AlternateContent>
          <mc:Choice Requires="wps">
            <w:drawing>
              <wp:anchor distT="0" distB="0" distL="0" distR="0" simplePos="false" relativeHeight="39" behindDoc="false" locked="false" layoutInCell="true" allowOverlap="true">
                <wp:simplePos x="0" y="0"/>
                <wp:positionH relativeFrom="column">
                  <wp:posOffset>2449195</wp:posOffset>
                </wp:positionH>
                <wp:positionV relativeFrom="paragraph">
                  <wp:posOffset>980440</wp:posOffset>
                </wp:positionV>
                <wp:extent cx="1797050" cy="375919"/>
                <wp:effectExtent l="10795" t="8890" r="11430" b="5715"/>
                <wp:wrapNone/>
                <wp:docPr id="1060" name="Rectangle 1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97050" cy="375919"/>
                        </a:xfrm>
                        <a:prstGeom prst="rect"/>
                        <a:solidFill>
                          <a:srgbClr val="ffff00"/>
                        </a:solidFill>
                        <a:ln cmpd="sng" cap="flat" w="9525">
                          <a:solidFill>
                            <a:srgbClr val="000000"/>
                          </a:solidFill>
                          <a:prstDash val="solid"/>
                          <a:miter/>
                          <a:headEnd len="med" type="none" w="med"/>
                          <a:tailEnd len="med" type="none" w="med"/>
                        </a:ln>
                      </wps:spPr>
                      <wps:txbx id="1060">
                        <w:txbxContent>
                          <w:p>
                            <w:pPr>
                              <w:pStyle w:val="style0"/>
                              <w:rPr/>
                            </w:pPr>
                            <w:r>
                              <w:rPr>
                                <w:sz w:val="20"/>
                                <w:szCs w:val="20"/>
                              </w:rPr>
                              <w:t>SPM&amp;SSE et SSS/PDCA</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0" fillcolor="yellow" stroked="t" style="position:absolute;margin-left:192.85pt;margin-top:77.2pt;width:141.5pt;height:29.6pt;z-index:39;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rPr/>
                      </w:pPr>
                      <w:r>
                        <w:rPr>
                          <w:sz w:val="20"/>
                          <w:szCs w:val="20"/>
                        </w:rPr>
                        <w:t>SPM&amp;SSE et SSS/PDCA</w:t>
                      </w:r>
                    </w:p>
                  </w:txbxContent>
                </v:textbox>
              </v:rect>
            </w:pict>
          </mc:Fallback>
        </mc:AlternateContent>
      </w:r>
      <w:r>
        <w:rPr>
          <w:rFonts w:ascii="Arial" w:cs="Arial" w:hAnsi="Arial"/>
          <w:noProof/>
        </w:rPr>
        <mc:AlternateContent>
          <mc:Choice Requires="wps">
            <w:drawing>
              <wp:anchor distT="0" distB="0" distL="0" distR="0" simplePos="false" relativeHeight="33" behindDoc="false" locked="false" layoutInCell="true" allowOverlap="true">
                <wp:simplePos x="0" y="0"/>
                <wp:positionH relativeFrom="column">
                  <wp:posOffset>447675</wp:posOffset>
                </wp:positionH>
                <wp:positionV relativeFrom="paragraph">
                  <wp:posOffset>980440</wp:posOffset>
                </wp:positionV>
                <wp:extent cx="1661160" cy="375919"/>
                <wp:effectExtent l="9525" t="8890" r="5715" b="5715"/>
                <wp:wrapNone/>
                <wp:docPr id="1061" name="Rectangle 1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61160" cy="375919"/>
                        </a:xfrm>
                        <a:prstGeom prst="rect"/>
                        <a:solidFill>
                          <a:srgbClr val="ffff00"/>
                        </a:solidFill>
                        <a:ln cmpd="sng" cap="flat" w="9525">
                          <a:solidFill>
                            <a:srgbClr val="000000"/>
                          </a:solidFill>
                          <a:prstDash val="solid"/>
                          <a:miter/>
                          <a:headEnd len="med" type="none" w="med"/>
                          <a:tailEnd len="med" type="none" w="med"/>
                        </a:ln>
                      </wps:spPr>
                      <wps:txbx id="1061">
                        <w:txbxContent>
                          <w:p>
                            <w:pPr>
                              <w:pStyle w:val="style0"/>
                              <w:ind w:left="360"/>
                              <w:rPr>
                                <w:sz w:val="20"/>
                                <w:szCs w:val="20"/>
                              </w:rPr>
                            </w:pPr>
                            <w:r>
                              <w:rPr>
                                <w:sz w:val="20"/>
                                <w:szCs w:val="20"/>
                              </w:rPr>
                              <w:t>SSE et SSS/PDCA</w:t>
                            </w:r>
                          </w:p>
                          <w:p>
                            <w:pPr>
                              <w:pStyle w:val="style0"/>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1" fillcolor="yellow" stroked="t" style="position:absolute;margin-left:35.25pt;margin-top:77.2pt;width:130.8pt;height:29.6pt;z-index:33;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ind w:left="360"/>
                        <w:rPr>
                          <w:sz w:val="20"/>
                          <w:szCs w:val="20"/>
                        </w:rPr>
                      </w:pPr>
                      <w:r>
                        <w:rPr>
                          <w:sz w:val="20"/>
                          <w:szCs w:val="20"/>
                        </w:rPr>
                        <w:t>SSE et SSS/PDCA</w:t>
                      </w:r>
                    </w:p>
                    <w:p>
                      <w:pPr>
                        <w:pStyle w:val="style0"/>
                        <w:rPr/>
                      </w:pPr>
                    </w:p>
                  </w:txbxContent>
                </v:textbox>
              </v:rect>
            </w:pict>
          </mc:Fallback>
        </mc:AlternateContent>
      </w:r>
      <w:r>
        <w:rPr>
          <w:rFonts w:ascii="Arial" w:cs="Arial" w:hAnsi="Arial"/>
          <w:noProof/>
        </w:rPr>
        <mc:AlternateContent>
          <mc:Choice Requires="wps">
            <w:drawing>
              <wp:anchor distT="0" distB="0" distL="0" distR="0" simplePos="false" relativeHeight="22" behindDoc="false" locked="false" layoutInCell="true" allowOverlap="true">
                <wp:simplePos x="0" y="0"/>
                <wp:positionH relativeFrom="column">
                  <wp:posOffset>4572000</wp:posOffset>
                </wp:positionH>
                <wp:positionV relativeFrom="paragraph">
                  <wp:posOffset>241300</wp:posOffset>
                </wp:positionV>
                <wp:extent cx="1786255" cy="1181735"/>
                <wp:effectExtent l="9525" t="12700" r="13970" b="5715"/>
                <wp:wrapNone/>
                <wp:docPr id="1062" name="Rectangle 1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86255" cy="1181735"/>
                        </a:xfrm>
                        <a:prstGeom prst="rect"/>
                        <a:solidFill>
                          <a:srgbClr val="ffffff"/>
                        </a:solidFill>
                        <a:ln cmpd="sng" cap="flat" w="9525">
                          <a:solidFill>
                            <a:srgbClr val="000000"/>
                          </a:solidFill>
                          <a:prstDash val="solid"/>
                          <a:miter/>
                          <a:headEnd len="med" type="none" w="med"/>
                          <a:tailEnd len="med" type="none" w="med"/>
                        </a:ln>
                      </wps:spPr>
                      <wps:txbx id="1062">
                        <w:txbxContent>
                          <w:p>
                            <w:pPr>
                              <w:pStyle w:val="style0"/>
                              <w:spacing w:lineRule="auto" w:line="360"/>
                              <w:jc w:val="center"/>
                              <w:rPr>
                                <w:i/>
                                <w:color w:val="000000"/>
                                <w:sz w:val="22"/>
                                <w:szCs w:val="22"/>
                              </w:rPr>
                            </w:pPr>
                            <w:r>
                              <w:rPr>
                                <w:b/>
                                <w:bCs/>
                                <w:i/>
                                <w:sz w:val="22"/>
                                <w:szCs w:val="22"/>
                              </w:rPr>
                              <w:t xml:space="preserve">Etape </w:t>
                            </w:r>
                            <w:r>
                              <w:rPr>
                                <w:b/>
                                <w:bCs/>
                                <w:i/>
                                <w:sz w:val="22"/>
                                <w:szCs w:val="22"/>
                              </w:rPr>
                              <w:t>5</w:t>
                            </w:r>
                            <w:r>
                              <w:rPr>
                                <w:i/>
                                <w:sz w:val="22"/>
                                <w:szCs w:val="22"/>
                              </w:rPr>
                              <w:t> :</w:t>
                            </w:r>
                          </w:p>
                          <w:p>
                            <w:pPr>
                              <w:pStyle w:val="style0"/>
                              <w:rPr>
                                <w:b/>
                                <w:bCs/>
                                <w:i/>
                                <w:iCs/>
                                <w:sz w:val="22"/>
                                <w:szCs w:val="22"/>
                              </w:rPr>
                            </w:pPr>
                            <w:r>
                              <w:rPr>
                                <w:b/>
                                <w:bCs/>
                                <w:i/>
                                <w:iCs/>
                                <w:sz w:val="18"/>
                                <w:szCs w:val="18"/>
                              </w:rPr>
                              <w:t>Intégration dans le DAO des mesures</w:t>
                            </w:r>
                            <w:r>
                              <w:rPr>
                                <w:b/>
                                <w:bCs/>
                                <w:i/>
                                <w:iCs/>
                                <w:sz w:val="22"/>
                                <w:szCs w:val="22"/>
                              </w:rPr>
                              <w:t xml:space="preserve"> </w:t>
                            </w:r>
                            <w:r>
                              <w:rPr>
                                <w:b/>
                                <w:bCs/>
                                <w:i/>
                                <w:iCs/>
                                <w:sz w:val="18"/>
                                <w:szCs w:val="18"/>
                              </w:rPr>
                              <w:t xml:space="preserve">contractualisables </w:t>
                            </w:r>
                            <w:r>
                              <w:rPr>
                                <w:b/>
                                <w:bCs/>
                                <w:i/>
                                <w:iCs/>
                                <w:sz w:val="18"/>
                                <w:szCs w:val="18"/>
                              </w:rPr>
                              <w:t>avec l’entreprise</w:t>
                            </w:r>
                          </w:p>
                          <w:p>
                            <w:pPr>
                              <w:pStyle w:val="style0"/>
                              <w:rPr>
                                <w:b/>
                              </w:rPr>
                            </w:pPr>
                            <w:r>
                              <w:rPr>
                                <w:b/>
                                <w:color w:val="000000"/>
                                <w:szCs w:val="22"/>
                              </w:rPr>
                              <w:t xml:space="preserve">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2" fillcolor="white" stroked="t" style="position:absolute;margin-left:360.0pt;margin-top:19.0pt;width:140.65pt;height:93.05pt;z-index:22;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spacing w:lineRule="auto" w:line="360"/>
                        <w:jc w:val="center"/>
                        <w:rPr>
                          <w:i/>
                          <w:color w:val="000000"/>
                          <w:sz w:val="22"/>
                          <w:szCs w:val="22"/>
                        </w:rPr>
                      </w:pPr>
                      <w:r>
                        <w:rPr>
                          <w:b/>
                          <w:bCs/>
                          <w:i/>
                          <w:sz w:val="22"/>
                          <w:szCs w:val="22"/>
                        </w:rPr>
                        <w:t xml:space="preserve">Etape </w:t>
                      </w:r>
                      <w:r>
                        <w:rPr>
                          <w:b/>
                          <w:bCs/>
                          <w:i/>
                          <w:sz w:val="22"/>
                          <w:szCs w:val="22"/>
                        </w:rPr>
                        <w:t>5</w:t>
                      </w:r>
                      <w:r>
                        <w:rPr>
                          <w:i/>
                          <w:sz w:val="22"/>
                          <w:szCs w:val="22"/>
                        </w:rPr>
                        <w:t> :</w:t>
                      </w:r>
                    </w:p>
                    <w:p>
                      <w:pPr>
                        <w:pStyle w:val="style0"/>
                        <w:rPr>
                          <w:b/>
                          <w:bCs/>
                          <w:i/>
                          <w:iCs/>
                          <w:sz w:val="22"/>
                          <w:szCs w:val="22"/>
                        </w:rPr>
                      </w:pPr>
                      <w:r>
                        <w:rPr>
                          <w:b/>
                          <w:bCs/>
                          <w:i/>
                          <w:iCs/>
                          <w:sz w:val="18"/>
                          <w:szCs w:val="18"/>
                        </w:rPr>
                        <w:t>Intégration dans le DAO des mesures</w:t>
                      </w:r>
                      <w:r>
                        <w:rPr>
                          <w:b/>
                          <w:bCs/>
                          <w:i/>
                          <w:iCs/>
                          <w:sz w:val="22"/>
                          <w:szCs w:val="22"/>
                        </w:rPr>
                        <w:t xml:space="preserve"> </w:t>
                      </w:r>
                      <w:r>
                        <w:rPr>
                          <w:b/>
                          <w:bCs/>
                          <w:i/>
                          <w:iCs/>
                          <w:sz w:val="18"/>
                          <w:szCs w:val="18"/>
                        </w:rPr>
                        <w:t xml:space="preserve">contractualisables </w:t>
                      </w:r>
                      <w:r>
                        <w:rPr>
                          <w:b/>
                          <w:bCs/>
                          <w:i/>
                          <w:iCs/>
                          <w:sz w:val="18"/>
                          <w:szCs w:val="18"/>
                        </w:rPr>
                        <w:t>avec l’entreprise</w:t>
                      </w:r>
                    </w:p>
                    <w:p>
                      <w:pPr>
                        <w:pStyle w:val="style0"/>
                        <w:rPr>
                          <w:b/>
                        </w:rPr>
                      </w:pPr>
                      <w:r>
                        <w:rPr>
                          <w:b/>
                          <w:color w:val="000000"/>
                          <w:szCs w:val="22"/>
                        </w:rPr>
                        <w:t xml:space="preserve"> </w:t>
                      </w:r>
                    </w:p>
                  </w:txbxContent>
                </v:textbox>
              </v:rect>
            </w:pict>
          </mc:Fallback>
        </mc:AlternateContent>
      </w:r>
    </w:p>
    <w:bookmarkStart w:id="1343" w:name="_Toc467177"/>
    <w:bookmarkStart w:id="1344" w:name="_Toc686125"/>
    <w:bookmarkStart w:id="1345" w:name="_Toc2780507"/>
    <w:p>
      <w:pPr>
        <w:pStyle w:val="style3"/>
        <w:numPr>
          <w:ilvl w:val="0"/>
          <w:numId w:val="0"/>
        </w:numPr>
        <w:ind w:left="644" w:hanging="360"/>
        <w:rPr>
          <w:b/>
          <w:u w:val="none"/>
        </w:rPr>
      </w:pPr>
      <w:r>
        <w:rPr>
          <w:rFonts w:ascii="Arial" w:cs="Arial" w:hAnsi="Arial"/>
          <w:noProof/>
        </w:rPr>
        <mc:AlternateContent>
          <mc:Choice Requires="wps">
            <w:drawing>
              <wp:anchor distT="45720" distB="45720" distL="114300" distR="114300" simplePos="false" relativeHeight="53" behindDoc="false" locked="false" layoutInCell="true" allowOverlap="true">
                <wp:simplePos x="0" y="0"/>
                <wp:positionH relativeFrom="margin">
                  <wp:align>left</wp:align>
                </wp:positionH>
                <wp:positionV relativeFrom="paragraph">
                  <wp:posOffset>3512184</wp:posOffset>
                </wp:positionV>
                <wp:extent cx="2360930" cy="266700"/>
                <wp:effectExtent l="0" t="0" r="20320" b="19050"/>
                <wp:wrapSquare wrapText="bothSides"/>
                <wp:docPr id="1063" name="Zone de text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60930" cy="266700"/>
                        </a:xfrm>
                        <a:prstGeom prst="rect"/>
                        <a:solidFill>
                          <a:srgbClr val="ffffff"/>
                        </a:solidFill>
                        <a:ln cmpd="sng" cap="flat" w="9525">
                          <a:solidFill>
                            <a:srgbClr val="000000"/>
                          </a:solidFill>
                          <a:prstDash val="solid"/>
                          <a:miter/>
                          <a:headEnd len="med" type="none" w="med"/>
                          <a:tailEnd len="med" type="none" w="med"/>
                        </a:ln>
                      </wps:spPr>
                      <wps:txbx id="1063">
                        <w:txbxContent>
                          <w:p>
                            <w:pPr>
                              <w:pStyle w:val="style0"/>
                              <w:rPr>
                                <w:b/>
                                <w:sz w:val="20"/>
                                <w:szCs w:val="20"/>
                              </w:rPr>
                            </w:pPr>
                            <w:r>
                              <w:rPr>
                                <w:b/>
                                <w:sz w:val="22"/>
                                <w:szCs w:val="22"/>
                              </w:rPr>
                              <w:t>Etape 9 :</w:t>
                            </w:r>
                            <w:r>
                              <w:rPr>
                                <w:sz w:val="22"/>
                                <w:szCs w:val="22"/>
                              </w:rPr>
                              <w:t xml:space="preserve"> </w:t>
                            </w:r>
                            <w:r>
                              <w:rPr>
                                <w:b/>
                                <w:sz w:val="20"/>
                                <w:szCs w:val="20"/>
                              </w:rPr>
                              <w:t>Renforcement des capacités</w:t>
                            </w:r>
                          </w:p>
                        </w:txbxContent>
                      </wps:txbx>
                      <wps:bodyPr lIns="91440" rIns="91440" tIns="45720" bIns="45720" vert="horz" anchor="t" wrap="square">
                        <a:prstTxWarp prst="textNoShape"/>
                        <a:noAutofit/>
                      </wps:bodyPr>
                    </wps:wsp>
                  </a:graphicData>
                </a:graphic>
                <wp14:sizeRelH relativeFrom="margin">
                  <wp14:pctWidth>40000</wp14:pctWidth>
                </wp14:sizeRelH>
                <wp14:sizeRelV relativeFrom="margin">
                  <wp14:pctHeight>0</wp14:pctHeight>
                </wp14:sizeRelV>
              </wp:anchor>
            </w:drawing>
          </mc:Choice>
          <mc:Fallback>
            <w:pict>
              <v:rect id="1063" fillcolor="white" stroked="t" style="position:absolute;margin-left:0.0pt;margin-top:276.55pt;width:185.9pt;height:21.0pt;z-index:53;mso-position-horizontal:left;mso-position-horizontal-relative:margin;mso-position-vertical-relative:text;mso-width-percent:400;mso-height-percent:0;mso-width-relative:margin;mso-height-relative:margin;mso-wrap-distance-top:3.6000001pt;mso-wrap-distance-bottom:3.6000001pt;visibility:visible;">
                <v:stroke joinstyle="miter"/>
                <w10:wrap type="square"/>
                <v:fill/>
                <v:textbox inset="7.2pt,3.6pt,7.2pt,3.6pt">
                  <w:txbxContent>
                    <w:p>
                      <w:pPr>
                        <w:pStyle w:val="style0"/>
                        <w:rPr>
                          <w:b/>
                          <w:sz w:val="20"/>
                          <w:szCs w:val="20"/>
                        </w:rPr>
                      </w:pPr>
                      <w:r>
                        <w:rPr>
                          <w:b/>
                          <w:sz w:val="22"/>
                          <w:szCs w:val="22"/>
                        </w:rPr>
                        <w:t>Etape 9 :</w:t>
                      </w:r>
                      <w:r>
                        <w:rPr>
                          <w:sz w:val="22"/>
                          <w:szCs w:val="22"/>
                        </w:rPr>
                        <w:t xml:space="preserve"> </w:t>
                      </w:r>
                      <w:r>
                        <w:rPr>
                          <w:b/>
                          <w:sz w:val="20"/>
                          <w:szCs w:val="20"/>
                        </w:rPr>
                        <w:t>Renforcement des capacités</w:t>
                      </w:r>
                    </w:p>
                  </w:txbxContent>
                </v:textbox>
              </v:rect>
            </w:pict>
          </mc:Fallback>
        </mc:AlternateContent>
      </w:r>
      <w:r>
        <w:rPr>
          <w:rFonts w:ascii="Arial" w:cs="Arial" w:hAnsi="Arial"/>
          <w:noProof/>
        </w:rPr>
        <mc:AlternateContent>
          <mc:Choice Requires="wps">
            <w:drawing>
              <wp:anchor distT="0" distB="0" distL="0" distR="0" simplePos="false" relativeHeight="52" behindDoc="false" locked="false" layoutInCell="true" allowOverlap="true">
                <wp:simplePos x="0" y="0"/>
                <wp:positionH relativeFrom="column">
                  <wp:posOffset>-62230</wp:posOffset>
                </wp:positionH>
                <wp:positionV relativeFrom="paragraph">
                  <wp:posOffset>3816985</wp:posOffset>
                </wp:positionV>
                <wp:extent cx="2305050" cy="685800"/>
                <wp:effectExtent l="0" t="0" r="19050" b="19050"/>
                <wp:wrapNone/>
                <wp:docPr id="1064" name="Rectangle 1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05050" cy="685800"/>
                        </a:xfrm>
                        <a:prstGeom prst="rect"/>
                        <a:solidFill>
                          <a:srgbClr val="ffff00"/>
                        </a:solidFill>
                        <a:ln cmpd="sng" cap="flat" w="9525">
                          <a:solidFill>
                            <a:srgbClr val="000000"/>
                          </a:solidFill>
                          <a:prstDash val="solid"/>
                          <a:miter/>
                          <a:headEnd len="med" type="none" w="med"/>
                          <a:tailEnd len="med" type="none" w="med"/>
                        </a:ln>
                      </wps:spPr>
                      <wps:txbx id="1064">
                        <w:txbxContent>
                          <w:p>
                            <w:pPr>
                              <w:pStyle w:val="style0"/>
                              <w:numPr>
                                <w:ilvl w:val="0"/>
                                <w:numId w:val="66"/>
                              </w:numPr>
                              <w:rPr>
                                <w:sz w:val="20"/>
                                <w:szCs w:val="20"/>
                              </w:rPr>
                            </w:pPr>
                            <w:r>
                              <w:rPr>
                                <w:sz w:val="20"/>
                                <w:szCs w:val="20"/>
                              </w:rPr>
                              <w:t>SSE&amp; SSS /UNC/PDCA</w:t>
                            </w:r>
                          </w:p>
                          <w:p>
                            <w:pPr>
                              <w:pStyle w:val="style0"/>
                              <w:numPr>
                                <w:ilvl w:val="0"/>
                                <w:numId w:val="66"/>
                              </w:numPr>
                              <w:rPr>
                                <w:sz w:val="20"/>
                                <w:szCs w:val="20"/>
                              </w:rPr>
                            </w:pPr>
                            <w:r>
                              <w:rPr>
                                <w:sz w:val="20"/>
                                <w:szCs w:val="20"/>
                              </w:rPr>
                              <w:t>Consultants</w:t>
                            </w:r>
                          </w:p>
                          <w:p>
                            <w:pPr>
                              <w:pStyle w:val="style0"/>
                              <w:numPr>
                                <w:ilvl w:val="0"/>
                                <w:numId w:val="66"/>
                              </w:numPr>
                              <w:rPr/>
                            </w:pPr>
                            <w:r>
                              <w:rPr>
                                <w:sz w:val="20"/>
                                <w:szCs w:val="20"/>
                              </w:rPr>
                              <w:t>Structures publiques compétentes</w:t>
                            </w:r>
                            <w:r>
                              <w:rPr>
                                <w:sz w:val="20"/>
                                <w:szCs w:val="20"/>
                              </w:rPr>
                              <w:t xml:space="preserve">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4" fillcolor="yellow" stroked="t" style="position:absolute;margin-left:-4.9pt;margin-top:300.55pt;width:181.5pt;height:54.0pt;z-index:52;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numPr>
                          <w:ilvl w:val="0"/>
                          <w:numId w:val="66"/>
                        </w:numPr>
                        <w:rPr>
                          <w:sz w:val="20"/>
                          <w:szCs w:val="20"/>
                        </w:rPr>
                      </w:pPr>
                      <w:r>
                        <w:rPr>
                          <w:sz w:val="20"/>
                          <w:szCs w:val="20"/>
                        </w:rPr>
                        <w:t>SSE&amp; SSS /UNC/PDCA</w:t>
                      </w:r>
                    </w:p>
                    <w:p>
                      <w:pPr>
                        <w:pStyle w:val="style0"/>
                        <w:numPr>
                          <w:ilvl w:val="0"/>
                          <w:numId w:val="66"/>
                        </w:numPr>
                        <w:rPr>
                          <w:sz w:val="20"/>
                          <w:szCs w:val="20"/>
                        </w:rPr>
                      </w:pPr>
                      <w:r>
                        <w:rPr>
                          <w:sz w:val="20"/>
                          <w:szCs w:val="20"/>
                        </w:rPr>
                        <w:t>Consultants</w:t>
                      </w:r>
                    </w:p>
                    <w:p>
                      <w:pPr>
                        <w:pStyle w:val="style0"/>
                        <w:numPr>
                          <w:ilvl w:val="0"/>
                          <w:numId w:val="66"/>
                        </w:numPr>
                        <w:rPr/>
                      </w:pPr>
                      <w:r>
                        <w:rPr>
                          <w:sz w:val="20"/>
                          <w:szCs w:val="20"/>
                        </w:rPr>
                        <w:t>Structures publiques compétentes</w:t>
                      </w:r>
                      <w:r>
                        <w:rPr>
                          <w:sz w:val="20"/>
                          <w:szCs w:val="20"/>
                        </w:rPr>
                        <w:t xml:space="preserve"> </w:t>
                      </w:r>
                    </w:p>
                  </w:txbxContent>
                </v:textbox>
              </v:rect>
            </w:pict>
          </mc:Fallback>
        </mc:AlternateContent>
      </w:r>
      <w:r>
        <w:rPr>
          <w:rFonts w:ascii="Arial" w:cs="Arial" w:hAnsi="Arial"/>
          <w:noProof/>
        </w:rPr>
        <mc:AlternateContent>
          <mc:Choice Requires="wps">
            <w:drawing>
              <wp:anchor distT="0" distB="0" distL="0" distR="0" simplePos="false" relativeHeight="23" behindDoc="false" locked="false" layoutInCell="true" allowOverlap="true">
                <wp:simplePos x="0" y="0"/>
                <wp:positionH relativeFrom="column">
                  <wp:posOffset>2614295</wp:posOffset>
                </wp:positionH>
                <wp:positionV relativeFrom="paragraph">
                  <wp:posOffset>3445510</wp:posOffset>
                </wp:positionV>
                <wp:extent cx="3867149" cy="1201420"/>
                <wp:effectExtent l="0" t="0" r="19050" b="17780"/>
                <wp:wrapNone/>
                <wp:docPr id="1065" name="Rectangle 1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67149" cy="1201420"/>
                        </a:xfrm>
                        <a:prstGeom prst="rect"/>
                        <a:solidFill>
                          <a:srgbClr val="ffffff"/>
                        </a:solidFill>
                        <a:ln cmpd="sng" cap="flat" w="9525">
                          <a:solidFill>
                            <a:srgbClr val="000000"/>
                          </a:solidFill>
                          <a:prstDash val="solid"/>
                          <a:miter/>
                          <a:headEnd len="med" type="none" w="med"/>
                          <a:tailEnd len="med" type="none" w="med"/>
                        </a:ln>
                      </wps:spPr>
                      <wps:txbx id="1065">
                        <w:txbxContent>
                          <w:p>
                            <w:pPr>
                              <w:pStyle w:val="style0"/>
                              <w:jc w:val="center"/>
                              <w:rPr>
                                <w:b/>
                                <w:i/>
                                <w:color w:val="000000"/>
                                <w:sz w:val="22"/>
                                <w:szCs w:val="22"/>
                              </w:rPr>
                            </w:pPr>
                            <w:r>
                              <w:rPr>
                                <w:b/>
                                <w:bCs/>
                                <w:i/>
                                <w:sz w:val="22"/>
                                <w:szCs w:val="22"/>
                              </w:rPr>
                              <w:t xml:space="preserve">Etape </w:t>
                            </w:r>
                            <w:r>
                              <w:rPr>
                                <w:b/>
                                <w:bCs/>
                                <w:i/>
                                <w:sz w:val="22"/>
                                <w:szCs w:val="22"/>
                              </w:rPr>
                              <w:t xml:space="preserve">10 </w:t>
                            </w:r>
                            <w:r>
                              <w:rPr>
                                <w:i/>
                                <w:sz w:val="22"/>
                                <w:szCs w:val="22"/>
                              </w:rPr>
                              <w:t>:</w:t>
                            </w:r>
                            <w:r>
                              <w:rPr>
                                <w:i/>
                                <w:color w:val="000000"/>
                                <w:sz w:val="22"/>
                                <w:szCs w:val="22"/>
                              </w:rPr>
                              <w:t xml:space="preserve"> </w:t>
                            </w:r>
                            <w:r>
                              <w:rPr>
                                <w:b/>
                                <w:i/>
                                <w:color w:val="000000"/>
                                <w:sz w:val="22"/>
                                <w:szCs w:val="22"/>
                              </w:rPr>
                              <w:t>Audits</w:t>
                            </w:r>
                          </w:p>
                          <w:p>
                            <w:pPr>
                              <w:pStyle w:val="style0"/>
                              <w:jc w:val="center"/>
                              <w:rPr>
                                <w:b/>
                                <w:i/>
                                <w:color w:val="000000"/>
                                <w:szCs w:val="22"/>
                              </w:rPr>
                            </w:pPr>
                          </w:p>
                          <w:p>
                            <w:pPr>
                              <w:pStyle w:val="style0"/>
                              <w:jc w:val="center"/>
                              <w:rPr>
                                <w:b/>
                                <w:i/>
                                <w:color w:val="000000"/>
                                <w:szCs w:val="22"/>
                              </w:rPr>
                            </w:pPr>
                          </w:p>
                          <w:p>
                            <w:pPr>
                              <w:pStyle w:val="style0"/>
                              <w:jc w:val="center"/>
                              <w:rPr>
                                <w:b/>
                                <w:i/>
                                <w:color w:val="000000"/>
                                <w:szCs w:val="22"/>
                              </w:rPr>
                            </w:pPr>
                          </w:p>
                          <w:p>
                            <w:pPr>
                              <w:pStyle w:val="style0"/>
                              <w:jc w:val="center"/>
                              <w:rPr>
                                <w:i/>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5" fillcolor="white" stroked="t" style="position:absolute;margin-left:205.85pt;margin-top:271.3pt;width:304.5pt;height:94.6pt;z-index:23;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b/>
                          <w:i/>
                          <w:color w:val="000000"/>
                          <w:sz w:val="22"/>
                          <w:szCs w:val="22"/>
                        </w:rPr>
                      </w:pPr>
                      <w:r>
                        <w:rPr>
                          <w:b/>
                          <w:bCs/>
                          <w:i/>
                          <w:sz w:val="22"/>
                          <w:szCs w:val="22"/>
                        </w:rPr>
                        <w:t xml:space="preserve">Etape </w:t>
                      </w:r>
                      <w:r>
                        <w:rPr>
                          <w:b/>
                          <w:bCs/>
                          <w:i/>
                          <w:sz w:val="22"/>
                          <w:szCs w:val="22"/>
                        </w:rPr>
                        <w:t xml:space="preserve">10 </w:t>
                      </w:r>
                      <w:r>
                        <w:rPr>
                          <w:i/>
                          <w:sz w:val="22"/>
                          <w:szCs w:val="22"/>
                        </w:rPr>
                        <w:t>:</w:t>
                      </w:r>
                      <w:r>
                        <w:rPr>
                          <w:i/>
                          <w:color w:val="000000"/>
                          <w:sz w:val="22"/>
                          <w:szCs w:val="22"/>
                        </w:rPr>
                        <w:t xml:space="preserve"> </w:t>
                      </w:r>
                      <w:r>
                        <w:rPr>
                          <w:b/>
                          <w:i/>
                          <w:color w:val="000000"/>
                          <w:sz w:val="22"/>
                          <w:szCs w:val="22"/>
                        </w:rPr>
                        <w:t>Audits</w:t>
                      </w:r>
                    </w:p>
                    <w:p>
                      <w:pPr>
                        <w:pStyle w:val="style0"/>
                        <w:jc w:val="center"/>
                        <w:rPr>
                          <w:b/>
                          <w:i/>
                          <w:color w:val="000000"/>
                          <w:szCs w:val="22"/>
                        </w:rPr>
                      </w:pPr>
                    </w:p>
                    <w:p>
                      <w:pPr>
                        <w:pStyle w:val="style0"/>
                        <w:jc w:val="center"/>
                        <w:rPr>
                          <w:b/>
                          <w:i/>
                          <w:color w:val="000000"/>
                          <w:szCs w:val="22"/>
                        </w:rPr>
                      </w:pPr>
                    </w:p>
                    <w:p>
                      <w:pPr>
                        <w:pStyle w:val="style0"/>
                        <w:jc w:val="center"/>
                        <w:rPr>
                          <w:b/>
                          <w:i/>
                          <w:color w:val="000000"/>
                          <w:szCs w:val="22"/>
                        </w:rPr>
                      </w:pPr>
                    </w:p>
                    <w:p>
                      <w:pPr>
                        <w:pStyle w:val="style0"/>
                        <w:jc w:val="center"/>
                        <w:rPr>
                          <w:i/>
                        </w:rPr>
                      </w:pPr>
                    </w:p>
                  </w:txbxContent>
                </v:textbox>
              </v:rect>
            </w:pict>
          </mc:Fallback>
        </mc:AlternateContent>
      </w:r>
      <w:r>
        <w:rPr>
          <w:rFonts w:ascii="Arial" w:cs="Arial" w:hAnsi="Arial"/>
          <w:noProof/>
        </w:rPr>
        <mc:AlternateContent>
          <mc:Choice Requires="wps">
            <w:drawing>
              <wp:anchor distT="0" distB="0" distL="0" distR="0" simplePos="false" relativeHeight="37" behindDoc="false" locked="false" layoutInCell="true" allowOverlap="true">
                <wp:simplePos x="0" y="0"/>
                <wp:positionH relativeFrom="column">
                  <wp:posOffset>2738120</wp:posOffset>
                </wp:positionH>
                <wp:positionV relativeFrom="paragraph">
                  <wp:posOffset>3702685</wp:posOffset>
                </wp:positionV>
                <wp:extent cx="3462020" cy="685800"/>
                <wp:effectExtent l="0" t="0" r="24130" b="19050"/>
                <wp:wrapNone/>
                <wp:docPr id="1066" name="Rectangle 1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62020" cy="685800"/>
                        </a:xfrm>
                        <a:prstGeom prst="rect"/>
                        <a:solidFill>
                          <a:srgbClr val="ffff00"/>
                        </a:solidFill>
                        <a:ln cmpd="sng" cap="flat" w="9525">
                          <a:solidFill>
                            <a:srgbClr val="000000"/>
                          </a:solidFill>
                          <a:prstDash val="solid"/>
                          <a:miter/>
                          <a:headEnd len="med" type="none" w="med"/>
                          <a:tailEnd len="med" type="none" w="med"/>
                        </a:ln>
                      </wps:spPr>
                      <wps:txbx id="1066">
                        <w:txbxContent>
                          <w:p>
                            <w:pPr>
                              <w:pStyle w:val="style0"/>
                              <w:numPr>
                                <w:ilvl w:val="0"/>
                                <w:numId w:val="66"/>
                              </w:numPr>
                              <w:rPr>
                                <w:sz w:val="20"/>
                                <w:szCs w:val="20"/>
                              </w:rPr>
                            </w:pPr>
                            <w:r>
                              <w:rPr>
                                <w:sz w:val="20"/>
                                <w:szCs w:val="20"/>
                              </w:rPr>
                              <w:t>SSE, SSS &amp;RSE-UNC/PDCA</w:t>
                            </w:r>
                          </w:p>
                          <w:p>
                            <w:pPr>
                              <w:pStyle w:val="style0"/>
                              <w:numPr>
                                <w:ilvl w:val="0"/>
                                <w:numId w:val="66"/>
                              </w:numPr>
                              <w:rPr>
                                <w:sz w:val="20"/>
                                <w:szCs w:val="20"/>
                              </w:rPr>
                            </w:pPr>
                            <w:r>
                              <w:rPr>
                                <w:sz w:val="20"/>
                                <w:szCs w:val="20"/>
                              </w:rPr>
                              <w:t>Consultants</w:t>
                            </w:r>
                          </w:p>
                          <w:p>
                            <w:pPr>
                              <w:pStyle w:val="style0"/>
                              <w:numPr>
                                <w:ilvl w:val="0"/>
                                <w:numId w:val="66"/>
                              </w:numPr>
                              <w:rPr/>
                            </w:pPr>
                            <w:r>
                              <w:rPr>
                                <w:sz w:val="20"/>
                                <w:szCs w:val="20"/>
                              </w:rPr>
                              <w:t xml:space="preserve">Consultants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6" fillcolor="yellow" stroked="t" style="position:absolute;margin-left:215.6pt;margin-top:291.55pt;width:272.6pt;height:54.0pt;z-index:37;mso-position-horizontal-relative:text;mso-position-vertical-relative:text;mso-width-percent:0;mso-height-percent:0;mso-width-relative:page;mso-height-relative:page;mso-wrap-distance-left:0.0pt;mso-wrap-distance-right:0.0pt;visibility:visible;">
                <v:stroke joinstyle="miter"/>
                <v:fill/>
                <v:textbox inset="7.2pt,3.6pt,7.2pt,3.6pt">
                  <w:txbxContent>
                    <w:p>
                      <w:pPr>
                        <w:pStyle w:val="style0"/>
                        <w:numPr>
                          <w:ilvl w:val="0"/>
                          <w:numId w:val="66"/>
                        </w:numPr>
                        <w:rPr>
                          <w:sz w:val="20"/>
                          <w:szCs w:val="20"/>
                        </w:rPr>
                      </w:pPr>
                      <w:r>
                        <w:rPr>
                          <w:sz w:val="20"/>
                          <w:szCs w:val="20"/>
                        </w:rPr>
                        <w:t>SSE, SSS &amp;RSE-UNC/PDCA</w:t>
                      </w:r>
                    </w:p>
                    <w:p>
                      <w:pPr>
                        <w:pStyle w:val="style0"/>
                        <w:numPr>
                          <w:ilvl w:val="0"/>
                          <w:numId w:val="66"/>
                        </w:numPr>
                        <w:rPr>
                          <w:sz w:val="20"/>
                          <w:szCs w:val="20"/>
                        </w:rPr>
                      </w:pPr>
                      <w:r>
                        <w:rPr>
                          <w:sz w:val="20"/>
                          <w:szCs w:val="20"/>
                        </w:rPr>
                        <w:t>Consultants</w:t>
                      </w:r>
                    </w:p>
                    <w:p>
                      <w:pPr>
                        <w:pStyle w:val="style0"/>
                        <w:numPr>
                          <w:ilvl w:val="0"/>
                          <w:numId w:val="66"/>
                        </w:numPr>
                        <w:rPr/>
                      </w:pPr>
                      <w:r>
                        <w:rPr>
                          <w:sz w:val="20"/>
                          <w:szCs w:val="20"/>
                        </w:rPr>
                        <w:t xml:space="preserve">Consultants </w:t>
                      </w:r>
                    </w:p>
                  </w:txbxContent>
                </v:textbox>
              </v:rect>
            </w:pict>
          </mc:Fallback>
        </mc:AlternateContent>
      </w:r>
      <w:r>
        <w:rPr>
          <w:rFonts w:ascii="Arial" w:cs="Arial" w:hAnsi="Arial"/>
          <w:noProof/>
        </w:rPr>
        <mc:AlternateContent>
          <mc:Choice Requires="wps">
            <w:drawing>
              <wp:anchor distT="0" distB="0" distL="0" distR="0" simplePos="false" relativeHeight="36" behindDoc="false" locked="false" layoutInCell="true" allowOverlap="true">
                <wp:simplePos x="0" y="0"/>
                <wp:positionH relativeFrom="margin">
                  <wp:posOffset>1733550</wp:posOffset>
                </wp:positionH>
                <wp:positionV relativeFrom="paragraph">
                  <wp:posOffset>2978785</wp:posOffset>
                </wp:positionV>
                <wp:extent cx="2867025" cy="319405"/>
                <wp:effectExtent l="0" t="0" r="28575" b="23495"/>
                <wp:wrapNone/>
                <wp:docPr id="1067" name="Rectangle 1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67025" cy="319405"/>
                        </a:xfrm>
                        <a:prstGeom prst="rect"/>
                        <a:solidFill>
                          <a:srgbClr val="ffff00"/>
                        </a:solidFill>
                        <a:ln cmpd="sng" cap="flat" w="9525">
                          <a:solidFill>
                            <a:srgbClr val="000000"/>
                          </a:solidFill>
                          <a:prstDash val="solid"/>
                          <a:miter/>
                          <a:headEnd len="med" type="none" w="med"/>
                          <a:tailEnd len="med" type="none" w="med"/>
                        </a:ln>
                      </wps:spPr>
                      <wps:txbx id="1067">
                        <w:txbxContent>
                          <w:p>
                            <w:pPr>
                              <w:pStyle w:val="style0"/>
                              <w:jc w:val="center"/>
                              <w:rPr>
                                <w:sz w:val="20"/>
                                <w:szCs w:val="20"/>
                              </w:rPr>
                            </w:pPr>
                            <w:r>
                              <w:rPr>
                                <w:sz w:val="20"/>
                                <w:szCs w:val="20"/>
                              </w:rPr>
                              <w:t>SSE, SSS/UNC et laboratoires recrutés par UNC</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67" fillcolor="yellow" stroked="t" style="position:absolute;margin-left:136.5pt;margin-top:234.55pt;width:225.75pt;height:25.15pt;z-index:36;mso-position-horizontal-relative:margin;mso-position-vertical-relative:text;mso-width-percent:0;mso-height-percent:0;mso-width-relative:page;mso-height-relative:page;mso-wrap-distance-left:0.0pt;mso-wrap-distance-right:0.0pt;visibility:visible;">
                <v:stroke joinstyle="miter"/>
                <v:fill/>
                <v:textbox inset="7.2pt,3.6pt,7.2pt,3.6pt">
                  <w:txbxContent>
                    <w:p>
                      <w:pPr>
                        <w:pStyle w:val="style0"/>
                        <w:jc w:val="center"/>
                        <w:rPr>
                          <w:sz w:val="20"/>
                          <w:szCs w:val="20"/>
                        </w:rPr>
                      </w:pPr>
                      <w:r>
                        <w:rPr>
                          <w:sz w:val="20"/>
                          <w:szCs w:val="20"/>
                        </w:rPr>
                        <w:t>SSE, SSS/UNC et laboratoires recrutés par UNC</w:t>
                      </w:r>
                    </w:p>
                  </w:txbxContent>
                </v:textbox>
              </v:rect>
            </w:pict>
          </mc:Fallback>
        </mc:AlternateContent>
      </w:r>
      <w:r>
        <w:rPr>
          <w:rFonts w:ascii="Arial" w:cs="Arial" w:hAnsi="Arial"/>
          <w:noProof/>
        </w:rPr>
        <mc:AlternateContent>
          <mc:Choice Requires="wps">
            <w:drawing>
              <wp:anchor distT="0" distB="0" distL="0" distR="0" simplePos="false" relativeHeight="29" behindDoc="false" locked="false" layoutInCell="true" allowOverlap="true">
                <wp:simplePos x="0" y="0"/>
                <wp:positionH relativeFrom="column">
                  <wp:posOffset>2743200</wp:posOffset>
                </wp:positionH>
                <wp:positionV relativeFrom="paragraph">
                  <wp:posOffset>3337560</wp:posOffset>
                </wp:positionV>
                <wp:extent cx="0" cy="114934"/>
                <wp:effectExtent l="57150" t="13334" r="57150" b="14605"/>
                <wp:wrapNone/>
                <wp:docPr id="1068" name="Line 1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934"/>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68" filled="f" stroked="t" from="216.0pt,262.80002pt" to="216.0pt,271.85pt" style="position:absolute;z-index:29;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rFonts w:ascii="Arial" w:cs="Arial" w:hAnsi="Arial"/>
          <w:lang w:eastAsia="en-US"/>
        </w:rPr>
        <w:br w:type="page"/>
      </w:r>
      <w:bookmarkEnd w:id="1343"/>
      <w:r>
        <w:rPr>
          <w:b/>
          <w:u w:val="none"/>
        </w:rPr>
        <w:t>7</w:t>
      </w:r>
      <w:r>
        <w:rPr>
          <w:b/>
          <w:u w:val="none"/>
        </w:rPr>
        <w:t>.1.2. Res</w:t>
      </w:r>
      <w:r>
        <w:rPr>
          <w:b/>
          <w:u w:val="none"/>
        </w:rPr>
        <w:t xml:space="preserve">ponsabilités </w:t>
      </w:r>
      <w:r>
        <w:rPr>
          <w:b/>
          <w:u w:val="none"/>
        </w:rPr>
        <w:t>de</w:t>
      </w:r>
      <w:r>
        <w:rPr>
          <w:b/>
          <w:u w:val="none"/>
        </w:rPr>
        <w:t xml:space="preserve"> la mise en </w:t>
      </w:r>
      <w:r>
        <w:rPr>
          <w:b/>
          <w:u w:val="none"/>
        </w:rPr>
        <w:t>œuvre</w:t>
      </w:r>
      <w:r>
        <w:rPr>
          <w:b/>
          <w:u w:val="none"/>
        </w:rPr>
        <w:t xml:space="preserve"> </w:t>
      </w:r>
      <w:r>
        <w:rPr>
          <w:b/>
          <w:u w:val="none"/>
        </w:rPr>
        <w:t xml:space="preserve">de de la </w:t>
      </w:r>
      <w:r>
        <w:rPr>
          <w:b/>
          <w:u w:val="none"/>
        </w:rPr>
        <w:t xml:space="preserve">procédure </w:t>
      </w:r>
      <w:r>
        <w:rPr>
          <w:b/>
          <w:u w:val="none"/>
        </w:rPr>
        <w:t>de gestion environnementale et sociale</w:t>
      </w:r>
      <w:bookmarkEnd w:id="1344"/>
      <w:bookmarkEnd w:id="1345"/>
    </w:p>
    <w:p>
      <w:pPr>
        <w:pStyle w:val="style0"/>
        <w:spacing w:before="120" w:after="120" w:lineRule="atLeast" w:line="240"/>
        <w:jc w:val="both"/>
        <w:rPr>
          <w:sz w:val="22"/>
          <w:szCs w:val="22"/>
          <w:lang w:eastAsia="en-US"/>
        </w:rPr>
      </w:pPr>
      <w:r>
        <w:rPr>
          <w:bCs/>
          <w:sz w:val="22"/>
          <w:szCs w:val="22"/>
          <w:lang w:eastAsia="en-US"/>
        </w:rPr>
        <w:t>Le tableau ci-dessous présente les différentes étapes, les rôles et les responsabilités institutionnelles pour la sélection et</w:t>
      </w:r>
      <w:r>
        <w:rPr>
          <w:sz w:val="22"/>
          <w:szCs w:val="22"/>
          <w:lang w:eastAsia="en-US"/>
        </w:rPr>
        <w:t xml:space="preserve"> la préparation, l’évaluation, l’approbation et la mise en œuvre </w:t>
      </w:r>
      <w:r>
        <w:rPr>
          <w:sz w:val="22"/>
          <w:szCs w:val="22"/>
          <w:lang w:eastAsia="en-US"/>
        </w:rPr>
        <w:t>des sous projets</w:t>
      </w:r>
      <w:r>
        <w:rPr>
          <w:sz w:val="22"/>
          <w:szCs w:val="22"/>
          <w:lang w:eastAsia="en-US"/>
        </w:rPr>
        <w:t xml:space="preserve"> du PDCA</w:t>
      </w:r>
      <w:r>
        <w:rPr>
          <w:sz w:val="22"/>
          <w:szCs w:val="22"/>
          <w:lang w:eastAsia="en-US"/>
        </w:rPr>
        <w:t>.</w:t>
      </w:r>
      <w:bookmarkStart w:id="1346" w:name="_Toc199267711"/>
    </w:p>
    <w:bookmarkStart w:id="1347" w:name="_Toc470966567"/>
    <w:p>
      <w:pPr>
        <w:pStyle w:val="style0"/>
        <w:spacing w:before="120" w:after="120"/>
        <w:rPr>
          <w:b/>
          <w:bCs/>
          <w:sz w:val="20"/>
          <w:szCs w:val="20"/>
        </w:rPr>
      </w:pPr>
    </w:p>
    <w:bookmarkStart w:id="1348" w:name="_Toc2780542"/>
    <w:bookmarkEnd w:id="1347"/>
    <w:p>
      <w:pPr>
        <w:pStyle w:val="style34"/>
        <w:rPr>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8</w:t>
      </w:r>
      <w:r>
        <w:rPr>
          <w:color w:val="auto"/>
          <w:sz w:val="20"/>
          <w:szCs w:val="20"/>
        </w:rPr>
        <w:fldChar w:fldCharType="end"/>
      </w:r>
      <w:r>
        <w:rPr>
          <w:color w:val="auto"/>
          <w:sz w:val="20"/>
          <w:szCs w:val="20"/>
        </w:rPr>
        <w:t xml:space="preserve"> : Récapitulatif des étapes </w:t>
      </w:r>
      <w:r>
        <w:rPr>
          <w:color w:val="auto"/>
          <w:sz w:val="20"/>
          <w:szCs w:val="20"/>
        </w:rPr>
        <w:t>et responsabilités de la gestion environnementale et sociale du PDCA</w:t>
      </w:r>
      <w:bookmarkEnd w:id="13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1977"/>
        <w:gridCol w:w="2252"/>
        <w:gridCol w:w="2156"/>
        <w:gridCol w:w="110"/>
        <w:gridCol w:w="1969"/>
      </w:tblGrid>
      <w:tr>
        <w:trPr>
          <w:tblHeader/>
        </w:trPr>
        <w:tc>
          <w:tcPr>
            <w:tcW w:w="314"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No</w:t>
            </w:r>
            <w:r>
              <w:rPr>
                <w:sz w:val="20"/>
                <w:szCs w:val="20"/>
              </w:rPr>
              <w:t xml:space="preserve"> </w:t>
            </w:r>
          </w:p>
        </w:tc>
        <w:tc>
          <w:tcPr>
            <w:tcW w:w="1096"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Etapes/Activités</w:t>
            </w:r>
          </w:p>
        </w:tc>
        <w:tc>
          <w:tcPr>
            <w:tcW w:w="1264"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Responsables</w:t>
            </w:r>
          </w:p>
        </w:tc>
        <w:tc>
          <w:tcPr>
            <w:tcW w:w="1235" w:type="pct"/>
            <w:gridSpan w:val="2"/>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Appui/Collaboration</w:t>
            </w:r>
          </w:p>
        </w:tc>
        <w:tc>
          <w:tcPr>
            <w:tcW w:w="1091" w:type="pct"/>
            <w:tcBorders/>
            <w:shd w:val="clear" w:color="auto" w:fill="bfbfbf"/>
          </w:tcPr>
          <w:p>
            <w:pPr>
              <w:pStyle w:val="style0"/>
              <w:ind w:left="62" w:hanging="10"/>
              <w:jc w:val="both"/>
              <w:rPr>
                <w:rFonts w:eastAsia="MS Mincho"/>
                <w:b/>
                <w:iCs/>
                <w:kern w:val="2"/>
                <w:sz w:val="20"/>
                <w:szCs w:val="20"/>
                <w:lang w:eastAsia="en-GB"/>
              </w:rPr>
            </w:pPr>
            <w:r>
              <w:rPr>
                <w:rFonts w:eastAsia="MS Mincho"/>
                <w:b/>
                <w:iCs/>
                <w:kern w:val="2"/>
                <w:sz w:val="20"/>
                <w:szCs w:val="20"/>
                <w:lang w:eastAsia="en-GB"/>
              </w:rPr>
              <w:t>Prestataires</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1.</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Identification de la localisation/site et principales caractéristiques techniques du sous-projet (Filtre E&amp;S) </w:t>
            </w:r>
          </w:p>
        </w:tc>
        <w:tc>
          <w:tcPr>
            <w:tcW w:w="1264"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RT/UNC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DGAHDI</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SSE et SSS/PDCA</w:t>
            </w:r>
          </w:p>
        </w:tc>
        <w:tc>
          <w:tcPr>
            <w:tcW w:w="1235"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Maires de communes</w:t>
            </w:r>
          </w:p>
        </w:tc>
        <w:tc>
          <w:tcPr>
            <w:tcW w:w="1091"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Consultant</w:t>
            </w:r>
          </w:p>
        </w:tc>
      </w:tr>
      <w:tr>
        <w:tblPrEx/>
        <w:trPr>
          <w:trHeight w:val="1214" w:hRule="atLeast"/>
        </w:trPr>
        <w:tc>
          <w:tcPr>
            <w:tcW w:w="31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2.</w:t>
            </w:r>
          </w:p>
        </w:tc>
        <w:tc>
          <w:tcPr>
            <w:tcW w:w="1096" w:type="pct"/>
            <w:tcBorders/>
            <w:shd w:val="clear" w:color="auto" w:fill="auto"/>
          </w:tcPr>
          <w:p>
            <w:pPr>
              <w:pStyle w:val="style0"/>
              <w:tabs>
                <w:tab w:val="left" w:leader="none" w:pos="0"/>
              </w:tabs>
              <w:jc w:val="both"/>
              <w:contextualSpacing/>
              <w:rPr>
                <w:rFonts w:eastAsia="MS Mincho"/>
                <w:iCs/>
                <w:kern w:val="2"/>
                <w:sz w:val="20"/>
                <w:szCs w:val="20"/>
                <w:lang w:eastAsia="en-GB"/>
              </w:rPr>
            </w:pPr>
            <w:r>
              <w:rPr>
                <w:rFonts w:eastAsia="MS Mincho"/>
                <w:iCs/>
                <w:kern w:val="2"/>
                <w:sz w:val="20"/>
                <w:szCs w:val="20"/>
                <w:lang w:eastAsia="en-GB"/>
              </w:rPr>
              <w:t>Sélection environnementale (Screening-remplissage des formulaires), et détermination du type d’instrument spécifique de sauvegarde</w:t>
            </w:r>
          </w:p>
        </w:tc>
        <w:tc>
          <w:tcPr>
            <w:tcW w:w="1264" w:type="pct"/>
            <w:tcBorders/>
            <w:shd w:val="clear" w:color="auto" w:fill="auto"/>
          </w:tcPr>
          <w:p>
            <w:pPr>
              <w:pStyle w:val="style0"/>
              <w:tabs>
                <w:tab w:val="left" w:leader="none" w:pos="0"/>
              </w:tabs>
              <w:jc w:val="both"/>
              <w:contextualSpacing/>
              <w:rPr>
                <w:rFonts w:eastAsia="MS Mincho"/>
                <w:iCs/>
                <w:kern w:val="2"/>
                <w:sz w:val="20"/>
                <w:szCs w:val="20"/>
                <w:lang w:eastAsia="en-GB"/>
              </w:rPr>
            </w:pPr>
            <w:r>
              <w:rPr>
                <w:rFonts w:eastAsia="MS Mincho"/>
                <w:iCs/>
                <w:kern w:val="2"/>
                <w:sz w:val="20"/>
                <w:szCs w:val="20"/>
                <w:lang w:eastAsia="en-GB"/>
              </w:rPr>
              <w:t>SSE et SSS/PDCA</w:t>
            </w:r>
          </w:p>
          <w:p>
            <w:pPr>
              <w:pStyle w:val="style0"/>
              <w:tabs>
                <w:tab w:val="left" w:leader="none" w:pos="0"/>
              </w:tabs>
              <w:ind w:left="62" w:hanging="10"/>
              <w:jc w:val="both"/>
              <w:contextualSpacing/>
              <w:rPr>
                <w:rFonts w:eastAsia="MS Mincho"/>
                <w:iCs/>
                <w:kern w:val="2"/>
                <w:sz w:val="20"/>
                <w:szCs w:val="20"/>
                <w:lang w:eastAsia="en-GB"/>
              </w:rPr>
            </w:pPr>
          </w:p>
        </w:tc>
        <w:tc>
          <w:tcPr>
            <w:tcW w:w="1235"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tc>
        <w:tc>
          <w:tcPr>
            <w:tcW w:w="1091"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numPr>
                <w:ilvl w:val="0"/>
                <w:numId w:val="69"/>
              </w:numPr>
              <w:tabs>
                <w:tab w:val="left" w:leader="none" w:pos="186"/>
              </w:tabs>
              <w:ind w:left="95" w:hanging="95"/>
              <w:rPr>
                <w:sz w:val="20"/>
                <w:szCs w:val="20"/>
              </w:rPr>
            </w:pPr>
            <w:r>
              <w:rPr>
                <w:sz w:val="20"/>
                <w:szCs w:val="20"/>
              </w:rPr>
              <w:t xml:space="preserve">SSE et SSS/ </w:t>
            </w:r>
            <w:r>
              <w:rPr>
                <w:sz w:val="20"/>
                <w:szCs w:val="20"/>
              </w:rPr>
              <w:t>PDCA</w:t>
            </w:r>
          </w:p>
          <w:p>
            <w:pPr>
              <w:pStyle w:val="style0"/>
              <w:numPr>
                <w:ilvl w:val="0"/>
                <w:numId w:val="69"/>
              </w:numPr>
              <w:tabs>
                <w:tab w:val="left" w:leader="none" w:pos="186"/>
              </w:tabs>
              <w:ind w:left="95" w:hanging="95"/>
              <w:rPr>
                <w:sz w:val="20"/>
                <w:szCs w:val="20"/>
              </w:rPr>
            </w:pPr>
            <w:r>
              <w:rPr>
                <w:sz w:val="20"/>
                <w:szCs w:val="20"/>
              </w:rPr>
              <w:t>Points Focaux</w:t>
            </w:r>
          </w:p>
          <w:p>
            <w:pPr>
              <w:pStyle w:val="style0"/>
              <w:ind w:left="62" w:hanging="10"/>
              <w:jc w:val="both"/>
              <w:rPr>
                <w:rFonts w:eastAsia="MS Mincho"/>
                <w:iCs/>
                <w:kern w:val="2"/>
                <w:sz w:val="20"/>
                <w:szCs w:val="20"/>
                <w:lang w:eastAsia="en-GB"/>
              </w:rPr>
            </w:pPr>
            <w:r>
              <w:rPr>
                <w:sz w:val="20"/>
                <w:szCs w:val="20"/>
              </w:rPr>
              <w:t>Environnementaux et Sociaux (PFES)</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3.</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Approbation de la catégorisation </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Coordonnateur PDCA</w:t>
            </w:r>
          </w:p>
        </w:tc>
        <w:tc>
          <w:tcPr>
            <w:tcW w:w="1235" w:type="pct"/>
            <w:gridSpan w:val="2"/>
            <w:tcBorders/>
            <w:shd w:val="clear" w:color="auto" w:fill="auto"/>
          </w:tcPr>
          <w:p>
            <w:pPr>
              <w:pStyle w:val="style0"/>
              <w:tabs>
                <w:tab w:val="left" w:leader="none" w:pos="186"/>
              </w:tabs>
              <w:ind w:left="95"/>
              <w:jc w:val="both"/>
              <w:rPr>
                <w:rFonts w:eastAsia="MS Mincho"/>
                <w:iCs/>
                <w:kern w:val="2"/>
                <w:sz w:val="20"/>
                <w:szCs w:val="20"/>
                <w:lang w:eastAsia="en-GB"/>
              </w:rPr>
            </w:pP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SSE et SSS/PDCA</w:t>
            </w:r>
          </w:p>
        </w:tc>
        <w:tc>
          <w:tcPr>
            <w:tcW w:w="1091" w:type="pct"/>
            <w:tcBorders/>
            <w:shd w:val="clear" w:color="auto" w:fill="auto"/>
          </w:tcPr>
          <w:p>
            <w:pPr>
              <w:pStyle w:val="style0"/>
              <w:numPr>
                <w:ilvl w:val="0"/>
                <w:numId w:val="69"/>
              </w:numPr>
              <w:tabs>
                <w:tab w:val="left" w:leader="none" w:pos="151"/>
              </w:tabs>
              <w:ind w:left="61" w:hanging="9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69"/>
              </w:numPr>
              <w:ind w:left="151"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4</w:t>
            </w:r>
          </w:p>
        </w:tc>
        <w:tc>
          <w:tcPr>
            <w:tcW w:w="4686" w:type="pct"/>
            <w:gridSpan w:val="5"/>
            <w:tcBorders/>
            <w:shd w:val="clear" w:color="auto" w:fill="auto"/>
          </w:tcPr>
          <w:p>
            <w:pPr>
              <w:pStyle w:val="style0"/>
              <w:tabs>
                <w:tab w:val="left" w:leader="none" w:pos="151"/>
              </w:tabs>
              <w:ind w:left="62" w:hanging="10"/>
              <w:jc w:val="both"/>
              <w:rPr>
                <w:rFonts w:eastAsia="MS Mincho"/>
                <w:iCs/>
                <w:kern w:val="2"/>
                <w:sz w:val="20"/>
                <w:szCs w:val="20"/>
                <w:lang w:eastAsia="en-GB"/>
              </w:rPr>
            </w:pPr>
            <w:r>
              <w:rPr>
                <w:rFonts w:eastAsia="MS Mincho"/>
                <w:iCs/>
                <w:kern w:val="2"/>
                <w:sz w:val="20"/>
                <w:szCs w:val="20"/>
                <w:lang w:eastAsia="en-GB"/>
              </w:rPr>
              <w:t>Réalisation du « travail » environnemental et social</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4.1.</w:t>
            </w:r>
          </w:p>
        </w:tc>
        <w:tc>
          <w:tcPr>
            <w:tcW w:w="4686" w:type="pct"/>
            <w:gridSpan w:val="5"/>
            <w:tcBorders/>
            <w:shd w:val="clear" w:color="auto" w:fill="auto"/>
          </w:tcPr>
          <w:p>
            <w:pPr>
              <w:pStyle w:val="style0"/>
              <w:tabs>
                <w:tab w:val="left" w:leader="none" w:pos="151"/>
              </w:tabs>
              <w:ind w:left="62" w:hanging="10"/>
              <w:jc w:val="both"/>
              <w:rPr>
                <w:rFonts w:eastAsia="MS Mincho"/>
                <w:iCs/>
                <w:kern w:val="2"/>
                <w:sz w:val="20"/>
                <w:szCs w:val="20"/>
                <w:lang w:eastAsia="en-GB"/>
              </w:rPr>
            </w:pPr>
            <w:r>
              <w:rPr>
                <w:rFonts w:eastAsia="MS Mincho"/>
                <w:iCs/>
                <w:kern w:val="2"/>
                <w:sz w:val="20"/>
                <w:szCs w:val="20"/>
                <w:lang w:eastAsia="en-GB"/>
              </w:rPr>
              <w:t>Préparation de l’instrument spécifique de sauvegarde E&amp;S de sous-projet de catégorie A</w:t>
            </w:r>
          </w:p>
        </w:tc>
      </w:tr>
      <w:tr>
        <w:tblPrEx/>
        <w:trPr>
          <w:trHeight w:val="242" w:hRule="atLeast"/>
        </w:trPr>
        <w:tc>
          <w:tcPr>
            <w:tcW w:w="314" w:type="pct"/>
            <w:vMerge w:val="restart"/>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Préparation, approbation et publication des TDR</w:t>
            </w:r>
          </w:p>
        </w:tc>
        <w:tc>
          <w:tcPr>
            <w:tcW w:w="1264"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c>
          <w:tcPr>
            <w:tcW w:w="1171"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tc>
        <w:tc>
          <w:tcPr>
            <w:tcW w:w="1155" w:type="pct"/>
            <w:gridSpan w:val="2"/>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Réalisation de l’étude y compris consultation du public</w:t>
            </w:r>
          </w:p>
          <w:p>
            <w:pPr>
              <w:pStyle w:val="style0"/>
              <w:ind w:left="62" w:hanging="10"/>
              <w:jc w:val="both"/>
              <w:rPr>
                <w:rFonts w:eastAsia="MS Mincho"/>
                <w:iCs/>
                <w:kern w:val="2"/>
                <w:sz w:val="20"/>
                <w:szCs w:val="20"/>
                <w:lang w:eastAsia="en-GB"/>
              </w:rPr>
            </w:pP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171"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Spécialiste Passation de marché (SPM)</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RAF</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BUNEE</w:t>
            </w:r>
          </w:p>
          <w:p>
            <w:pPr>
              <w:pStyle w:val="style0"/>
              <w:tabs>
                <w:tab w:val="left" w:leader="none" w:pos="0"/>
              </w:tabs>
              <w:jc w:val="both"/>
              <w:rPr>
                <w:rFonts w:eastAsia="MS Mincho"/>
                <w:iCs/>
                <w:kern w:val="2"/>
                <w:sz w:val="20"/>
                <w:szCs w:val="20"/>
                <w:lang w:eastAsia="en-GB"/>
              </w:rPr>
            </w:pPr>
          </w:p>
        </w:tc>
        <w:tc>
          <w:tcPr>
            <w:tcW w:w="1155" w:type="pct"/>
            <w:gridSpan w:val="2"/>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Consultant</w:t>
            </w:r>
          </w:p>
          <w:p>
            <w:pPr>
              <w:pStyle w:val="style0"/>
              <w:tabs>
                <w:tab w:val="left" w:leader="none" w:pos="162"/>
              </w:tabs>
              <w:ind w:left="62" w:hanging="10"/>
              <w:jc w:val="both"/>
              <w:rPr>
                <w:rFonts w:eastAsia="MS Mincho"/>
                <w:iCs/>
                <w:kern w:val="2"/>
                <w:sz w:val="20"/>
                <w:szCs w:val="20"/>
                <w:lang w:eastAsia="en-GB"/>
              </w:rPr>
            </w:pP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Validation du document et obtention du certificat environnemental</w:t>
            </w: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171" w:type="pct"/>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SPM</w:t>
            </w:r>
          </w:p>
          <w:p>
            <w:pPr>
              <w:pStyle w:val="style0"/>
              <w:ind w:left="62" w:hanging="10"/>
              <w:jc w:val="both"/>
              <w:rPr>
                <w:rFonts w:eastAsia="MS Mincho"/>
                <w:iCs/>
                <w:kern w:val="2"/>
                <w:sz w:val="20"/>
                <w:szCs w:val="20"/>
                <w:lang w:eastAsia="en-GB"/>
              </w:rPr>
            </w:pPr>
          </w:p>
        </w:tc>
        <w:tc>
          <w:tcPr>
            <w:tcW w:w="1155"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Publication du document</w:t>
            </w: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171"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 xml:space="preserve"> Coordonnateur PDCA</w:t>
            </w:r>
          </w:p>
        </w:tc>
        <w:tc>
          <w:tcPr>
            <w:tcW w:w="1155"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Media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4.2.</w:t>
            </w:r>
          </w:p>
        </w:tc>
        <w:tc>
          <w:tcPr>
            <w:tcW w:w="4686" w:type="pct"/>
            <w:gridSpan w:val="5"/>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Préparation de l’instrument spécifique de sauvegarde E&amp;S de sous-projet de catégorie B ou C</w:t>
            </w:r>
          </w:p>
        </w:tc>
      </w:tr>
      <w:tr>
        <w:tblPrEx/>
        <w:trPr>
          <w:trHeight w:val="233" w:hRule="atLeast"/>
        </w:trPr>
        <w:tc>
          <w:tcPr>
            <w:tcW w:w="314" w:type="pct"/>
            <w:vMerge w:val="restart"/>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Préparation et approbation des TDR</w:t>
            </w:r>
          </w:p>
        </w:tc>
        <w:tc>
          <w:tcPr>
            <w:tcW w:w="1264"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SSE/UNC</w:t>
            </w:r>
          </w:p>
        </w:tc>
        <w:tc>
          <w:tcPr>
            <w:tcW w:w="1235"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DRAAH/</w:t>
            </w: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DRRAH/DREEVCC/ DRS</w:t>
            </w:r>
          </w:p>
          <w:p>
            <w:pPr>
              <w:pStyle w:val="style0"/>
              <w:numPr>
                <w:ilvl w:val="0"/>
                <w:numId w:val="69"/>
              </w:numPr>
              <w:tabs>
                <w:tab w:val="left" w:leader="none" w:pos="186"/>
              </w:tabs>
              <w:ind w:left="95" w:hanging="95"/>
              <w:jc w:val="both"/>
              <w:rPr>
                <w:rFonts w:eastAsia="MS Mincho"/>
                <w:iCs/>
                <w:kern w:val="2"/>
                <w:sz w:val="20"/>
                <w:szCs w:val="20"/>
                <w:lang w:eastAsia="en-GB"/>
              </w:rPr>
            </w:pPr>
            <w:r>
              <w:rPr>
                <w:sz w:val="20"/>
                <w:szCs w:val="20"/>
                <w:lang w:val="en-US"/>
              </w:rPr>
              <w:t>URC</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Président CVD</w:t>
            </w:r>
          </w:p>
        </w:tc>
        <w:tc>
          <w:tcPr>
            <w:tcW w:w="1091" w:type="pct"/>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Banque mondiale</w:t>
            </w:r>
          </w:p>
        </w:tc>
      </w:tr>
      <w:tr>
        <w:tblPrEx/>
        <w:trPr>
          <w:trHeight w:val="566" w:hRule="atLeast"/>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tabs>
                <w:tab w:val="left" w:leader="none" w:pos="0"/>
              </w:tabs>
              <w:ind w:left="62" w:hanging="10"/>
              <w:jc w:val="both"/>
              <w:rPr>
                <w:rFonts w:eastAsia="MS Mincho"/>
                <w:iCs/>
                <w:kern w:val="2"/>
                <w:sz w:val="20"/>
                <w:szCs w:val="20"/>
                <w:lang w:eastAsia="en-GB"/>
              </w:rPr>
            </w:pPr>
            <w:r>
              <w:rPr>
                <w:rFonts w:eastAsia="MS Mincho"/>
                <w:iCs/>
                <w:kern w:val="2"/>
                <w:sz w:val="20"/>
                <w:szCs w:val="20"/>
                <w:lang w:eastAsia="en-GB"/>
              </w:rPr>
              <w:t>Réalisation de l’étude y compris consultation du public </w:t>
            </w:r>
          </w:p>
          <w:p>
            <w:pPr>
              <w:pStyle w:val="style0"/>
              <w:ind w:left="62" w:hanging="10"/>
              <w:jc w:val="both"/>
              <w:rPr>
                <w:rFonts w:eastAsia="MS Mincho"/>
                <w:iCs/>
                <w:kern w:val="2"/>
                <w:sz w:val="20"/>
                <w:szCs w:val="20"/>
                <w:lang w:eastAsia="en-GB"/>
              </w:rPr>
            </w:pP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235"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Directeur de la plaine aménagée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Spécialiste Passation de marché (SPM)</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RAF</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BUNEE</w:t>
            </w:r>
          </w:p>
          <w:p>
            <w:pPr>
              <w:pStyle w:val="style0"/>
              <w:tabs>
                <w:tab w:val="left" w:leader="none" w:pos="186"/>
              </w:tabs>
              <w:ind w:left="95"/>
              <w:jc w:val="both"/>
              <w:rPr>
                <w:rFonts w:eastAsia="MS Mincho"/>
                <w:iCs/>
                <w:kern w:val="2"/>
                <w:sz w:val="20"/>
                <w:szCs w:val="20"/>
                <w:lang w:eastAsia="en-GB"/>
              </w:rPr>
            </w:pPr>
          </w:p>
        </w:tc>
        <w:tc>
          <w:tcPr>
            <w:tcW w:w="1091" w:type="pct"/>
            <w:tcBorders/>
            <w:shd w:val="clear" w:color="auto" w:fill="auto"/>
          </w:tcPr>
          <w:p>
            <w:pPr>
              <w:pStyle w:val="style0"/>
              <w:numPr>
                <w:ilvl w:val="0"/>
                <w:numId w:val="69"/>
              </w:numPr>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ind w:left="62" w:hanging="1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Validation du document et obtention du certificat environnemental</w:t>
            </w: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235" w:type="pct"/>
            <w:gridSpan w:val="2"/>
            <w:tcBorders/>
            <w:shd w:val="clear" w:color="auto" w:fill="auto"/>
          </w:tcPr>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69"/>
              </w:numPr>
              <w:tabs>
                <w:tab w:val="left" w:leader="none" w:pos="186"/>
              </w:tabs>
              <w:ind w:left="95" w:hanging="95"/>
              <w:jc w:val="both"/>
              <w:rPr>
                <w:rFonts w:eastAsia="MS Mincho"/>
                <w:iCs/>
                <w:kern w:val="2"/>
                <w:sz w:val="20"/>
                <w:szCs w:val="20"/>
                <w:lang w:eastAsia="en-GB"/>
              </w:rPr>
            </w:pPr>
            <w:r>
              <w:rPr>
                <w:rFonts w:eastAsia="MS Mincho"/>
                <w:iCs/>
                <w:kern w:val="2"/>
                <w:sz w:val="20"/>
                <w:szCs w:val="20"/>
                <w:lang w:eastAsia="en-GB"/>
              </w:rPr>
              <w:t>SPM</w:t>
            </w:r>
          </w:p>
          <w:p>
            <w:pPr>
              <w:pStyle w:val="style0"/>
              <w:tabs>
                <w:tab w:val="left" w:leader="none" w:pos="186"/>
              </w:tabs>
              <w:ind w:left="95"/>
              <w:jc w:val="both"/>
              <w:rPr>
                <w:rFonts w:eastAsia="MS Mincho"/>
                <w:iCs/>
                <w:kern w:val="2"/>
                <w:sz w:val="20"/>
                <w:szCs w:val="20"/>
                <w:lang w:eastAsia="en-GB"/>
              </w:rPr>
            </w:pPr>
          </w:p>
        </w:tc>
        <w:tc>
          <w:tcPr>
            <w:tcW w:w="1091" w:type="pct"/>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BUNEE,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Publication du document</w:t>
            </w:r>
          </w:p>
        </w:tc>
        <w:tc>
          <w:tcPr>
            <w:tcW w:w="1264" w:type="pct"/>
            <w:vMerge w:val="continue"/>
            <w:tcBorders/>
            <w:shd w:val="clear" w:color="auto" w:fill="auto"/>
          </w:tcPr>
          <w:p>
            <w:pPr>
              <w:pStyle w:val="style0"/>
              <w:ind w:left="62" w:hanging="10"/>
              <w:jc w:val="both"/>
              <w:rPr>
                <w:rFonts w:eastAsia="MS Mincho"/>
                <w:iCs/>
                <w:kern w:val="2"/>
                <w:sz w:val="20"/>
                <w:szCs w:val="20"/>
                <w:lang w:eastAsia="en-GB"/>
              </w:rPr>
            </w:pPr>
          </w:p>
        </w:tc>
        <w:tc>
          <w:tcPr>
            <w:tcW w:w="1235"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Coordonnateur PDCA</w:t>
            </w:r>
          </w:p>
          <w:p>
            <w:pPr>
              <w:pStyle w:val="style0"/>
              <w:ind w:left="72"/>
              <w:jc w:val="both"/>
              <w:rPr>
                <w:rFonts w:eastAsia="MS Mincho"/>
                <w:iCs/>
                <w:kern w:val="2"/>
                <w:sz w:val="20"/>
                <w:szCs w:val="20"/>
                <w:lang w:eastAsia="en-GB"/>
              </w:rPr>
            </w:pPr>
          </w:p>
        </w:tc>
        <w:tc>
          <w:tcPr>
            <w:tcW w:w="1091" w:type="pct"/>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Média ;</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Banque mondiale</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5.</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Intégration dans le dossier d’appel d’offres (DAO) du sous-projet, de toutes les mesures de la phase des travaux contractualisables avec l’entreprise</w:t>
            </w:r>
          </w:p>
        </w:tc>
        <w:tc>
          <w:tcPr>
            <w:tcW w:w="126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Responsable Technique de l’</w:t>
            </w:r>
            <w:r>
              <w:rPr>
                <w:rFonts w:eastAsia="MS Mincho"/>
                <w:iCs/>
                <w:kern w:val="2"/>
                <w:sz w:val="20"/>
                <w:szCs w:val="20"/>
                <w:lang w:eastAsia="en-GB"/>
              </w:rPr>
              <w:t>a</w:t>
            </w:r>
            <w:r>
              <w:rPr>
                <w:rFonts w:eastAsia="MS Mincho"/>
                <w:iCs/>
                <w:kern w:val="2"/>
                <w:sz w:val="20"/>
                <w:szCs w:val="20"/>
                <w:lang w:eastAsia="en-GB"/>
              </w:rPr>
              <w:t>ctivité (RT)</w:t>
            </w:r>
          </w:p>
        </w:tc>
        <w:tc>
          <w:tcPr>
            <w:tcW w:w="1235" w:type="pct"/>
            <w:gridSpan w:val="2"/>
            <w:tcBorders/>
            <w:shd w:val="clear" w:color="auto" w:fill="auto"/>
          </w:tcPr>
          <w:p>
            <w:pPr>
              <w:pStyle w:val="style0"/>
              <w:ind w:left="62" w:hanging="10"/>
              <w:jc w:val="both"/>
              <w:rPr>
                <w:rFonts w:eastAsia="MS Mincho"/>
                <w:iCs/>
                <w:kern w:val="2"/>
                <w:sz w:val="20"/>
                <w:szCs w:val="20"/>
                <w:lang w:eastAsia="en-GB"/>
              </w:rPr>
            </w:pP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 SSE et SSS /UNC</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RT/PDCA</w:t>
            </w:r>
          </w:p>
          <w:p>
            <w:pPr>
              <w:pStyle w:val="style0"/>
              <w:ind w:left="-108"/>
              <w:jc w:val="both"/>
              <w:rPr>
                <w:rFonts w:eastAsia="MS Mincho"/>
                <w:iCs/>
                <w:kern w:val="2"/>
                <w:sz w:val="20"/>
                <w:szCs w:val="20"/>
                <w:lang w:eastAsia="en-GB"/>
              </w:rPr>
            </w:pPr>
          </w:p>
        </w:tc>
        <w:tc>
          <w:tcPr>
            <w:tcW w:w="1091" w:type="pct"/>
            <w:tcBorders/>
            <w:shd w:val="clear" w:color="auto" w:fill="auto"/>
          </w:tcPr>
          <w:p>
            <w:pPr>
              <w:pStyle w:val="style0"/>
              <w:ind w:left="62" w:hanging="10"/>
              <w:jc w:val="both"/>
              <w:rPr>
                <w:rFonts w:eastAsia="MS Mincho"/>
                <w:iCs/>
                <w:kern w:val="2"/>
                <w:sz w:val="20"/>
                <w:szCs w:val="20"/>
                <w:lang w:eastAsia="en-GB"/>
              </w:rPr>
            </w:pP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 xml:space="preserve"> SSE et SSS /PDCA</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Consultant</w:t>
            </w:r>
          </w:p>
          <w:p>
            <w:pPr>
              <w:pStyle w:val="style0"/>
              <w:ind w:left="62" w:hanging="10"/>
              <w:jc w:val="both"/>
              <w:rPr>
                <w:rFonts w:eastAsia="MS Mincho"/>
                <w:iCs/>
                <w:kern w:val="2"/>
                <w:sz w:val="20"/>
                <w:szCs w:val="20"/>
                <w:lang w:eastAsia="en-GB"/>
              </w:rPr>
            </w:pP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6.</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Exécution/Mise en œuvre des mesures contractualisées avec l’entreprise de construction</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 /PDCA</w:t>
            </w:r>
          </w:p>
        </w:tc>
        <w:tc>
          <w:tcPr>
            <w:tcW w:w="1235" w:type="pct"/>
            <w:gridSpan w:val="2"/>
            <w:tcBorders/>
            <w:shd w:val="clear" w:color="auto" w:fill="auto"/>
          </w:tcPr>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30"/>
              </w:numPr>
              <w:ind w:left="72" w:hanging="180"/>
              <w:jc w:val="both"/>
              <w:rPr>
                <w:rFonts w:eastAsia="MS Mincho"/>
                <w:iCs/>
                <w:kern w:val="2"/>
                <w:sz w:val="20"/>
                <w:szCs w:val="20"/>
                <w:lang w:eastAsia="en-GB"/>
              </w:rPr>
            </w:pPr>
            <w:r>
              <w:rPr>
                <w:rFonts w:eastAsia="MS Mincho"/>
                <w:iCs/>
                <w:kern w:val="2"/>
                <w:sz w:val="20"/>
                <w:szCs w:val="20"/>
                <w:lang w:eastAsia="en-GB"/>
              </w:rPr>
              <w:t>Président CVD</w:t>
            </w:r>
          </w:p>
        </w:tc>
        <w:tc>
          <w:tcPr>
            <w:tcW w:w="1091"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Entreprise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consultants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ONG</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Autres </w:t>
            </w:r>
          </w:p>
        </w:tc>
      </w:tr>
      <w:tr>
        <w:tblPrEx/>
        <w:trPr/>
        <w:tc>
          <w:tcPr>
            <w:tcW w:w="314" w:type="pct"/>
            <w:vMerge w:val="restar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7.</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Surveillance interne de la mise en œuvre des mesures environnementales et sociales</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tc>
        <w:tc>
          <w:tcPr>
            <w:tcW w:w="1235"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RSE/PDCA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Points focaux</w:t>
            </w:r>
          </w:p>
        </w:tc>
        <w:tc>
          <w:tcPr>
            <w:tcW w:w="1091"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Bureau de contrôle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Consultants</w:t>
            </w:r>
          </w:p>
          <w:p>
            <w:pPr>
              <w:pStyle w:val="style0"/>
              <w:ind w:left="-108"/>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Diffusion du rapport de surveillance interne</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Coordonnateur PDCA</w:t>
            </w:r>
          </w:p>
        </w:tc>
        <w:tc>
          <w:tcPr>
            <w:tcW w:w="1235" w:type="pct"/>
            <w:gridSpan w:val="2"/>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 /PDCA</w:t>
            </w:r>
          </w:p>
        </w:tc>
        <w:tc>
          <w:tcPr>
            <w:tcW w:w="1091"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tc>
      </w:tr>
      <w:tr>
        <w:tblPrEx/>
        <w:trPr/>
        <w:tc>
          <w:tcPr>
            <w:tcW w:w="314" w:type="pct"/>
            <w:vMerge w:val="continue"/>
            <w:tcBorders/>
            <w:shd w:val="clear" w:color="auto" w:fill="auto"/>
          </w:tcPr>
          <w:p>
            <w:pPr>
              <w:pStyle w:val="style0"/>
              <w:ind w:left="62" w:hanging="10"/>
              <w:jc w:val="both"/>
              <w:rPr>
                <w:rFonts w:eastAsia="MS Mincho"/>
                <w:iCs/>
                <w:kern w:val="2"/>
                <w:sz w:val="20"/>
                <w:szCs w:val="20"/>
                <w:lang w:eastAsia="en-GB"/>
              </w:rPr>
            </w:pP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Surveillance externe de la mise en œuvre des mesures environnementales et sociales</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BUNEE</w:t>
            </w:r>
          </w:p>
        </w:tc>
        <w:tc>
          <w:tcPr>
            <w:tcW w:w="1235"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DRAAH/DPAAH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Points focaux </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SSE et SSS /PDCA</w:t>
            </w:r>
          </w:p>
        </w:tc>
        <w:tc>
          <w:tcPr>
            <w:tcW w:w="1091"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BUNEE</w:t>
            </w:r>
          </w:p>
          <w:p>
            <w:pPr>
              <w:pStyle w:val="style0"/>
              <w:ind w:left="62" w:hanging="10"/>
              <w:jc w:val="both"/>
              <w:rPr>
                <w:rFonts w:eastAsia="MS Mincho"/>
                <w:iCs/>
                <w:kern w:val="2"/>
                <w:sz w:val="20"/>
                <w:szCs w:val="20"/>
                <w:lang w:eastAsia="en-GB"/>
              </w:rPr>
            </w:pP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8.</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Suivi environnemental et social</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 /PDCA</w:t>
            </w:r>
          </w:p>
        </w:tc>
        <w:tc>
          <w:tcPr>
            <w:tcW w:w="1235"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RSE/PDCA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DGESS/Ministères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DREP</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DPAAH</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URC</w:t>
            </w:r>
          </w:p>
        </w:tc>
        <w:tc>
          <w:tcPr>
            <w:tcW w:w="1091"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Laboratoires /centres spécialisés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ONG</w:t>
            </w: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9.</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Renforcement des capacités des acteurs de mise en œuvre des mesures environnementales et sociales</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 /PDCA</w:t>
            </w:r>
          </w:p>
        </w:tc>
        <w:tc>
          <w:tcPr>
            <w:tcW w:w="1235"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SPM</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RAF</w:t>
            </w:r>
          </w:p>
        </w:tc>
        <w:tc>
          <w:tcPr>
            <w:tcW w:w="1091"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Consultants</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Structures publiques compétentes</w:t>
            </w:r>
          </w:p>
          <w:p>
            <w:pPr>
              <w:pStyle w:val="style0"/>
              <w:ind w:left="62" w:hanging="10"/>
              <w:jc w:val="both"/>
              <w:rPr>
                <w:rFonts w:eastAsia="MS Mincho"/>
                <w:iCs/>
                <w:kern w:val="2"/>
                <w:sz w:val="20"/>
                <w:szCs w:val="20"/>
                <w:lang w:eastAsia="en-GB"/>
              </w:rPr>
            </w:pPr>
          </w:p>
        </w:tc>
      </w:tr>
      <w:tr>
        <w:tblPrEx/>
        <w:trPr/>
        <w:tc>
          <w:tcPr>
            <w:tcW w:w="314" w:type="pct"/>
            <w:tcBorders/>
            <w:shd w:val="clear" w:color="auto" w:fill="auto"/>
          </w:tcPr>
          <w:p>
            <w:pPr>
              <w:pStyle w:val="style0"/>
              <w:ind w:left="6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r>
              <w:rPr>
                <w:rFonts w:eastAsia="MS Mincho"/>
                <w:iCs/>
                <w:kern w:val="2"/>
                <w:sz w:val="20"/>
                <w:szCs w:val="20"/>
                <w:lang w:eastAsia="en-GB"/>
              </w:rPr>
              <w:t>1</w:t>
            </w:r>
            <w:r>
              <w:rPr>
                <w:rFonts w:eastAsia="MS Mincho"/>
                <w:iCs/>
                <w:kern w:val="2"/>
                <w:sz w:val="20"/>
                <w:szCs w:val="20"/>
                <w:lang w:eastAsia="en-GB"/>
              </w:rPr>
              <w:t>0</w:t>
            </w:r>
          </w:p>
        </w:tc>
        <w:tc>
          <w:tcPr>
            <w:tcW w:w="1096"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Audits (mi-parcours, Clôture) de mise en œuvre des mesures environnementales et sociales</w:t>
            </w:r>
          </w:p>
        </w:tc>
        <w:tc>
          <w:tcPr>
            <w:tcW w:w="1264" w:type="pct"/>
            <w:tcBorders/>
            <w:shd w:val="clear" w:color="auto" w:fill="auto"/>
          </w:tcPr>
          <w:p>
            <w:pPr>
              <w:pStyle w:val="style0"/>
              <w:ind w:left="62" w:hanging="10"/>
              <w:jc w:val="both"/>
              <w:rPr>
                <w:rFonts w:eastAsia="MS Mincho"/>
                <w:iCs/>
                <w:kern w:val="2"/>
                <w:sz w:val="20"/>
                <w:szCs w:val="20"/>
                <w:lang w:eastAsia="en-GB"/>
              </w:rPr>
            </w:pPr>
            <w:r>
              <w:rPr>
                <w:rFonts w:eastAsia="MS Mincho"/>
                <w:iCs/>
                <w:kern w:val="2"/>
                <w:sz w:val="20"/>
                <w:szCs w:val="20"/>
                <w:lang w:eastAsia="en-GB"/>
              </w:rPr>
              <w:t>SSE et SSS/PDCA</w:t>
            </w:r>
          </w:p>
        </w:tc>
        <w:tc>
          <w:tcPr>
            <w:tcW w:w="1235" w:type="pct"/>
            <w:gridSpan w:val="2"/>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RSE/PDCA</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BUNEE</w:t>
            </w:r>
          </w:p>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Mairie</w:t>
            </w:r>
          </w:p>
        </w:tc>
        <w:tc>
          <w:tcPr>
            <w:tcW w:w="1091" w:type="pct"/>
            <w:tcBorders/>
            <w:shd w:val="clear" w:color="auto" w:fill="auto"/>
          </w:tcPr>
          <w:p>
            <w:pPr>
              <w:pStyle w:val="style0"/>
              <w:numPr>
                <w:ilvl w:val="0"/>
                <w:numId w:val="48"/>
              </w:numPr>
              <w:ind w:left="72" w:hanging="180"/>
              <w:jc w:val="both"/>
              <w:rPr>
                <w:rFonts w:eastAsia="MS Mincho"/>
                <w:iCs/>
                <w:kern w:val="2"/>
                <w:sz w:val="20"/>
                <w:szCs w:val="20"/>
                <w:lang w:eastAsia="en-GB"/>
              </w:rPr>
            </w:pPr>
            <w:r>
              <w:rPr>
                <w:rFonts w:eastAsia="MS Mincho"/>
                <w:iCs/>
                <w:kern w:val="2"/>
                <w:sz w:val="20"/>
                <w:szCs w:val="20"/>
                <w:lang w:eastAsia="en-GB"/>
              </w:rPr>
              <w:t xml:space="preserve"> Consultants</w:t>
            </w:r>
          </w:p>
          <w:p>
            <w:pPr>
              <w:pStyle w:val="style0"/>
              <w:ind w:left="72" w:hanging="10"/>
              <w:jc w:val="both"/>
              <w:rPr>
                <w:rFonts w:eastAsia="MS Mincho"/>
                <w:iCs/>
                <w:kern w:val="2"/>
                <w:sz w:val="20"/>
                <w:szCs w:val="20"/>
                <w:lang w:eastAsia="en-GB"/>
              </w:rPr>
            </w:pPr>
          </w:p>
          <w:p>
            <w:pPr>
              <w:pStyle w:val="style0"/>
              <w:ind w:left="62" w:hanging="10"/>
              <w:jc w:val="both"/>
              <w:rPr>
                <w:rFonts w:eastAsia="MS Mincho"/>
                <w:iCs/>
                <w:kern w:val="2"/>
                <w:sz w:val="20"/>
                <w:szCs w:val="20"/>
                <w:lang w:eastAsia="en-GB"/>
              </w:rPr>
            </w:pPr>
          </w:p>
        </w:tc>
      </w:tr>
      <w:bookmarkStart w:id="1349" w:name="_Toc350448480"/>
      <w:bookmarkStart w:id="1350" w:name="_Toc407113836"/>
      <w:bookmarkStart w:id="1351" w:name="_Toc413175507"/>
      <w:bookmarkEnd w:id="1346"/>
    </w:tbl>
    <w:p>
      <w:pPr>
        <w:pStyle w:val="style0"/>
        <w:ind w:left="720" w:hanging="720"/>
        <w:jc w:val="both"/>
        <w:rPr>
          <w:rFonts w:eastAsia="Arial Unicode MS"/>
          <w:b/>
          <w:sz w:val="22"/>
          <w:szCs w:val="22"/>
          <w:lang w:eastAsia="en-US"/>
        </w:rPr>
      </w:pPr>
    </w:p>
    <w:bookmarkStart w:id="1352" w:name="_Toc686126"/>
    <w:bookmarkStart w:id="1353" w:name="_Toc468886943"/>
    <w:bookmarkStart w:id="1354" w:name="_Toc518551498"/>
    <w:p>
      <w:pPr>
        <w:pStyle w:val="style4307"/>
        <w:numPr>
          <w:ilvl w:val="0"/>
          <w:numId w:val="0"/>
        </w:numPr>
        <w:spacing w:lineRule="auto" w:line="240"/>
        <w:ind w:left="390"/>
        <w:rPr>
          <w:rFonts w:eastAsia="Arial Unicode MS"/>
          <w:b w:val="false"/>
          <w:sz w:val="22"/>
          <w:szCs w:val="22"/>
          <w:lang w:eastAsia="en-US"/>
        </w:rPr>
      </w:pPr>
    </w:p>
    <w:bookmarkStart w:id="1355" w:name="_Toc511661084"/>
    <w:bookmarkStart w:id="1356" w:name="_Toc2780508"/>
    <w:p>
      <w:pPr>
        <w:pStyle w:val="style3"/>
        <w:keepLines/>
        <w:numPr>
          <w:ilvl w:val="1"/>
          <w:numId w:val="67"/>
        </w:numPr>
        <w:tabs>
          <w:tab w:val="clear" w:pos="720"/>
          <w:tab w:val="clear" w:pos="851"/>
        </w:tabs>
        <w:spacing w:before="0" w:after="0"/>
        <w:rPr>
          <w:b/>
          <w:bCs w:val="false"/>
          <w:sz w:val="24"/>
          <w:szCs w:val="24"/>
          <w:u w:val="none"/>
        </w:rPr>
      </w:pPr>
      <w:r>
        <w:rPr>
          <w:b/>
          <w:bCs w:val="false"/>
          <w:sz w:val="24"/>
          <w:szCs w:val="24"/>
          <w:u w:val="none"/>
        </w:rPr>
        <w:t>Orientations pour la Protection des Ressources Culturelles Physiques (PRCP)</w:t>
      </w:r>
      <w:bookmarkEnd w:id="1355"/>
      <w:bookmarkEnd w:id="1356"/>
    </w:p>
    <w:p>
      <w:pPr>
        <w:pStyle w:val="style0"/>
        <w:ind w:left="720"/>
        <w:rPr>
          <w:b/>
        </w:rPr>
      </w:pPr>
    </w:p>
    <w:p>
      <w:pPr>
        <w:pStyle w:val="style0"/>
        <w:jc w:val="both"/>
        <w:rPr>
          <w:sz w:val="22"/>
          <w:szCs w:val="22"/>
        </w:rPr>
      </w:pPr>
      <w:r>
        <w:rPr>
          <w:sz w:val="22"/>
          <w:szCs w:val="22"/>
        </w:rPr>
        <w:t xml:space="preserve">Le patrimoine culturel </w:t>
      </w:r>
      <w:r>
        <w:rPr>
          <w:sz w:val="22"/>
          <w:szCs w:val="22"/>
        </w:rPr>
        <w:t>d</w:t>
      </w:r>
      <w:r>
        <w:rPr>
          <w:sz w:val="22"/>
          <w:szCs w:val="22"/>
        </w:rPr>
        <w:t>u Burkina Faso</w:t>
      </w:r>
      <w:r>
        <w:rPr>
          <w:sz w:val="22"/>
          <w:szCs w:val="22"/>
        </w:rPr>
        <w:t xml:space="preserve"> est varié et diversifié. Il est caractérisé par : les sites archéologiques et historiques, les établissements humains, les cultures traditionnelles et les paysages culturels et naturels. </w:t>
      </w:r>
    </w:p>
    <w:p>
      <w:pPr>
        <w:pStyle w:val="style0"/>
        <w:jc w:val="both"/>
        <w:rPr>
          <w:sz w:val="22"/>
          <w:szCs w:val="22"/>
        </w:rPr>
      </w:pPr>
    </w:p>
    <w:p>
      <w:pPr>
        <w:pStyle w:val="style0"/>
        <w:jc w:val="both"/>
        <w:rPr>
          <w:sz w:val="22"/>
          <w:szCs w:val="22"/>
        </w:rPr>
      </w:pPr>
      <w:r>
        <w:rPr>
          <w:sz w:val="22"/>
          <w:szCs w:val="22"/>
        </w:rPr>
        <w:t>Au regard de l’importance de son patrimoine culturel, l</w:t>
      </w:r>
      <w:r>
        <w:rPr>
          <w:sz w:val="22"/>
          <w:szCs w:val="22"/>
        </w:rPr>
        <w:t>e Burkina Faso</w:t>
      </w:r>
      <w:r>
        <w:rPr>
          <w:sz w:val="22"/>
          <w:szCs w:val="22"/>
        </w:rPr>
        <w:t xml:space="preserve"> a ratifié la convention concernant la protection du patrimoine mondial, culturel et naturel </w:t>
      </w:r>
      <w:r>
        <w:rPr>
          <w:sz w:val="22"/>
          <w:szCs w:val="22"/>
        </w:rPr>
        <w:t>le 03 juin 1985.</w:t>
      </w:r>
    </w:p>
    <w:p>
      <w:pPr>
        <w:pStyle w:val="style0"/>
        <w:jc w:val="both"/>
        <w:rPr>
          <w:sz w:val="22"/>
          <w:szCs w:val="22"/>
        </w:rPr>
      </w:pPr>
    </w:p>
    <w:p>
      <w:pPr>
        <w:pStyle w:val="style0"/>
        <w:jc w:val="both"/>
        <w:rPr>
          <w:sz w:val="22"/>
          <w:szCs w:val="22"/>
        </w:rPr>
      </w:pPr>
      <w:r>
        <w:rPr>
          <w:sz w:val="22"/>
          <w:szCs w:val="22"/>
        </w:rPr>
        <w:t xml:space="preserve">En plus de cela, </w:t>
      </w:r>
      <w:r>
        <w:rPr>
          <w:sz w:val="22"/>
          <w:szCs w:val="22"/>
        </w:rPr>
        <w:t>le Burkina Faso</w:t>
      </w:r>
      <w:r>
        <w:rPr>
          <w:sz w:val="22"/>
          <w:szCs w:val="22"/>
        </w:rPr>
        <w:t xml:space="preserve"> dispose de la </w:t>
      </w:r>
      <w:r>
        <w:rPr>
          <w:sz w:val="22"/>
          <w:szCs w:val="22"/>
        </w:rPr>
        <w:t>loi n° 024-2007/AN du 13 novembre 2007 portant protection du patrimoine culturel physique</w:t>
      </w:r>
      <w:r>
        <w:rPr>
          <w:sz w:val="22"/>
          <w:szCs w:val="22"/>
        </w:rPr>
        <w:t xml:space="preserve">. </w:t>
      </w:r>
    </w:p>
    <w:p>
      <w:pPr>
        <w:pStyle w:val="style0"/>
        <w:jc w:val="both"/>
        <w:rPr>
          <w:sz w:val="22"/>
          <w:szCs w:val="22"/>
        </w:rPr>
      </w:pPr>
    </w:p>
    <w:p>
      <w:pPr>
        <w:pStyle w:val="style0"/>
        <w:jc w:val="both"/>
        <w:rPr>
          <w:sz w:val="22"/>
          <w:szCs w:val="22"/>
        </w:rPr>
      </w:pPr>
      <w:r>
        <w:rPr>
          <w:sz w:val="22"/>
          <w:szCs w:val="22"/>
        </w:rPr>
        <w:t>L’élaboration de cette loi traduit la volonté du Gouvernement de mieux canaliser les efforts des pouvoirs publics et des populations pour préserver et faire rayonner le patrimoine et les expressions culturelles du pays.</w:t>
      </w:r>
    </w:p>
    <w:p>
      <w:pPr>
        <w:pStyle w:val="style0"/>
        <w:jc w:val="both"/>
        <w:rPr>
          <w:sz w:val="22"/>
          <w:szCs w:val="22"/>
        </w:rPr>
      </w:pPr>
    </w:p>
    <w:p>
      <w:pPr>
        <w:pStyle w:val="style0"/>
        <w:jc w:val="both"/>
        <w:rPr>
          <w:sz w:val="22"/>
          <w:szCs w:val="22"/>
        </w:rPr>
      </w:pPr>
      <w:r>
        <w:rPr>
          <w:sz w:val="22"/>
          <w:szCs w:val="22"/>
        </w:rPr>
        <w:t>En résumé, cette loi a pour but de :</w:t>
      </w:r>
    </w:p>
    <w:p>
      <w:pPr>
        <w:pStyle w:val="style0"/>
        <w:numPr>
          <w:ilvl w:val="0"/>
          <w:numId w:val="34"/>
        </w:numPr>
        <w:jc w:val="both"/>
        <w:rPr>
          <w:sz w:val="22"/>
          <w:szCs w:val="22"/>
        </w:rPr>
      </w:pPr>
      <w:r>
        <w:rPr>
          <w:sz w:val="22"/>
          <w:szCs w:val="22"/>
        </w:rPr>
        <w:t>Promouvoir un développement qui prend ses racines dans les valeurs fondamentales du patrimoine et la diversité des expressions culturelles ;</w:t>
      </w:r>
    </w:p>
    <w:p>
      <w:pPr>
        <w:pStyle w:val="style0"/>
        <w:numPr>
          <w:ilvl w:val="0"/>
          <w:numId w:val="34"/>
        </w:numPr>
        <w:jc w:val="both"/>
        <w:rPr>
          <w:sz w:val="22"/>
          <w:szCs w:val="22"/>
        </w:rPr>
      </w:pPr>
      <w:r>
        <w:rPr>
          <w:sz w:val="22"/>
          <w:szCs w:val="22"/>
        </w:rPr>
        <w:t>Sauvegarder et promouvoir ce patrimoine et cette diversité afin de forger une dynamique de connaissance et de compréhension, de respect mutuel et de tolérance, facteurs de paix ;</w:t>
      </w:r>
    </w:p>
    <w:p>
      <w:pPr>
        <w:pStyle w:val="style0"/>
        <w:numPr>
          <w:ilvl w:val="0"/>
          <w:numId w:val="34"/>
        </w:numPr>
        <w:jc w:val="both"/>
        <w:rPr>
          <w:sz w:val="22"/>
          <w:szCs w:val="22"/>
        </w:rPr>
      </w:pPr>
      <w:r>
        <w:rPr>
          <w:sz w:val="22"/>
          <w:szCs w:val="22"/>
        </w:rPr>
        <w:t>Intégrer les objectifs de la politique culturelle dans les priorités de la stratégie nationale de développement et de la lutte contre la pauvreté ;</w:t>
      </w:r>
    </w:p>
    <w:p>
      <w:pPr>
        <w:pStyle w:val="style0"/>
        <w:numPr>
          <w:ilvl w:val="0"/>
          <w:numId w:val="34"/>
        </w:numPr>
        <w:jc w:val="both"/>
        <w:rPr>
          <w:sz w:val="22"/>
          <w:szCs w:val="22"/>
        </w:rPr>
      </w:pPr>
      <w:r>
        <w:rPr>
          <w:sz w:val="22"/>
          <w:szCs w:val="22"/>
        </w:rPr>
        <w:t>Renforcer le dialogue interculturel et une coopération cultuelle fondée sur des principes d’égalité et de partage pour un enrichissement mutuel.</w:t>
      </w:r>
    </w:p>
    <w:p>
      <w:pPr>
        <w:pStyle w:val="style0"/>
        <w:jc w:val="both"/>
        <w:rPr>
          <w:sz w:val="22"/>
          <w:szCs w:val="22"/>
        </w:rPr>
      </w:pPr>
    </w:p>
    <w:p>
      <w:pPr>
        <w:pStyle w:val="style0"/>
        <w:autoSpaceDE w:val="false"/>
        <w:autoSpaceDN w:val="false"/>
        <w:adjustRightInd w:val="false"/>
        <w:jc w:val="both"/>
        <w:rPr>
          <w:sz w:val="22"/>
          <w:szCs w:val="22"/>
        </w:rPr>
      </w:pPr>
      <w:r>
        <w:rPr>
          <w:sz w:val="22"/>
          <w:szCs w:val="22"/>
        </w:rPr>
        <w:t xml:space="preserve">Cette loi dispose </w:t>
      </w:r>
      <w:r>
        <w:rPr>
          <w:sz w:val="22"/>
          <w:szCs w:val="22"/>
        </w:rPr>
        <w:t>que : « L’auteur de toute découverte, fortuite ou non, résultant notamment de fouilles régulièrement autorisées et de travaux publics ou privés, est tenu de le déclarer auprès des Ministres chargés des Affaires Culturelles et des Mines.</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r>
        <w:rPr>
          <w:sz w:val="22"/>
          <w:szCs w:val="22"/>
        </w:rPr>
        <w:t>L'auteur de toute découverte est personnellement et pécuniairement tenu de veiller à la sauvegarde des vestiges qui ne peuvent être ni vendus ni cédés, ni dispersés avant que l'administration n'ait statué sur leur affectation définitive ».</w:t>
      </w:r>
    </w:p>
    <w:p>
      <w:pPr>
        <w:pStyle w:val="style0"/>
        <w:jc w:val="both"/>
        <w:rPr>
          <w:b/>
          <w:i/>
          <w:sz w:val="22"/>
          <w:szCs w:val="22"/>
        </w:rPr>
      </w:pPr>
    </w:p>
    <w:p>
      <w:pPr>
        <w:pStyle w:val="style0"/>
        <w:jc w:val="both"/>
        <w:rPr>
          <w:b/>
          <w:i/>
          <w:sz w:val="22"/>
          <w:szCs w:val="22"/>
        </w:rPr>
      </w:pPr>
      <w:r>
        <w:rPr>
          <w:b/>
          <w:i/>
          <w:sz w:val="22"/>
          <w:szCs w:val="22"/>
        </w:rPr>
        <w:t xml:space="preserve">Cela signifie que lors de la mise en œuvre du </w:t>
      </w:r>
      <w:r>
        <w:rPr>
          <w:b/>
          <w:i/>
          <w:sz w:val="22"/>
          <w:szCs w:val="22"/>
        </w:rPr>
        <w:t>Programme</w:t>
      </w:r>
      <w:r>
        <w:rPr>
          <w:b/>
          <w:i/>
          <w:sz w:val="22"/>
          <w:szCs w:val="22"/>
        </w:rPr>
        <w:t>, il faudra se référer aux autorités des Directions Régionales de la Culture.</w:t>
      </w:r>
    </w:p>
    <w:p>
      <w:pPr>
        <w:pStyle w:val="style0"/>
        <w:jc w:val="both"/>
        <w:rPr>
          <w:sz w:val="22"/>
          <w:szCs w:val="22"/>
        </w:rPr>
      </w:pPr>
    </w:p>
    <w:p>
      <w:pPr>
        <w:pStyle w:val="style0"/>
        <w:jc w:val="both"/>
        <w:rPr>
          <w:sz w:val="22"/>
          <w:szCs w:val="22"/>
        </w:rPr>
      </w:pPr>
      <w:r>
        <w:rPr>
          <w:sz w:val="22"/>
          <w:szCs w:val="22"/>
        </w:rPr>
        <w:t xml:space="preserve">A cet effet, elle cherche à identifier et à inventorier les biens culturels susceptibles d’être affectés et développe des mesures de mitigation en vue de leur préservation. </w:t>
      </w:r>
      <w:r>
        <w:rPr>
          <w:sz w:val="22"/>
          <w:szCs w:val="22"/>
        </w:rPr>
        <w:t>le Burkina Faso</w:t>
      </w:r>
      <w:r>
        <w:rPr>
          <w:sz w:val="22"/>
          <w:szCs w:val="22"/>
        </w:rPr>
        <w:t xml:space="preserve"> dispose d’un patrimoine culturel diversifié. Si la mise en œuvre des activités du Pro</w:t>
      </w:r>
      <w:r>
        <w:rPr>
          <w:sz w:val="22"/>
          <w:szCs w:val="22"/>
        </w:rPr>
        <w:t>gramme</w:t>
      </w:r>
      <w:r>
        <w:rPr>
          <w:sz w:val="22"/>
          <w:szCs w:val="22"/>
        </w:rPr>
        <w:t xml:space="preserve"> venait à mettre en exergue de vestiges culturels et archéologiques, il sera mis en œuvre et respecté une procédure de « chance find » qui est une procédure à appliquer en cas de découverte de vestiges. A partir des informations obtenues à l’issue de cette procédure, il sera proposé si besoin est, de prendre en compte dans le PGES du CIES</w:t>
      </w:r>
      <w:r>
        <w:rPr>
          <w:sz w:val="22"/>
          <w:szCs w:val="22"/>
        </w:rPr>
        <w:t xml:space="preserve"> ou de l’EIES</w:t>
      </w:r>
      <w:r>
        <w:rPr>
          <w:sz w:val="22"/>
          <w:szCs w:val="22"/>
        </w:rPr>
        <w:t xml:space="preserve"> qui sera élaboré, des actions spécifiques à réaliser avant toute intervention. Les procédures de protection des ressources culturelles physiques sont données dans le tableau ci-après.</w:t>
      </w:r>
    </w:p>
    <w:p>
      <w:pPr>
        <w:pStyle w:val="style0"/>
        <w:jc w:val="both"/>
        <w:rPr>
          <w:sz w:val="22"/>
          <w:szCs w:val="22"/>
        </w:rPr>
      </w:pPr>
    </w:p>
    <w:p>
      <w:pPr>
        <w:pStyle w:val="style0"/>
        <w:jc w:val="both"/>
        <w:rPr>
          <w:sz w:val="8"/>
          <w:szCs w:val="22"/>
        </w:rPr>
      </w:pPr>
    </w:p>
    <w:p>
      <w:pPr>
        <w:pStyle w:val="style0"/>
        <w:keepNext/>
        <w:rPr>
          <w:b/>
          <w:bCs/>
          <w:sz w:val="20"/>
          <w:szCs w:val="20"/>
        </w:rPr>
      </w:pPr>
    </w:p>
    <w:bookmarkStart w:id="1357" w:name="_Toc464166392"/>
    <w:bookmarkStart w:id="1358" w:name="_Toc474411245"/>
    <w:bookmarkStart w:id="1359" w:name="_Toc494904780"/>
    <w:bookmarkStart w:id="1360" w:name="_Toc511660893"/>
    <w:bookmarkStart w:id="1361" w:name="_Toc2780543"/>
    <w:p>
      <w:pPr>
        <w:pStyle w:val="style34"/>
        <w:jc w:val="left"/>
        <w:rPr>
          <w:bCs w:val="false"/>
          <w:color w:val="auto"/>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9</w:t>
      </w:r>
      <w:r>
        <w:rPr>
          <w:color w:val="auto"/>
          <w:sz w:val="20"/>
          <w:szCs w:val="20"/>
        </w:rPr>
        <w:fldChar w:fldCharType="end"/>
      </w:r>
      <w:r>
        <w:rPr>
          <w:bCs w:val="false"/>
          <w:color w:val="auto"/>
          <w:sz w:val="20"/>
          <w:szCs w:val="20"/>
        </w:rPr>
        <w:t>: Récapitulatif des mesures par phase et responsabilités</w:t>
      </w:r>
      <w:bookmarkEnd w:id="1357"/>
      <w:bookmarkEnd w:id="1358"/>
      <w:bookmarkEnd w:id="1359"/>
      <w:bookmarkEnd w:id="1360"/>
      <w:bookmarkEnd w:id="1361"/>
    </w:p>
    <w:tbl>
      <w:tblPr>
        <w:tblW w:w="9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9"/>
        <w:gridCol w:w="3171"/>
      </w:tblGrid>
      <w:tr>
        <w:trPr>
          <w:tblHeader/>
          <w:jc w:val="center"/>
        </w:trPr>
        <w:tc>
          <w:tcPr>
            <w:tcW w:w="6109" w:type="dxa"/>
            <w:tcBorders/>
            <w:shd w:val="clear" w:color="auto" w:fill="auto"/>
          </w:tcPr>
          <w:p>
            <w:pPr>
              <w:pStyle w:val="style0"/>
              <w:jc w:val="center"/>
              <w:rPr>
                <w:b/>
              </w:rPr>
            </w:pPr>
            <w:r>
              <w:rPr>
                <w:b/>
                <w:sz w:val="22"/>
                <w:szCs w:val="22"/>
              </w:rPr>
              <w:t>Phases</w:t>
            </w:r>
          </w:p>
        </w:tc>
        <w:tc>
          <w:tcPr>
            <w:tcW w:w="3171" w:type="dxa"/>
            <w:tcBorders/>
            <w:shd w:val="clear" w:color="auto" w:fill="auto"/>
          </w:tcPr>
          <w:p>
            <w:pPr>
              <w:pStyle w:val="style0"/>
              <w:jc w:val="center"/>
              <w:rPr>
                <w:b/>
              </w:rPr>
            </w:pPr>
            <w:r>
              <w:rPr>
                <w:b/>
                <w:sz w:val="22"/>
                <w:szCs w:val="22"/>
              </w:rPr>
              <w:t>Responsabilités</w:t>
            </w:r>
          </w:p>
        </w:tc>
      </w:tr>
      <w:tr>
        <w:tblPrEx/>
        <w:trPr>
          <w:jc w:val="center"/>
        </w:trPr>
        <w:tc>
          <w:tcPr>
            <w:tcW w:w="6109" w:type="dxa"/>
            <w:tcBorders/>
            <w:shd w:val="clear" w:color="auto" w:fill="auto"/>
          </w:tcPr>
          <w:p>
            <w:pPr>
              <w:pStyle w:val="style0"/>
              <w:jc w:val="both"/>
              <w:rPr>
                <w:b/>
                <w:i/>
              </w:rPr>
            </w:pPr>
            <w:r>
              <w:rPr>
                <w:b/>
                <w:i/>
                <w:sz w:val="22"/>
                <w:szCs w:val="22"/>
              </w:rPr>
              <w:t>Phase préparatoire</w:t>
            </w:r>
          </w:p>
        </w:tc>
        <w:tc>
          <w:tcPr>
            <w:tcW w:w="3171" w:type="dxa"/>
            <w:tcBorders/>
            <w:shd w:val="clear" w:color="auto" w:fill="auto"/>
          </w:tcPr>
          <w:p>
            <w:pPr>
              <w:pStyle w:val="style0"/>
              <w:jc w:val="both"/>
              <w:rPr/>
            </w:pPr>
          </w:p>
        </w:tc>
      </w:tr>
      <w:tr>
        <w:tblPrEx/>
        <w:trPr>
          <w:jc w:val="center"/>
        </w:trPr>
        <w:tc>
          <w:tcPr>
            <w:tcW w:w="6109" w:type="dxa"/>
            <w:tcBorders/>
            <w:shd w:val="clear" w:color="auto" w:fill="auto"/>
          </w:tcPr>
          <w:p>
            <w:pPr>
              <w:pStyle w:val="style0"/>
              <w:jc w:val="both"/>
              <w:rPr/>
            </w:pPr>
            <w:r>
              <w:rPr>
                <w:sz w:val="22"/>
                <w:szCs w:val="22"/>
              </w:rPr>
              <w:t>1. Choisir des terrains ne renfermant pas</w:t>
            </w:r>
            <w:r>
              <w:t xml:space="preserve"> </w:t>
            </w:r>
            <w:r>
              <w:rPr>
                <w:sz w:val="22"/>
                <w:szCs w:val="22"/>
              </w:rPr>
              <w:t>des sites archéologiques</w:t>
            </w:r>
          </w:p>
        </w:tc>
        <w:tc>
          <w:tcPr>
            <w:tcW w:w="3171" w:type="dxa"/>
            <w:tcBorders/>
            <w:shd w:val="clear" w:color="auto" w:fill="auto"/>
          </w:tcPr>
          <w:p>
            <w:pPr>
              <w:pStyle w:val="style0"/>
              <w:jc w:val="both"/>
              <w:rPr>
                <w:sz w:val="22"/>
                <w:szCs w:val="22"/>
              </w:rPr>
            </w:pPr>
            <w:r>
              <w:rPr>
                <w:sz w:val="22"/>
                <w:szCs w:val="22"/>
              </w:rPr>
              <w:t>-UCTF/P</w:t>
            </w:r>
            <w:r>
              <w:rPr>
                <w:sz w:val="22"/>
                <w:szCs w:val="22"/>
              </w:rPr>
              <w:t>DCA</w:t>
            </w:r>
          </w:p>
          <w:p>
            <w:pPr>
              <w:pStyle w:val="style0"/>
              <w:jc w:val="both"/>
              <w:rPr/>
            </w:pPr>
            <w:r>
              <w:rPr>
                <w:sz w:val="22"/>
                <w:szCs w:val="22"/>
              </w:rPr>
              <w:t>-</w:t>
            </w:r>
            <w:r>
              <w:rPr>
                <w:sz w:val="22"/>
                <w:szCs w:val="22"/>
              </w:rPr>
              <w:t>Direction Régionale de la Culture (DRC)</w:t>
            </w:r>
          </w:p>
        </w:tc>
      </w:tr>
      <w:tr>
        <w:tblPrEx/>
        <w:trPr>
          <w:jc w:val="center"/>
        </w:trPr>
        <w:tc>
          <w:tcPr>
            <w:tcW w:w="6109" w:type="dxa"/>
            <w:tcBorders/>
            <w:shd w:val="clear" w:color="auto" w:fill="auto"/>
          </w:tcPr>
          <w:p>
            <w:pPr>
              <w:pStyle w:val="style0"/>
              <w:jc w:val="both"/>
              <w:rPr>
                <w:b/>
                <w:i/>
              </w:rPr>
            </w:pPr>
            <w:r>
              <w:rPr>
                <w:b/>
                <w:i/>
                <w:sz w:val="22"/>
                <w:szCs w:val="22"/>
              </w:rPr>
              <w:t>Phase d’aménagement</w:t>
            </w:r>
          </w:p>
        </w:tc>
        <w:tc>
          <w:tcPr>
            <w:tcW w:w="3171" w:type="dxa"/>
            <w:tcBorders/>
            <w:shd w:val="clear" w:color="auto" w:fill="auto"/>
          </w:tcPr>
          <w:p>
            <w:pPr>
              <w:pStyle w:val="style0"/>
              <w:jc w:val="both"/>
              <w:rPr/>
            </w:pPr>
          </w:p>
        </w:tc>
      </w:tr>
      <w:tr>
        <w:tblPrEx/>
        <w:trPr>
          <w:jc w:val="center"/>
        </w:trPr>
        <w:tc>
          <w:tcPr>
            <w:tcW w:w="6109" w:type="dxa"/>
            <w:tcBorders/>
            <w:shd w:val="clear" w:color="auto" w:fill="auto"/>
          </w:tcPr>
          <w:p>
            <w:pPr>
              <w:pStyle w:val="style0"/>
              <w:jc w:val="both"/>
              <w:rPr/>
            </w:pPr>
            <w:r>
              <w:rPr>
                <w:b/>
                <w:sz w:val="22"/>
                <w:szCs w:val="22"/>
              </w:rPr>
              <w:t>2.</w:t>
            </w:r>
            <w:r>
              <w:rPr>
                <w:sz w:val="22"/>
                <w:szCs w:val="22"/>
              </w:rPr>
              <w:t xml:space="preserve"> Prendre toutes les dispositions nécessaires pour respecter les sites cultuels et culturels (cimetières, sites sacrés, etc.) dans le voisinage des travaux. </w:t>
            </w:r>
          </w:p>
        </w:tc>
        <w:tc>
          <w:tcPr>
            <w:tcW w:w="3171" w:type="dxa"/>
            <w:tcBorders/>
            <w:shd w:val="clear" w:color="auto" w:fill="auto"/>
          </w:tcPr>
          <w:p>
            <w:pPr>
              <w:pStyle w:val="style0"/>
              <w:jc w:val="both"/>
              <w:rPr/>
            </w:pPr>
            <w:r>
              <w:rPr>
                <w:sz w:val="22"/>
                <w:szCs w:val="22"/>
              </w:rPr>
              <w:t>-</w:t>
            </w:r>
            <w:r>
              <w:rPr>
                <w:sz w:val="22"/>
                <w:szCs w:val="22"/>
              </w:rPr>
              <w:t>Contractant</w:t>
            </w:r>
          </w:p>
          <w:p>
            <w:pPr>
              <w:pStyle w:val="style0"/>
              <w:jc w:val="both"/>
              <w:rPr/>
            </w:pPr>
            <w:r>
              <w:rPr>
                <w:sz w:val="22"/>
                <w:szCs w:val="22"/>
              </w:rPr>
              <w:t>-</w:t>
            </w:r>
            <w:r>
              <w:rPr>
                <w:sz w:val="22"/>
                <w:szCs w:val="22"/>
              </w:rPr>
              <w:t>Entreprise/ DRC</w:t>
            </w:r>
          </w:p>
        </w:tc>
      </w:tr>
      <w:tr>
        <w:tblPrEx/>
        <w:trPr>
          <w:jc w:val="center"/>
        </w:trPr>
        <w:tc>
          <w:tcPr>
            <w:tcW w:w="6109" w:type="dxa"/>
            <w:tcBorders/>
            <w:shd w:val="clear" w:color="auto" w:fill="auto"/>
          </w:tcPr>
          <w:p>
            <w:pPr>
              <w:pStyle w:val="style0"/>
              <w:jc w:val="both"/>
              <w:rPr>
                <w:b/>
                <w:i/>
              </w:rPr>
            </w:pPr>
            <w:r>
              <w:rPr>
                <w:b/>
                <w:i/>
                <w:sz w:val="22"/>
                <w:szCs w:val="22"/>
              </w:rPr>
              <w:t>Phase de construction</w:t>
            </w:r>
          </w:p>
        </w:tc>
        <w:tc>
          <w:tcPr>
            <w:tcW w:w="3171" w:type="dxa"/>
            <w:tcBorders/>
            <w:shd w:val="clear" w:color="auto" w:fill="auto"/>
          </w:tcPr>
          <w:p>
            <w:pPr>
              <w:pStyle w:val="style0"/>
              <w:jc w:val="both"/>
              <w:rPr/>
            </w:pPr>
          </w:p>
        </w:tc>
      </w:tr>
      <w:tr>
        <w:tblPrEx/>
        <w:trPr>
          <w:jc w:val="center"/>
        </w:trPr>
        <w:tc>
          <w:tcPr>
            <w:tcW w:w="6109" w:type="dxa"/>
            <w:tcBorders/>
            <w:shd w:val="clear" w:color="auto" w:fill="auto"/>
          </w:tcPr>
          <w:p>
            <w:pPr>
              <w:pStyle w:val="style0"/>
              <w:jc w:val="both"/>
              <w:rPr/>
            </w:pPr>
            <w:r>
              <w:rPr>
                <w:b/>
                <w:sz w:val="22"/>
                <w:szCs w:val="22"/>
              </w:rPr>
              <w:t>3.</w:t>
            </w:r>
            <w:r>
              <w:rPr>
                <w:sz w:val="22"/>
                <w:szCs w:val="22"/>
              </w:rPr>
              <w:t xml:space="preserve"> Lors des fouilles, en cas de découverte des vestiges d’intérêt cultuel, historique ou archéologique, les mesures suivantes doivent être prises :</w:t>
            </w:r>
          </w:p>
          <w:p>
            <w:pPr>
              <w:pStyle w:val="style0"/>
              <w:jc w:val="both"/>
              <w:rPr/>
            </w:pPr>
            <w:r>
              <w:rPr>
                <w:sz w:val="22"/>
                <w:szCs w:val="22"/>
              </w:rPr>
              <w:t>(i) arrêter les travaux dans la zone concernée ;</w:t>
            </w:r>
          </w:p>
          <w:p>
            <w:pPr>
              <w:pStyle w:val="style0"/>
              <w:jc w:val="both"/>
              <w:rPr/>
            </w:pPr>
            <w:r>
              <w:rPr>
                <w:sz w:val="22"/>
                <w:szCs w:val="22"/>
              </w:rPr>
              <w:t>(ii) aviser immédiatement le chef du village/quartier, le Maire ou</w:t>
            </w:r>
            <w:r>
              <w:rPr>
                <w:sz w:val="22"/>
                <w:szCs w:val="22"/>
              </w:rPr>
              <w:t xml:space="preserve"> l'Autorité Préfectorale </w:t>
            </w:r>
            <w:r>
              <w:rPr>
                <w:sz w:val="22"/>
                <w:szCs w:val="22"/>
              </w:rPr>
              <w:t>de la localité puis la direction régionale de la Culture (DRC)</w:t>
            </w:r>
          </w:p>
          <w:p>
            <w:pPr>
              <w:pStyle w:val="style0"/>
              <w:jc w:val="both"/>
              <w:rPr/>
            </w:pPr>
            <w:r>
              <w:rPr>
                <w:sz w:val="22"/>
                <w:szCs w:val="22"/>
              </w:rPr>
              <w:t>(iii) déterminer un périmètre de protection et le baliser sur le site ;</w:t>
            </w:r>
          </w:p>
          <w:p>
            <w:pPr>
              <w:pStyle w:val="style0"/>
              <w:jc w:val="both"/>
              <w:rPr/>
            </w:pPr>
            <w:r>
              <w:rPr>
                <w:sz w:val="22"/>
                <w:szCs w:val="22"/>
              </w:rPr>
              <w:t>(iv) s’interdire d’enlever et de déplacer les objets et les vestiges et veiller à ce que d’autres personnes étrangères au chantier ne le fassent pas.</w:t>
            </w:r>
          </w:p>
        </w:tc>
        <w:tc>
          <w:tcPr>
            <w:tcW w:w="3171" w:type="dxa"/>
            <w:tcBorders/>
            <w:shd w:val="clear" w:color="auto" w:fill="auto"/>
          </w:tcPr>
          <w:p>
            <w:pPr>
              <w:pStyle w:val="style0"/>
              <w:jc w:val="both"/>
              <w:rPr/>
            </w:pPr>
          </w:p>
          <w:p>
            <w:pPr>
              <w:pStyle w:val="style0"/>
              <w:jc w:val="both"/>
              <w:rPr/>
            </w:pPr>
            <w:r>
              <w:rPr>
                <w:sz w:val="22"/>
                <w:szCs w:val="22"/>
              </w:rPr>
              <w:t>-</w:t>
            </w:r>
            <w:r>
              <w:rPr>
                <w:sz w:val="22"/>
                <w:szCs w:val="22"/>
              </w:rPr>
              <w:t>DRC</w:t>
            </w:r>
          </w:p>
          <w:p>
            <w:pPr>
              <w:pStyle w:val="style0"/>
              <w:jc w:val="both"/>
              <w:rPr/>
            </w:pPr>
            <w:r>
              <w:rPr>
                <w:sz w:val="22"/>
                <w:szCs w:val="22"/>
              </w:rPr>
              <w:t>-</w:t>
            </w:r>
            <w:r>
              <w:rPr>
                <w:sz w:val="22"/>
                <w:szCs w:val="22"/>
              </w:rPr>
              <w:t>Contractant</w:t>
            </w:r>
          </w:p>
        </w:tc>
      </w:tr>
      <w:tr>
        <w:tblPrEx/>
        <w:trPr>
          <w:jc w:val="center"/>
        </w:trPr>
        <w:tc>
          <w:tcPr>
            <w:tcW w:w="6109" w:type="dxa"/>
            <w:tcBorders/>
            <w:shd w:val="clear" w:color="auto" w:fill="auto"/>
          </w:tcPr>
          <w:p>
            <w:pPr>
              <w:pStyle w:val="style0"/>
              <w:jc w:val="both"/>
              <w:rPr>
                <w:b/>
                <w:i/>
              </w:rPr>
            </w:pPr>
            <w:r>
              <w:rPr>
                <w:b/>
                <w:i/>
                <w:sz w:val="22"/>
                <w:szCs w:val="22"/>
              </w:rPr>
              <w:t>Phase d’exploitation</w:t>
            </w:r>
          </w:p>
        </w:tc>
        <w:tc>
          <w:tcPr>
            <w:tcW w:w="3171" w:type="dxa"/>
            <w:tcBorders/>
            <w:shd w:val="clear" w:color="auto" w:fill="auto"/>
          </w:tcPr>
          <w:p>
            <w:pPr>
              <w:pStyle w:val="style0"/>
              <w:jc w:val="both"/>
              <w:rPr/>
            </w:pPr>
          </w:p>
        </w:tc>
      </w:tr>
      <w:tr>
        <w:tblPrEx/>
        <w:trPr>
          <w:jc w:val="center"/>
        </w:trPr>
        <w:tc>
          <w:tcPr>
            <w:tcW w:w="6109" w:type="dxa"/>
            <w:tcBorders/>
            <w:shd w:val="clear" w:color="auto" w:fill="auto"/>
          </w:tcPr>
          <w:p>
            <w:pPr>
              <w:pStyle w:val="style0"/>
              <w:jc w:val="both"/>
              <w:rPr/>
            </w:pPr>
            <w:r>
              <w:rPr>
                <w:b/>
                <w:sz w:val="22"/>
                <w:szCs w:val="22"/>
              </w:rPr>
              <w:t>5.</w:t>
            </w:r>
            <w:r>
              <w:rPr>
                <w:sz w:val="22"/>
                <w:szCs w:val="22"/>
              </w:rPr>
              <w:t xml:space="preserve"> Les sites culturels à proximité des domaines des infrastructures socio-économiques doivent être protégé</w:t>
            </w:r>
            <w:r>
              <w:rPr>
                <w:sz w:val="22"/>
                <w:szCs w:val="22"/>
              </w:rPr>
              <w:t xml:space="preserve">s afin d’éviter de freiner des </w:t>
            </w:r>
            <w:r>
              <w:rPr>
                <w:sz w:val="22"/>
                <w:szCs w:val="22"/>
              </w:rPr>
              <w:t>pratiques spirituelles ou traditionnelles ou d’endommager l’identité et les valeurs culturelles locales.</w:t>
            </w:r>
          </w:p>
        </w:tc>
        <w:tc>
          <w:tcPr>
            <w:tcW w:w="3171" w:type="dxa"/>
            <w:tcBorders/>
            <w:shd w:val="clear" w:color="auto" w:fill="auto"/>
          </w:tcPr>
          <w:p>
            <w:pPr>
              <w:pStyle w:val="style0"/>
              <w:jc w:val="both"/>
              <w:rPr/>
            </w:pPr>
            <w:r>
              <w:rPr>
                <w:sz w:val="22"/>
                <w:szCs w:val="22"/>
              </w:rPr>
              <w:t>-</w:t>
            </w:r>
            <w:r>
              <w:rPr>
                <w:sz w:val="22"/>
                <w:szCs w:val="22"/>
              </w:rPr>
              <w:t xml:space="preserve">Autorité </w:t>
            </w:r>
            <w:r>
              <w:rPr>
                <w:sz w:val="22"/>
                <w:szCs w:val="22"/>
              </w:rPr>
              <w:t>Départementale</w:t>
            </w:r>
            <w:r>
              <w:rPr>
                <w:sz w:val="22"/>
                <w:szCs w:val="22"/>
              </w:rPr>
              <w:t xml:space="preserve"> /Maire</w:t>
            </w:r>
          </w:p>
          <w:p>
            <w:pPr>
              <w:pStyle w:val="style0"/>
              <w:jc w:val="both"/>
              <w:rPr/>
            </w:pPr>
            <w:r>
              <w:rPr>
                <w:sz w:val="22"/>
                <w:szCs w:val="22"/>
              </w:rPr>
              <w:t>-</w:t>
            </w:r>
            <w:r>
              <w:rPr>
                <w:sz w:val="22"/>
                <w:szCs w:val="22"/>
              </w:rPr>
              <w:t>Direction Régionale de la Culture (DRCF)</w:t>
            </w:r>
          </w:p>
          <w:p>
            <w:pPr>
              <w:pStyle w:val="style0"/>
              <w:jc w:val="both"/>
              <w:rPr/>
            </w:pPr>
            <w:r>
              <w:rPr>
                <w:sz w:val="22"/>
                <w:szCs w:val="22"/>
              </w:rPr>
              <w:t>-</w:t>
            </w:r>
            <w:r>
              <w:rPr>
                <w:sz w:val="22"/>
                <w:szCs w:val="22"/>
              </w:rPr>
              <w:t>Services Techniques</w:t>
            </w:r>
          </w:p>
          <w:p>
            <w:pPr>
              <w:pStyle w:val="style0"/>
              <w:jc w:val="both"/>
              <w:rPr/>
            </w:pPr>
            <w:r>
              <w:rPr>
                <w:sz w:val="22"/>
                <w:szCs w:val="22"/>
              </w:rPr>
              <w:t>-</w:t>
            </w:r>
            <w:r>
              <w:rPr>
                <w:sz w:val="22"/>
                <w:szCs w:val="22"/>
              </w:rPr>
              <w:t>ONG</w:t>
            </w:r>
          </w:p>
        </w:tc>
      </w:tr>
    </w:tbl>
    <w:p>
      <w:pPr>
        <w:pStyle w:val="style0"/>
        <w:ind w:left="284"/>
        <w:rPr>
          <w:b/>
        </w:rPr>
      </w:pPr>
    </w:p>
    <w:p>
      <w:pPr>
        <w:pStyle w:val="style3"/>
        <w:keepLines/>
        <w:numPr>
          <w:ilvl w:val="1"/>
          <w:numId w:val="67"/>
        </w:numPr>
        <w:tabs>
          <w:tab w:val="clear" w:pos="720"/>
          <w:tab w:val="clear" w:pos="851"/>
        </w:tabs>
        <w:spacing w:before="0" w:after="0"/>
        <w:rPr>
          <w:b/>
          <w:bCs w:val="false"/>
          <w:sz w:val="24"/>
          <w:szCs w:val="24"/>
          <w:u w:val="none"/>
        </w:rPr>
      </w:pPr>
      <w:r>
        <w:rPr>
          <w:b/>
          <w:bCs w:val="false"/>
          <w:sz w:val="24"/>
          <w:szCs w:val="24"/>
          <w:u w:val="none"/>
        </w:rPr>
        <w:t xml:space="preserve"> </w:t>
      </w:r>
      <w:bookmarkStart w:id="1362" w:name="_Toc2780509"/>
      <w:r>
        <w:rPr>
          <w:b/>
          <w:bCs w:val="false"/>
          <w:sz w:val="24"/>
          <w:szCs w:val="24"/>
          <w:u w:val="none"/>
        </w:rPr>
        <w:t>Analyse des capacités des parties prenantes en matière de gestion environn</w:t>
      </w:r>
      <w:r>
        <w:rPr>
          <w:b/>
          <w:bCs w:val="false"/>
          <w:sz w:val="24"/>
          <w:szCs w:val="24"/>
          <w:u w:val="none"/>
        </w:rPr>
        <w:t>emen</w:t>
      </w:r>
      <w:r>
        <w:rPr>
          <w:b/>
          <w:bCs w:val="false"/>
          <w:sz w:val="24"/>
          <w:szCs w:val="24"/>
          <w:u w:val="none"/>
        </w:rPr>
        <w:t>tale et sociale</w:t>
      </w:r>
      <w:bookmarkEnd w:id="1362"/>
    </w:p>
    <w:p>
      <w:pPr>
        <w:pStyle w:val="style0"/>
        <w:spacing w:after="200"/>
        <w:jc w:val="both"/>
        <w:rPr>
          <w:sz w:val="22"/>
          <w:szCs w:val="22"/>
        </w:rPr>
      </w:pPr>
      <w:r>
        <w:rPr>
          <w:sz w:val="22"/>
          <w:szCs w:val="22"/>
        </w:rPr>
        <w:t xml:space="preserve">La mise en œuvre des actions du CGES va impliquer </w:t>
      </w:r>
      <w:r>
        <w:rPr>
          <w:sz w:val="22"/>
          <w:szCs w:val="22"/>
        </w:rPr>
        <w:t>au premier plan</w:t>
      </w:r>
      <w:r>
        <w:rPr>
          <w:sz w:val="22"/>
          <w:szCs w:val="22"/>
        </w:rPr>
        <w:t>,</w:t>
      </w:r>
      <w:r>
        <w:rPr>
          <w:sz w:val="22"/>
          <w:szCs w:val="22"/>
        </w:rPr>
        <w:t xml:space="preserve"> </w:t>
      </w:r>
      <w:r>
        <w:rPr>
          <w:sz w:val="22"/>
          <w:szCs w:val="22"/>
        </w:rPr>
        <w:t xml:space="preserve">plusieurs acteurs dont le </w:t>
      </w:r>
      <w:r>
        <w:rPr>
          <w:sz w:val="22"/>
          <w:szCs w:val="22"/>
        </w:rPr>
        <w:t xml:space="preserve">Ministère de l’Agriculture et des Aménagements Hydrauliques (MAAH), le Ministère de l’Economie, des Finances et du Développement (MINEFID), le Ministère de l’Eau et de l’Assainissement (MEA), le Ministère de l’Administration Territoriale et de la Décentralisation (MATD), </w:t>
      </w:r>
      <w:r>
        <w:rPr>
          <w:sz w:val="22"/>
          <w:szCs w:val="22"/>
        </w:rPr>
        <w:t xml:space="preserve">le </w:t>
      </w:r>
      <w:r>
        <w:rPr>
          <w:sz w:val="22"/>
          <w:szCs w:val="22"/>
        </w:rPr>
        <w:t>M</w:t>
      </w:r>
      <w:r>
        <w:rPr>
          <w:sz w:val="22"/>
          <w:szCs w:val="22"/>
        </w:rPr>
        <w:t>inistère de l’Environnement</w:t>
      </w:r>
      <w:r>
        <w:rPr>
          <w:sz w:val="22"/>
          <w:szCs w:val="22"/>
        </w:rPr>
        <w:t>, de l’Economie Verte</w:t>
      </w:r>
      <w:r>
        <w:rPr>
          <w:sz w:val="22"/>
          <w:szCs w:val="22"/>
        </w:rPr>
        <w:t xml:space="preserve"> et du </w:t>
      </w:r>
      <w:r>
        <w:rPr>
          <w:sz w:val="22"/>
          <w:szCs w:val="22"/>
        </w:rPr>
        <w:t>Changement Climatique (MEEVCC)</w:t>
      </w:r>
      <w:r>
        <w:rPr>
          <w:sz w:val="22"/>
          <w:szCs w:val="22"/>
        </w:rPr>
        <w:t xml:space="preserve">, les communes et les régions, </w:t>
      </w:r>
      <w:r>
        <w:rPr>
          <w:sz w:val="22"/>
          <w:szCs w:val="22"/>
        </w:rPr>
        <w:t>les Chambres Régionales d’Agriculture,</w:t>
      </w:r>
      <w:r>
        <w:rPr>
          <w:sz w:val="22"/>
          <w:szCs w:val="22"/>
        </w:rPr>
        <w:t xml:space="preserve"> les services déconcentrés de l’Etat, les </w:t>
      </w:r>
      <w:r>
        <w:rPr>
          <w:sz w:val="22"/>
          <w:szCs w:val="22"/>
        </w:rPr>
        <w:t>coopératives/groupements de producteurs, les unités de transformation, les commerçants, les consultants et</w:t>
      </w:r>
      <w:r>
        <w:rPr>
          <w:sz w:val="22"/>
          <w:szCs w:val="22"/>
        </w:rPr>
        <w:t xml:space="preserve"> les ONG.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 xml:space="preserve">Tous ces acteurs ne sont pas toujours </w:t>
      </w:r>
      <w:r>
        <w:rPr>
          <w:sz w:val="22"/>
          <w:szCs w:val="22"/>
        </w:rPr>
        <w:t>aux mêmes niveaux d’imprégnation et d’appréciation</w:t>
      </w:r>
      <w:r>
        <w:rPr>
          <w:sz w:val="22"/>
          <w:szCs w:val="22"/>
        </w:rPr>
        <w:t xml:space="preserve"> des enjeux, opportunités</w:t>
      </w:r>
      <w:r>
        <w:rPr>
          <w:sz w:val="22"/>
          <w:szCs w:val="22"/>
        </w:rPr>
        <w:t xml:space="preserve">, risques, </w:t>
      </w:r>
      <w:r>
        <w:rPr>
          <w:sz w:val="22"/>
          <w:szCs w:val="22"/>
        </w:rPr>
        <w:t xml:space="preserve">et défis environnementaux et sociaux liés à la gestion environnementale des projets et ne disposent pas toujours des capacités requises pour être conformes aux différentes réglementations nationales et internationales en matière de gestion environnementale et sociale. </w:t>
      </w:r>
      <w:r>
        <w:rPr>
          <w:sz w:val="22"/>
          <w:szCs w:val="22"/>
        </w:rPr>
        <w:t>L’évaluation des capacités concerne les acteurs inclus dans les arrangements institutionnels pour la mise en œuvre du CGES.</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p>
    <w:p>
      <w:pPr>
        <w:pStyle w:val="style157"/>
        <w:rPr>
          <w:rFonts w:ascii="Times New Roman" w:hAnsi="Times New Roman"/>
          <w:b/>
        </w:rPr>
      </w:pPr>
      <w:r>
        <w:rPr>
          <w:rFonts w:ascii="Times New Roman" w:hAnsi="Times New Roman"/>
          <w:b/>
        </w:rPr>
        <w:t>7.3</w:t>
      </w:r>
      <w:r>
        <w:rPr>
          <w:rFonts w:ascii="Times New Roman" w:hAnsi="Times New Roman"/>
          <w:b/>
        </w:rPr>
        <w:t xml:space="preserve">.1. </w:t>
      </w:r>
      <w:r>
        <w:rPr>
          <w:rFonts w:ascii="Times New Roman" w:hAnsi="Times New Roman"/>
          <w:b/>
        </w:rPr>
        <w:t>Capacités des départements ministériels</w:t>
      </w:r>
    </w:p>
    <w:p>
      <w:pPr>
        <w:pStyle w:val="style0"/>
        <w:numPr>
          <w:ilvl w:val="0"/>
          <w:numId w:val="25"/>
        </w:numPr>
        <w:spacing w:before="120" w:after="200" w:lineRule="auto" w:line="276"/>
        <w:jc w:val="both"/>
        <w:rPr>
          <w:b/>
          <w:sz w:val="22"/>
          <w:szCs w:val="22"/>
          <w:u w:val="single"/>
        </w:rPr>
      </w:pPr>
      <w:r>
        <w:rPr>
          <w:b/>
          <w:sz w:val="22"/>
          <w:szCs w:val="22"/>
          <w:u w:val="single"/>
        </w:rPr>
        <w:t>Les Ministères chargés des secteurs de l’agriculture, de l’eau, des pêches et de l’élevage</w:t>
      </w:r>
    </w:p>
    <w:p>
      <w:pPr>
        <w:pStyle w:val="style0"/>
        <w:tabs>
          <w:tab w:val="left" w:leader="none" w:pos="1425"/>
        </w:tabs>
        <w:spacing w:before="120"/>
        <w:jc w:val="both"/>
        <w:rPr>
          <w:sz w:val="22"/>
          <w:szCs w:val="22"/>
        </w:rPr>
      </w:pPr>
      <w:r>
        <w:rPr>
          <w:sz w:val="22"/>
          <w:szCs w:val="22"/>
        </w:rPr>
        <w:t xml:space="preserve">En dépit des efforts importants de prise en compte de l’environnement dans les politiques et programmes agricoles, d’élevage et de pêche, il reste qu’au plan institutionnel, on note l’absence de spécialistes en évaluation environnementale et sociale dans la plupart des directions/structures qui seront impliquées dans la mise en œuvre du Programme. </w:t>
      </w:r>
    </w:p>
    <w:p>
      <w:pPr>
        <w:pStyle w:val="style0"/>
        <w:tabs>
          <w:tab w:val="left" w:leader="none" w:pos="1425"/>
        </w:tabs>
        <w:spacing w:before="120"/>
        <w:jc w:val="both"/>
        <w:rPr>
          <w:sz w:val="22"/>
          <w:szCs w:val="22"/>
        </w:rPr>
      </w:pPr>
    </w:p>
    <w:p>
      <w:pPr>
        <w:pStyle w:val="style0"/>
        <w:jc w:val="both"/>
        <w:rPr>
          <w:sz w:val="22"/>
          <w:szCs w:val="22"/>
        </w:rPr>
      </w:pPr>
      <w:r>
        <w:rPr>
          <w:sz w:val="22"/>
          <w:szCs w:val="22"/>
        </w:rPr>
        <w:t xml:space="preserve">Ce constat est valable au niveau des membres du comité de revue du PDCA qui ne disposent </w:t>
      </w:r>
      <w:r>
        <w:rPr>
          <w:sz w:val="22"/>
          <w:szCs w:val="22"/>
        </w:rPr>
        <w:t xml:space="preserve">pas </w:t>
      </w:r>
      <w:r>
        <w:rPr>
          <w:sz w:val="22"/>
          <w:szCs w:val="22"/>
        </w:rPr>
        <w:t>de capacités en matière de sauvegarde environnementale.</w:t>
      </w:r>
    </w:p>
    <w:p>
      <w:pPr>
        <w:pStyle w:val="style0"/>
        <w:jc w:val="both"/>
        <w:rPr>
          <w:sz w:val="22"/>
          <w:szCs w:val="22"/>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De même,</w:t>
      </w:r>
      <w:r>
        <w:rPr>
          <w:sz w:val="22"/>
          <w:szCs w:val="22"/>
        </w:rPr>
        <w:t xml:space="preserve"> il est à noter que les futurs experts de l’équipe de coordination du Programme </w:t>
      </w:r>
      <w:r>
        <w:rPr>
          <w:sz w:val="22"/>
          <w:szCs w:val="22"/>
        </w:rPr>
        <w:t xml:space="preserve">tels que le SPM, le RAF, le RT, le RSE, le coordonnateur, etc.  </w:t>
      </w:r>
      <w:r>
        <w:rPr>
          <w:sz w:val="22"/>
          <w:szCs w:val="22"/>
        </w:rPr>
        <w:t xml:space="preserve">ne </w:t>
      </w:r>
      <w:r>
        <w:rPr>
          <w:sz w:val="22"/>
          <w:szCs w:val="22"/>
        </w:rPr>
        <w:t>disposeront</w:t>
      </w:r>
      <w:r>
        <w:rPr>
          <w:sz w:val="22"/>
          <w:szCs w:val="22"/>
        </w:rPr>
        <w:t xml:space="preserve"> pas tous </w:t>
      </w:r>
      <w:r>
        <w:rPr>
          <w:sz w:val="22"/>
          <w:szCs w:val="22"/>
        </w:rPr>
        <w:t xml:space="preserve">de capacités </w:t>
      </w:r>
      <w:r>
        <w:rPr>
          <w:sz w:val="22"/>
          <w:szCs w:val="22"/>
        </w:rPr>
        <w:t xml:space="preserve">dans le domaine de l’évaluation environnementale et sociale des projets. Pourtant, l’UNC et les quatre (4) URC devront assurer la coordination du Programme et rendre compte de la gestion environnementale et sociale au MEEVCC et à la Banque </w:t>
      </w:r>
      <w:r>
        <w:rPr>
          <w:sz w:val="22"/>
          <w:szCs w:val="22"/>
        </w:rPr>
        <w:t>m</w:t>
      </w:r>
      <w:r>
        <w:rPr>
          <w:sz w:val="22"/>
          <w:szCs w:val="22"/>
        </w:rPr>
        <w:t xml:space="preserve">ondiale.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Afin de garantir l’effectivité de la prise en compte des aspects environnementaux et sociaux dans les composantes du PDCA, l’UNC et les URC auront besoin de sensibilisation des experts de leurs équipes (Finances, Marchés, Suivi-évaluation, Communication, Technique, etc.) en matière de sauvegarde environnementale et sociale. L’acquisition de telles connaissances pourrait contribuer à l’amélioration des performances dans la mise en œuvre du CGES du Programme.</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D’autres structures seront directement impliquées dans la mise en œuvre du CGES. Il s’agit d</w:t>
      </w:r>
      <w:r>
        <w:rPr>
          <w:sz w:val="22"/>
          <w:szCs w:val="22"/>
        </w:rPr>
        <w:t xml:space="preserve">es </w:t>
      </w:r>
      <w:r>
        <w:rPr>
          <w:sz w:val="22"/>
          <w:szCs w:val="22"/>
        </w:rPr>
        <w:t xml:space="preserve">structures suivantes : </w:t>
      </w:r>
      <w:r>
        <w:rPr>
          <w:sz w:val="22"/>
          <w:szCs w:val="22"/>
        </w:rPr>
        <w:t>DRAAH, DRRAH, DREEVCC, DRS et DRI</w:t>
      </w:r>
      <w:r>
        <w:rPr>
          <w:sz w:val="22"/>
          <w:szCs w:val="22"/>
        </w:rPr>
        <w:t xml:space="preserve">. </w:t>
      </w:r>
      <w:r>
        <w:rPr>
          <w:sz w:val="22"/>
          <w:szCs w:val="22"/>
        </w:rPr>
        <w:t>Ces directions régionales sont tenues de désigner de façon nominative leurs Points Focaux (PF). Ces PF</w:t>
      </w:r>
      <w:r>
        <w:rPr>
          <w:sz w:val="22"/>
          <w:szCs w:val="22"/>
        </w:rPr>
        <w:t> </w:t>
      </w:r>
      <w:r>
        <w:rPr>
          <w:sz w:val="22"/>
          <w:szCs w:val="22"/>
        </w:rPr>
        <w:t xml:space="preserve">devront bénéficier des formations prévues par l’UNC pour assurer la surveillance environnementale et sociale des activités du Programme. </w:t>
      </w:r>
    </w:p>
    <w:p>
      <w:pPr>
        <w:pStyle w:val="style0"/>
        <w:numPr>
          <w:ilvl w:val="0"/>
          <w:numId w:val="100"/>
        </w:numPr>
        <w:spacing w:before="120" w:after="120" w:lineRule="auto" w:line="276"/>
        <w:ind w:left="357" w:hanging="357"/>
        <w:jc w:val="both"/>
        <w:rPr>
          <w:b/>
          <w:sz w:val="22"/>
          <w:szCs w:val="22"/>
          <w:u w:val="single"/>
        </w:rPr>
      </w:pPr>
      <w:r>
        <w:rPr>
          <w:b/>
          <w:sz w:val="22"/>
          <w:szCs w:val="22"/>
          <w:u w:val="single"/>
        </w:rPr>
        <w:t xml:space="preserve">Le Ministère de l’Environnement, de l’Economie Verte et du Changement Climatique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 xml:space="preserve">Dans le cadre du </w:t>
      </w:r>
      <w:r>
        <w:rPr>
          <w:sz w:val="22"/>
          <w:szCs w:val="22"/>
        </w:rPr>
        <w:t>Programme</w:t>
      </w:r>
      <w:r>
        <w:rPr>
          <w:sz w:val="22"/>
          <w:szCs w:val="22"/>
        </w:rPr>
        <w:t>, le BUNEE assure</w:t>
      </w:r>
      <w:r>
        <w:rPr>
          <w:sz w:val="22"/>
          <w:szCs w:val="22"/>
        </w:rPr>
        <w:t>ra</w:t>
      </w:r>
      <w:r>
        <w:rPr>
          <w:sz w:val="22"/>
          <w:szCs w:val="22"/>
        </w:rPr>
        <w:t xml:space="preserve"> l’examen et l’approbation de la classification environnementale des projets ainsi que l’approbation des </w:t>
      </w:r>
      <w:r>
        <w:rPr>
          <w:sz w:val="22"/>
          <w:szCs w:val="22"/>
        </w:rPr>
        <w:t>évaluations environnementales</w:t>
      </w:r>
      <w:r>
        <w:rPr>
          <w:sz w:val="22"/>
          <w:szCs w:val="22"/>
        </w:rPr>
        <w:t xml:space="preserve">,  </w:t>
      </w:r>
      <w:r>
        <w:rPr>
          <w:sz w:val="22"/>
          <w:szCs w:val="22"/>
        </w:rPr>
        <w:t xml:space="preserve">de la surveillance environnementale et </w:t>
      </w:r>
      <w:r>
        <w:rPr>
          <w:sz w:val="22"/>
          <w:szCs w:val="22"/>
        </w:rPr>
        <w:t>du</w:t>
      </w:r>
      <w:r>
        <w:rPr>
          <w:sz w:val="22"/>
          <w:szCs w:val="22"/>
        </w:rPr>
        <w:t xml:space="preserve"> suivi environnemental</w:t>
      </w:r>
      <w:r>
        <w:rPr>
          <w:sz w:val="22"/>
          <w:szCs w:val="22"/>
        </w:rPr>
        <w:t xml:space="preserve"> externe des futurs projets</w:t>
      </w:r>
      <w:r>
        <w:rPr>
          <w:sz w:val="22"/>
          <w:szCs w:val="22"/>
        </w:rPr>
        <w:t xml:space="preserve"> et participe</w:t>
      </w:r>
      <w:r>
        <w:rPr>
          <w:sz w:val="22"/>
          <w:szCs w:val="22"/>
        </w:rPr>
        <w:t>ra</w:t>
      </w:r>
      <w:r>
        <w:rPr>
          <w:sz w:val="22"/>
          <w:szCs w:val="22"/>
        </w:rPr>
        <w:t xml:space="preserve"> au suivi externe, notamment en ce qui concerne les pollutions et nuisances, et l’amélioration de l’habitat et du cadre de vie.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Il importe de noter que l’une des faibles</w:t>
      </w:r>
      <w:r>
        <w:rPr>
          <w:sz w:val="22"/>
          <w:szCs w:val="22"/>
        </w:rPr>
        <w:t>ses</w:t>
      </w:r>
      <w:r>
        <w:rPr>
          <w:sz w:val="22"/>
          <w:szCs w:val="22"/>
        </w:rPr>
        <w:t xml:space="preserve"> au niveau du BUNEE, demeure la modicité des ressources matérielles et financières pour assurer régulièrement les missions de suivi sur le terrain. </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after="120"/>
        <w:jc w:val="both"/>
        <w:rPr>
          <w:sz w:val="22"/>
          <w:szCs w:val="22"/>
        </w:rPr>
      </w:pPr>
      <w:r>
        <w:rPr>
          <w:sz w:val="22"/>
          <w:szCs w:val="22"/>
        </w:rPr>
        <w:t>L’accomplissement de ces tâches nécessitera la signature d’un protocole de collaboration avec l’UNC pour la mise en à disposition de ressources financières sur la durée du Programme.</w:t>
      </w:r>
    </w:p>
    <w:p>
      <w:pPr>
        <w:pStyle w:val="style0"/>
        <w:jc w:val="both"/>
        <w:rPr>
          <w:sz w:val="22"/>
          <w:szCs w:val="22"/>
        </w:rPr>
      </w:pPr>
    </w:p>
    <w:p>
      <w:pPr>
        <w:pStyle w:val="style157"/>
        <w:rPr>
          <w:rFonts w:ascii="Times New Roman" w:hAnsi="Times New Roman"/>
          <w:b/>
        </w:rPr>
      </w:pPr>
      <w:r>
        <w:rPr>
          <w:rFonts w:ascii="Times New Roman" w:hAnsi="Times New Roman"/>
          <w:b/>
        </w:rPr>
        <w:t>7.3</w:t>
      </w:r>
      <w:r>
        <w:rPr>
          <w:rFonts w:ascii="Times New Roman" w:hAnsi="Times New Roman"/>
          <w:b/>
        </w:rPr>
        <w:t xml:space="preserve">.2. </w:t>
      </w:r>
      <w:r>
        <w:rPr>
          <w:rFonts w:ascii="Times New Roman" w:hAnsi="Times New Roman"/>
          <w:b/>
        </w:rPr>
        <w:t xml:space="preserve">Capacités des collectivités locales </w:t>
      </w:r>
    </w:p>
    <w:p>
      <w:pPr>
        <w:pStyle w:val="style0"/>
        <w:numPr>
          <w:ilvl w:val="0"/>
          <w:numId w:val="100"/>
        </w:numPr>
        <w:spacing w:before="120" w:after="120" w:lineRule="auto" w:line="276"/>
        <w:ind w:hanging="357"/>
        <w:jc w:val="both"/>
        <w:rPr>
          <w:sz w:val="22"/>
          <w:szCs w:val="22"/>
        </w:rPr>
      </w:pPr>
      <w:r>
        <w:rPr>
          <w:b/>
          <w:sz w:val="22"/>
          <w:szCs w:val="22"/>
          <w:u w:val="single"/>
        </w:rPr>
        <w:t xml:space="preserve">Collectivités locales </w:t>
      </w:r>
    </w:p>
    <w:p>
      <w:pPr>
        <w:pStyle w:val="style0"/>
        <w:rPr>
          <w:sz w:val="22"/>
          <w:szCs w:val="22"/>
        </w:rPr>
      </w:pPr>
      <w:r>
        <w:rPr>
          <w:sz w:val="22"/>
          <w:szCs w:val="22"/>
        </w:rPr>
        <w:t>La mise en œuvre de la gestion environnementale du Programme impliquera les communes qui seront étroitement as</w:t>
      </w:r>
      <w:r>
        <w:rPr>
          <w:sz w:val="22"/>
          <w:szCs w:val="22"/>
        </w:rPr>
        <w:t xml:space="preserve">sociées au suivi de la mise en </w:t>
      </w:r>
      <w:r>
        <w:rPr>
          <w:sz w:val="22"/>
          <w:szCs w:val="22"/>
        </w:rPr>
        <w:t xml:space="preserve">œuvre des sous-projets. En outre, elles participeront à l’enregistrement des éventuelles plaintes. </w:t>
      </w:r>
    </w:p>
    <w:p>
      <w:pPr>
        <w:pStyle w:val="style0"/>
        <w:rPr>
          <w:sz w:val="22"/>
          <w:szCs w:val="22"/>
        </w:rPr>
      </w:pPr>
    </w:p>
    <w:p>
      <w:pPr>
        <w:pStyle w:val="style0"/>
        <w:jc w:val="both"/>
        <w:rPr>
          <w:sz w:val="22"/>
          <w:szCs w:val="22"/>
        </w:rPr>
      </w:pPr>
      <w:r>
        <w:rPr>
          <w:sz w:val="22"/>
          <w:szCs w:val="22"/>
        </w:rPr>
        <w:t>Ces acteurs locaux ont reçu des nouvelles prérogatives en matière d’environnement, cependant ils manquent encore de capacités en matière de sauvegardes environnementale et sociale. Pour ce faire, un effort important doit être apporté pour le développement de leurs capacités afin de leur permettre de s’assurer de la prise en compte effective des sauvegardes environnementales et sociales dans le suivi des activités du Programme sur le terrain. Ils apporteront leur contribution dans la gestion des problèmes fonciers et les autres types de conflits pouvant naître lors de la mise en œuvre du PDCA.</w:t>
      </w:r>
    </w:p>
    <w:p>
      <w:pPr>
        <w:pStyle w:val="style0"/>
        <w:jc w:val="both"/>
        <w:rPr>
          <w:sz w:val="22"/>
          <w:szCs w:val="22"/>
        </w:rPr>
      </w:pPr>
    </w:p>
    <w:p>
      <w:pPr>
        <w:pStyle w:val="style157"/>
        <w:rPr>
          <w:rFonts w:ascii="Times New Roman" w:hAnsi="Times New Roman"/>
          <w:b/>
          <w:lang w:val="fr-FR"/>
        </w:rPr>
      </w:pPr>
      <w:r>
        <w:rPr>
          <w:rFonts w:ascii="Times New Roman" w:hAnsi="Times New Roman"/>
          <w:b/>
          <w:lang w:val="fr-FR"/>
        </w:rPr>
        <w:t>7.3</w:t>
      </w:r>
      <w:r>
        <w:rPr>
          <w:rFonts w:ascii="Times New Roman" w:hAnsi="Times New Roman"/>
          <w:b/>
          <w:lang w:val="fr-FR"/>
        </w:rPr>
        <w:t>.3. Capacités des Organisations Non Gouvernementales (ONG)</w:t>
      </w:r>
    </w:p>
    <w:p>
      <w:pPr>
        <w:pStyle w:val="style0"/>
        <w:numPr>
          <w:ilvl w:val="0"/>
          <w:numId w:val="100"/>
        </w:numPr>
        <w:spacing w:before="120" w:after="120" w:lineRule="auto" w:line="276"/>
        <w:ind w:hanging="357"/>
        <w:jc w:val="both"/>
        <w:rPr>
          <w:b/>
          <w:sz w:val="22"/>
          <w:szCs w:val="22"/>
          <w:u w:val="single"/>
        </w:rPr>
      </w:pPr>
      <w:r>
        <w:rPr>
          <w:b/>
          <w:sz w:val="22"/>
          <w:szCs w:val="22"/>
          <w:u w:val="single"/>
        </w:rPr>
        <w:t>Organisations Non Gouvernementales (ONG)</w:t>
      </w:r>
    </w:p>
    <w:p>
      <w:pPr>
        <w:pStyle w:val="style0"/>
        <w:rPr>
          <w:sz w:val="22"/>
          <w:szCs w:val="22"/>
        </w:rPr>
      </w:pPr>
      <w:r>
        <w:rPr>
          <w:sz w:val="22"/>
          <w:szCs w:val="22"/>
        </w:rPr>
        <w:t xml:space="preserve">Elles interviennent dans le domaine de l’appui conseil en développement local et apportent leur appui dans la conduite des campagnes de sensibilisation et de renforcement des capacités des communes et des communautés de la zone du Programme par le biais des conventions passées avec l’UGP. </w:t>
      </w:r>
    </w:p>
    <w:p>
      <w:pPr>
        <w:pStyle w:val="style0"/>
        <w:rPr>
          <w:sz w:val="22"/>
          <w:szCs w:val="22"/>
        </w:rPr>
      </w:pPr>
      <w:r>
        <w:rPr>
          <w:sz w:val="22"/>
          <w:szCs w:val="22"/>
        </w:rPr>
        <w:t>Parmi les ONG, on peut citer entre autres :</w:t>
      </w:r>
    </w:p>
    <w:p>
      <w:pPr>
        <w:pStyle w:val="style0"/>
        <w:numPr>
          <w:ilvl w:val="0"/>
          <w:numId w:val="91"/>
        </w:numPr>
        <w:rPr>
          <w:sz w:val="22"/>
          <w:szCs w:val="22"/>
        </w:rPr>
      </w:pPr>
      <w:r>
        <w:rPr>
          <w:sz w:val="22"/>
          <w:szCs w:val="22"/>
        </w:rPr>
        <w:t>Confédération Paysanne du Faso (CPF) ;</w:t>
      </w:r>
    </w:p>
    <w:p>
      <w:pPr>
        <w:pStyle w:val="style0"/>
        <w:numPr>
          <w:ilvl w:val="0"/>
          <w:numId w:val="91"/>
        </w:numPr>
        <w:rPr>
          <w:sz w:val="22"/>
          <w:szCs w:val="22"/>
        </w:rPr>
      </w:pPr>
      <w:r>
        <w:rPr>
          <w:sz w:val="22"/>
          <w:szCs w:val="22"/>
        </w:rPr>
        <w:t>« Afrique verte » ;</w:t>
      </w:r>
    </w:p>
    <w:p>
      <w:pPr>
        <w:pStyle w:val="style0"/>
        <w:numPr>
          <w:ilvl w:val="0"/>
          <w:numId w:val="91"/>
        </w:numPr>
        <w:rPr>
          <w:sz w:val="22"/>
          <w:szCs w:val="22"/>
        </w:rPr>
      </w:pPr>
      <w:r>
        <w:rPr>
          <w:sz w:val="22"/>
          <w:szCs w:val="22"/>
        </w:rPr>
        <w:t xml:space="preserve">Réseau des </w:t>
      </w:r>
      <w:r>
        <w:rPr>
          <w:sz w:val="22"/>
          <w:szCs w:val="22"/>
        </w:rPr>
        <w:t>O</w:t>
      </w:r>
      <w:r>
        <w:rPr>
          <w:sz w:val="22"/>
          <w:szCs w:val="22"/>
        </w:rPr>
        <w:t xml:space="preserve">rganisations </w:t>
      </w:r>
      <w:r>
        <w:rPr>
          <w:sz w:val="22"/>
          <w:szCs w:val="22"/>
        </w:rPr>
        <w:t>P</w:t>
      </w:r>
      <w:r>
        <w:rPr>
          <w:sz w:val="22"/>
          <w:szCs w:val="22"/>
        </w:rPr>
        <w:t xml:space="preserve">aysannes et de </w:t>
      </w:r>
      <w:r>
        <w:rPr>
          <w:sz w:val="22"/>
          <w:szCs w:val="22"/>
        </w:rPr>
        <w:t>P</w:t>
      </w:r>
      <w:r>
        <w:rPr>
          <w:sz w:val="22"/>
          <w:szCs w:val="22"/>
        </w:rPr>
        <w:t>roducteurs de l'Afrique de l'Ouest</w:t>
      </w:r>
      <w:r>
        <w:rPr>
          <w:sz w:val="22"/>
          <w:szCs w:val="22"/>
        </w:rPr>
        <w:t xml:space="preserve"> (ROPPA).</w:t>
      </w:r>
    </w:p>
    <w:p>
      <w:pPr>
        <w:pStyle w:val="style4307"/>
        <w:numPr>
          <w:ilvl w:val="0"/>
          <w:numId w:val="0"/>
        </w:numPr>
        <w:spacing w:lineRule="auto" w:line="240"/>
        <w:ind w:left="390"/>
        <w:rPr/>
      </w:pPr>
    </w:p>
    <w:bookmarkStart w:id="1363" w:name="_Toc2780510"/>
    <w:p>
      <w:pPr>
        <w:pStyle w:val="style4307"/>
        <w:numPr>
          <w:ilvl w:val="0"/>
          <w:numId w:val="0"/>
        </w:numPr>
        <w:spacing w:lineRule="auto" w:line="240"/>
        <w:ind w:left="390"/>
        <w:rPr/>
      </w:pPr>
      <w:r>
        <w:t>7.</w:t>
      </w:r>
      <w:r>
        <w:t>4</w:t>
      </w:r>
      <w:r>
        <w:t>.</w:t>
      </w:r>
      <w:r>
        <w:t xml:space="preserve"> </w:t>
      </w:r>
      <w:bookmarkStart w:id="1364" w:name="_Toc536410721"/>
      <w:r>
        <w:t>Mesures de renforcement des capacités en</w:t>
      </w:r>
      <w:r>
        <w:t xml:space="preserve"> gestion environnementale et sociale</w:t>
      </w:r>
      <w:bookmarkEnd w:id="1363"/>
      <w:r>
        <w:t xml:space="preserve"> </w:t>
      </w:r>
      <w:bookmarkEnd w:id="1352"/>
      <w:bookmarkEnd w:id="1364"/>
    </w:p>
    <w:p>
      <w:pPr>
        <w:pStyle w:val="style0"/>
        <w:jc w:val="both"/>
        <w:rPr>
          <w:sz w:val="22"/>
          <w:szCs w:val="22"/>
          <w:lang w:eastAsia="en-US"/>
        </w:rPr>
      </w:pPr>
      <w:r>
        <w:rPr>
          <w:sz w:val="22"/>
          <w:szCs w:val="22"/>
          <w:lang w:eastAsia="en-US"/>
        </w:rPr>
        <w:t>Plusieurs actions de renforcement des capacités en</w:t>
      </w:r>
      <w:r>
        <w:rPr>
          <w:sz w:val="22"/>
          <w:szCs w:val="22"/>
          <w:lang w:eastAsia="en-US"/>
        </w:rPr>
        <w:t xml:space="preserve"> gestion environnementale et sociale </w:t>
      </w:r>
      <w:r>
        <w:rPr>
          <w:sz w:val="22"/>
          <w:szCs w:val="22"/>
          <w:lang w:eastAsia="en-US"/>
        </w:rPr>
        <w:t>seront conduites sous la responsabilité de l’UNC/PDCA. Ces actions ci-dessous citées, concernent</w:t>
      </w:r>
      <w:r>
        <w:rPr>
          <w:sz w:val="22"/>
          <w:szCs w:val="22"/>
          <w:lang w:eastAsia="en-US"/>
        </w:rPr>
        <w:t xml:space="preserve"> les aspects suivants : </w:t>
      </w:r>
    </w:p>
    <w:p>
      <w:pPr>
        <w:pStyle w:val="style0"/>
        <w:numPr>
          <w:ilvl w:val="0"/>
          <w:numId w:val="5"/>
        </w:numPr>
        <w:ind w:left="360"/>
        <w:jc w:val="both"/>
        <w:rPr>
          <w:sz w:val="22"/>
          <w:szCs w:val="22"/>
          <w:lang w:eastAsia="en-US"/>
        </w:rPr>
      </w:pPr>
      <w:r>
        <w:rPr>
          <w:sz w:val="22"/>
          <w:szCs w:val="22"/>
          <w:lang w:eastAsia="en-US"/>
        </w:rPr>
        <w:t>assistance à l’U</w:t>
      </w:r>
      <w:r>
        <w:rPr>
          <w:sz w:val="22"/>
          <w:szCs w:val="22"/>
          <w:lang w:eastAsia="en-US"/>
        </w:rPr>
        <w:t>N</w:t>
      </w:r>
      <w:r>
        <w:rPr>
          <w:sz w:val="22"/>
          <w:szCs w:val="22"/>
          <w:lang w:eastAsia="en-US"/>
        </w:rPr>
        <w:t>C dans la gestion environnementale et sociale et le suivi ;</w:t>
      </w:r>
    </w:p>
    <w:p>
      <w:pPr>
        <w:pStyle w:val="style0"/>
        <w:numPr>
          <w:ilvl w:val="0"/>
          <w:numId w:val="5"/>
        </w:numPr>
        <w:ind w:left="360"/>
        <w:jc w:val="both"/>
        <w:rPr>
          <w:sz w:val="22"/>
          <w:szCs w:val="22"/>
          <w:lang w:eastAsia="en-US"/>
        </w:rPr>
      </w:pPr>
      <w:r>
        <w:rPr>
          <w:sz w:val="22"/>
          <w:szCs w:val="22"/>
          <w:lang w:eastAsia="en-US"/>
        </w:rPr>
        <w:t xml:space="preserve">application des bonnes pratiques de production durables ; </w:t>
      </w:r>
    </w:p>
    <w:p>
      <w:pPr>
        <w:pStyle w:val="style0"/>
        <w:numPr>
          <w:ilvl w:val="0"/>
          <w:numId w:val="5"/>
        </w:numPr>
        <w:ind w:left="360"/>
        <w:jc w:val="both"/>
        <w:rPr>
          <w:sz w:val="22"/>
          <w:szCs w:val="22"/>
          <w:lang w:eastAsia="en-US"/>
        </w:rPr>
      </w:pPr>
      <w:r>
        <w:rPr>
          <w:sz w:val="22"/>
          <w:szCs w:val="22"/>
          <w:lang w:eastAsia="en-US"/>
        </w:rPr>
        <w:t xml:space="preserve">renforcement des capacités des acteurs sur l’évaluation environnementale et sociale; </w:t>
      </w:r>
    </w:p>
    <w:p>
      <w:pPr>
        <w:pStyle w:val="style0"/>
        <w:numPr>
          <w:ilvl w:val="0"/>
          <w:numId w:val="5"/>
        </w:numPr>
        <w:ind w:left="360"/>
        <w:jc w:val="both"/>
        <w:rPr>
          <w:sz w:val="22"/>
          <w:szCs w:val="22"/>
          <w:lang w:eastAsia="en-US"/>
        </w:rPr>
      </w:pPr>
      <w:r>
        <w:rPr>
          <w:sz w:val="22"/>
          <w:szCs w:val="22"/>
          <w:lang w:eastAsia="en-US"/>
        </w:rPr>
        <w:t xml:space="preserve">application des mesures pour atténuer les effets de certaines activités ; </w:t>
      </w:r>
    </w:p>
    <w:p>
      <w:pPr>
        <w:pStyle w:val="style0"/>
        <w:numPr>
          <w:ilvl w:val="0"/>
          <w:numId w:val="5"/>
        </w:numPr>
        <w:ind w:left="360"/>
        <w:jc w:val="both"/>
        <w:rPr>
          <w:sz w:val="22"/>
          <w:szCs w:val="22"/>
          <w:lang w:eastAsia="en-US"/>
        </w:rPr>
      </w:pPr>
      <w:r>
        <w:rPr>
          <w:sz w:val="22"/>
          <w:szCs w:val="22"/>
          <w:lang w:eastAsia="en-US"/>
        </w:rPr>
        <w:t xml:space="preserve">implication des producteurs et des collectivités dans la gestion environnementale et sociale. </w:t>
      </w:r>
    </w:p>
    <w:p>
      <w:pPr>
        <w:pStyle w:val="style0"/>
        <w:jc w:val="both"/>
        <w:rPr>
          <w:sz w:val="23"/>
          <w:szCs w:val="23"/>
          <w:lang w:eastAsia="en-US"/>
        </w:rPr>
      </w:pPr>
    </w:p>
    <w:bookmarkStart w:id="1365" w:name="_Toc154815307"/>
    <w:bookmarkStart w:id="1366" w:name="_Toc211105131"/>
    <w:bookmarkStart w:id="1367" w:name="_Toc244267217"/>
    <w:bookmarkStart w:id="1368" w:name="_Toc536410723"/>
    <w:bookmarkStart w:id="1369" w:name="_Toc686127"/>
    <w:bookmarkStart w:id="1370" w:name="_Toc149018319"/>
    <w:p>
      <w:pPr>
        <w:pStyle w:val="style157"/>
        <w:rPr>
          <w:rFonts w:ascii="Times New Roman" w:hAnsi="Times New Roman"/>
          <w:b/>
          <w:lang w:val="fr-FR"/>
        </w:rPr>
      </w:pPr>
      <w:r>
        <w:rPr>
          <w:rFonts w:ascii="Times New Roman" w:hAnsi="Times New Roman"/>
          <w:b/>
          <w:lang w:val="fr-FR"/>
        </w:rPr>
        <w:t xml:space="preserve">7.4.1. </w:t>
      </w:r>
      <w:bookmarkEnd w:id="1365"/>
      <w:bookmarkEnd w:id="1366"/>
      <w:bookmarkEnd w:id="1367"/>
      <w:bookmarkEnd w:id="1368"/>
      <w:bookmarkEnd w:id="1369"/>
      <w:bookmarkEnd w:id="1370"/>
      <w:r>
        <w:rPr>
          <w:rFonts w:ascii="Times New Roman" w:hAnsi="Times New Roman"/>
          <w:b/>
          <w:lang w:val="fr-FR"/>
        </w:rPr>
        <w:t xml:space="preserve">Elaboration d’un manuel de bonnes pratiques de production et de gestion de l’eau </w:t>
      </w:r>
    </w:p>
    <w:p>
      <w:pPr>
        <w:pStyle w:val="style0"/>
        <w:autoSpaceDE w:val="false"/>
        <w:autoSpaceDN w:val="false"/>
        <w:adjustRightInd w:val="false"/>
        <w:jc w:val="both"/>
        <w:rPr>
          <w:sz w:val="22"/>
          <w:szCs w:val="22"/>
          <w:lang w:eastAsia="en-US"/>
        </w:rPr>
      </w:pPr>
      <w:r>
        <w:rPr>
          <w:sz w:val="22"/>
          <w:szCs w:val="22"/>
          <w:lang w:eastAsia="en-US"/>
        </w:rPr>
        <w:t>Dans le secteur agricole, les bonnes pratiques agricoles sont prises en compte dans le dispositif institutionnel au niveau du MAAH qui en assure la promotion et la diffusion.</w:t>
      </w:r>
    </w:p>
    <w:p>
      <w:pPr>
        <w:pStyle w:val="style0"/>
        <w:autoSpaceDE w:val="false"/>
        <w:autoSpaceDN w:val="false"/>
        <w:adjustRightInd w:val="false"/>
        <w:ind w:left="360"/>
        <w:jc w:val="both"/>
        <w:rPr>
          <w:sz w:val="22"/>
          <w:szCs w:val="22"/>
          <w:lang w:eastAsia="en-US"/>
        </w:rPr>
      </w:pPr>
    </w:p>
    <w:p>
      <w:pPr>
        <w:pStyle w:val="style0"/>
        <w:autoSpaceDE w:val="false"/>
        <w:autoSpaceDN w:val="false"/>
        <w:adjustRightInd w:val="false"/>
        <w:jc w:val="both"/>
        <w:rPr>
          <w:sz w:val="22"/>
          <w:szCs w:val="22"/>
          <w:lang w:eastAsia="en-US"/>
        </w:rPr>
      </w:pPr>
      <w:r>
        <w:rPr>
          <w:sz w:val="22"/>
          <w:szCs w:val="22"/>
          <w:lang w:eastAsia="en-US"/>
        </w:rPr>
        <w:t xml:space="preserve">La présente activité </w:t>
      </w:r>
      <w:r>
        <w:rPr>
          <w:sz w:val="22"/>
          <w:szCs w:val="22"/>
          <w:lang w:eastAsia="en-US"/>
        </w:rPr>
        <w:t>concerne la préparation de procédures de bonnes pratiques d</w:t>
      </w:r>
      <w:r>
        <w:rPr>
          <w:sz w:val="22"/>
          <w:szCs w:val="22"/>
          <w:lang w:eastAsia="en-US"/>
        </w:rPr>
        <w:t>e transformation agro-alimentaire</w:t>
      </w:r>
      <w:r>
        <w:rPr>
          <w:sz w:val="22"/>
          <w:szCs w:val="22"/>
          <w:lang w:eastAsia="en-US"/>
        </w:rPr>
        <w:t xml:space="preserve"> et de gestion des ressources en eau. Cela vise à garantir la mise en œuvre d’activités de production soucieuses de la préservation de l’environnement. Il s’agit entre autres </w:t>
      </w:r>
      <w:r>
        <w:rPr>
          <w:sz w:val="22"/>
          <w:szCs w:val="22"/>
          <w:lang w:eastAsia="en-US"/>
        </w:rPr>
        <w:t>du respect</w:t>
      </w:r>
      <w:r>
        <w:rPr>
          <w:sz w:val="22"/>
          <w:szCs w:val="22"/>
          <w:lang w:eastAsia="en-US"/>
        </w:rPr>
        <w:t xml:space="preserve"> des limites des exploitations par rapport aux berges, de la connaissance des pesticides homologués et de leur bon usage, de la gestion de leurs emballages, de la gestion des déchets d’</w:t>
      </w:r>
      <w:r>
        <w:rPr>
          <w:sz w:val="22"/>
          <w:szCs w:val="22"/>
          <w:lang w:eastAsia="en-US"/>
        </w:rPr>
        <w:t>activités de transformation</w:t>
      </w:r>
      <w:r>
        <w:rPr>
          <w:sz w:val="22"/>
          <w:szCs w:val="22"/>
          <w:lang w:eastAsia="en-US"/>
        </w:rPr>
        <w:t>, etc.</w:t>
      </w:r>
    </w:p>
    <w:bookmarkStart w:id="1371" w:name="_Toc147569068"/>
    <w:p>
      <w:pPr>
        <w:pStyle w:val="style0"/>
        <w:ind w:left="360"/>
        <w:jc w:val="both"/>
        <w:rPr>
          <w:sz w:val="23"/>
          <w:szCs w:val="23"/>
          <w:lang w:eastAsia="en-US"/>
        </w:rPr>
      </w:pPr>
    </w:p>
    <w:p>
      <w:pPr>
        <w:pStyle w:val="style157"/>
        <w:rPr>
          <w:rFonts w:ascii="Times New Roman" w:hAnsi="Times New Roman"/>
          <w:b/>
          <w:lang w:val="fr-FR"/>
        </w:rPr>
      </w:pPr>
      <w:r>
        <w:rPr>
          <w:rFonts w:ascii="Times New Roman" w:hAnsi="Times New Roman"/>
          <w:b/>
          <w:lang w:val="fr-FR"/>
        </w:rPr>
        <w:t>7.4.2.</w:t>
      </w:r>
      <w:bookmarkStart w:id="1372" w:name="_Toc244267219"/>
      <w:bookmarkEnd w:id="1371"/>
      <w:r>
        <w:rPr>
          <w:rFonts w:ascii="Times New Roman" w:hAnsi="Times New Roman"/>
          <w:b/>
          <w:lang w:val="fr-FR"/>
        </w:rPr>
        <w:t xml:space="preserve"> Formation</w:t>
      </w:r>
      <w:r>
        <w:rPr>
          <w:rFonts w:ascii="Times New Roman" w:hAnsi="Times New Roman"/>
          <w:b/>
          <w:lang w:val="fr-FR"/>
        </w:rPr>
        <w:t>s au profit</w:t>
      </w:r>
      <w:r>
        <w:rPr>
          <w:rFonts w:ascii="Times New Roman" w:hAnsi="Times New Roman"/>
          <w:b/>
          <w:lang w:val="fr-FR"/>
        </w:rPr>
        <w:t xml:space="preserve"> des acteurs impliqués dans la mise en œuvre du </w:t>
      </w:r>
      <w:bookmarkEnd w:id="1372"/>
      <w:r>
        <w:rPr>
          <w:rFonts w:ascii="Times New Roman" w:hAnsi="Times New Roman"/>
          <w:b/>
          <w:lang w:val="fr-FR"/>
        </w:rPr>
        <w:t>Programme</w:t>
      </w:r>
    </w:p>
    <w:p>
      <w:pPr>
        <w:pStyle w:val="style0"/>
        <w:jc w:val="both"/>
        <w:rPr>
          <w:bCs/>
          <w:sz w:val="22"/>
          <w:szCs w:val="22"/>
          <w:lang w:eastAsia="en-US"/>
        </w:rPr>
      </w:pPr>
      <w:r>
        <w:rPr>
          <w:sz w:val="22"/>
          <w:szCs w:val="22"/>
          <w:lang w:eastAsia="en-US"/>
        </w:rPr>
        <w:t>Afin d’assurer l’exécution d’activités</w:t>
      </w:r>
      <w:r>
        <w:rPr>
          <w:bCs/>
          <w:sz w:val="22"/>
          <w:szCs w:val="22"/>
          <w:lang w:eastAsia="en-US"/>
        </w:rPr>
        <w:t xml:space="preserve"> viables au double plan environnemental et social, les acteurs qui en ont la charge, doivent être outillés. C’est cette vision qui rend obligatoire la formation des membres de l’U</w:t>
      </w:r>
      <w:r>
        <w:rPr>
          <w:bCs/>
          <w:sz w:val="22"/>
          <w:szCs w:val="22"/>
          <w:lang w:eastAsia="en-US"/>
        </w:rPr>
        <w:t>N</w:t>
      </w:r>
      <w:r>
        <w:rPr>
          <w:bCs/>
          <w:sz w:val="22"/>
          <w:szCs w:val="22"/>
          <w:lang w:eastAsia="en-US"/>
        </w:rPr>
        <w:t>C</w:t>
      </w:r>
      <w:r>
        <w:rPr>
          <w:bCs/>
          <w:sz w:val="22"/>
          <w:szCs w:val="22"/>
          <w:lang w:eastAsia="en-US"/>
        </w:rPr>
        <w:t xml:space="preserve"> et des URC, les </w:t>
      </w:r>
      <w:r>
        <w:rPr>
          <w:bCs/>
          <w:sz w:val="22"/>
          <w:szCs w:val="22"/>
          <w:lang w:eastAsia="en-US"/>
        </w:rPr>
        <w:t xml:space="preserve">points focaux des </w:t>
      </w:r>
      <w:r>
        <w:rPr>
          <w:bCs/>
          <w:sz w:val="22"/>
          <w:szCs w:val="22"/>
          <w:lang w:eastAsia="en-US"/>
        </w:rPr>
        <w:t xml:space="preserve">directions générales impliquées ainsi que </w:t>
      </w:r>
      <w:r>
        <w:rPr>
          <w:bCs/>
          <w:sz w:val="22"/>
          <w:szCs w:val="22"/>
          <w:lang w:eastAsia="en-US"/>
        </w:rPr>
        <w:t xml:space="preserve">des agents des Services Techniques régionaux et locaux, sur les procédures et techniques de gestion environnementale et sociale des activités projetées.  </w:t>
      </w:r>
    </w:p>
    <w:p>
      <w:pPr>
        <w:pStyle w:val="style0"/>
        <w:jc w:val="both"/>
        <w:rPr>
          <w:sz w:val="22"/>
          <w:szCs w:val="22"/>
          <w:lang w:eastAsia="en-US"/>
        </w:rPr>
      </w:pPr>
    </w:p>
    <w:p>
      <w:pPr>
        <w:pStyle w:val="style0"/>
        <w:jc w:val="both"/>
        <w:rPr>
          <w:bCs/>
          <w:sz w:val="22"/>
          <w:szCs w:val="22"/>
          <w:lang w:eastAsia="en-US"/>
        </w:rPr>
      </w:pPr>
      <w:r>
        <w:rPr>
          <w:bCs/>
          <w:sz w:val="22"/>
          <w:szCs w:val="22"/>
          <w:lang w:eastAsia="en-US"/>
        </w:rPr>
        <w:t xml:space="preserve">Le but recherché est d’élargir la gestion environnementale et sociale des </w:t>
      </w:r>
      <w:r>
        <w:rPr>
          <w:bCs/>
          <w:sz w:val="22"/>
          <w:szCs w:val="22"/>
          <w:lang w:eastAsia="en-US"/>
        </w:rPr>
        <w:t>sous</w:t>
      </w:r>
      <w:r>
        <w:rPr>
          <w:bCs/>
          <w:sz w:val="22"/>
          <w:szCs w:val="22"/>
          <w:lang w:eastAsia="en-US"/>
        </w:rPr>
        <w:t xml:space="preserve">-projets à l’ensemble des acteurs intervenant d’une manière ou d’une autre dans leur mise en œuvre. Il s’agit entre autres des répondants du </w:t>
      </w:r>
      <w:r>
        <w:rPr>
          <w:bCs/>
          <w:sz w:val="22"/>
          <w:szCs w:val="22"/>
          <w:lang w:eastAsia="en-US"/>
        </w:rPr>
        <w:t xml:space="preserve">Programme </w:t>
      </w:r>
      <w:r>
        <w:rPr>
          <w:bCs/>
          <w:sz w:val="22"/>
          <w:szCs w:val="22"/>
          <w:lang w:eastAsia="en-US"/>
        </w:rPr>
        <w:t xml:space="preserve">au sein des départements ministériels (MAAH, MEA, MRAH, </w:t>
      </w:r>
      <w:r>
        <w:rPr>
          <w:bCs/>
          <w:sz w:val="22"/>
          <w:szCs w:val="22"/>
          <w:lang w:eastAsia="en-US"/>
        </w:rPr>
        <w:t xml:space="preserve">MI, </w:t>
      </w:r>
      <w:r>
        <w:rPr>
          <w:bCs/>
          <w:sz w:val="22"/>
          <w:szCs w:val="22"/>
          <w:lang w:eastAsia="en-US"/>
        </w:rPr>
        <w:t>MEVCC</w:t>
      </w:r>
      <w:r>
        <w:rPr>
          <w:bCs/>
          <w:sz w:val="22"/>
          <w:szCs w:val="22"/>
          <w:lang w:eastAsia="en-US"/>
        </w:rPr>
        <w:t>, etc.</w:t>
      </w:r>
      <w:r>
        <w:rPr>
          <w:bCs/>
          <w:sz w:val="22"/>
          <w:szCs w:val="22"/>
          <w:lang w:eastAsia="en-US"/>
        </w:rPr>
        <w:t xml:space="preserve">), des Organisations des Producteurs, des </w:t>
      </w:r>
      <w:r>
        <w:rPr>
          <w:bCs/>
          <w:sz w:val="22"/>
          <w:szCs w:val="22"/>
          <w:lang w:eastAsia="en-US"/>
        </w:rPr>
        <w:t>responsables administratifs locaux,</w:t>
      </w:r>
      <w:r>
        <w:rPr>
          <w:bCs/>
          <w:sz w:val="22"/>
          <w:szCs w:val="22"/>
          <w:lang w:eastAsia="en-US"/>
        </w:rPr>
        <w:t xml:space="preserve"> etc. A terme, cette approche permettra la prise en compte effective et par tous les maillons de la chaine, la gestion environnementale et sociale des activités du </w:t>
      </w:r>
      <w:r>
        <w:rPr>
          <w:bCs/>
          <w:sz w:val="22"/>
          <w:szCs w:val="22"/>
          <w:lang w:eastAsia="en-US"/>
        </w:rPr>
        <w:t>Programme</w:t>
      </w:r>
      <w:r>
        <w:rPr>
          <w:bCs/>
          <w:sz w:val="22"/>
          <w:szCs w:val="22"/>
          <w:lang w:eastAsia="en-US"/>
        </w:rPr>
        <w:t>, gage d’un développement durable.</w:t>
      </w:r>
    </w:p>
    <w:p>
      <w:pPr>
        <w:pStyle w:val="style0"/>
        <w:jc w:val="both"/>
        <w:rPr>
          <w:bCs/>
          <w:sz w:val="22"/>
          <w:szCs w:val="22"/>
          <w:lang w:eastAsia="en-US"/>
        </w:rPr>
      </w:pPr>
    </w:p>
    <w:p>
      <w:pPr>
        <w:pStyle w:val="style0"/>
        <w:jc w:val="both"/>
        <w:rPr>
          <w:bCs/>
          <w:sz w:val="22"/>
          <w:szCs w:val="22"/>
          <w:lang w:eastAsia="en-US"/>
        </w:rPr>
      </w:pPr>
      <w:r>
        <w:rPr>
          <w:bCs/>
          <w:sz w:val="22"/>
          <w:szCs w:val="22"/>
          <w:lang w:eastAsia="en-US"/>
        </w:rPr>
        <w:t>Les projets et programmes en préparation ou en cours d’exécution dans les zones d’intervention seront associés à cette démarche en vue de fédérer les énergies pour l’atteinte de résultats probants du point de vue environnemental et social dans l’exécution des activités.</w:t>
      </w:r>
    </w:p>
    <w:p>
      <w:pPr>
        <w:pStyle w:val="style0"/>
        <w:jc w:val="both"/>
        <w:rPr>
          <w:bCs/>
          <w:sz w:val="22"/>
          <w:szCs w:val="22"/>
          <w:lang w:eastAsia="en-US"/>
        </w:rPr>
      </w:pPr>
    </w:p>
    <w:p>
      <w:pPr>
        <w:pStyle w:val="style0"/>
        <w:jc w:val="both"/>
        <w:rPr>
          <w:bCs/>
          <w:sz w:val="22"/>
          <w:szCs w:val="22"/>
          <w:lang w:eastAsia="en-US"/>
        </w:rPr>
      </w:pPr>
      <w:r>
        <w:rPr>
          <w:bCs/>
          <w:sz w:val="22"/>
          <w:szCs w:val="22"/>
          <w:lang w:eastAsia="en-US"/>
        </w:rPr>
        <w:t xml:space="preserve">Le programme de renforcement des capacités vise à amener les différents acteurs impliqués à mieux s’acquitter de leurs missions d’assistance, de conseil, de contrôle et de suivi de la mise en œuvre des activités du </w:t>
      </w:r>
      <w:r>
        <w:rPr>
          <w:sz w:val="22"/>
          <w:szCs w:val="22"/>
          <w:lang w:eastAsia="en-US"/>
        </w:rPr>
        <w:t>projet</w:t>
      </w:r>
      <w:r>
        <w:rPr>
          <w:bCs/>
          <w:sz w:val="22"/>
          <w:szCs w:val="22"/>
          <w:lang w:eastAsia="en-US"/>
        </w:rPr>
        <w:t xml:space="preserve">. Les thèmes développés auront trait au respect de l’environnement, à la gestion durable des ressources en eau, à la conduite d’activités d’irrigation, d’exploitation de vergers en phase avec la sauvegarde de l’environnement. Ils s’intéresseront également à l’hygiène, la sécurité, la santé, etc. A ceci, se greffera un système de suivi-évaluation et d’outils efficaces de collecte et de traitement de l’information indispensable à la gestion environnementale et sociale du programme. </w:t>
      </w:r>
    </w:p>
    <w:p>
      <w:pPr>
        <w:pStyle w:val="style0"/>
        <w:jc w:val="both"/>
        <w:rPr>
          <w:bCs/>
          <w:sz w:val="22"/>
          <w:szCs w:val="22"/>
          <w:lang w:eastAsia="en-US"/>
        </w:rPr>
      </w:pPr>
    </w:p>
    <w:p>
      <w:pPr>
        <w:pStyle w:val="style0"/>
        <w:jc w:val="both"/>
        <w:rPr>
          <w:bCs/>
          <w:sz w:val="22"/>
          <w:szCs w:val="22"/>
          <w:lang w:eastAsia="en-US"/>
        </w:rPr>
      </w:pPr>
      <w:r>
        <w:rPr>
          <w:bCs/>
          <w:sz w:val="22"/>
          <w:szCs w:val="22"/>
          <w:lang w:eastAsia="en-US"/>
        </w:rPr>
        <w:t xml:space="preserve">Afin donc d’atteindre ces objectifs, il peut être envisagé la tenue </w:t>
      </w:r>
      <w:r>
        <w:rPr>
          <w:bCs/>
          <w:sz w:val="22"/>
          <w:szCs w:val="22"/>
          <w:lang w:eastAsia="en-US"/>
        </w:rPr>
        <w:t>des ateliers de formation comme suit :</w:t>
      </w:r>
      <w:r>
        <w:rPr>
          <w:bCs/>
          <w:sz w:val="22"/>
          <w:szCs w:val="22"/>
          <w:lang w:eastAsia="en-US"/>
        </w:rPr>
        <w:t xml:space="preserve"> i) </w:t>
      </w:r>
      <w:r>
        <w:rPr>
          <w:bCs/>
          <w:sz w:val="22"/>
          <w:szCs w:val="22"/>
          <w:lang w:eastAsia="en-US"/>
        </w:rPr>
        <w:t xml:space="preserve">un </w:t>
      </w:r>
      <w:r>
        <w:rPr>
          <w:bCs/>
          <w:sz w:val="22"/>
          <w:szCs w:val="22"/>
          <w:lang w:eastAsia="en-US"/>
        </w:rPr>
        <w:t xml:space="preserve">(1) </w:t>
      </w:r>
      <w:r>
        <w:rPr>
          <w:bCs/>
          <w:sz w:val="22"/>
          <w:szCs w:val="22"/>
          <w:lang w:eastAsia="en-US"/>
        </w:rPr>
        <w:t xml:space="preserve">atelier national et de </w:t>
      </w:r>
      <w:r>
        <w:rPr>
          <w:bCs/>
          <w:sz w:val="22"/>
          <w:szCs w:val="22"/>
          <w:lang w:eastAsia="en-US"/>
        </w:rPr>
        <w:t xml:space="preserve">ii) </w:t>
      </w:r>
      <w:r>
        <w:rPr>
          <w:bCs/>
          <w:sz w:val="22"/>
          <w:szCs w:val="22"/>
          <w:lang w:eastAsia="en-US"/>
        </w:rPr>
        <w:t>quatre</w:t>
      </w:r>
      <w:r>
        <w:rPr>
          <w:bCs/>
          <w:sz w:val="22"/>
          <w:szCs w:val="22"/>
          <w:lang w:eastAsia="en-US"/>
        </w:rPr>
        <w:t xml:space="preserve"> </w:t>
      </w:r>
      <w:r>
        <w:rPr>
          <w:bCs/>
          <w:sz w:val="22"/>
          <w:szCs w:val="22"/>
          <w:lang w:eastAsia="en-US"/>
        </w:rPr>
        <w:t>(4</w:t>
      </w:r>
      <w:r>
        <w:rPr>
          <w:bCs/>
          <w:sz w:val="22"/>
          <w:szCs w:val="22"/>
          <w:lang w:eastAsia="en-US"/>
        </w:rPr>
        <w:t xml:space="preserve">) ateliers régionaux </w:t>
      </w:r>
      <w:r>
        <w:rPr>
          <w:bCs/>
          <w:sz w:val="22"/>
          <w:szCs w:val="22"/>
          <w:lang w:eastAsia="en-US"/>
        </w:rPr>
        <w:t>soit</w:t>
      </w:r>
      <w:r>
        <w:rPr>
          <w:bCs/>
          <w:sz w:val="22"/>
          <w:szCs w:val="22"/>
          <w:lang w:eastAsia="en-US"/>
        </w:rPr>
        <w:t xml:space="preserve"> un atelier p</w:t>
      </w:r>
      <w:r>
        <w:rPr>
          <w:bCs/>
          <w:sz w:val="22"/>
          <w:szCs w:val="22"/>
          <w:lang w:eastAsia="en-US"/>
        </w:rPr>
        <w:t>ar région (</w:t>
      </w:r>
      <w:r>
        <w:rPr>
          <w:bCs/>
          <w:sz w:val="22"/>
          <w:szCs w:val="22"/>
          <w:lang w:eastAsia="en-US"/>
        </w:rPr>
        <w:t>Cascades, Hauts-Bassins</w:t>
      </w:r>
      <w:r>
        <w:rPr>
          <w:bCs/>
          <w:sz w:val="22"/>
          <w:szCs w:val="22"/>
          <w:lang w:eastAsia="en-US"/>
        </w:rPr>
        <w:t xml:space="preserve">, </w:t>
      </w:r>
      <w:r>
        <w:rPr>
          <w:bCs/>
          <w:sz w:val="22"/>
          <w:szCs w:val="22"/>
          <w:lang w:eastAsia="en-US"/>
        </w:rPr>
        <w:t>Boucle du Mouhou</w:t>
      </w:r>
      <w:r>
        <w:rPr>
          <w:bCs/>
          <w:sz w:val="22"/>
          <w:szCs w:val="22"/>
          <w:lang w:eastAsia="en-US"/>
        </w:rPr>
        <w:t>n et du Nord</w:t>
      </w:r>
      <w:r>
        <w:rPr>
          <w:bCs/>
          <w:sz w:val="22"/>
          <w:szCs w:val="22"/>
          <w:lang w:eastAsia="en-US"/>
        </w:rPr>
        <w:t>)</w:t>
      </w:r>
      <w:r>
        <w:rPr>
          <w:bCs/>
          <w:sz w:val="22"/>
          <w:szCs w:val="22"/>
          <w:lang w:eastAsia="en-US"/>
        </w:rPr>
        <w:t>.</w:t>
      </w:r>
    </w:p>
    <w:p>
      <w:pPr>
        <w:pStyle w:val="style0"/>
        <w:jc w:val="both"/>
        <w:rPr>
          <w:bCs/>
          <w:sz w:val="22"/>
          <w:szCs w:val="22"/>
          <w:lang w:eastAsia="en-US"/>
        </w:rPr>
      </w:pPr>
    </w:p>
    <w:p>
      <w:pPr>
        <w:pStyle w:val="style0"/>
        <w:jc w:val="both"/>
        <w:rPr>
          <w:bCs/>
          <w:sz w:val="22"/>
          <w:szCs w:val="22"/>
          <w:lang w:eastAsia="en-US"/>
        </w:rPr>
      </w:pPr>
      <w:r>
        <w:rPr>
          <w:bCs/>
          <w:sz w:val="22"/>
          <w:szCs w:val="22"/>
          <w:lang w:eastAsia="en-US"/>
        </w:rPr>
        <w:t>Ces ateliers visent à partager le contenu du CGES, les</w:t>
      </w:r>
      <w:r>
        <w:rPr>
          <w:sz w:val="22"/>
          <w:szCs w:val="22"/>
          <w:lang w:eastAsia="en-US"/>
        </w:rPr>
        <w:t xml:space="preserve"> responsabilités de la mise en œuvre et le mode opératoire de la sélection environnementale. Les acteurs visés sont issus des</w:t>
      </w:r>
      <w:r>
        <w:rPr>
          <w:bCs/>
          <w:sz w:val="22"/>
          <w:szCs w:val="22"/>
          <w:lang w:eastAsia="en-US"/>
        </w:rPr>
        <w:t xml:space="preserve"> </w:t>
      </w:r>
      <w:r>
        <w:rPr>
          <w:sz w:val="22"/>
          <w:szCs w:val="22"/>
          <w:lang w:eastAsia="en-US"/>
        </w:rPr>
        <w:t>structures nationales, régionales, provinciales et locales impliquées dans le suivi</w:t>
      </w:r>
      <w:r>
        <w:rPr>
          <w:bCs/>
          <w:sz w:val="22"/>
          <w:szCs w:val="22"/>
          <w:lang w:eastAsia="en-US"/>
        </w:rPr>
        <w:t xml:space="preserve"> des </w:t>
      </w:r>
      <w:r>
        <w:rPr>
          <w:bCs/>
          <w:sz w:val="22"/>
          <w:szCs w:val="22"/>
          <w:lang w:eastAsia="en-US"/>
        </w:rPr>
        <w:t>sous</w:t>
      </w:r>
      <w:r>
        <w:rPr>
          <w:bCs/>
          <w:sz w:val="22"/>
          <w:szCs w:val="22"/>
          <w:lang w:eastAsia="en-US"/>
        </w:rPr>
        <w:t>-projets. A cette occasion, les thématiques à aborder peuvent être les suivantes :</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les enjeux environnementaux et sociaux des activités agricoles, pastorales et arboricoles</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les procédures d’évaluation environnementale ;</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l’hygiène et la sécurité liées aux activités du projet ;</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les réglementations environnementales qui encadrent la mise en œuvre des activités ;</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les directives de la Banque mondiale ;</w:t>
      </w:r>
    </w:p>
    <w:p>
      <w:pPr>
        <w:pStyle w:val="style0"/>
        <w:widowControl w:val="false"/>
        <w:numPr>
          <w:ilvl w:val="0"/>
          <w:numId w:val="141"/>
        </w:numPr>
        <w:adjustRightInd w:val="false"/>
        <w:ind w:left="360"/>
        <w:jc w:val="both"/>
        <w:textAlignment w:val="baseline"/>
        <w:rPr>
          <w:sz w:val="22"/>
          <w:szCs w:val="22"/>
          <w:lang w:eastAsia="en-US"/>
        </w:rPr>
      </w:pPr>
      <w:r>
        <w:rPr>
          <w:sz w:val="22"/>
          <w:szCs w:val="22"/>
          <w:lang w:eastAsia="en-US"/>
        </w:rPr>
        <w:t>les méthodes d'évaluation environnementale.</w:t>
      </w:r>
    </w:p>
    <w:p>
      <w:pPr>
        <w:pStyle w:val="style0"/>
        <w:widowControl w:val="false"/>
        <w:adjustRightInd w:val="false"/>
        <w:jc w:val="both"/>
        <w:textAlignment w:val="baseline"/>
        <w:rPr>
          <w:sz w:val="23"/>
          <w:szCs w:val="23"/>
          <w:lang w:eastAsia="en-US"/>
        </w:rPr>
      </w:pPr>
    </w:p>
    <w:p>
      <w:pPr>
        <w:pStyle w:val="style0"/>
        <w:widowControl w:val="false"/>
        <w:adjustRightInd w:val="false"/>
        <w:jc w:val="both"/>
        <w:textAlignment w:val="baseline"/>
        <w:rPr>
          <w:sz w:val="22"/>
          <w:szCs w:val="22"/>
          <w:lang w:eastAsia="en-US"/>
        </w:rPr>
      </w:pPr>
      <w:r>
        <w:rPr>
          <w:sz w:val="22"/>
          <w:szCs w:val="22"/>
          <w:lang w:eastAsia="en-US"/>
        </w:rPr>
        <w:t xml:space="preserve">Les détails sur les </w:t>
      </w:r>
      <w:r>
        <w:rPr>
          <w:sz w:val="22"/>
          <w:szCs w:val="22"/>
          <w:lang w:eastAsia="en-US"/>
        </w:rPr>
        <w:t>thèmes</w:t>
      </w:r>
      <w:r>
        <w:rPr>
          <w:sz w:val="22"/>
          <w:szCs w:val="22"/>
          <w:lang w:eastAsia="en-US"/>
        </w:rPr>
        <w:t xml:space="preserve"> des formations retenues</w:t>
      </w:r>
      <w:r>
        <w:rPr>
          <w:sz w:val="22"/>
          <w:szCs w:val="22"/>
          <w:lang w:eastAsia="en-US"/>
        </w:rPr>
        <w:t xml:space="preserve"> </w:t>
      </w:r>
      <w:r>
        <w:rPr>
          <w:sz w:val="22"/>
          <w:szCs w:val="22"/>
          <w:lang w:eastAsia="en-US"/>
        </w:rPr>
        <w:t>et qui feront</w:t>
      </w:r>
      <w:r>
        <w:rPr>
          <w:sz w:val="22"/>
          <w:szCs w:val="22"/>
          <w:lang w:eastAsia="en-US"/>
        </w:rPr>
        <w:t xml:space="preserve"> l’objet de développement comme modules de formation</w:t>
      </w:r>
      <w:r>
        <w:rPr>
          <w:sz w:val="22"/>
          <w:szCs w:val="22"/>
          <w:lang w:eastAsia="en-US"/>
        </w:rPr>
        <w:t xml:space="preserve"> sont décrits ci-dessus :</w:t>
      </w:r>
    </w:p>
    <w:p>
      <w:pPr>
        <w:pStyle w:val="style0"/>
        <w:autoSpaceDE w:val="false"/>
        <w:autoSpaceDN w:val="false"/>
        <w:adjustRightInd w:val="false"/>
        <w:jc w:val="center"/>
        <w:rPr>
          <w:sz w:val="23"/>
          <w:szCs w:val="23"/>
          <w:lang w:eastAsia="en-US"/>
        </w:rPr>
      </w:pPr>
      <w:r>
        <w:rPr>
          <w:sz w:val="23"/>
          <w:szCs w:val="23"/>
          <w:lang w:eastAsia="en-US"/>
        </w:rPr>
        <w:t xml:space="preserve"> </w:t>
      </w:r>
    </w:p>
    <w:p>
      <w:pPr>
        <w:pStyle w:val="style157"/>
        <w:numPr>
          <w:ilvl w:val="0"/>
          <w:numId w:val="24"/>
        </w:numPr>
        <w:rPr>
          <w:rFonts w:ascii="Times New Roman" w:hAnsi="Times New Roman"/>
          <w:b/>
          <w:lang w:val="fr-FR"/>
        </w:rPr>
      </w:pPr>
      <w:r>
        <w:rPr>
          <w:rFonts w:ascii="Times New Roman" w:hAnsi="Times New Roman"/>
          <w:b/>
          <w:lang w:val="fr-FR"/>
        </w:rPr>
        <w:t>Formation sur les évaluations environnementales et sociales</w:t>
      </w:r>
    </w:p>
    <w:p>
      <w:pPr>
        <w:pStyle w:val="style0"/>
        <w:numPr>
          <w:ilvl w:val="0"/>
          <w:numId w:val="32"/>
        </w:numPr>
        <w:autoSpaceDE w:val="false"/>
        <w:autoSpaceDN w:val="false"/>
        <w:adjustRightInd w:val="false"/>
        <w:jc w:val="both"/>
        <w:rPr>
          <w:sz w:val="22"/>
          <w:szCs w:val="22"/>
          <w:lang w:eastAsia="en-US"/>
        </w:rPr>
      </w:pPr>
      <w:r>
        <w:rPr>
          <w:sz w:val="22"/>
          <w:szCs w:val="22"/>
          <w:lang w:eastAsia="en-US"/>
        </w:rPr>
        <w:t>Bonne connaissance des procédures d’organisation et de conduite des EIES/NIES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Bonne appréciation de la méthodologie d’élaboration des EIES/NIES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Appréciation objective du contenu des rapports d’EIES/NIES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Connaissance des procédures environnementales et sociales de la Banque mondiale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Utilisation des rapports d’EIES/NIES dans l’appréciation de la situation de référence, des résultats et des impacts des activités du projet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Connaissance du processus de suivi de la mise en œuvre des EIES/NIES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Intégration du genre dans les activités de développement rural.</w:t>
      </w:r>
    </w:p>
    <w:p>
      <w:pPr>
        <w:pStyle w:val="style0"/>
        <w:autoSpaceDE w:val="false"/>
        <w:autoSpaceDN w:val="false"/>
        <w:adjustRightInd w:val="false"/>
        <w:jc w:val="both"/>
        <w:rPr>
          <w:sz w:val="22"/>
          <w:szCs w:val="22"/>
          <w:lang w:eastAsia="en-US"/>
        </w:rPr>
      </w:pPr>
    </w:p>
    <w:p>
      <w:pPr>
        <w:pStyle w:val="style157"/>
        <w:numPr>
          <w:ilvl w:val="0"/>
          <w:numId w:val="24"/>
        </w:numPr>
        <w:rPr>
          <w:rFonts w:ascii="Times New Roman" w:hAnsi="Times New Roman"/>
          <w:b/>
          <w:lang w:val="fr-FR"/>
        </w:rPr>
      </w:pPr>
      <w:r>
        <w:rPr>
          <w:rFonts w:ascii="Times New Roman" w:hAnsi="Times New Roman"/>
          <w:b/>
          <w:lang w:val="fr-FR"/>
        </w:rPr>
        <w:t>Formation sur le suivi environnemental et social</w:t>
      </w:r>
    </w:p>
    <w:p>
      <w:pPr>
        <w:pStyle w:val="style0"/>
        <w:numPr>
          <w:ilvl w:val="0"/>
          <w:numId w:val="1"/>
        </w:numPr>
        <w:ind w:right="-154"/>
        <w:jc w:val="both"/>
        <w:rPr>
          <w:sz w:val="22"/>
          <w:szCs w:val="22"/>
          <w:lang w:eastAsia="en-US"/>
        </w:rPr>
      </w:pPr>
      <w:r>
        <w:rPr>
          <w:sz w:val="22"/>
          <w:szCs w:val="22"/>
          <w:lang w:eastAsia="en-US"/>
        </w:rPr>
        <w:t>Comment vérifier l’introduction dans les contrats de l’entrepreneur chargé des travaux des clauses environnementales et vérifier la conformité de ces dites clauses ;</w:t>
      </w:r>
    </w:p>
    <w:p>
      <w:pPr>
        <w:pStyle w:val="style0"/>
        <w:numPr>
          <w:ilvl w:val="0"/>
          <w:numId w:val="1"/>
        </w:numPr>
        <w:ind w:right="-154"/>
        <w:jc w:val="both"/>
        <w:rPr>
          <w:sz w:val="22"/>
          <w:szCs w:val="22"/>
          <w:lang w:eastAsia="en-US"/>
        </w:rPr>
      </w:pPr>
      <w:r>
        <w:rPr>
          <w:sz w:val="22"/>
          <w:szCs w:val="22"/>
          <w:lang w:eastAsia="en-US"/>
        </w:rPr>
        <w:t>Comment faire respecter et appliquer les lois et règlements sur l’environnement;</w:t>
      </w:r>
    </w:p>
    <w:p>
      <w:pPr>
        <w:pStyle w:val="style0"/>
        <w:numPr>
          <w:ilvl w:val="0"/>
          <w:numId w:val="1"/>
        </w:numPr>
        <w:ind w:right="-154"/>
        <w:jc w:val="both"/>
        <w:rPr>
          <w:sz w:val="22"/>
          <w:szCs w:val="22"/>
          <w:lang w:eastAsia="en-US"/>
        </w:rPr>
      </w:pPr>
      <w:r>
        <w:rPr>
          <w:sz w:val="22"/>
          <w:szCs w:val="22"/>
          <w:lang w:eastAsia="en-US"/>
        </w:rPr>
        <w:t>Comment recommander des mesures appropriées en vue de minimiser les impacts ;</w:t>
      </w:r>
    </w:p>
    <w:p>
      <w:pPr>
        <w:pStyle w:val="style0"/>
        <w:numPr>
          <w:ilvl w:val="0"/>
          <w:numId w:val="1"/>
        </w:numPr>
        <w:ind w:right="-154"/>
        <w:jc w:val="both"/>
        <w:rPr>
          <w:sz w:val="22"/>
          <w:szCs w:val="22"/>
          <w:lang w:eastAsia="en-US"/>
        </w:rPr>
      </w:pPr>
      <w:r>
        <w:rPr>
          <w:sz w:val="22"/>
          <w:szCs w:val="22"/>
          <w:lang w:eastAsia="en-US"/>
        </w:rPr>
        <w:t>Comment faire le point sur le suivi général des recommandations émises dans l’étude d’impact ;</w:t>
      </w:r>
    </w:p>
    <w:p>
      <w:pPr>
        <w:pStyle w:val="style0"/>
        <w:numPr>
          <w:ilvl w:val="0"/>
          <w:numId w:val="1"/>
        </w:numPr>
        <w:ind w:right="-154"/>
        <w:jc w:val="both"/>
        <w:rPr>
          <w:sz w:val="22"/>
          <w:szCs w:val="22"/>
          <w:lang w:eastAsia="en-US"/>
        </w:rPr>
      </w:pPr>
      <w:r>
        <w:rPr>
          <w:sz w:val="22"/>
          <w:szCs w:val="22"/>
          <w:lang w:eastAsia="en-US"/>
        </w:rPr>
        <w:t>Comment s’assurer de l’effectivité de la mise en œuvre des actions de sensibilisation des populations sur la protection et la gestion de l’environnement ;</w:t>
      </w:r>
    </w:p>
    <w:p>
      <w:pPr>
        <w:pStyle w:val="style0"/>
        <w:numPr>
          <w:ilvl w:val="0"/>
          <w:numId w:val="1"/>
        </w:numPr>
        <w:ind w:right="-154"/>
        <w:jc w:val="both"/>
        <w:rPr>
          <w:sz w:val="22"/>
          <w:szCs w:val="22"/>
          <w:lang w:eastAsia="en-US"/>
        </w:rPr>
      </w:pPr>
      <w:r>
        <w:rPr>
          <w:sz w:val="22"/>
          <w:szCs w:val="22"/>
          <w:lang w:eastAsia="en-US"/>
        </w:rPr>
        <w:t>Comment s’assurer de l’effectivité de la prise en compte du genre.</w:t>
      </w:r>
    </w:p>
    <w:p>
      <w:pPr>
        <w:pStyle w:val="style0"/>
        <w:autoSpaceDE w:val="false"/>
        <w:autoSpaceDN w:val="false"/>
        <w:adjustRightInd w:val="false"/>
        <w:jc w:val="both"/>
        <w:rPr>
          <w:sz w:val="22"/>
          <w:szCs w:val="22"/>
          <w:lang w:eastAsia="en-US"/>
        </w:rPr>
      </w:pPr>
    </w:p>
    <w:p>
      <w:pPr>
        <w:pStyle w:val="style157"/>
        <w:numPr>
          <w:ilvl w:val="0"/>
          <w:numId w:val="24"/>
        </w:numPr>
        <w:rPr>
          <w:rFonts w:ascii="Times New Roman" w:hAnsi="Times New Roman"/>
          <w:b/>
          <w:lang w:val="fr-FR"/>
        </w:rPr>
      </w:pPr>
      <w:r>
        <w:rPr>
          <w:rFonts w:ascii="Times New Roman" w:hAnsi="Times New Roman"/>
          <w:b/>
          <w:lang w:val="fr-FR"/>
        </w:rPr>
        <w:t>Formation sur la gestion des ressources naturelles et de l’environnement (GRNE)</w:t>
      </w:r>
    </w:p>
    <w:p>
      <w:pPr>
        <w:pStyle w:val="style0"/>
        <w:numPr>
          <w:ilvl w:val="0"/>
          <w:numId w:val="32"/>
        </w:numPr>
        <w:autoSpaceDE w:val="false"/>
        <w:autoSpaceDN w:val="false"/>
        <w:adjustRightInd w:val="false"/>
        <w:jc w:val="both"/>
        <w:rPr>
          <w:sz w:val="22"/>
          <w:szCs w:val="22"/>
          <w:lang w:eastAsia="en-US"/>
        </w:rPr>
      </w:pPr>
      <w:r>
        <w:rPr>
          <w:sz w:val="22"/>
          <w:szCs w:val="22"/>
          <w:lang w:eastAsia="en-US"/>
        </w:rPr>
        <w:t>Bonne connaissance des objectifs de la GRNE dans le cadre d’un développement durable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Bonne identification de la situation de référence, des contraintes et atouts d’une bonne GRNE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Meilleure connaissance des principes, techniques et outils de conservation durable des ressources naturelles ;</w:t>
      </w:r>
    </w:p>
    <w:p>
      <w:pPr>
        <w:pStyle w:val="style0"/>
        <w:numPr>
          <w:ilvl w:val="0"/>
          <w:numId w:val="32"/>
        </w:numPr>
        <w:autoSpaceDE w:val="false"/>
        <w:autoSpaceDN w:val="false"/>
        <w:adjustRightInd w:val="false"/>
        <w:jc w:val="both"/>
        <w:rPr>
          <w:sz w:val="22"/>
          <w:szCs w:val="22"/>
          <w:lang w:eastAsia="en-US"/>
        </w:rPr>
      </w:pPr>
      <w:r>
        <w:rPr>
          <w:sz w:val="22"/>
          <w:szCs w:val="22"/>
          <w:lang w:eastAsia="en-US"/>
        </w:rPr>
        <w:t>Elaboration d’indicateurs de suivi/évaluation des activités de GRNE.</w:t>
      </w:r>
    </w:p>
    <w:p>
      <w:pPr>
        <w:pStyle w:val="style0"/>
        <w:autoSpaceDE w:val="false"/>
        <w:autoSpaceDN w:val="false"/>
        <w:adjustRightInd w:val="false"/>
        <w:jc w:val="both"/>
        <w:rPr>
          <w:sz w:val="22"/>
          <w:szCs w:val="22"/>
          <w:lang w:eastAsia="en-US"/>
        </w:rPr>
      </w:pPr>
    </w:p>
    <w:bookmarkStart w:id="1373" w:name="_Toc244267220"/>
    <w:p>
      <w:pPr>
        <w:pStyle w:val="style157"/>
        <w:rPr>
          <w:rFonts w:ascii="Times New Roman" w:hAnsi="Times New Roman"/>
          <w:b/>
          <w:lang w:val="fr-FR"/>
        </w:rPr>
      </w:pPr>
      <w:r>
        <w:rPr>
          <w:bCs/>
          <w:sz w:val="23"/>
          <w:szCs w:val="23"/>
          <w:u w:val="single"/>
          <w:lang w:val="fr-FR"/>
        </w:rPr>
        <w:br w:type="page"/>
      </w:r>
      <w:r>
        <w:rPr>
          <w:rFonts w:ascii="Times New Roman" w:hAnsi="Times New Roman"/>
          <w:b/>
          <w:lang w:val="fr-FR"/>
        </w:rPr>
        <w:t>7.4.3.</w:t>
      </w:r>
      <w:r>
        <w:rPr>
          <w:rFonts w:ascii="Times New Roman" w:hAnsi="Times New Roman"/>
          <w:b/>
          <w:lang w:val="fr-FR"/>
        </w:rPr>
        <w:t xml:space="preserve"> </w:t>
      </w:r>
      <w:r>
        <w:rPr>
          <w:rFonts w:ascii="Times New Roman" w:hAnsi="Times New Roman"/>
          <w:b/>
          <w:lang w:val="fr-FR"/>
        </w:rPr>
        <w:t>Programme</w:t>
      </w:r>
      <w:r>
        <w:rPr>
          <w:rFonts w:ascii="Times New Roman" w:hAnsi="Times New Roman"/>
          <w:b/>
          <w:lang w:val="fr-FR"/>
        </w:rPr>
        <w:t xml:space="preserve"> de sensibilisation et de mobilisation</w:t>
      </w:r>
      <w:bookmarkEnd w:id="1373"/>
      <w:r>
        <w:rPr>
          <w:rFonts w:ascii="Times New Roman" w:hAnsi="Times New Roman"/>
          <w:b/>
          <w:lang w:val="fr-FR"/>
        </w:rPr>
        <w:t xml:space="preserve"> </w:t>
      </w:r>
    </w:p>
    <w:p>
      <w:pPr>
        <w:pStyle w:val="style0"/>
        <w:jc w:val="both"/>
        <w:rPr>
          <w:sz w:val="23"/>
          <w:szCs w:val="23"/>
          <w:lang w:eastAsia="en-US"/>
        </w:rPr>
      </w:pPr>
      <w:r>
        <w:rPr>
          <w:sz w:val="23"/>
          <w:szCs w:val="23"/>
          <w:lang w:eastAsia="en-US"/>
        </w:rPr>
        <w:t xml:space="preserve">Dans le but d’impliquer véritablement les collectivités territoriales et les </w:t>
      </w:r>
      <w:r>
        <w:rPr>
          <w:sz w:val="23"/>
          <w:szCs w:val="23"/>
          <w:lang w:eastAsia="en-US"/>
        </w:rPr>
        <w:t>opérateurs privés (coopératives et groupements de producteurs)</w:t>
      </w:r>
      <w:r>
        <w:rPr>
          <w:sz w:val="23"/>
          <w:szCs w:val="23"/>
          <w:lang w:eastAsia="en-US"/>
        </w:rPr>
        <w:t>, l’U</w:t>
      </w:r>
      <w:r>
        <w:rPr>
          <w:sz w:val="23"/>
          <w:szCs w:val="23"/>
          <w:lang w:eastAsia="en-US"/>
        </w:rPr>
        <w:t>N</w:t>
      </w:r>
      <w:r>
        <w:rPr>
          <w:sz w:val="23"/>
          <w:szCs w:val="23"/>
          <w:lang w:eastAsia="en-US"/>
        </w:rPr>
        <w:t>C</w:t>
      </w:r>
      <w:r>
        <w:rPr>
          <w:bCs/>
          <w:sz w:val="23"/>
          <w:szCs w:val="23"/>
          <w:lang w:eastAsia="en-US"/>
        </w:rPr>
        <w:t xml:space="preserve"> </w:t>
      </w:r>
      <w:r>
        <w:rPr>
          <w:sz w:val="23"/>
          <w:szCs w:val="23"/>
          <w:lang w:eastAsia="en-US"/>
        </w:rPr>
        <w:t>devr</w:t>
      </w:r>
      <w:r>
        <w:rPr>
          <w:sz w:val="23"/>
          <w:szCs w:val="23"/>
          <w:lang w:eastAsia="en-US"/>
        </w:rPr>
        <w:t>a</w:t>
      </w:r>
      <w:r>
        <w:rPr>
          <w:sz w:val="23"/>
          <w:szCs w:val="23"/>
          <w:lang w:eastAsia="en-US"/>
        </w:rPr>
        <w:t xml:space="preserve"> engager des campagnes d’information et de sensibilisation auprès de ces acteurs sur la nature </w:t>
      </w:r>
      <w:r>
        <w:rPr>
          <w:sz w:val="23"/>
          <w:szCs w:val="23"/>
          <w:lang w:eastAsia="en-US"/>
        </w:rPr>
        <w:t xml:space="preserve">et </w:t>
      </w:r>
      <w:r>
        <w:rPr>
          <w:sz w:val="23"/>
          <w:szCs w:val="23"/>
          <w:lang w:eastAsia="en-US"/>
        </w:rPr>
        <w:t xml:space="preserve">les enjeux environnementaux </w:t>
      </w:r>
      <w:r>
        <w:rPr>
          <w:sz w:val="23"/>
          <w:szCs w:val="23"/>
          <w:lang w:eastAsia="en-US"/>
        </w:rPr>
        <w:t>des activités</w:t>
      </w:r>
      <w:r>
        <w:rPr>
          <w:sz w:val="23"/>
          <w:szCs w:val="23"/>
          <w:lang w:eastAsia="en-US"/>
        </w:rPr>
        <w:t xml:space="preserve"> des sous-projets.</w:t>
      </w:r>
    </w:p>
    <w:p>
      <w:pPr>
        <w:pStyle w:val="style0"/>
        <w:jc w:val="both"/>
        <w:rPr>
          <w:sz w:val="23"/>
          <w:szCs w:val="23"/>
          <w:lang w:eastAsia="en-US"/>
        </w:rPr>
      </w:pPr>
    </w:p>
    <w:p>
      <w:pPr>
        <w:pStyle w:val="style0"/>
        <w:jc w:val="both"/>
        <w:rPr>
          <w:sz w:val="23"/>
          <w:szCs w:val="23"/>
          <w:lang w:eastAsia="en-US"/>
        </w:rPr>
      </w:pPr>
      <w:r>
        <w:rPr>
          <w:sz w:val="23"/>
          <w:szCs w:val="23"/>
          <w:lang w:eastAsia="en-US"/>
        </w:rPr>
        <w:t>Ces différentes campagnes en direction de ces acteurs visent à :</w:t>
      </w:r>
    </w:p>
    <w:p>
      <w:pPr>
        <w:pStyle w:val="style0"/>
        <w:numPr>
          <w:ilvl w:val="0"/>
          <w:numId w:val="73"/>
        </w:numPr>
        <w:tabs>
          <w:tab w:val="clear" w:pos="720"/>
        </w:tabs>
        <w:ind w:left="360"/>
        <w:jc w:val="both"/>
        <w:rPr>
          <w:sz w:val="23"/>
          <w:szCs w:val="23"/>
          <w:lang w:eastAsia="en-US"/>
        </w:rPr>
      </w:pPr>
      <w:r>
        <w:rPr>
          <w:sz w:val="23"/>
          <w:szCs w:val="23"/>
          <w:lang w:eastAsia="en-US"/>
        </w:rPr>
        <w:t xml:space="preserve"> responsabiliser ces acteurs dans l'entretien et la gestion des activités agricoles et arboricoles ;</w:t>
      </w:r>
    </w:p>
    <w:p>
      <w:pPr>
        <w:pStyle w:val="style0"/>
        <w:numPr>
          <w:ilvl w:val="0"/>
          <w:numId w:val="73"/>
        </w:numPr>
        <w:tabs>
          <w:tab w:val="clear" w:pos="720"/>
        </w:tabs>
        <w:ind w:left="360"/>
        <w:jc w:val="both"/>
        <w:rPr>
          <w:sz w:val="23"/>
          <w:szCs w:val="23"/>
          <w:lang w:eastAsia="en-US"/>
        </w:rPr>
      </w:pPr>
      <w:r>
        <w:rPr>
          <w:sz w:val="23"/>
          <w:szCs w:val="23"/>
          <w:lang w:eastAsia="en-US"/>
        </w:rPr>
        <w:t xml:space="preserve">sensibiliser les femmes sur leurs droits à s’engager dans les différentes activités soutenues par le </w:t>
      </w:r>
      <w:r>
        <w:rPr>
          <w:sz w:val="23"/>
          <w:szCs w:val="23"/>
          <w:lang w:eastAsia="en-US"/>
        </w:rPr>
        <w:t xml:space="preserve">Programme </w:t>
      </w:r>
      <w:r>
        <w:rPr>
          <w:sz w:val="23"/>
          <w:szCs w:val="23"/>
          <w:lang w:eastAsia="en-US"/>
        </w:rPr>
        <w:t>et les y accompagner ;</w:t>
      </w:r>
    </w:p>
    <w:p>
      <w:pPr>
        <w:pStyle w:val="style0"/>
        <w:numPr>
          <w:ilvl w:val="0"/>
          <w:numId w:val="73"/>
        </w:numPr>
        <w:tabs>
          <w:tab w:val="clear" w:pos="720"/>
        </w:tabs>
        <w:ind w:left="360"/>
        <w:jc w:val="both"/>
        <w:rPr>
          <w:sz w:val="23"/>
          <w:szCs w:val="23"/>
          <w:lang w:eastAsia="en-US"/>
        </w:rPr>
      </w:pPr>
      <w:r>
        <w:rPr>
          <w:sz w:val="23"/>
          <w:szCs w:val="23"/>
          <w:lang w:eastAsia="en-US"/>
        </w:rPr>
        <w:t>sensibiliser les producteurs sur les aspects d’hygiène, de santé  et d’assainissement ;</w:t>
      </w:r>
    </w:p>
    <w:p>
      <w:pPr>
        <w:pStyle w:val="style0"/>
        <w:numPr>
          <w:ilvl w:val="0"/>
          <w:numId w:val="73"/>
        </w:numPr>
        <w:tabs>
          <w:tab w:val="clear" w:pos="720"/>
        </w:tabs>
        <w:ind w:left="360"/>
        <w:jc w:val="both"/>
        <w:rPr>
          <w:sz w:val="23"/>
          <w:szCs w:val="23"/>
          <w:lang w:eastAsia="en-US"/>
        </w:rPr>
      </w:pPr>
      <w:r>
        <w:rPr>
          <w:sz w:val="23"/>
          <w:szCs w:val="23"/>
          <w:lang w:eastAsia="en-US"/>
        </w:rPr>
        <w:t xml:space="preserve">sensibiliser les agents techniques et les </w:t>
      </w:r>
      <w:r>
        <w:rPr>
          <w:sz w:val="23"/>
          <w:szCs w:val="23"/>
          <w:lang w:eastAsia="en-US"/>
        </w:rPr>
        <w:t xml:space="preserve">membres des coopératives et groupements </w:t>
      </w:r>
      <w:r>
        <w:rPr>
          <w:sz w:val="23"/>
          <w:szCs w:val="23"/>
          <w:lang w:eastAsia="en-US"/>
        </w:rPr>
        <w:t xml:space="preserve"> sur la gestion des infrastructures et équipements ;  </w:t>
      </w:r>
    </w:p>
    <w:p>
      <w:pPr>
        <w:pStyle w:val="style0"/>
        <w:numPr>
          <w:ilvl w:val="0"/>
          <w:numId w:val="73"/>
        </w:numPr>
        <w:tabs>
          <w:tab w:val="clear" w:pos="720"/>
        </w:tabs>
        <w:ind w:left="360"/>
        <w:jc w:val="both"/>
        <w:rPr>
          <w:sz w:val="23"/>
          <w:szCs w:val="23"/>
          <w:lang w:eastAsia="en-US"/>
        </w:rPr>
      </w:pPr>
      <w:r>
        <w:rPr>
          <w:sz w:val="23"/>
          <w:szCs w:val="23"/>
          <w:lang w:eastAsia="en-US"/>
        </w:rPr>
        <w:t>assurer le suivi et l'accompagnement des solutions mises en place ;</w:t>
      </w:r>
    </w:p>
    <w:p>
      <w:pPr>
        <w:pStyle w:val="style0"/>
        <w:numPr>
          <w:ilvl w:val="0"/>
          <w:numId w:val="73"/>
        </w:numPr>
        <w:tabs>
          <w:tab w:val="clear" w:pos="720"/>
        </w:tabs>
        <w:ind w:left="360"/>
        <w:jc w:val="both"/>
        <w:rPr>
          <w:sz w:val="23"/>
          <w:szCs w:val="23"/>
          <w:lang w:eastAsia="en-US"/>
        </w:rPr>
      </w:pPr>
      <w:r>
        <w:rPr>
          <w:sz w:val="23"/>
          <w:szCs w:val="23"/>
          <w:lang w:eastAsia="en-US"/>
        </w:rPr>
        <w:t>assurer l’interface entre les différents acteurs du projet (populations, promoteurs, associations, collectivités locales, producteurs, services techniques) et gérer les conflits. </w:t>
      </w:r>
    </w:p>
    <w:bookmarkStart w:id="1374" w:name="_Toc291800592"/>
    <w:p>
      <w:pPr>
        <w:pStyle w:val="style0"/>
        <w:spacing w:before="120" w:after="120"/>
        <w:jc w:val="both"/>
        <w:rPr>
          <w:rFonts w:eastAsia="Calibri"/>
          <w:sz w:val="22"/>
          <w:szCs w:val="22"/>
          <w:lang w:eastAsia="en-US"/>
        </w:rPr>
      </w:pPr>
    </w:p>
    <w:p>
      <w:pPr>
        <w:pStyle w:val="style0"/>
        <w:spacing w:before="120" w:after="120"/>
        <w:jc w:val="both"/>
        <w:rPr>
          <w:rFonts w:eastAsia="Calibri"/>
          <w:sz w:val="22"/>
          <w:szCs w:val="22"/>
          <w:lang w:eastAsia="en-US"/>
        </w:rPr>
      </w:pPr>
      <w:r>
        <w:rPr>
          <w:rFonts w:eastAsia="Calibri"/>
          <w:sz w:val="22"/>
          <w:szCs w:val="22"/>
          <w:lang w:eastAsia="en-US"/>
        </w:rPr>
        <w:t>Le tableau suivant donne la synthèse des activités d’information et de sensibilisation des acteurs.</w:t>
      </w:r>
    </w:p>
    <w:bookmarkStart w:id="1375" w:name="_Toc2780544"/>
    <w:p>
      <w:pPr>
        <w:pStyle w:val="style34"/>
        <w:keepNext/>
        <w:jc w:val="left"/>
        <w:rPr>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10</w:t>
      </w:r>
      <w:r>
        <w:rPr>
          <w:color w:val="auto"/>
          <w:sz w:val="20"/>
          <w:szCs w:val="20"/>
        </w:rPr>
        <w:fldChar w:fldCharType="end"/>
      </w:r>
      <w:r>
        <w:rPr>
          <w:color w:val="auto"/>
          <w:sz w:val="20"/>
          <w:szCs w:val="20"/>
        </w:rPr>
        <w:t>: Activités d’Information et Sensibilisation</w:t>
      </w:r>
      <w:bookmarkEnd w:id="1375"/>
    </w:p>
    <w:p>
      <w:pPr>
        <w:pStyle w:val="style34"/>
        <w:jc w:val="left"/>
        <w:rPr>
          <w:color w:val="auto"/>
          <w:sz w:val="20"/>
          <w:szCs w:val="20"/>
        </w:rPr>
      </w:pPr>
    </w:p>
    <w:bookmarkEnd w:id="1374"/>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827"/>
        <w:gridCol w:w="3260"/>
      </w:tblGrid>
      <w:tr>
        <w:trPr>
          <w:trHeight w:val="310" w:hRule="atLeast"/>
        </w:trPr>
        <w:tc>
          <w:tcPr>
            <w:tcW w:w="3119" w:type="dxa"/>
            <w:tcBorders/>
            <w:shd w:val="clear" w:color="auto" w:fill="bfbfbf"/>
          </w:tcPr>
          <w:p>
            <w:pPr>
              <w:pStyle w:val="style0"/>
              <w:jc w:val="both"/>
              <w:rPr>
                <w:b/>
                <w:bCs/>
                <w:sz w:val="22"/>
                <w:szCs w:val="22"/>
                <w:lang w:val="en-US" w:eastAsia="en-US"/>
              </w:rPr>
            </w:pPr>
            <w:r>
              <w:rPr>
                <w:b/>
                <w:bCs/>
                <w:sz w:val="22"/>
                <w:szCs w:val="22"/>
                <w:lang w:eastAsia="en-US"/>
              </w:rPr>
              <w:t>Acteurs</w:t>
            </w:r>
            <w:r>
              <w:rPr>
                <w:b/>
                <w:bCs/>
                <w:sz w:val="22"/>
                <w:szCs w:val="22"/>
                <w:lang w:val="en-US" w:eastAsia="en-US"/>
              </w:rPr>
              <w:t xml:space="preserve"> </w:t>
            </w:r>
            <w:r>
              <w:rPr>
                <w:b/>
                <w:bCs/>
                <w:sz w:val="22"/>
                <w:szCs w:val="22"/>
                <w:lang w:eastAsia="en-US"/>
              </w:rPr>
              <w:t>cibles</w:t>
            </w:r>
          </w:p>
        </w:tc>
        <w:tc>
          <w:tcPr>
            <w:tcW w:w="3827" w:type="dxa"/>
            <w:tcBorders/>
            <w:shd w:val="clear" w:color="auto" w:fill="bfbfbf"/>
          </w:tcPr>
          <w:p>
            <w:pPr>
              <w:pStyle w:val="style0"/>
              <w:jc w:val="both"/>
              <w:rPr>
                <w:b/>
                <w:bCs/>
                <w:sz w:val="22"/>
                <w:szCs w:val="22"/>
                <w:lang w:val="en-US" w:eastAsia="en-US"/>
              </w:rPr>
            </w:pPr>
            <w:r>
              <w:rPr>
                <w:b/>
                <w:bCs/>
                <w:sz w:val="22"/>
                <w:szCs w:val="22"/>
                <w:lang w:eastAsia="en-US"/>
              </w:rPr>
              <w:t>Thèmes</w:t>
            </w:r>
            <w:r>
              <w:rPr>
                <w:b/>
                <w:bCs/>
                <w:sz w:val="22"/>
                <w:szCs w:val="22"/>
                <w:lang w:val="en-US" w:eastAsia="en-US"/>
              </w:rPr>
              <w:t xml:space="preserve"> </w:t>
            </w:r>
            <w:r>
              <w:rPr>
                <w:b/>
                <w:bCs/>
                <w:sz w:val="22"/>
                <w:szCs w:val="22"/>
                <w:lang w:eastAsia="en-US"/>
              </w:rPr>
              <w:t>développés</w:t>
            </w:r>
          </w:p>
        </w:tc>
        <w:tc>
          <w:tcPr>
            <w:tcW w:w="3260" w:type="dxa"/>
            <w:tcBorders/>
            <w:shd w:val="clear" w:color="auto" w:fill="bfbfbf"/>
          </w:tcPr>
          <w:p>
            <w:pPr>
              <w:pStyle w:val="style0"/>
              <w:jc w:val="both"/>
              <w:rPr>
                <w:b/>
                <w:bCs/>
                <w:sz w:val="22"/>
                <w:szCs w:val="22"/>
                <w:lang w:val="en-US" w:eastAsia="en-US"/>
              </w:rPr>
            </w:pPr>
            <w:r>
              <w:rPr>
                <w:b/>
                <w:bCs/>
                <w:sz w:val="22"/>
                <w:szCs w:val="22"/>
                <w:lang w:eastAsia="en-US"/>
              </w:rPr>
              <w:t>Résultats</w:t>
            </w:r>
            <w:r>
              <w:rPr>
                <w:b/>
                <w:bCs/>
                <w:sz w:val="22"/>
                <w:szCs w:val="22"/>
                <w:lang w:val="en-US" w:eastAsia="en-US"/>
              </w:rPr>
              <w:t xml:space="preserve"> </w:t>
            </w:r>
            <w:r>
              <w:rPr>
                <w:b/>
                <w:bCs/>
                <w:sz w:val="22"/>
                <w:szCs w:val="22"/>
                <w:lang w:eastAsia="en-US"/>
              </w:rPr>
              <w:t>attendus</w:t>
            </w:r>
          </w:p>
        </w:tc>
      </w:tr>
      <w:tr>
        <w:tblPrEx/>
        <w:trPr>
          <w:trHeight w:val="708" w:hRule="atLeast"/>
        </w:trPr>
        <w:tc>
          <w:tcPr>
            <w:tcW w:w="3119" w:type="dxa"/>
            <w:vMerge w:val="restart"/>
            <w:tcBorders/>
          </w:tcPr>
          <w:p>
            <w:pPr>
              <w:pStyle w:val="style0"/>
              <w:numPr>
                <w:ilvl w:val="0"/>
                <w:numId w:val="97"/>
              </w:numPr>
              <w:jc w:val="both"/>
              <w:rPr>
                <w:sz w:val="22"/>
                <w:szCs w:val="22"/>
                <w:lang w:val="fr-CA" w:eastAsia="en-US"/>
              </w:rPr>
            </w:pPr>
            <w:r>
              <w:rPr>
                <w:sz w:val="22"/>
                <w:szCs w:val="22"/>
                <w:lang w:val="fr-CA" w:eastAsia="en-US"/>
              </w:rPr>
              <w:t xml:space="preserve">Populations, </w:t>
            </w:r>
          </w:p>
          <w:p>
            <w:pPr>
              <w:pStyle w:val="style0"/>
              <w:numPr>
                <w:ilvl w:val="0"/>
                <w:numId w:val="97"/>
              </w:numPr>
              <w:jc w:val="both"/>
              <w:rPr>
                <w:sz w:val="22"/>
                <w:szCs w:val="22"/>
                <w:lang w:val="fr-CA" w:eastAsia="en-US"/>
              </w:rPr>
            </w:pPr>
            <w:r>
              <w:rPr>
                <w:sz w:val="22"/>
                <w:szCs w:val="22"/>
                <w:lang w:val="fr-CA" w:eastAsia="en-US"/>
              </w:rPr>
              <w:t>Membres des Conseils régionaux</w:t>
            </w:r>
          </w:p>
          <w:p>
            <w:pPr>
              <w:pStyle w:val="style0"/>
              <w:numPr>
                <w:ilvl w:val="0"/>
                <w:numId w:val="97"/>
              </w:numPr>
              <w:jc w:val="both"/>
              <w:rPr>
                <w:sz w:val="22"/>
                <w:szCs w:val="22"/>
                <w:lang w:val="fr-CA" w:eastAsia="en-US"/>
              </w:rPr>
            </w:pPr>
            <w:r>
              <w:rPr>
                <w:sz w:val="22"/>
                <w:szCs w:val="22"/>
                <w:lang w:val="fr-CA" w:eastAsia="en-US"/>
              </w:rPr>
              <w:t>Membres des Conseils municipaux</w:t>
            </w:r>
          </w:p>
          <w:p>
            <w:pPr>
              <w:pStyle w:val="style0"/>
              <w:numPr>
                <w:ilvl w:val="0"/>
                <w:numId w:val="97"/>
              </w:numPr>
              <w:jc w:val="both"/>
              <w:rPr>
                <w:sz w:val="22"/>
                <w:szCs w:val="22"/>
                <w:lang w:val="fr-CA" w:eastAsia="en-US"/>
              </w:rPr>
            </w:pPr>
            <w:r>
              <w:rPr>
                <w:sz w:val="22"/>
                <w:szCs w:val="22"/>
                <w:lang w:val="fr-CA" w:eastAsia="en-US"/>
              </w:rPr>
              <w:t>Membres des Conseils Villageois de Développement(CVD)</w:t>
            </w:r>
          </w:p>
          <w:p>
            <w:pPr>
              <w:pStyle w:val="style0"/>
              <w:numPr>
                <w:ilvl w:val="0"/>
                <w:numId w:val="97"/>
              </w:numPr>
              <w:jc w:val="both"/>
              <w:rPr>
                <w:sz w:val="22"/>
                <w:szCs w:val="22"/>
                <w:lang w:val="fr-CA" w:eastAsia="en-US"/>
              </w:rPr>
            </w:pPr>
            <w:r>
              <w:rPr>
                <w:sz w:val="22"/>
                <w:szCs w:val="22"/>
                <w:lang w:val="fr-CA" w:eastAsia="en-US"/>
              </w:rPr>
              <w:t xml:space="preserve">Groupements régionaux, Provinciaux, communaux et villageois d’éleveurs  </w:t>
            </w:r>
          </w:p>
          <w:p>
            <w:pPr>
              <w:pStyle w:val="style0"/>
              <w:numPr>
                <w:ilvl w:val="0"/>
                <w:numId w:val="97"/>
              </w:numPr>
              <w:jc w:val="both"/>
              <w:rPr>
                <w:sz w:val="22"/>
                <w:szCs w:val="22"/>
                <w:lang w:val="fr-CA" w:eastAsia="en-US"/>
              </w:rPr>
            </w:pPr>
            <w:r>
              <w:rPr>
                <w:sz w:val="22"/>
                <w:szCs w:val="22"/>
                <w:lang w:val="fr-CA" w:eastAsia="en-US"/>
              </w:rPr>
              <w:t>Associations de Producteurs agricoles locales (OP, ONG, etc.)</w:t>
            </w:r>
          </w:p>
        </w:tc>
        <w:tc>
          <w:tcPr>
            <w:tcW w:w="3827" w:type="dxa"/>
            <w:tcBorders/>
          </w:tcPr>
          <w:p>
            <w:pPr>
              <w:pStyle w:val="style0"/>
              <w:numPr>
                <w:ilvl w:val="0"/>
                <w:numId w:val="97"/>
              </w:numPr>
              <w:jc w:val="both"/>
              <w:rPr>
                <w:sz w:val="22"/>
                <w:szCs w:val="22"/>
                <w:lang w:val="fr-CA" w:eastAsia="en-US"/>
              </w:rPr>
            </w:pPr>
            <w:r>
              <w:rPr>
                <w:sz w:val="22"/>
                <w:szCs w:val="22"/>
                <w:lang w:val="fr-CA" w:eastAsia="en-US"/>
              </w:rPr>
              <w:t xml:space="preserve"> la nature et les risques et impacts environnementaux et sociaux négatifs potentiels des travaux, </w:t>
            </w:r>
          </w:p>
          <w:p>
            <w:pPr>
              <w:pStyle w:val="style0"/>
              <w:numPr>
                <w:ilvl w:val="0"/>
                <w:numId w:val="97"/>
              </w:numPr>
              <w:jc w:val="both"/>
              <w:rPr>
                <w:sz w:val="22"/>
                <w:szCs w:val="22"/>
                <w:lang w:val="fr-CA" w:eastAsia="en-US"/>
              </w:rPr>
            </w:pPr>
            <w:r>
              <w:rPr>
                <w:sz w:val="22"/>
                <w:szCs w:val="22"/>
                <w:lang w:eastAsia="en-US"/>
              </w:rPr>
              <w:t>l’utilisation des produits pesticides </w:t>
            </w:r>
            <w:r>
              <w:rPr>
                <w:sz w:val="22"/>
                <w:szCs w:val="22"/>
                <w:lang w:eastAsia="en-US"/>
              </w:rPr>
              <w:t>sans risques</w:t>
            </w:r>
          </w:p>
          <w:p>
            <w:pPr>
              <w:pStyle w:val="style0"/>
              <w:jc w:val="both"/>
              <w:rPr>
                <w:sz w:val="22"/>
                <w:szCs w:val="22"/>
                <w:lang w:val="fr-CA" w:eastAsia="en-US"/>
              </w:rPr>
            </w:pPr>
          </w:p>
          <w:p>
            <w:pPr>
              <w:pStyle w:val="style0"/>
              <w:ind w:left="360"/>
              <w:jc w:val="both"/>
              <w:rPr>
                <w:sz w:val="22"/>
                <w:szCs w:val="22"/>
                <w:lang w:val="fr-CA" w:eastAsia="en-US"/>
              </w:rPr>
            </w:pPr>
          </w:p>
        </w:tc>
        <w:tc>
          <w:tcPr>
            <w:tcW w:w="3260" w:type="dxa"/>
            <w:tcBorders/>
          </w:tcPr>
          <w:p>
            <w:pPr>
              <w:pStyle w:val="style0"/>
              <w:numPr>
                <w:ilvl w:val="0"/>
                <w:numId w:val="97"/>
              </w:numPr>
              <w:spacing w:after="200" w:lineRule="auto" w:line="276"/>
              <w:jc w:val="both"/>
              <w:contextualSpacing/>
              <w:rPr>
                <w:rFonts w:ascii="Calibri" w:eastAsia="Calibri" w:hAnsi="Calibri"/>
                <w:sz w:val="22"/>
                <w:szCs w:val="22"/>
                <w:lang w:eastAsia="en-US"/>
              </w:rPr>
            </w:pPr>
            <w:r>
              <w:rPr>
                <w:rFonts w:eastAsia="Calibri"/>
                <w:sz w:val="22"/>
                <w:szCs w:val="22"/>
                <w:lang w:eastAsia="en-US"/>
              </w:rPr>
              <w:t>populations informées sur la nature des travaux</w:t>
            </w:r>
          </w:p>
        </w:tc>
      </w:tr>
      <w:tr>
        <w:tblPrEx/>
        <w:trPr>
          <w:trHeight w:val="1305" w:hRule="atLeast"/>
        </w:trPr>
        <w:tc>
          <w:tcPr>
            <w:tcW w:w="3119" w:type="dxa"/>
            <w:vMerge w:val="continue"/>
            <w:tcBorders/>
          </w:tcPr>
          <w:p>
            <w:pPr>
              <w:pStyle w:val="style0"/>
              <w:numPr>
                <w:ilvl w:val="0"/>
                <w:numId w:val="97"/>
              </w:numPr>
              <w:jc w:val="both"/>
              <w:rPr>
                <w:sz w:val="22"/>
                <w:szCs w:val="22"/>
                <w:lang w:val="fr-CA" w:eastAsia="en-US"/>
              </w:rPr>
            </w:pPr>
          </w:p>
        </w:tc>
        <w:tc>
          <w:tcPr>
            <w:tcW w:w="3827" w:type="dxa"/>
            <w:tcBorders/>
          </w:tcPr>
          <w:p>
            <w:pPr>
              <w:pStyle w:val="style0"/>
              <w:numPr>
                <w:ilvl w:val="0"/>
                <w:numId w:val="97"/>
              </w:numPr>
              <w:jc w:val="both"/>
              <w:rPr>
                <w:sz w:val="22"/>
                <w:szCs w:val="22"/>
                <w:lang w:val="fr-CA" w:eastAsia="en-US"/>
              </w:rPr>
            </w:pPr>
            <w:r>
              <w:rPr>
                <w:sz w:val="22"/>
                <w:szCs w:val="22"/>
                <w:lang w:val="fr-CA" w:eastAsia="en-US"/>
              </w:rPr>
              <w:t xml:space="preserve">l’implication des acteurs locaux, </w:t>
            </w:r>
          </w:p>
          <w:p>
            <w:pPr>
              <w:pStyle w:val="style0"/>
              <w:numPr>
                <w:ilvl w:val="0"/>
                <w:numId w:val="97"/>
              </w:numPr>
              <w:jc w:val="both"/>
              <w:rPr>
                <w:sz w:val="22"/>
                <w:szCs w:val="22"/>
                <w:lang w:val="fr-CA" w:eastAsia="en-US"/>
              </w:rPr>
            </w:pPr>
            <w:r>
              <w:rPr>
                <w:sz w:val="22"/>
                <w:szCs w:val="22"/>
                <w:lang w:val="fr-CA" w:eastAsia="en-US"/>
              </w:rPr>
              <w:t xml:space="preserve">les enjeux environnementaux et sociaux </w:t>
            </w:r>
          </w:p>
          <w:p>
            <w:pPr>
              <w:pStyle w:val="style0"/>
              <w:numPr>
                <w:ilvl w:val="0"/>
                <w:numId w:val="97"/>
              </w:numPr>
              <w:jc w:val="both"/>
              <w:rPr>
                <w:sz w:val="22"/>
                <w:szCs w:val="22"/>
                <w:lang w:val="fr-CA" w:eastAsia="en-US"/>
              </w:rPr>
            </w:pPr>
            <w:r>
              <w:rPr>
                <w:sz w:val="22"/>
                <w:szCs w:val="22"/>
                <w:lang w:val="fr-CA" w:eastAsia="en-US"/>
              </w:rPr>
              <w:t>bonnes pratiques agricoles, arboricoles et pastorales</w:t>
            </w:r>
          </w:p>
        </w:tc>
        <w:tc>
          <w:tcPr>
            <w:tcW w:w="3260" w:type="dxa"/>
            <w:tcBorders/>
          </w:tcPr>
          <w:p>
            <w:pPr>
              <w:pStyle w:val="style0"/>
              <w:numPr>
                <w:ilvl w:val="0"/>
                <w:numId w:val="97"/>
              </w:numPr>
              <w:jc w:val="both"/>
              <w:rPr>
                <w:sz w:val="22"/>
                <w:szCs w:val="22"/>
                <w:lang w:val="fr-CA" w:eastAsia="en-US"/>
              </w:rPr>
            </w:pPr>
            <w:r>
              <w:rPr>
                <w:sz w:val="22"/>
                <w:szCs w:val="22"/>
                <w:lang w:eastAsia="en-US"/>
              </w:rPr>
              <w:t xml:space="preserve"> populations sensibilisées sur les</w:t>
            </w:r>
            <w:r>
              <w:rPr>
                <w:sz w:val="22"/>
                <w:szCs w:val="22"/>
                <w:lang w:val="fr-CA" w:eastAsia="en-US"/>
              </w:rPr>
              <w:t xml:space="preserve"> enjeux environnementaux et sociaux </w:t>
            </w:r>
          </w:p>
          <w:p>
            <w:pPr>
              <w:pStyle w:val="style0"/>
              <w:ind w:left="360"/>
              <w:jc w:val="both"/>
              <w:rPr>
                <w:lang w:eastAsia="en-US"/>
              </w:rPr>
            </w:pPr>
          </w:p>
        </w:tc>
      </w:tr>
      <w:tr>
        <w:tblPrEx/>
        <w:trPr>
          <w:trHeight w:val="2115" w:hRule="atLeast"/>
        </w:trPr>
        <w:tc>
          <w:tcPr>
            <w:tcW w:w="3119" w:type="dxa"/>
            <w:vMerge w:val="continue"/>
            <w:tcBorders/>
          </w:tcPr>
          <w:p>
            <w:pPr>
              <w:pStyle w:val="style0"/>
              <w:numPr>
                <w:ilvl w:val="0"/>
                <w:numId w:val="97"/>
              </w:numPr>
              <w:jc w:val="both"/>
              <w:rPr>
                <w:sz w:val="22"/>
                <w:szCs w:val="22"/>
                <w:lang w:val="fr-CA" w:eastAsia="en-US"/>
              </w:rPr>
            </w:pPr>
          </w:p>
        </w:tc>
        <w:tc>
          <w:tcPr>
            <w:tcW w:w="3827" w:type="dxa"/>
            <w:tcBorders/>
          </w:tcPr>
          <w:p>
            <w:pPr>
              <w:pStyle w:val="style0"/>
              <w:numPr>
                <w:ilvl w:val="0"/>
                <w:numId w:val="97"/>
              </w:numPr>
              <w:jc w:val="both"/>
              <w:rPr>
                <w:sz w:val="22"/>
                <w:szCs w:val="22"/>
                <w:lang w:val="fr-CA" w:eastAsia="en-US"/>
              </w:rPr>
            </w:pPr>
            <w:r>
              <w:rPr>
                <w:sz w:val="22"/>
                <w:szCs w:val="22"/>
                <w:lang w:val="fr-CA" w:eastAsia="en-US"/>
              </w:rPr>
              <w:t>la sécurité, la santé et l’hygiène lors de la réalisation des activités agricoles</w:t>
            </w:r>
          </w:p>
          <w:p>
            <w:pPr>
              <w:pStyle w:val="style0"/>
              <w:numPr>
                <w:ilvl w:val="0"/>
                <w:numId w:val="97"/>
              </w:numPr>
              <w:jc w:val="both"/>
              <w:rPr>
                <w:sz w:val="22"/>
                <w:szCs w:val="22"/>
                <w:lang w:val="fr-CA" w:eastAsia="en-US"/>
              </w:rPr>
            </w:pPr>
            <w:r>
              <w:rPr>
                <w:sz w:val="22"/>
                <w:szCs w:val="22"/>
                <w:lang w:val="fr-CA" w:eastAsia="en-US"/>
              </w:rPr>
              <w:t xml:space="preserve">les </w:t>
            </w:r>
            <w:r>
              <w:rPr>
                <w:sz w:val="22"/>
                <w:szCs w:val="22"/>
                <w:lang w:eastAsia="en-US"/>
              </w:rPr>
              <w:t xml:space="preserve">facteurs de vulnérabilité des activités agricoles, pastorales et arboricoles </w:t>
            </w:r>
          </w:p>
          <w:p>
            <w:pPr>
              <w:pStyle w:val="style0"/>
              <w:numPr>
                <w:ilvl w:val="0"/>
                <w:numId w:val="97"/>
              </w:numPr>
              <w:jc w:val="both"/>
              <w:rPr>
                <w:sz w:val="22"/>
                <w:szCs w:val="22"/>
                <w:lang w:val="fr-CA" w:eastAsia="en-US"/>
              </w:rPr>
            </w:pPr>
            <w:r>
              <w:rPr>
                <w:sz w:val="22"/>
                <w:szCs w:val="22"/>
                <w:lang w:eastAsia="en-US"/>
              </w:rPr>
              <w:t>paludisme, la malnutrition sévère, etc.</w:t>
            </w:r>
          </w:p>
        </w:tc>
        <w:tc>
          <w:tcPr>
            <w:tcW w:w="3260" w:type="dxa"/>
            <w:tcBorders/>
          </w:tcPr>
          <w:p>
            <w:pPr>
              <w:pStyle w:val="style0"/>
              <w:numPr>
                <w:ilvl w:val="0"/>
                <w:numId w:val="97"/>
              </w:numPr>
              <w:jc w:val="both"/>
              <w:rPr>
                <w:sz w:val="22"/>
                <w:szCs w:val="22"/>
                <w:lang w:eastAsia="en-US"/>
              </w:rPr>
            </w:pPr>
            <w:r>
              <w:rPr>
                <w:sz w:val="22"/>
                <w:szCs w:val="22"/>
                <w:lang w:val="fr-CA" w:eastAsia="en-US"/>
              </w:rPr>
              <w:t>Populations sensibilisées sur les risques sanitaires</w:t>
            </w:r>
          </w:p>
        </w:tc>
      </w:tr>
    </w:tbl>
    <w:p>
      <w:pPr>
        <w:pStyle w:val="style0"/>
        <w:ind w:left="720"/>
        <w:jc w:val="both"/>
        <w:rPr>
          <w:highlight w:val="yellow"/>
          <w:lang w:val="fr-CA" w:eastAsia="en-US"/>
        </w:rPr>
      </w:pPr>
    </w:p>
    <w:p>
      <w:pPr>
        <w:pStyle w:val="style0"/>
        <w:ind w:left="720"/>
        <w:rPr>
          <w:sz w:val="22"/>
          <w:szCs w:val="22"/>
          <w:highlight w:val="yellow"/>
          <w:lang w:val="fr-CA" w:eastAsia="en-US"/>
        </w:rPr>
      </w:pPr>
    </w:p>
    <w:p>
      <w:pPr>
        <w:pStyle w:val="style0"/>
        <w:ind w:left="720"/>
        <w:rPr>
          <w:sz w:val="22"/>
          <w:szCs w:val="22"/>
          <w:highlight w:val="yellow"/>
          <w:lang w:val="fr-CA" w:eastAsia="en-US"/>
        </w:rPr>
      </w:pPr>
    </w:p>
    <w:p>
      <w:pPr>
        <w:pStyle w:val="style4307"/>
        <w:numPr>
          <w:ilvl w:val="0"/>
          <w:numId w:val="0"/>
        </w:numPr>
        <w:ind w:left="390"/>
        <w:rPr/>
      </w:pPr>
      <w:r>
        <w:rPr>
          <w:rFonts w:ascii="Times New Roman Bold" w:hAnsi="Times New Roman Bold"/>
          <w:b w:val="false"/>
          <w:bCs w:val="false"/>
          <w:caps/>
          <w:spacing w:val="-3"/>
          <w:highlight w:val="yellow"/>
          <w:lang w:eastAsia="en-US"/>
        </w:rPr>
        <w:br w:type="page"/>
      </w:r>
      <w:bookmarkStart w:id="1376" w:name="_Toc211105135"/>
      <w:bookmarkStart w:id="1377" w:name="_Toc247603851"/>
      <w:bookmarkStart w:id="1378" w:name="_Toc2780511"/>
      <w:bookmarkStart w:id="1379" w:name="_Toc266039695"/>
      <w:bookmarkStart w:id="1380" w:name="_Toc536410749"/>
      <w:bookmarkStart w:id="1381" w:name="_Toc686133"/>
      <w:r>
        <w:t>7</w:t>
      </w:r>
      <w:r>
        <w:t>.</w:t>
      </w:r>
      <w:r>
        <w:t>5</w:t>
      </w:r>
      <w:r>
        <w:t>.</w:t>
      </w:r>
      <w:r>
        <w:t xml:space="preserve"> Programme</w:t>
      </w:r>
      <w:r>
        <w:t xml:space="preserve"> de suivi</w:t>
      </w:r>
      <w:bookmarkEnd w:id="1376"/>
      <w:bookmarkEnd w:id="1377"/>
      <w:r>
        <w:t xml:space="preserve"> environnemental et social</w:t>
      </w:r>
      <w:bookmarkEnd w:id="1378"/>
      <w:bookmarkEnd w:id="1379"/>
      <w:bookmarkEnd w:id="1380"/>
      <w:bookmarkEnd w:id="1381"/>
    </w:p>
    <w:p>
      <w:pPr>
        <w:pStyle w:val="style0"/>
        <w:autoSpaceDE w:val="false"/>
        <w:autoSpaceDN w:val="false"/>
        <w:adjustRightInd w:val="false"/>
        <w:jc w:val="both"/>
        <w:rPr>
          <w:sz w:val="22"/>
          <w:szCs w:val="22"/>
          <w:lang w:eastAsia="en-US"/>
        </w:rPr>
      </w:pPr>
      <w:r>
        <w:rPr>
          <w:sz w:val="22"/>
          <w:szCs w:val="22"/>
          <w:lang w:eastAsia="en-US"/>
        </w:rPr>
        <w:t>Le programme de suivi environnemental et social est d’importance pour le PDCA en ce qu’il</w:t>
      </w:r>
      <w:r>
        <w:rPr>
          <w:sz w:val="22"/>
          <w:szCs w:val="22"/>
          <w:lang w:eastAsia="en-US"/>
        </w:rPr>
        <w:t xml:space="preserve"> </w:t>
      </w:r>
      <w:r>
        <w:rPr>
          <w:sz w:val="22"/>
          <w:szCs w:val="22"/>
          <w:lang w:eastAsia="en-US"/>
        </w:rPr>
        <w:t xml:space="preserve">permettra </w:t>
      </w:r>
      <w:r>
        <w:rPr>
          <w:sz w:val="22"/>
          <w:szCs w:val="22"/>
          <w:lang w:eastAsia="en-US"/>
        </w:rPr>
        <w:t>de documenter de façon périodique les impacts environnementaux et sociaux qui se produiront et par conséquent, de prendre les mesures correctives qui s’imposent.</w:t>
      </w:r>
    </w:p>
    <w:bookmarkStart w:id="1382" w:name="_Toc233465133"/>
    <w:bookmarkStart w:id="1383" w:name="_Toc241846064"/>
    <w:bookmarkStart w:id="1384" w:name="_Toc243869071"/>
    <w:bookmarkStart w:id="1385" w:name="_Toc244267222"/>
    <w:bookmarkStart w:id="1386" w:name="_Toc686134"/>
    <w:bookmarkStart w:id="1387" w:name="_Toc2780512"/>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5</w:t>
      </w:r>
      <w:r>
        <w:rPr>
          <w:rFonts w:ascii="Times New Roman Bold" w:hAnsi="Times New Roman Bold"/>
          <w:b/>
          <w:bCs w:val="false"/>
          <w:spacing w:val="-3"/>
          <w:u w:val="none"/>
          <w:lang w:eastAsia="en-US"/>
        </w:rPr>
        <w:t xml:space="preserve">.1. </w:t>
      </w:r>
      <w:r>
        <w:rPr>
          <w:rFonts w:ascii="Times New Roman Bold" w:hAnsi="Times New Roman Bold"/>
          <w:b/>
          <w:bCs w:val="false"/>
          <w:spacing w:val="-3"/>
          <w:u w:val="none"/>
          <w:lang w:eastAsia="en-US"/>
        </w:rPr>
        <w:t>Portée du dispositif de s</w:t>
      </w:r>
      <w:r>
        <w:rPr>
          <w:rFonts w:ascii="Times New Roman Bold" w:hAnsi="Times New Roman Bold"/>
          <w:b/>
          <w:bCs w:val="false"/>
          <w:spacing w:val="-3"/>
          <w:u w:val="none"/>
          <w:lang w:eastAsia="en-US"/>
        </w:rPr>
        <w:t>uivi-</w:t>
      </w:r>
      <w:r>
        <w:rPr>
          <w:rFonts w:ascii="Times New Roman Bold" w:hAnsi="Times New Roman Bold"/>
          <w:b/>
          <w:bCs w:val="false"/>
          <w:spacing w:val="-3"/>
          <w:u w:val="none"/>
          <w:lang w:eastAsia="en-US"/>
        </w:rPr>
        <w:t>environnemental</w:t>
      </w:r>
      <w:bookmarkEnd w:id="1382"/>
      <w:bookmarkEnd w:id="1383"/>
      <w:bookmarkEnd w:id="1384"/>
      <w:bookmarkEnd w:id="1385"/>
      <w:bookmarkEnd w:id="1386"/>
      <w:bookmarkEnd w:id="1387"/>
    </w:p>
    <w:bookmarkStart w:id="1388" w:name="_Toc244267224"/>
    <w:p>
      <w:pPr>
        <w:pStyle w:val="style0"/>
        <w:jc w:val="both"/>
        <w:rPr>
          <w:rFonts w:eastAsia="Calibri"/>
          <w:sz w:val="22"/>
          <w:szCs w:val="22"/>
          <w:lang w:eastAsia="en-US"/>
        </w:rPr>
      </w:pPr>
      <w:r>
        <w:rPr>
          <w:sz w:val="22"/>
          <w:szCs w:val="22"/>
          <w:lang w:eastAsia="en-US"/>
        </w:rPr>
        <w:t xml:space="preserve">Le suivi- évaluation </w:t>
      </w:r>
      <w:r>
        <w:rPr>
          <w:sz w:val="22"/>
          <w:szCs w:val="22"/>
          <w:lang w:eastAsia="en-US"/>
        </w:rPr>
        <w:t>concernera</w:t>
      </w:r>
      <w:r>
        <w:rPr>
          <w:sz w:val="22"/>
          <w:szCs w:val="22"/>
          <w:lang w:eastAsia="en-US"/>
        </w:rPr>
        <w:t xml:space="preserve"> : i) </w:t>
      </w:r>
      <w:r>
        <w:rPr>
          <w:rFonts w:eastAsia="Calibri"/>
          <w:sz w:val="22"/>
          <w:szCs w:val="22"/>
          <w:lang w:eastAsia="en-US"/>
        </w:rPr>
        <w:t>la qualité des eaux de surface (sources d’approvisionn</w:t>
      </w:r>
      <w:r>
        <w:rPr>
          <w:rFonts w:eastAsia="Calibri"/>
          <w:sz w:val="22"/>
          <w:szCs w:val="22"/>
          <w:lang w:eastAsia="en-US"/>
        </w:rPr>
        <w:t>ement en eau pour l’irrigation),</w:t>
      </w:r>
      <w:r>
        <w:rPr>
          <w:rFonts w:eastAsia="Calibri"/>
          <w:sz w:val="22"/>
          <w:szCs w:val="22"/>
          <w:lang w:eastAsia="en-US"/>
        </w:rPr>
        <w:t xml:space="preserve"> </w:t>
      </w:r>
      <w:r>
        <w:rPr>
          <w:rFonts w:eastAsia="Calibri"/>
          <w:sz w:val="22"/>
          <w:szCs w:val="22"/>
          <w:lang w:eastAsia="en-US"/>
        </w:rPr>
        <w:t xml:space="preserve">ii) </w:t>
      </w:r>
      <w:r>
        <w:rPr>
          <w:rFonts w:eastAsia="Calibri"/>
          <w:sz w:val="22"/>
          <w:szCs w:val="22"/>
          <w:lang w:eastAsia="en-US"/>
        </w:rPr>
        <w:t>l’érosion des sols</w:t>
      </w:r>
      <w:r>
        <w:rPr>
          <w:rFonts w:eastAsia="Calibri"/>
          <w:sz w:val="22"/>
          <w:szCs w:val="22"/>
          <w:lang w:eastAsia="en-US"/>
        </w:rPr>
        <w:t>,</w:t>
      </w:r>
      <w:r>
        <w:rPr>
          <w:rFonts w:eastAsia="Calibri"/>
          <w:sz w:val="22"/>
          <w:szCs w:val="22"/>
          <w:lang w:eastAsia="en-US"/>
        </w:rPr>
        <w:t xml:space="preserve"> </w:t>
      </w:r>
      <w:r>
        <w:rPr>
          <w:rFonts w:eastAsia="Calibri"/>
          <w:sz w:val="22"/>
          <w:szCs w:val="22"/>
          <w:lang w:eastAsia="en-US"/>
        </w:rPr>
        <w:t xml:space="preserve">iii) </w:t>
      </w:r>
      <w:r>
        <w:rPr>
          <w:rFonts w:eastAsia="Calibri"/>
          <w:sz w:val="22"/>
          <w:szCs w:val="22"/>
          <w:lang w:eastAsia="en-US"/>
        </w:rPr>
        <w:t>le respect de la densité minimale d’arbres à conserver par hectare</w:t>
      </w:r>
      <w:r>
        <w:rPr>
          <w:rFonts w:eastAsia="Calibri"/>
          <w:sz w:val="22"/>
          <w:szCs w:val="22"/>
          <w:lang w:eastAsia="en-US"/>
        </w:rPr>
        <w:t>,</w:t>
      </w:r>
      <w:r>
        <w:rPr>
          <w:rFonts w:eastAsia="Calibri"/>
          <w:sz w:val="22"/>
          <w:szCs w:val="22"/>
          <w:lang w:eastAsia="en-US"/>
        </w:rPr>
        <w:t xml:space="preserve"> </w:t>
      </w:r>
      <w:r>
        <w:rPr>
          <w:rFonts w:eastAsia="Calibri"/>
          <w:sz w:val="22"/>
          <w:szCs w:val="22"/>
          <w:lang w:eastAsia="en-US"/>
        </w:rPr>
        <w:t xml:space="preserve">iv) </w:t>
      </w:r>
      <w:r>
        <w:rPr>
          <w:rFonts w:eastAsia="Calibri"/>
          <w:sz w:val="22"/>
          <w:szCs w:val="22"/>
          <w:lang w:eastAsia="en-US"/>
        </w:rPr>
        <w:t>l</w:t>
      </w:r>
      <w:r>
        <w:rPr>
          <w:rFonts w:eastAsia="Calibri"/>
          <w:sz w:val="22"/>
          <w:szCs w:val="22"/>
          <w:lang w:eastAsia="en-US"/>
        </w:rPr>
        <w:t>es reboisements,</w:t>
      </w:r>
      <w:r>
        <w:rPr>
          <w:rFonts w:eastAsia="Calibri"/>
          <w:sz w:val="22"/>
          <w:szCs w:val="22"/>
          <w:lang w:eastAsia="en-US"/>
        </w:rPr>
        <w:t xml:space="preserve"> </w:t>
      </w:r>
      <w:r>
        <w:rPr>
          <w:rFonts w:eastAsia="Calibri"/>
          <w:sz w:val="22"/>
          <w:szCs w:val="22"/>
          <w:lang w:eastAsia="en-US"/>
        </w:rPr>
        <w:t xml:space="preserve">v) </w:t>
      </w:r>
      <w:r>
        <w:rPr>
          <w:rFonts w:eastAsia="Calibri"/>
          <w:sz w:val="22"/>
          <w:szCs w:val="22"/>
          <w:lang w:eastAsia="en-US"/>
        </w:rPr>
        <w:t>la conservation des zones humides</w:t>
      </w:r>
      <w:r>
        <w:rPr>
          <w:rFonts w:eastAsia="Calibri"/>
          <w:sz w:val="22"/>
          <w:szCs w:val="22"/>
          <w:lang w:eastAsia="en-US"/>
        </w:rPr>
        <w:t xml:space="preserve">, vi) </w:t>
      </w:r>
      <w:r>
        <w:rPr>
          <w:rFonts w:eastAsia="Calibri"/>
          <w:sz w:val="22"/>
          <w:szCs w:val="22"/>
          <w:lang w:eastAsia="en-US"/>
        </w:rPr>
        <w:t>le suivi des aménagements  hydro-agricoles</w:t>
      </w:r>
      <w:r>
        <w:rPr>
          <w:rFonts w:eastAsia="Calibri"/>
          <w:sz w:val="22"/>
          <w:szCs w:val="22"/>
          <w:lang w:eastAsia="en-US"/>
        </w:rPr>
        <w:t>, vii)</w:t>
      </w:r>
      <w:r>
        <w:rPr>
          <w:rFonts w:eastAsia="Calibri"/>
          <w:sz w:val="22"/>
          <w:szCs w:val="22"/>
          <w:lang w:eastAsia="en-US"/>
        </w:rPr>
        <w:t xml:space="preserve"> le suivi agro-pédologi</w:t>
      </w:r>
      <w:r>
        <w:rPr>
          <w:rFonts w:eastAsia="Calibri"/>
          <w:sz w:val="22"/>
          <w:szCs w:val="22"/>
          <w:lang w:eastAsia="en-US"/>
        </w:rPr>
        <w:t xml:space="preserve">que des sites, viii) </w:t>
      </w:r>
      <w:r>
        <w:rPr>
          <w:rFonts w:eastAsia="Calibri"/>
          <w:sz w:val="22"/>
          <w:szCs w:val="22"/>
          <w:lang w:eastAsia="en-US"/>
        </w:rPr>
        <w:t>le suivi de l’installation des vergers</w:t>
      </w:r>
      <w:r>
        <w:rPr>
          <w:rFonts w:eastAsia="Calibri"/>
          <w:sz w:val="22"/>
          <w:szCs w:val="22"/>
          <w:lang w:eastAsia="en-US"/>
        </w:rPr>
        <w:t xml:space="preserve">, ix) </w:t>
      </w:r>
      <w:r>
        <w:rPr>
          <w:rFonts w:eastAsia="Calibri"/>
          <w:sz w:val="22"/>
          <w:szCs w:val="22"/>
          <w:lang w:eastAsia="en-US"/>
        </w:rPr>
        <w:t>le suivi sanitaire des manguiers</w:t>
      </w:r>
      <w:r>
        <w:rPr>
          <w:rFonts w:eastAsia="Calibri"/>
          <w:sz w:val="22"/>
          <w:szCs w:val="22"/>
          <w:lang w:eastAsia="en-US"/>
        </w:rPr>
        <w:t xml:space="preserve">, x) </w:t>
      </w:r>
      <w:r>
        <w:rPr>
          <w:rFonts w:eastAsia="Calibri"/>
          <w:sz w:val="22"/>
          <w:szCs w:val="22"/>
          <w:lang w:eastAsia="en-US"/>
        </w:rPr>
        <w:t>le suivi de la santé des populations, de l’hygiène et de l’assainissement.</w:t>
      </w:r>
    </w:p>
    <w:p>
      <w:pPr>
        <w:pStyle w:val="style0"/>
        <w:jc w:val="both"/>
        <w:rPr>
          <w:rFonts w:eastAsia="Calibri"/>
          <w:sz w:val="22"/>
          <w:szCs w:val="22"/>
          <w:lang w:eastAsia="en-US"/>
        </w:rPr>
      </w:pPr>
    </w:p>
    <w:p>
      <w:pPr>
        <w:pStyle w:val="style157"/>
        <w:rPr>
          <w:rFonts w:ascii="Times New Roman" w:hAnsi="Times New Roman"/>
          <w:b/>
          <w:lang w:val="fr-FR"/>
        </w:rPr>
      </w:pPr>
      <w:r>
        <w:rPr>
          <w:rFonts w:ascii="Times New Roman" w:hAnsi="Times New Roman"/>
          <w:b/>
          <w:lang w:val="fr-FR"/>
        </w:rPr>
        <w:t>7</w:t>
      </w:r>
      <w:r>
        <w:rPr>
          <w:rFonts w:ascii="Times New Roman" w:hAnsi="Times New Roman"/>
          <w:b/>
          <w:lang w:val="fr-FR"/>
        </w:rPr>
        <w:t>.</w:t>
      </w:r>
      <w:r>
        <w:rPr>
          <w:rFonts w:ascii="Times New Roman" w:hAnsi="Times New Roman"/>
          <w:b/>
          <w:lang w:val="fr-FR"/>
        </w:rPr>
        <w:t>5</w:t>
      </w:r>
      <w:r>
        <w:rPr>
          <w:rFonts w:ascii="Times New Roman" w:hAnsi="Times New Roman"/>
          <w:b/>
          <w:lang w:val="fr-FR"/>
        </w:rPr>
        <w:t xml:space="preserve">.1.1. </w:t>
      </w:r>
      <w:r>
        <w:rPr>
          <w:rFonts w:ascii="Times New Roman" w:hAnsi="Times New Roman"/>
          <w:b/>
          <w:lang w:val="fr-FR"/>
        </w:rPr>
        <w:t xml:space="preserve">Canevas du programme de suivi environnemental du </w:t>
      </w:r>
      <w:bookmarkEnd w:id="1388"/>
      <w:r>
        <w:rPr>
          <w:rFonts w:ascii="Times New Roman" w:hAnsi="Times New Roman"/>
          <w:b/>
          <w:lang w:val="fr-FR"/>
        </w:rPr>
        <w:t>Programme</w:t>
      </w:r>
      <w:r>
        <w:rPr>
          <w:rFonts w:ascii="Times New Roman" w:hAnsi="Times New Roman"/>
          <w:b/>
          <w:lang w:val="fr-FR"/>
        </w:rPr>
        <w:t xml:space="preserve"> </w:t>
      </w:r>
    </w:p>
    <w:p>
      <w:pPr>
        <w:pStyle w:val="style0"/>
        <w:jc w:val="both"/>
        <w:rPr>
          <w:sz w:val="22"/>
          <w:szCs w:val="22"/>
          <w:lang w:eastAsia="en-US"/>
        </w:rPr>
      </w:pPr>
      <w:r>
        <w:rPr>
          <w:sz w:val="22"/>
          <w:szCs w:val="22"/>
          <w:lang w:eastAsia="en-US"/>
        </w:rPr>
        <w:t>U</w:t>
      </w:r>
      <w:r>
        <w:rPr>
          <w:sz w:val="22"/>
          <w:szCs w:val="22"/>
          <w:lang w:eastAsia="en-US"/>
        </w:rPr>
        <w:t xml:space="preserve">ne gamme variée d’acteurs </w:t>
      </w:r>
      <w:r>
        <w:rPr>
          <w:sz w:val="22"/>
          <w:szCs w:val="22"/>
          <w:lang w:eastAsia="en-US"/>
        </w:rPr>
        <w:t>sera impliquée dans l</w:t>
      </w:r>
      <w:r>
        <w:rPr>
          <w:sz w:val="22"/>
          <w:szCs w:val="22"/>
          <w:lang w:eastAsia="en-US"/>
        </w:rPr>
        <w:t xml:space="preserve">e suivi environnemental du </w:t>
      </w:r>
      <w:r>
        <w:rPr>
          <w:sz w:val="22"/>
          <w:szCs w:val="22"/>
          <w:lang w:eastAsia="en-US"/>
        </w:rPr>
        <w:t xml:space="preserve">Programme qui </w:t>
      </w:r>
      <w:r>
        <w:rPr>
          <w:sz w:val="22"/>
          <w:szCs w:val="22"/>
          <w:lang w:eastAsia="en-US"/>
        </w:rPr>
        <w:t xml:space="preserve">sera effectué. Il s’agit </w:t>
      </w:r>
      <w:r>
        <w:rPr>
          <w:sz w:val="22"/>
          <w:szCs w:val="22"/>
          <w:lang w:eastAsia="en-US"/>
        </w:rPr>
        <w:t>de</w:t>
      </w:r>
      <w:r>
        <w:rPr>
          <w:sz w:val="22"/>
          <w:szCs w:val="22"/>
          <w:lang w:eastAsia="en-US"/>
        </w:rPr>
        <w:t xml:space="preserve">s spécialistes en sauvegardes environnementale et sociale de l’UNC/PDCA, </w:t>
      </w:r>
      <w:r>
        <w:rPr>
          <w:sz w:val="22"/>
          <w:szCs w:val="22"/>
          <w:lang w:eastAsia="en-US"/>
        </w:rPr>
        <w:t xml:space="preserve">des collectivités territoriales, des agriculteurs irrigants, des arboriculteurs. </w:t>
      </w:r>
      <w:r>
        <w:rPr>
          <w:sz w:val="22"/>
          <w:szCs w:val="22"/>
          <w:lang w:eastAsia="en-US"/>
        </w:rPr>
        <w:t>La DGESS, la DGPER et la DGRE du MAAH ainsi que les DREP du MINEFID joueront également</w:t>
      </w:r>
      <w:r>
        <w:rPr>
          <w:sz w:val="22"/>
          <w:szCs w:val="22"/>
          <w:lang w:eastAsia="en-US"/>
        </w:rPr>
        <w:t xml:space="preserve"> un rôle</w:t>
      </w:r>
      <w:r>
        <w:rPr>
          <w:sz w:val="22"/>
          <w:szCs w:val="22"/>
          <w:lang w:eastAsia="en-US"/>
        </w:rPr>
        <w:t xml:space="preserve"> selon leurs domaines</w:t>
      </w:r>
      <w:r>
        <w:rPr>
          <w:sz w:val="22"/>
          <w:szCs w:val="22"/>
          <w:lang w:eastAsia="en-US"/>
        </w:rPr>
        <w:t xml:space="preserve"> de compétence. Le suivi-environnemental </w:t>
      </w:r>
      <w:r>
        <w:rPr>
          <w:sz w:val="22"/>
          <w:szCs w:val="22"/>
          <w:lang w:eastAsia="en-US"/>
        </w:rPr>
        <w:t>portera sur les éléments techniques suivants :</w:t>
      </w:r>
    </w:p>
    <w:p>
      <w:pPr>
        <w:pStyle w:val="style0"/>
        <w:jc w:val="both"/>
        <w:rPr>
          <w:sz w:val="22"/>
          <w:szCs w:val="22"/>
          <w:lang w:eastAsia="en-US"/>
        </w:rPr>
      </w:pPr>
    </w:p>
    <w:p>
      <w:pPr>
        <w:pStyle w:val="style0"/>
        <w:numPr>
          <w:ilvl w:val="0"/>
          <w:numId w:val="79"/>
        </w:numPr>
        <w:jc w:val="both"/>
        <w:rPr>
          <w:b/>
          <w:i/>
          <w:sz w:val="22"/>
          <w:szCs w:val="22"/>
          <w:lang w:eastAsia="en-US"/>
        </w:rPr>
      </w:pPr>
      <w:r>
        <w:rPr>
          <w:b/>
          <w:i/>
          <w:sz w:val="22"/>
          <w:szCs w:val="22"/>
          <w:lang w:eastAsia="en-US"/>
        </w:rPr>
        <w:t xml:space="preserve">Suivi en phase de réalisation des activités agricole, </w:t>
      </w:r>
      <w:r>
        <w:rPr>
          <w:b/>
          <w:i/>
          <w:sz w:val="22"/>
          <w:szCs w:val="22"/>
          <w:lang w:eastAsia="en-US"/>
        </w:rPr>
        <w:t xml:space="preserve">arboricole, de conservation </w:t>
      </w:r>
      <w:r>
        <w:rPr>
          <w:b/>
          <w:i/>
          <w:sz w:val="22"/>
          <w:szCs w:val="22"/>
          <w:lang w:eastAsia="en-US"/>
        </w:rPr>
        <w:t xml:space="preserve">et de </w:t>
      </w:r>
      <w:r>
        <w:rPr>
          <w:b/>
          <w:i/>
          <w:sz w:val="22"/>
          <w:szCs w:val="22"/>
          <w:lang w:eastAsia="en-US"/>
        </w:rPr>
        <w:t>transform</w:t>
      </w:r>
      <w:r>
        <w:rPr>
          <w:b/>
          <w:i/>
          <w:sz w:val="22"/>
          <w:szCs w:val="22"/>
          <w:lang w:eastAsia="en-US"/>
        </w:rPr>
        <w:t>ation</w:t>
      </w:r>
    </w:p>
    <w:p>
      <w:pPr>
        <w:pStyle w:val="style0"/>
        <w:autoSpaceDE w:val="false"/>
        <w:autoSpaceDN w:val="false"/>
        <w:adjustRightInd w:val="false"/>
        <w:jc w:val="both"/>
        <w:rPr>
          <w:rFonts w:eastAsia="Calibri"/>
          <w:sz w:val="22"/>
          <w:szCs w:val="22"/>
          <w:lang w:eastAsia="en-US"/>
        </w:rPr>
      </w:pPr>
      <w:r>
        <w:rPr>
          <w:rFonts w:eastAsia="Calibri"/>
          <w:sz w:val="22"/>
          <w:szCs w:val="22"/>
          <w:lang w:eastAsia="en-US"/>
        </w:rPr>
        <w:t>Les recommandations de la législation nationale en matière de protection de l’environnement ainsi que les mesures de mitigation relatives à chaque type d’activité (aménagements hydro-agricoles,  arboriculture fruitière, unité de conservation</w:t>
      </w:r>
      <w:r>
        <w:rPr>
          <w:rFonts w:eastAsia="Calibri"/>
          <w:sz w:val="22"/>
          <w:szCs w:val="22"/>
          <w:lang w:eastAsia="en-US"/>
        </w:rPr>
        <w:t xml:space="preserve"> et de transformation</w:t>
      </w:r>
      <w:r>
        <w:rPr>
          <w:rFonts w:eastAsia="Calibri"/>
          <w:sz w:val="22"/>
          <w:szCs w:val="22"/>
          <w:lang w:eastAsia="en-US"/>
        </w:rPr>
        <w:t>) et contenues dans le</w:t>
      </w:r>
      <w:r>
        <w:rPr>
          <w:rFonts w:eastAsia="Calibri"/>
          <w:sz w:val="22"/>
          <w:szCs w:val="22"/>
          <w:lang w:eastAsia="en-US"/>
        </w:rPr>
        <w:t>s</w:t>
      </w:r>
      <w:r>
        <w:rPr>
          <w:rFonts w:eastAsia="Calibri"/>
          <w:sz w:val="22"/>
          <w:szCs w:val="22"/>
          <w:lang w:eastAsia="en-US"/>
        </w:rPr>
        <w:t xml:space="preserve"> PGES, doivent être scrupuleusement respectées. Mieux, toute mesure visant à optimiser la mise en place des infrastructures doit être mise à contribution. </w:t>
      </w:r>
    </w:p>
    <w:p>
      <w:pPr>
        <w:pStyle w:val="style0"/>
        <w:autoSpaceDE w:val="false"/>
        <w:autoSpaceDN w:val="false"/>
        <w:adjustRightInd w:val="false"/>
        <w:jc w:val="both"/>
        <w:rPr>
          <w:rFonts w:eastAsia="Calibri"/>
          <w:sz w:val="22"/>
          <w:szCs w:val="22"/>
          <w:lang w:eastAsia="en-US"/>
        </w:rPr>
      </w:pPr>
    </w:p>
    <w:p>
      <w:pPr>
        <w:pStyle w:val="style0"/>
        <w:numPr>
          <w:ilvl w:val="0"/>
          <w:numId w:val="79"/>
        </w:numPr>
        <w:jc w:val="both"/>
        <w:rPr>
          <w:b/>
          <w:i/>
          <w:sz w:val="22"/>
          <w:szCs w:val="22"/>
          <w:lang w:eastAsia="en-US"/>
        </w:rPr>
      </w:pPr>
      <w:r>
        <w:rPr>
          <w:b/>
          <w:i/>
          <w:sz w:val="22"/>
          <w:szCs w:val="22"/>
          <w:lang w:eastAsia="en-US"/>
        </w:rPr>
        <w:t>Suivi en phase d’exploitation des activités agricoles arboricole</w:t>
      </w:r>
      <w:r>
        <w:rPr>
          <w:b/>
          <w:i/>
          <w:sz w:val="22"/>
          <w:szCs w:val="22"/>
          <w:lang w:eastAsia="en-US"/>
        </w:rPr>
        <w:t>,</w:t>
      </w:r>
      <w:r>
        <w:rPr>
          <w:b/>
          <w:i/>
          <w:sz w:val="22"/>
          <w:szCs w:val="22"/>
          <w:lang w:eastAsia="en-US"/>
        </w:rPr>
        <w:t xml:space="preserve"> de conservation</w:t>
      </w:r>
      <w:r>
        <w:rPr>
          <w:b/>
          <w:i/>
          <w:sz w:val="22"/>
          <w:szCs w:val="22"/>
          <w:lang w:eastAsia="en-US"/>
        </w:rPr>
        <w:t xml:space="preserve"> et de transformation</w:t>
      </w:r>
    </w:p>
    <w:p>
      <w:pPr>
        <w:pStyle w:val="style0"/>
        <w:autoSpaceDE w:val="false"/>
        <w:autoSpaceDN w:val="false"/>
        <w:adjustRightInd w:val="false"/>
        <w:jc w:val="both"/>
        <w:rPr>
          <w:rFonts w:eastAsia="Calibri"/>
          <w:sz w:val="22"/>
          <w:szCs w:val="22"/>
          <w:lang w:eastAsia="en-US"/>
        </w:rPr>
      </w:pPr>
      <w:r>
        <w:rPr>
          <w:rFonts w:eastAsia="Calibri"/>
          <w:sz w:val="22"/>
          <w:szCs w:val="22"/>
          <w:lang w:eastAsia="en-US"/>
        </w:rPr>
        <w:t>Les principaux indicateurs de suivi au cours de la phase d’exploitation concernent pour :</w:t>
      </w:r>
    </w:p>
    <w:p>
      <w:pPr>
        <w:pStyle w:val="style0"/>
        <w:numPr>
          <w:ilvl w:val="0"/>
          <w:numId w:val="140"/>
        </w:numPr>
        <w:autoSpaceDE w:val="false"/>
        <w:autoSpaceDN w:val="false"/>
        <w:adjustRightInd w:val="false"/>
        <w:jc w:val="both"/>
        <w:rPr>
          <w:rFonts w:eastAsia="Calibri"/>
          <w:sz w:val="22"/>
          <w:szCs w:val="22"/>
          <w:lang w:eastAsia="en-US"/>
        </w:rPr>
      </w:pPr>
      <w:r>
        <w:rPr>
          <w:rFonts w:eastAsia="Calibri"/>
          <w:b/>
          <w:sz w:val="22"/>
          <w:szCs w:val="22"/>
          <w:lang w:eastAsia="en-US"/>
        </w:rPr>
        <w:t>les périmètres irrigués</w:t>
      </w:r>
      <w:r>
        <w:rPr>
          <w:rFonts w:eastAsia="Calibri"/>
          <w:sz w:val="22"/>
          <w:szCs w:val="22"/>
          <w:lang w:eastAsia="en-US"/>
        </w:rPr>
        <w:t> </w:t>
      </w:r>
      <w:r>
        <w:rPr>
          <w:rFonts w:eastAsia="Calibri"/>
          <w:b/>
          <w:sz w:val="22"/>
          <w:szCs w:val="22"/>
          <w:lang w:eastAsia="en-US"/>
        </w:rPr>
        <w:t>et les vergers</w:t>
      </w:r>
      <w:r>
        <w:rPr>
          <w:rFonts w:eastAsia="Calibri"/>
          <w:sz w:val="22"/>
          <w:szCs w:val="22"/>
          <w:lang w:eastAsia="en-US"/>
        </w:rPr>
        <w:t>: la qualité des ressources en eau, la qualité physico-chimique des sols, la dégradation des berges, l’état de la végétation, le comportement de la faune, les moyens techniques utilisés, la gestion des conflits liés aux dégâts d’animaux et fonciers, l’hygiène et la santé (maladies hydriques, intoxications)  etc.</w:t>
      </w:r>
    </w:p>
    <w:p>
      <w:pPr>
        <w:pStyle w:val="style0"/>
        <w:numPr>
          <w:ilvl w:val="0"/>
          <w:numId w:val="140"/>
        </w:numPr>
        <w:autoSpaceDE w:val="false"/>
        <w:autoSpaceDN w:val="false"/>
        <w:adjustRightInd w:val="false"/>
        <w:jc w:val="both"/>
        <w:rPr>
          <w:rFonts w:eastAsia="Calibri"/>
          <w:sz w:val="22"/>
          <w:szCs w:val="22"/>
          <w:lang w:eastAsia="en-US"/>
        </w:rPr>
      </w:pPr>
      <w:r>
        <w:rPr>
          <w:rFonts w:eastAsia="Calibri"/>
          <w:b/>
          <w:sz w:val="22"/>
          <w:szCs w:val="22"/>
          <w:lang w:eastAsia="en-US"/>
        </w:rPr>
        <w:t>les unités d</w:t>
      </w:r>
      <w:r>
        <w:rPr>
          <w:rFonts w:eastAsia="Calibri"/>
          <w:b/>
          <w:sz w:val="22"/>
          <w:szCs w:val="22"/>
          <w:lang w:eastAsia="en-US"/>
        </w:rPr>
        <w:t>e conservation et de transformation</w:t>
      </w:r>
      <w:r>
        <w:rPr>
          <w:rFonts w:eastAsia="Calibri"/>
          <w:sz w:val="22"/>
          <w:szCs w:val="22"/>
          <w:lang w:eastAsia="en-US"/>
        </w:rPr>
        <w:t> : le cadre de vie, l’hygiène, la gestion des déchets ; les risques d’accidents, nuisances liées aux odeurs</w:t>
      </w:r>
      <w:r>
        <w:rPr>
          <w:rFonts w:eastAsia="Calibri"/>
          <w:sz w:val="22"/>
          <w:szCs w:val="22"/>
          <w:lang w:eastAsia="en-US"/>
        </w:rPr>
        <w:t xml:space="preserve"> avec le voisinage</w:t>
      </w:r>
      <w:r>
        <w:rPr>
          <w:rFonts w:eastAsia="Calibri"/>
          <w:sz w:val="22"/>
          <w:szCs w:val="22"/>
          <w:lang w:eastAsia="en-US"/>
        </w:rPr>
        <w:t>, etc.</w:t>
      </w:r>
    </w:p>
    <w:bookmarkStart w:id="1389" w:name="_Toc244267225"/>
    <w:p>
      <w:pPr>
        <w:pStyle w:val="style157"/>
        <w:rPr>
          <w:rFonts w:ascii="Times New Roman" w:hAnsi="Times New Roman"/>
          <w:b/>
          <w:lang w:val="fr-FR"/>
        </w:rPr>
      </w:pPr>
    </w:p>
    <w:p>
      <w:pPr>
        <w:pStyle w:val="style157"/>
        <w:rPr>
          <w:rFonts w:ascii="Times New Roman" w:hAnsi="Times New Roman"/>
          <w:b/>
          <w:lang w:val="fr-FR"/>
        </w:rPr>
      </w:pPr>
      <w:r>
        <w:rPr>
          <w:rFonts w:ascii="Times New Roman" w:hAnsi="Times New Roman"/>
          <w:b/>
          <w:lang w:val="fr-FR"/>
        </w:rPr>
        <w:t>7</w:t>
      </w:r>
      <w:r>
        <w:rPr>
          <w:rFonts w:ascii="Times New Roman" w:hAnsi="Times New Roman"/>
          <w:b/>
          <w:lang w:val="fr-FR"/>
        </w:rPr>
        <w:t>.</w:t>
      </w:r>
      <w:r>
        <w:rPr>
          <w:rFonts w:ascii="Times New Roman" w:hAnsi="Times New Roman"/>
          <w:b/>
          <w:lang w:val="fr-FR"/>
        </w:rPr>
        <w:t>5</w:t>
      </w:r>
      <w:r>
        <w:rPr>
          <w:rFonts w:ascii="Times New Roman" w:hAnsi="Times New Roman"/>
          <w:b/>
          <w:lang w:val="fr-FR"/>
        </w:rPr>
        <w:t xml:space="preserve">.1.2. </w:t>
      </w:r>
      <w:r>
        <w:rPr>
          <w:rFonts w:ascii="Times New Roman" w:hAnsi="Times New Roman"/>
          <w:b/>
          <w:lang w:val="fr-FR"/>
        </w:rPr>
        <w:t>Indicateurs de suivi</w:t>
      </w:r>
      <w:bookmarkEnd w:id="1389"/>
      <w:r>
        <w:rPr>
          <w:rFonts w:ascii="Times New Roman" w:hAnsi="Times New Roman"/>
          <w:b/>
          <w:lang w:val="fr-FR"/>
        </w:rPr>
        <w:t xml:space="preserve"> </w:t>
      </w:r>
    </w:p>
    <w:p>
      <w:pPr>
        <w:pStyle w:val="style0"/>
        <w:autoSpaceDE w:val="false"/>
        <w:autoSpaceDN w:val="false"/>
        <w:adjustRightInd w:val="false"/>
        <w:jc w:val="both"/>
        <w:rPr>
          <w:rFonts w:eastAsia="Calibri"/>
          <w:sz w:val="22"/>
          <w:szCs w:val="22"/>
          <w:lang w:eastAsia="en-US"/>
        </w:rPr>
      </w:pPr>
      <w:r>
        <w:rPr>
          <w:rFonts w:eastAsia="Calibri"/>
          <w:sz w:val="22"/>
          <w:szCs w:val="22"/>
          <w:lang w:eastAsia="en-US"/>
        </w:rPr>
        <w:t xml:space="preserve">En tant que paramètres permettant de saisir l’évolution d’une situation donnée, les indicateurs environnementaux et sociaux qui vont permettre d’assurer le suivi de la mise en œuvre du plan de Gestion Environnementale et Sociale </w:t>
      </w:r>
      <w:r>
        <w:rPr>
          <w:rFonts w:eastAsia="Calibri"/>
          <w:sz w:val="22"/>
          <w:szCs w:val="22"/>
          <w:lang w:eastAsia="en-US"/>
        </w:rPr>
        <w:t xml:space="preserve">du Programme </w:t>
      </w:r>
      <w:r>
        <w:rPr>
          <w:rFonts w:eastAsia="Calibri"/>
          <w:sz w:val="22"/>
          <w:szCs w:val="22"/>
          <w:lang w:eastAsia="en-US"/>
        </w:rPr>
        <w:t>sont les suivants :</w:t>
      </w:r>
    </w:p>
    <w:p>
      <w:pPr>
        <w:pStyle w:val="style0"/>
        <w:rPr>
          <w:szCs w:val="22"/>
          <w:lang w:eastAsia="en-US"/>
        </w:rPr>
      </w:pPr>
    </w:p>
    <w:bookmarkStart w:id="1390" w:name="_Toc233465134"/>
    <w:p>
      <w:pPr>
        <w:pStyle w:val="style0"/>
        <w:numPr>
          <w:ilvl w:val="0"/>
          <w:numId w:val="79"/>
        </w:numPr>
        <w:rPr>
          <w:rFonts w:eastAsia="Calibri"/>
          <w:b/>
          <w:i/>
          <w:sz w:val="22"/>
          <w:szCs w:val="22"/>
          <w:lang w:eastAsia="en-US"/>
        </w:rPr>
      </w:pPr>
      <w:r>
        <w:rPr>
          <w:rFonts w:eastAsia="Calibri"/>
          <w:b/>
          <w:i/>
          <w:sz w:val="22"/>
          <w:szCs w:val="22"/>
          <w:lang w:eastAsia="en-US"/>
        </w:rPr>
        <w:t>Indicateurs d’ordre stratégique à suivre par l</w:t>
      </w:r>
      <w:bookmarkEnd w:id="1390"/>
      <w:r>
        <w:rPr>
          <w:rFonts w:eastAsia="Calibri"/>
          <w:b/>
          <w:i/>
          <w:sz w:val="22"/>
          <w:szCs w:val="22"/>
          <w:lang w:eastAsia="en-US"/>
        </w:rPr>
        <w:t xml:space="preserve">e </w:t>
      </w:r>
      <w:r>
        <w:rPr>
          <w:rFonts w:eastAsia="Calibri"/>
          <w:b/>
          <w:i/>
          <w:sz w:val="22"/>
          <w:szCs w:val="22"/>
          <w:lang w:eastAsia="en-US"/>
        </w:rPr>
        <w:t>Programme</w:t>
      </w:r>
      <w:r>
        <w:rPr>
          <w:rFonts w:eastAsia="Calibri"/>
          <w:b/>
          <w:i/>
          <w:sz w:val="22"/>
          <w:szCs w:val="22"/>
          <w:lang w:eastAsia="en-US"/>
        </w:rPr>
        <w:t xml:space="preserve"> (Comité de revue)</w:t>
      </w:r>
    </w:p>
    <w:p>
      <w:pPr>
        <w:pStyle w:val="style0"/>
        <w:jc w:val="both"/>
        <w:rPr>
          <w:sz w:val="22"/>
          <w:szCs w:val="22"/>
          <w:lang w:eastAsia="en-US"/>
        </w:rPr>
      </w:pPr>
      <w:r>
        <w:rPr>
          <w:sz w:val="22"/>
          <w:szCs w:val="22"/>
          <w:lang w:eastAsia="en-US"/>
        </w:rPr>
        <w:t xml:space="preserve">Les indicateurs stratégiques à suivre par le Comité de revue du </w:t>
      </w:r>
      <w:r>
        <w:rPr>
          <w:sz w:val="22"/>
          <w:szCs w:val="22"/>
          <w:lang w:eastAsia="en-US"/>
        </w:rPr>
        <w:t>Programme</w:t>
      </w:r>
      <w:r>
        <w:rPr>
          <w:sz w:val="22"/>
          <w:szCs w:val="22"/>
          <w:lang w:eastAsia="en-US"/>
        </w:rPr>
        <w:t xml:space="preserve"> sont les suivants:</w:t>
      </w:r>
    </w:p>
    <w:p>
      <w:pPr>
        <w:pStyle w:val="style0"/>
        <w:numPr>
          <w:ilvl w:val="0"/>
          <w:numId w:val="94"/>
        </w:numPr>
        <w:tabs>
          <w:tab w:val="clear" w:pos="1068"/>
        </w:tabs>
        <w:autoSpaceDE w:val="false"/>
        <w:autoSpaceDN w:val="false"/>
        <w:adjustRightInd w:val="false"/>
        <w:ind w:left="720"/>
        <w:rPr>
          <w:color w:val="000000"/>
          <w:sz w:val="22"/>
          <w:szCs w:val="22"/>
          <w:lang w:eastAsia="en-US"/>
        </w:rPr>
      </w:pPr>
      <w:r>
        <w:rPr>
          <w:color w:val="000000"/>
          <w:sz w:val="22"/>
          <w:szCs w:val="22"/>
          <w:lang w:eastAsia="en-US"/>
        </w:rPr>
        <w:t xml:space="preserve">le recrutement </w:t>
      </w:r>
      <w:r>
        <w:rPr>
          <w:color w:val="000000"/>
          <w:sz w:val="22"/>
          <w:szCs w:val="22"/>
          <w:lang w:eastAsia="en-US"/>
        </w:rPr>
        <w:t>des spécialistes en sauvegardes env</w:t>
      </w:r>
      <w:r>
        <w:rPr>
          <w:color w:val="000000"/>
          <w:sz w:val="22"/>
          <w:szCs w:val="22"/>
          <w:lang w:eastAsia="en-US"/>
        </w:rPr>
        <w:t>ironnement</w:t>
      </w:r>
      <w:r>
        <w:rPr>
          <w:color w:val="000000"/>
          <w:sz w:val="22"/>
          <w:szCs w:val="22"/>
          <w:lang w:eastAsia="en-US"/>
        </w:rPr>
        <w:t>ales et sociales</w:t>
      </w:r>
      <w:r>
        <w:rPr>
          <w:color w:val="000000"/>
          <w:sz w:val="22"/>
          <w:szCs w:val="22"/>
          <w:lang w:eastAsia="en-US"/>
        </w:rPr>
        <w:t xml:space="preserve"> </w:t>
      </w:r>
      <w:r>
        <w:rPr>
          <w:color w:val="000000"/>
          <w:sz w:val="22"/>
          <w:szCs w:val="22"/>
          <w:lang w:eastAsia="en-US"/>
        </w:rPr>
        <w:t>au sein de l’U</w:t>
      </w:r>
      <w:r>
        <w:rPr>
          <w:color w:val="000000"/>
          <w:sz w:val="22"/>
          <w:szCs w:val="22"/>
          <w:lang w:eastAsia="en-US"/>
        </w:rPr>
        <w:t>NC</w:t>
      </w:r>
      <w:r>
        <w:rPr>
          <w:color w:val="000000"/>
          <w:sz w:val="22"/>
          <w:szCs w:val="22"/>
          <w:lang w:eastAsia="en-US"/>
        </w:rPr>
        <w:t> ;</w:t>
      </w:r>
    </w:p>
    <w:p>
      <w:pPr>
        <w:pStyle w:val="style0"/>
        <w:numPr>
          <w:ilvl w:val="0"/>
          <w:numId w:val="94"/>
        </w:numPr>
        <w:tabs>
          <w:tab w:val="clear" w:pos="1068"/>
        </w:tabs>
        <w:autoSpaceDE w:val="false"/>
        <w:autoSpaceDN w:val="false"/>
        <w:adjustRightInd w:val="false"/>
        <w:ind w:left="720"/>
        <w:rPr>
          <w:color w:val="000000"/>
          <w:sz w:val="22"/>
          <w:szCs w:val="22"/>
          <w:lang w:eastAsia="en-US"/>
        </w:rPr>
      </w:pPr>
      <w:r>
        <w:rPr>
          <w:color w:val="000000"/>
          <w:sz w:val="22"/>
          <w:szCs w:val="22"/>
          <w:lang w:eastAsia="en-US"/>
        </w:rPr>
        <w:t>l’effectivité de la sélection environnementale et sociale et de la réalisation des EIES/NIES ;</w:t>
      </w:r>
    </w:p>
    <w:p>
      <w:pPr>
        <w:pStyle w:val="style0"/>
        <w:numPr>
          <w:ilvl w:val="0"/>
          <w:numId w:val="94"/>
        </w:numPr>
        <w:tabs>
          <w:tab w:val="clear" w:pos="1068"/>
        </w:tabs>
        <w:autoSpaceDE w:val="false"/>
        <w:autoSpaceDN w:val="false"/>
        <w:adjustRightInd w:val="false"/>
        <w:ind w:left="720"/>
        <w:jc w:val="both"/>
        <w:rPr>
          <w:sz w:val="22"/>
          <w:szCs w:val="22"/>
          <w:lang w:eastAsia="en-US"/>
        </w:rPr>
      </w:pPr>
      <w:r>
        <w:rPr>
          <w:sz w:val="22"/>
          <w:szCs w:val="22"/>
          <w:lang w:eastAsia="en-US"/>
        </w:rPr>
        <w:t>la mise en œuvre des activités de formation/sensibilisation ;</w:t>
      </w:r>
    </w:p>
    <w:p>
      <w:pPr>
        <w:pStyle w:val="style0"/>
        <w:numPr>
          <w:ilvl w:val="0"/>
          <w:numId w:val="94"/>
        </w:numPr>
        <w:tabs>
          <w:tab w:val="clear" w:pos="1068"/>
        </w:tabs>
        <w:ind w:left="720"/>
        <w:jc w:val="both"/>
        <w:rPr>
          <w:sz w:val="22"/>
          <w:szCs w:val="22"/>
          <w:lang w:eastAsia="en-US"/>
        </w:rPr>
      </w:pPr>
      <w:r>
        <w:rPr>
          <w:sz w:val="22"/>
          <w:szCs w:val="22"/>
          <w:lang w:eastAsia="en-US"/>
        </w:rPr>
        <w:t>l’effectivité de la coordination et du suivi environnemental et social par le BUNEE.</w:t>
      </w:r>
    </w:p>
    <w:bookmarkStart w:id="1391" w:name="_Toc157515163"/>
    <w:bookmarkStart w:id="1392" w:name="_Toc157515164"/>
    <w:bookmarkStart w:id="1393" w:name="_Toc157515165"/>
    <w:bookmarkStart w:id="1394" w:name="_Toc157515166"/>
    <w:bookmarkStart w:id="1395" w:name="_Toc157515167"/>
    <w:bookmarkStart w:id="1396" w:name="_Toc157515168"/>
    <w:bookmarkStart w:id="1397" w:name="_Toc157515169"/>
    <w:bookmarkStart w:id="1398" w:name="_Toc157515170"/>
    <w:bookmarkStart w:id="1399" w:name="_Toc157515171"/>
    <w:bookmarkStart w:id="1400" w:name="_Toc157515172"/>
    <w:bookmarkStart w:id="1401" w:name="_Toc157436586"/>
    <w:bookmarkStart w:id="1402" w:name="_Toc157436792"/>
    <w:bookmarkStart w:id="1403" w:name="_Toc157436588"/>
    <w:bookmarkStart w:id="1404" w:name="_Toc157436794"/>
    <w:bookmarkStart w:id="1405" w:name="_Toc157436589"/>
    <w:bookmarkStart w:id="1406" w:name="_Toc157436795"/>
    <w:bookmarkStart w:id="1407" w:name="_Toc157436591"/>
    <w:bookmarkStart w:id="1408" w:name="_Toc157436797"/>
    <w:bookmarkStart w:id="1409" w:name="_Toc157436592"/>
    <w:bookmarkStart w:id="1410" w:name="_Toc157436798"/>
    <w:bookmarkStart w:id="1411" w:name="_Toc157436593"/>
    <w:bookmarkStart w:id="1412" w:name="_Toc157436799"/>
    <w:bookmarkStart w:id="1413" w:name="_Toc157436594"/>
    <w:bookmarkStart w:id="1414" w:name="_Toc157436800"/>
    <w:bookmarkStart w:id="1415" w:name="_Toc157436595"/>
    <w:bookmarkStart w:id="1416" w:name="_Toc157436801"/>
    <w:bookmarkStart w:id="1417" w:name="_Toc157436596"/>
    <w:bookmarkStart w:id="1418" w:name="_Toc157436802"/>
    <w:bookmarkStart w:id="1419" w:name="_Toc157436597"/>
    <w:bookmarkStart w:id="1420" w:name="_Toc157436803"/>
    <w:bookmarkStart w:id="1421" w:name="_Toc157436600"/>
    <w:bookmarkStart w:id="1422" w:name="_Toc157436806"/>
    <w:bookmarkStart w:id="1423" w:name="_Toc157436612"/>
    <w:bookmarkStart w:id="1424" w:name="_Toc157436818"/>
    <w:bookmarkStart w:id="1425" w:name="_Toc157436613"/>
    <w:bookmarkStart w:id="1426" w:name="_Toc157436819"/>
    <w:bookmarkStart w:id="1427" w:name="_Toc157436618"/>
    <w:bookmarkStart w:id="1428" w:name="_Toc157436824"/>
    <w:bookmarkStart w:id="1429" w:name="_Toc157436620"/>
    <w:bookmarkStart w:id="1430" w:name="_Toc157436826"/>
    <w:bookmarkStart w:id="1431" w:name="_Toc157436621"/>
    <w:bookmarkStart w:id="1432" w:name="_Toc157436827"/>
    <w:bookmarkStart w:id="1433" w:name="_Toc157436622"/>
    <w:bookmarkStart w:id="1434" w:name="_Toc157436828"/>
    <w:bookmarkStart w:id="1435" w:name="_Toc157436623"/>
    <w:bookmarkStart w:id="1436" w:name="_Toc157436829"/>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Pr>
        <w:pStyle w:val="style0"/>
        <w:rPr>
          <w:b/>
          <w:i/>
          <w:szCs w:val="22"/>
          <w:lang w:eastAsia="en-US"/>
        </w:rPr>
      </w:pPr>
    </w:p>
    <w:p>
      <w:pPr>
        <w:pStyle w:val="style0"/>
        <w:numPr>
          <w:ilvl w:val="0"/>
          <w:numId w:val="79"/>
        </w:numPr>
        <w:rPr>
          <w:rFonts w:eastAsia="Calibri"/>
          <w:b/>
          <w:i/>
          <w:sz w:val="22"/>
          <w:szCs w:val="22"/>
          <w:lang w:eastAsia="en-US"/>
        </w:rPr>
      </w:pPr>
      <w:r>
        <w:rPr>
          <w:rFonts w:eastAsia="Calibri"/>
          <w:b/>
          <w:i/>
          <w:sz w:val="22"/>
          <w:szCs w:val="22"/>
          <w:lang w:eastAsia="en-US"/>
        </w:rPr>
        <w:t xml:space="preserve">Indicateurs à suivre dans le cadre du </w:t>
      </w:r>
      <w:r>
        <w:rPr>
          <w:rFonts w:eastAsia="Calibri"/>
          <w:b/>
          <w:i/>
          <w:sz w:val="22"/>
          <w:szCs w:val="22"/>
          <w:lang w:eastAsia="en-US"/>
        </w:rPr>
        <w:t>Programme</w:t>
      </w:r>
      <w:r>
        <w:rPr>
          <w:rFonts w:eastAsia="Calibri"/>
          <w:b/>
          <w:i/>
          <w:sz w:val="22"/>
          <w:szCs w:val="22"/>
          <w:lang w:eastAsia="en-US"/>
        </w:rPr>
        <w:t xml:space="preserve"> (UNC)</w:t>
      </w:r>
    </w:p>
    <w:p>
      <w:pPr>
        <w:pStyle w:val="style0"/>
        <w:autoSpaceDE w:val="false"/>
        <w:autoSpaceDN w:val="false"/>
        <w:adjustRightInd w:val="false"/>
        <w:jc w:val="both"/>
        <w:rPr>
          <w:sz w:val="22"/>
          <w:szCs w:val="22"/>
          <w:lang w:eastAsia="en-US"/>
        </w:rPr>
      </w:pPr>
      <w:r>
        <w:rPr>
          <w:sz w:val="22"/>
          <w:szCs w:val="22"/>
          <w:lang w:eastAsia="en-US"/>
        </w:rPr>
        <w:t xml:space="preserve">Le suivi sera effectué en </w:t>
      </w:r>
      <w:r>
        <w:rPr>
          <w:sz w:val="22"/>
          <w:szCs w:val="22"/>
          <w:u w:val="single"/>
          <w:lang w:eastAsia="en-US"/>
        </w:rPr>
        <w:t>« interne »</w:t>
      </w:r>
      <w:r>
        <w:rPr>
          <w:sz w:val="22"/>
          <w:szCs w:val="22"/>
          <w:lang w:eastAsia="en-US"/>
        </w:rPr>
        <w:t xml:space="preserve"> par l</w:t>
      </w:r>
      <w:r>
        <w:rPr>
          <w:sz w:val="22"/>
          <w:szCs w:val="22"/>
          <w:lang w:eastAsia="en-US"/>
        </w:rPr>
        <w:t xml:space="preserve">es spécialistes en sauvegardes </w:t>
      </w:r>
      <w:r>
        <w:rPr>
          <w:sz w:val="22"/>
          <w:szCs w:val="22"/>
          <w:lang w:eastAsia="en-US"/>
        </w:rPr>
        <w:t>environnementale et sociale  de l’U</w:t>
      </w:r>
      <w:r>
        <w:rPr>
          <w:sz w:val="22"/>
          <w:szCs w:val="22"/>
          <w:lang w:eastAsia="en-US"/>
        </w:rPr>
        <w:t>N</w:t>
      </w:r>
      <w:r>
        <w:rPr>
          <w:sz w:val="22"/>
          <w:szCs w:val="22"/>
          <w:lang w:eastAsia="en-US"/>
        </w:rPr>
        <w:t xml:space="preserve">C, durant toute la phase d’exécution des </w:t>
      </w:r>
      <w:r>
        <w:rPr>
          <w:sz w:val="22"/>
          <w:szCs w:val="22"/>
          <w:lang w:eastAsia="en-US"/>
        </w:rPr>
        <w:t>sous</w:t>
      </w:r>
      <w:r>
        <w:rPr>
          <w:sz w:val="22"/>
          <w:szCs w:val="22"/>
          <w:lang w:eastAsia="en-US"/>
        </w:rPr>
        <w:t>-projets et portera sur les indicateurs suivants :</w:t>
      </w:r>
    </w:p>
    <w:p>
      <w:pPr>
        <w:pStyle w:val="style0"/>
        <w:autoSpaceDE w:val="false"/>
        <w:autoSpaceDN w:val="false"/>
        <w:adjustRightInd w:val="false"/>
        <w:jc w:val="both"/>
        <w:rPr>
          <w:sz w:val="22"/>
          <w:szCs w:val="22"/>
          <w:lang w:eastAsia="en-US"/>
        </w:rPr>
      </w:pPr>
    </w:p>
    <w:p>
      <w:pPr>
        <w:pStyle w:val="style0"/>
        <w:numPr>
          <w:ilvl w:val="0"/>
          <w:numId w:val="21"/>
        </w:numPr>
        <w:autoSpaceDE w:val="false"/>
        <w:autoSpaceDN w:val="false"/>
        <w:adjustRightInd w:val="false"/>
        <w:jc w:val="both"/>
        <w:rPr>
          <w:b/>
          <w:sz w:val="22"/>
          <w:szCs w:val="22"/>
          <w:lang w:eastAsia="en-US"/>
        </w:rPr>
      </w:pPr>
      <w:r>
        <w:rPr>
          <w:b/>
          <w:sz w:val="22"/>
          <w:szCs w:val="22"/>
          <w:lang w:eastAsia="en-US"/>
        </w:rPr>
        <w:t>Indicateurs quantitatifs</w:t>
      </w:r>
    </w:p>
    <w:p>
      <w:pPr>
        <w:pStyle w:val="style0"/>
        <w:autoSpaceDE w:val="false"/>
        <w:autoSpaceDN w:val="false"/>
        <w:adjustRightInd w:val="false"/>
        <w:jc w:val="both"/>
        <w:rPr>
          <w:sz w:val="22"/>
          <w:szCs w:val="22"/>
          <w:lang w:eastAsia="en-US"/>
        </w:rPr>
      </w:pPr>
    </w:p>
    <w:p>
      <w:pPr>
        <w:pStyle w:val="style0"/>
        <w:numPr>
          <w:ilvl w:val="0"/>
          <w:numId w:val="120"/>
        </w:numPr>
        <w:autoSpaceDE w:val="false"/>
        <w:autoSpaceDN w:val="false"/>
        <w:adjustRightInd w:val="false"/>
        <w:jc w:val="both"/>
        <w:rPr>
          <w:sz w:val="22"/>
          <w:szCs w:val="22"/>
          <w:lang w:eastAsia="en-US"/>
        </w:rPr>
      </w:pPr>
      <w:r>
        <w:rPr>
          <w:sz w:val="22"/>
          <w:szCs w:val="22"/>
          <w:lang w:eastAsia="en-US"/>
        </w:rPr>
        <w:t>nombre de sous-projets passés par une sélection environnementale et sociale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 xml:space="preserve">nombre de sous-projets ayant nécessité la conduite d’une EIES ou d’une NIES avec PGES mis en œuvre ;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bCs/>
          <w:sz w:val="22"/>
          <w:szCs w:val="22"/>
        </w:rPr>
        <w:t>nombre de sous-projets ayant fait l'objet de suivi environnemental et de « reporting »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nombre de campagnes de sensibilisations réalisées ;</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 xml:space="preserve">nombre </w:t>
      </w:r>
      <w:r>
        <w:rPr>
          <w:sz w:val="22"/>
          <w:szCs w:val="22"/>
          <w:lang w:eastAsia="en-US"/>
        </w:rPr>
        <w:t>d’arbres p</w:t>
      </w:r>
      <w:r>
        <w:rPr>
          <w:sz w:val="22"/>
          <w:szCs w:val="22"/>
          <w:lang w:eastAsia="en-US"/>
        </w:rPr>
        <w:t>lantés après l’implantation des infrastructures (parcelle agricole irriguée, unité de conservation et de transformation, etc.)</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nombre de séances de formation/sensibilisation organisées au profit des acteurs</w:t>
      </w:r>
    </w:p>
    <w:p>
      <w:pPr>
        <w:pStyle w:val="style0"/>
        <w:numPr>
          <w:ilvl w:val="0"/>
          <w:numId w:val="94"/>
        </w:numPr>
        <w:tabs>
          <w:tab w:val="left" w:leader="none" w:pos="720"/>
        </w:tabs>
        <w:autoSpaceDE w:val="false"/>
        <w:autoSpaceDN w:val="false"/>
        <w:adjustRightInd w:val="false"/>
        <w:ind w:left="720"/>
        <w:jc w:val="both"/>
        <w:rPr>
          <w:sz w:val="22"/>
          <w:szCs w:val="22"/>
          <w:lang w:eastAsia="en-US"/>
        </w:rPr>
      </w:pPr>
      <w:r>
        <w:rPr>
          <w:sz w:val="22"/>
          <w:szCs w:val="22"/>
          <w:lang w:eastAsia="en-US"/>
        </w:rPr>
        <w:t>nombre et type de réclamations enregistrées et traitées.</w:t>
      </w:r>
    </w:p>
    <w:p>
      <w:pPr>
        <w:pStyle w:val="style0"/>
        <w:autoSpaceDE w:val="false"/>
        <w:autoSpaceDN w:val="false"/>
        <w:adjustRightInd w:val="false"/>
        <w:ind w:left="720"/>
        <w:jc w:val="both"/>
        <w:rPr>
          <w:sz w:val="22"/>
          <w:szCs w:val="22"/>
          <w:lang w:eastAsia="en-US"/>
        </w:rPr>
      </w:pPr>
    </w:p>
    <w:p>
      <w:pPr>
        <w:pStyle w:val="style0"/>
        <w:autoSpaceDE w:val="false"/>
        <w:autoSpaceDN w:val="false"/>
        <w:adjustRightInd w:val="false"/>
        <w:ind w:left="720"/>
        <w:jc w:val="both"/>
        <w:rPr>
          <w:sz w:val="22"/>
          <w:szCs w:val="22"/>
          <w:lang w:eastAsia="en-US"/>
        </w:rPr>
      </w:pPr>
    </w:p>
    <w:p>
      <w:pPr>
        <w:pStyle w:val="style0"/>
        <w:numPr>
          <w:ilvl w:val="0"/>
          <w:numId w:val="113"/>
        </w:numPr>
        <w:autoSpaceDE w:val="false"/>
        <w:autoSpaceDN w:val="false"/>
        <w:adjustRightInd w:val="false"/>
        <w:jc w:val="both"/>
        <w:rPr>
          <w:b/>
          <w:sz w:val="22"/>
          <w:szCs w:val="22"/>
          <w:lang w:eastAsia="en-US"/>
        </w:rPr>
      </w:pPr>
      <w:r>
        <w:rPr>
          <w:b/>
          <w:sz w:val="22"/>
          <w:szCs w:val="22"/>
          <w:lang w:eastAsia="en-US"/>
        </w:rPr>
        <w:t>Indicateurs q</w:t>
      </w:r>
      <w:r>
        <w:rPr>
          <w:b/>
          <w:sz w:val="22"/>
          <w:szCs w:val="22"/>
          <w:lang w:eastAsia="en-US"/>
        </w:rPr>
        <w:t>uali</w:t>
      </w:r>
      <w:r>
        <w:rPr>
          <w:b/>
          <w:sz w:val="22"/>
          <w:szCs w:val="22"/>
          <w:lang w:eastAsia="en-US"/>
        </w:rPr>
        <w:t>tatifs</w:t>
      </w:r>
    </w:p>
    <w:p>
      <w:pPr>
        <w:pStyle w:val="style0"/>
        <w:numPr>
          <w:ilvl w:val="0"/>
          <w:numId w:val="94"/>
        </w:numPr>
        <w:tabs>
          <w:tab w:val="clear" w:pos="1068"/>
        </w:tabs>
        <w:autoSpaceDE w:val="false"/>
        <w:autoSpaceDN w:val="false"/>
        <w:adjustRightInd w:val="false"/>
        <w:ind w:left="720"/>
        <w:jc w:val="both"/>
        <w:rPr>
          <w:sz w:val="22"/>
          <w:szCs w:val="22"/>
          <w:lang w:eastAsia="en-US"/>
        </w:rPr>
      </w:pPr>
      <w:r>
        <w:rPr>
          <w:sz w:val="22"/>
          <w:szCs w:val="22"/>
          <w:lang w:eastAsia="en-US"/>
        </w:rPr>
        <w:t>Niveau d’implication des collectivités et acteurs locaux dans le suivi des travaux</w:t>
      </w:r>
      <w:r>
        <w:rPr>
          <w:sz w:val="22"/>
          <w:szCs w:val="22"/>
          <w:lang w:eastAsia="en-US"/>
        </w:rPr>
        <w:t> ;</w:t>
      </w:r>
    </w:p>
    <w:p>
      <w:pPr>
        <w:pStyle w:val="style0"/>
        <w:numPr>
          <w:ilvl w:val="0"/>
          <w:numId w:val="94"/>
        </w:numPr>
        <w:tabs>
          <w:tab w:val="clear" w:pos="1068"/>
        </w:tabs>
        <w:autoSpaceDE w:val="false"/>
        <w:autoSpaceDN w:val="false"/>
        <w:adjustRightInd w:val="false"/>
        <w:ind w:left="720"/>
        <w:jc w:val="both"/>
        <w:rPr>
          <w:sz w:val="22"/>
          <w:szCs w:val="22"/>
          <w:lang w:eastAsia="en-US"/>
        </w:rPr>
      </w:pPr>
      <w:r>
        <w:rPr>
          <w:sz w:val="22"/>
          <w:szCs w:val="22"/>
          <w:lang w:eastAsia="en-US"/>
        </w:rPr>
        <w:t xml:space="preserve">Niveau de consensus (approbation) sur le choix des sites de </w:t>
      </w:r>
      <w:r>
        <w:rPr>
          <w:sz w:val="22"/>
          <w:szCs w:val="22"/>
          <w:lang w:eastAsia="en-US"/>
        </w:rPr>
        <w:t>sous</w:t>
      </w:r>
      <w:r>
        <w:rPr>
          <w:sz w:val="22"/>
          <w:szCs w:val="22"/>
          <w:lang w:eastAsia="en-US"/>
        </w:rPr>
        <w:t>-projets</w:t>
      </w:r>
      <w:r>
        <w:rPr>
          <w:sz w:val="22"/>
          <w:szCs w:val="22"/>
          <w:lang w:eastAsia="en-US"/>
        </w:rPr>
        <w:t> ;</w:t>
      </w:r>
    </w:p>
    <w:p>
      <w:pPr>
        <w:pStyle w:val="style0"/>
        <w:numPr>
          <w:ilvl w:val="0"/>
          <w:numId w:val="94"/>
        </w:numPr>
        <w:tabs>
          <w:tab w:val="clear" w:pos="1068"/>
        </w:tabs>
        <w:autoSpaceDE w:val="false"/>
        <w:autoSpaceDN w:val="false"/>
        <w:adjustRightInd w:val="false"/>
        <w:ind w:left="720"/>
        <w:jc w:val="both"/>
        <w:rPr>
          <w:sz w:val="22"/>
          <w:szCs w:val="22"/>
          <w:lang w:eastAsia="en-US"/>
        </w:rPr>
      </w:pPr>
      <w:r>
        <w:rPr>
          <w:sz w:val="22"/>
          <w:szCs w:val="22"/>
          <w:lang w:eastAsia="en-US"/>
        </w:rPr>
        <w:t>Niveau de respect des mesures d’hygiène et de sécurité</w:t>
      </w:r>
      <w:r>
        <w:rPr>
          <w:sz w:val="22"/>
          <w:szCs w:val="22"/>
          <w:lang w:eastAsia="en-US"/>
        </w:rPr>
        <w:t> ;</w:t>
      </w:r>
    </w:p>
    <w:p>
      <w:pPr>
        <w:pStyle w:val="style0"/>
        <w:numPr>
          <w:ilvl w:val="0"/>
          <w:numId w:val="94"/>
        </w:numPr>
        <w:tabs>
          <w:tab w:val="clear" w:pos="1068"/>
        </w:tabs>
        <w:autoSpaceDE w:val="false"/>
        <w:autoSpaceDN w:val="false"/>
        <w:adjustRightInd w:val="false"/>
        <w:ind w:left="720"/>
        <w:jc w:val="both"/>
        <w:rPr>
          <w:sz w:val="22"/>
          <w:szCs w:val="22"/>
          <w:lang w:eastAsia="en-US"/>
        </w:rPr>
      </w:pPr>
      <w:r>
        <w:rPr>
          <w:sz w:val="22"/>
          <w:szCs w:val="22"/>
          <w:lang w:eastAsia="en-US"/>
        </w:rPr>
        <w:t>Types de mesures de gestion des déchets et des eaux usées</w:t>
      </w:r>
      <w:r>
        <w:rPr>
          <w:sz w:val="22"/>
          <w:szCs w:val="22"/>
          <w:lang w:eastAsia="en-US"/>
        </w:rPr>
        <w:t>.</w:t>
      </w:r>
    </w:p>
    <w:p>
      <w:pPr>
        <w:pStyle w:val="style0"/>
        <w:jc w:val="both"/>
        <w:rPr>
          <w:sz w:val="22"/>
          <w:szCs w:val="22"/>
          <w:lang w:eastAsia="en-US"/>
        </w:rPr>
      </w:pPr>
    </w:p>
    <w:bookmarkStart w:id="1437" w:name="_Toc686135"/>
    <w:bookmarkStart w:id="1438" w:name="_Toc2780513"/>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5</w:t>
      </w:r>
      <w:r>
        <w:rPr>
          <w:rFonts w:ascii="Times New Roman Bold" w:hAnsi="Times New Roman Bold"/>
          <w:b/>
          <w:bCs w:val="false"/>
          <w:spacing w:val="-3"/>
          <w:u w:val="none"/>
          <w:lang w:eastAsia="en-US"/>
        </w:rPr>
        <w:t xml:space="preserve">.2. </w:t>
      </w:r>
      <w:r>
        <w:rPr>
          <w:rFonts w:ascii="Times New Roman Bold" w:hAnsi="Times New Roman Bold"/>
          <w:b/>
          <w:bCs w:val="false"/>
          <w:spacing w:val="-3"/>
          <w:u w:val="none"/>
          <w:lang w:eastAsia="en-US"/>
        </w:rPr>
        <w:t>Suivi des impacts cumulatifs</w:t>
      </w:r>
      <w:bookmarkEnd w:id="1437"/>
      <w:bookmarkEnd w:id="1438"/>
    </w:p>
    <w:p>
      <w:pPr>
        <w:pStyle w:val="style0"/>
        <w:jc w:val="both"/>
        <w:rPr>
          <w:sz w:val="22"/>
          <w:szCs w:val="22"/>
          <w:lang w:eastAsia="en-US"/>
        </w:rPr>
      </w:pPr>
      <w:r>
        <w:rPr>
          <w:sz w:val="22"/>
          <w:szCs w:val="22"/>
          <w:lang w:eastAsia="en-US"/>
        </w:rPr>
        <w:t>Que ce soit au niveau des aménagements hydro-agricoles communautaires</w:t>
      </w:r>
      <w:r>
        <w:rPr>
          <w:sz w:val="22"/>
          <w:szCs w:val="22"/>
          <w:lang w:eastAsia="en-US"/>
        </w:rPr>
        <w:t xml:space="preserve">, des vergers, </w:t>
      </w:r>
      <w:r>
        <w:rPr>
          <w:sz w:val="22"/>
          <w:szCs w:val="22"/>
          <w:lang w:eastAsia="en-US"/>
        </w:rPr>
        <w:t>de</w:t>
      </w:r>
      <w:r>
        <w:rPr>
          <w:sz w:val="22"/>
          <w:szCs w:val="22"/>
          <w:lang w:eastAsia="en-US"/>
        </w:rPr>
        <w:t>s unités de conservation et transformation, i</w:t>
      </w:r>
      <w:r>
        <w:rPr>
          <w:sz w:val="22"/>
          <w:szCs w:val="22"/>
          <w:lang w:eastAsia="en-US"/>
        </w:rPr>
        <w:t>l sera difficile de conduire un suivi individuel. Ce faisant, il sera privilégié un suivi global afin de déterminer les impacts cumulatifs de ces projets sur le cadre de vie et l’environnement naturel.</w:t>
      </w:r>
    </w:p>
    <w:p>
      <w:pPr>
        <w:pStyle w:val="style0"/>
        <w:jc w:val="both"/>
        <w:rPr>
          <w:sz w:val="22"/>
          <w:szCs w:val="22"/>
          <w:lang w:eastAsia="en-US"/>
        </w:rPr>
      </w:pPr>
    </w:p>
    <w:bookmarkStart w:id="1439" w:name="_Toc686136"/>
    <w:bookmarkStart w:id="1440" w:name="_Toc2780514"/>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5.</w:t>
      </w:r>
      <w:r>
        <w:rPr>
          <w:rFonts w:ascii="Times New Roman Bold" w:hAnsi="Times New Roman Bold"/>
          <w:b/>
          <w:bCs w:val="false"/>
          <w:spacing w:val="-3"/>
          <w:u w:val="none"/>
          <w:lang w:eastAsia="en-US"/>
        </w:rPr>
        <w:t xml:space="preserve">3. </w:t>
      </w:r>
      <w:r>
        <w:rPr>
          <w:rFonts w:ascii="Times New Roman Bold" w:hAnsi="Times New Roman Bold"/>
          <w:b/>
          <w:bCs w:val="false"/>
          <w:spacing w:val="-3"/>
          <w:u w:val="none"/>
          <w:lang w:eastAsia="en-US"/>
        </w:rPr>
        <w:t>Implication des laboratoires spécialisés d’analyse</w:t>
      </w:r>
      <w:r>
        <w:rPr>
          <w:rFonts w:ascii="Times New Roman Bold" w:hAnsi="Times New Roman Bold"/>
          <w:b/>
          <w:bCs w:val="false"/>
          <w:spacing w:val="-3"/>
          <w:u w:val="none"/>
          <w:lang w:eastAsia="en-US"/>
        </w:rPr>
        <w:t>s</w:t>
      </w:r>
      <w:r>
        <w:rPr>
          <w:rFonts w:ascii="Times New Roman Bold" w:hAnsi="Times New Roman Bold"/>
          <w:b/>
          <w:bCs w:val="false"/>
          <w:spacing w:val="-3"/>
          <w:u w:val="none"/>
          <w:lang w:eastAsia="en-US"/>
        </w:rPr>
        <w:t xml:space="preserve"> dans le suivi</w:t>
      </w:r>
      <w:bookmarkEnd w:id="1439"/>
      <w:bookmarkEnd w:id="1440"/>
      <w:r>
        <w:rPr>
          <w:rFonts w:ascii="Times New Roman Bold" w:hAnsi="Times New Roman Bold"/>
          <w:b/>
          <w:bCs w:val="false"/>
          <w:spacing w:val="-3"/>
          <w:u w:val="none"/>
          <w:lang w:eastAsia="en-US"/>
        </w:rPr>
        <w:t xml:space="preserve"> </w:t>
      </w:r>
    </w:p>
    <w:p>
      <w:pPr>
        <w:pStyle w:val="style0"/>
        <w:jc w:val="both"/>
        <w:rPr>
          <w:sz w:val="22"/>
          <w:szCs w:val="22"/>
          <w:lang w:eastAsia="en-US"/>
        </w:rPr>
      </w:pPr>
      <w:r>
        <w:rPr>
          <w:sz w:val="22"/>
          <w:szCs w:val="22"/>
          <w:lang w:eastAsia="en-US"/>
        </w:rPr>
        <w:t xml:space="preserve">Les cours et plans d’eau sollicités dans le cadre des périmètres irrigués </w:t>
      </w:r>
      <w:r>
        <w:rPr>
          <w:sz w:val="22"/>
          <w:szCs w:val="22"/>
          <w:lang w:eastAsia="en-US"/>
        </w:rPr>
        <w:t xml:space="preserve">et des vergers </w:t>
      </w:r>
      <w:r>
        <w:rPr>
          <w:sz w:val="22"/>
          <w:szCs w:val="22"/>
          <w:lang w:eastAsia="en-US"/>
        </w:rPr>
        <w:t xml:space="preserve">doivent faire l’objet d’un suivi environnemental. Le </w:t>
      </w:r>
      <w:r>
        <w:rPr>
          <w:sz w:val="22"/>
          <w:szCs w:val="22"/>
          <w:lang w:eastAsia="en-US"/>
        </w:rPr>
        <w:t>Programme</w:t>
      </w:r>
      <w:r>
        <w:rPr>
          <w:sz w:val="22"/>
          <w:szCs w:val="22"/>
          <w:lang w:eastAsia="en-US"/>
        </w:rPr>
        <w:t xml:space="preserve"> peut alors s’attacher les services des structures comme le Laboratoire National d’Analyse des Eaux (MEEVCC) ou le Laboratoire national de santé publique (LNSP)</w:t>
      </w:r>
      <w:r>
        <w:rPr>
          <w:sz w:val="22"/>
          <w:szCs w:val="22"/>
          <w:lang w:eastAsia="en-US"/>
        </w:rPr>
        <w:t xml:space="preserve"> ou d’autres laboratoires privés agréés</w:t>
      </w:r>
      <w:r>
        <w:rPr>
          <w:sz w:val="22"/>
          <w:szCs w:val="22"/>
          <w:lang w:eastAsia="en-US"/>
        </w:rPr>
        <w:t>.</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Le suivi environnemental des plans d’eau et des activités agricoles pourra aussi faire appel à des laboratoires spécialisés comme le </w:t>
      </w:r>
      <w:r>
        <w:rPr>
          <w:bCs/>
          <w:sz w:val="22"/>
          <w:szCs w:val="22"/>
          <w:lang w:eastAsia="en-US"/>
        </w:rPr>
        <w:t>laboratoire</w:t>
      </w:r>
      <w:r>
        <w:rPr>
          <w:sz w:val="22"/>
          <w:szCs w:val="22"/>
          <w:lang w:eastAsia="en-US"/>
        </w:rPr>
        <w:t xml:space="preserve"> d'hydrogéologie de l'Université de Ouagadougou.</w:t>
      </w:r>
    </w:p>
    <w:p>
      <w:pPr>
        <w:pStyle w:val="style0"/>
        <w:jc w:val="both"/>
        <w:rPr>
          <w:sz w:val="22"/>
          <w:szCs w:val="22"/>
          <w:lang w:eastAsia="en-US"/>
        </w:rPr>
      </w:pPr>
    </w:p>
    <w:p>
      <w:pPr>
        <w:pStyle w:val="style0"/>
        <w:jc w:val="both"/>
        <w:rPr>
          <w:sz w:val="22"/>
          <w:szCs w:val="22"/>
          <w:lang w:eastAsia="en-US"/>
        </w:rPr>
      </w:pPr>
      <w:r>
        <w:rPr>
          <w:sz w:val="22"/>
          <w:szCs w:val="22"/>
          <w:lang w:eastAsia="en-US"/>
        </w:rPr>
        <w:t xml:space="preserve">Aussi, le suivi des </w:t>
      </w:r>
      <w:r>
        <w:rPr>
          <w:sz w:val="22"/>
          <w:szCs w:val="22"/>
          <w:lang w:eastAsia="en-US"/>
        </w:rPr>
        <w:t>éléments</w:t>
      </w:r>
      <w:r>
        <w:rPr>
          <w:sz w:val="22"/>
          <w:szCs w:val="22"/>
          <w:lang w:eastAsia="en-US"/>
        </w:rPr>
        <w:t xml:space="preserve"> suivants sera effectué :</w:t>
      </w:r>
    </w:p>
    <w:p>
      <w:pPr>
        <w:pStyle w:val="style0"/>
        <w:numPr>
          <w:ilvl w:val="0"/>
          <w:numId w:val="128"/>
        </w:numPr>
        <w:jc w:val="both"/>
        <w:rPr>
          <w:sz w:val="22"/>
          <w:szCs w:val="22"/>
          <w:lang w:eastAsia="en-US"/>
        </w:rPr>
      </w:pPr>
      <w:r>
        <w:rPr>
          <w:sz w:val="22"/>
          <w:szCs w:val="22"/>
          <w:lang w:eastAsia="en-US"/>
        </w:rPr>
        <w:t>sols ;</w:t>
      </w:r>
    </w:p>
    <w:p>
      <w:pPr>
        <w:pStyle w:val="style0"/>
        <w:numPr>
          <w:ilvl w:val="0"/>
          <w:numId w:val="128"/>
        </w:numPr>
        <w:jc w:val="both"/>
        <w:rPr>
          <w:sz w:val="22"/>
          <w:szCs w:val="22"/>
          <w:lang w:eastAsia="en-US"/>
        </w:rPr>
      </w:pPr>
      <w:r>
        <w:rPr>
          <w:sz w:val="22"/>
          <w:szCs w:val="22"/>
          <w:lang w:eastAsia="en-US"/>
        </w:rPr>
        <w:t>phytoplancton ;</w:t>
      </w:r>
    </w:p>
    <w:p>
      <w:pPr>
        <w:pStyle w:val="style0"/>
        <w:numPr>
          <w:ilvl w:val="0"/>
          <w:numId w:val="128"/>
        </w:numPr>
        <w:jc w:val="both"/>
        <w:rPr>
          <w:sz w:val="22"/>
          <w:szCs w:val="22"/>
          <w:lang w:eastAsia="en-US"/>
        </w:rPr>
      </w:pPr>
      <w:r>
        <w:rPr>
          <w:sz w:val="22"/>
          <w:szCs w:val="22"/>
          <w:lang w:eastAsia="en-US"/>
        </w:rPr>
        <w:t>zooplancton ;</w:t>
      </w:r>
    </w:p>
    <w:p>
      <w:pPr>
        <w:pStyle w:val="style0"/>
        <w:numPr>
          <w:ilvl w:val="0"/>
          <w:numId w:val="128"/>
        </w:numPr>
        <w:jc w:val="both"/>
        <w:rPr>
          <w:sz w:val="22"/>
          <w:szCs w:val="22"/>
          <w:lang w:eastAsia="en-US"/>
        </w:rPr>
      </w:pPr>
      <w:r>
        <w:rPr>
          <w:sz w:val="22"/>
          <w:szCs w:val="22"/>
          <w:lang w:eastAsia="en-US"/>
        </w:rPr>
        <w:t>résidus de pesticides ;</w:t>
      </w:r>
    </w:p>
    <w:p>
      <w:pPr>
        <w:pStyle w:val="style0"/>
        <w:numPr>
          <w:ilvl w:val="0"/>
          <w:numId w:val="128"/>
        </w:numPr>
        <w:jc w:val="both"/>
        <w:rPr>
          <w:sz w:val="22"/>
          <w:szCs w:val="22"/>
          <w:lang w:eastAsia="en-US"/>
        </w:rPr>
      </w:pPr>
      <w:r>
        <w:rPr>
          <w:sz w:val="22"/>
          <w:szCs w:val="22"/>
          <w:lang w:eastAsia="en-US"/>
        </w:rPr>
        <w:t>é</w:t>
      </w:r>
      <w:r>
        <w:rPr>
          <w:sz w:val="22"/>
          <w:szCs w:val="22"/>
          <w:lang w:eastAsia="en-US"/>
        </w:rPr>
        <w:t>vapotranspiration.</w:t>
      </w:r>
    </w:p>
    <w:p>
      <w:pPr>
        <w:pStyle w:val="style0"/>
        <w:autoSpaceDE w:val="false"/>
        <w:autoSpaceDN w:val="false"/>
        <w:adjustRightInd w:val="false"/>
        <w:jc w:val="both"/>
        <w:rPr>
          <w:sz w:val="22"/>
          <w:szCs w:val="22"/>
          <w:lang w:eastAsia="en-US"/>
        </w:rPr>
      </w:pPr>
    </w:p>
    <w:bookmarkStart w:id="1441" w:name="_Toc156045276"/>
    <w:bookmarkStart w:id="1442" w:name="_Toc156045277"/>
    <w:bookmarkStart w:id="1443" w:name="_Toc156191074"/>
    <w:bookmarkStart w:id="1444" w:name="_Toc156191355"/>
    <w:bookmarkStart w:id="1445" w:name="_Toc156191637"/>
    <w:bookmarkStart w:id="1446" w:name="_Toc156191935"/>
    <w:bookmarkStart w:id="1447" w:name="_Toc156192215"/>
    <w:bookmarkStart w:id="1448" w:name="_Toc156199232"/>
    <w:bookmarkStart w:id="1449" w:name="_Toc156200567"/>
    <w:bookmarkStart w:id="1450" w:name="_Toc156221262"/>
    <w:bookmarkStart w:id="1451" w:name="_Toc156561314"/>
    <w:bookmarkStart w:id="1452" w:name="_Toc156790953"/>
    <w:bookmarkStart w:id="1453" w:name="_Toc156791053"/>
    <w:bookmarkStart w:id="1454" w:name="_Toc156883482"/>
    <w:bookmarkStart w:id="1455" w:name="_Toc156885945"/>
    <w:bookmarkStart w:id="1456" w:name="_Toc157436559"/>
    <w:bookmarkStart w:id="1457" w:name="_Toc157436765"/>
    <w:bookmarkStart w:id="1458" w:name="_Toc157515156"/>
    <w:bookmarkStart w:id="1459" w:name="_Toc187066571"/>
    <w:bookmarkStart w:id="1460" w:name="_Toc187299206"/>
    <w:bookmarkStart w:id="1461" w:name="_Toc187414002"/>
    <w:bookmarkStart w:id="1462" w:name="_Toc187414070"/>
    <w:bookmarkStart w:id="1463" w:name="_Toc187414138"/>
    <w:bookmarkStart w:id="1464" w:name="_Toc187414206"/>
    <w:bookmarkStart w:id="1465" w:name="_Toc187414274"/>
    <w:bookmarkStart w:id="1466" w:name="_Toc187414398"/>
    <w:bookmarkStart w:id="1467" w:name="_Toc187414465"/>
    <w:bookmarkStart w:id="1468" w:name="_Toc187416190"/>
    <w:bookmarkStart w:id="1469" w:name="_Toc187431166"/>
    <w:bookmarkStart w:id="1470" w:name="_Toc187431236"/>
    <w:bookmarkStart w:id="1471" w:name="_Toc187432521"/>
    <w:bookmarkStart w:id="1472" w:name="_Toc187432591"/>
    <w:bookmarkStart w:id="1473" w:name="_Toc187432712"/>
    <w:bookmarkStart w:id="1474" w:name="_Toc187432825"/>
    <w:bookmarkStart w:id="1475" w:name="_Toc187433028"/>
    <w:bookmarkStart w:id="1476" w:name="_Toc187433097"/>
    <w:bookmarkStart w:id="1477" w:name="_Toc187433166"/>
    <w:bookmarkStart w:id="1478" w:name="_Toc187435113"/>
    <w:bookmarkStart w:id="1479" w:name="_Toc196372009"/>
    <w:bookmarkStart w:id="1480" w:name="_Toc156191075"/>
    <w:bookmarkStart w:id="1481" w:name="_Toc156191356"/>
    <w:bookmarkStart w:id="1482" w:name="_Toc156191638"/>
    <w:bookmarkStart w:id="1483" w:name="_Toc156191936"/>
    <w:bookmarkStart w:id="1484" w:name="_Toc156192216"/>
    <w:bookmarkStart w:id="1485" w:name="_Toc156199233"/>
    <w:bookmarkStart w:id="1486" w:name="_Toc156200568"/>
    <w:bookmarkStart w:id="1487" w:name="_Toc156221263"/>
    <w:bookmarkStart w:id="1488" w:name="_Toc156561315"/>
    <w:bookmarkStart w:id="1489" w:name="_Toc156790954"/>
    <w:bookmarkStart w:id="1490" w:name="_Toc156791054"/>
    <w:bookmarkStart w:id="1491" w:name="_Toc156883483"/>
    <w:bookmarkStart w:id="1492" w:name="_Toc156885946"/>
    <w:bookmarkStart w:id="1493" w:name="_Toc157436560"/>
    <w:bookmarkStart w:id="1494" w:name="_Toc157436766"/>
    <w:bookmarkStart w:id="1495" w:name="_Toc157515157"/>
    <w:bookmarkStart w:id="1496" w:name="_Toc187066572"/>
    <w:bookmarkStart w:id="1497" w:name="_Toc187299207"/>
    <w:bookmarkStart w:id="1498" w:name="_Toc187414003"/>
    <w:bookmarkStart w:id="1499" w:name="_Toc187414071"/>
    <w:bookmarkStart w:id="1500" w:name="_Toc187414139"/>
    <w:bookmarkStart w:id="1501" w:name="_Toc187414207"/>
    <w:bookmarkStart w:id="1502" w:name="_Toc187414275"/>
    <w:bookmarkStart w:id="1503" w:name="_Toc187414399"/>
    <w:bookmarkStart w:id="1504" w:name="_Toc187414466"/>
    <w:bookmarkStart w:id="1505" w:name="_Toc187416191"/>
    <w:bookmarkStart w:id="1506" w:name="_Toc187431167"/>
    <w:bookmarkStart w:id="1507" w:name="_Toc187431237"/>
    <w:bookmarkStart w:id="1508" w:name="_Toc187432522"/>
    <w:bookmarkStart w:id="1509" w:name="_Toc187432592"/>
    <w:bookmarkStart w:id="1510" w:name="_Toc187432713"/>
    <w:bookmarkStart w:id="1511" w:name="_Toc187432826"/>
    <w:bookmarkStart w:id="1512" w:name="_Toc187433029"/>
    <w:bookmarkStart w:id="1513" w:name="_Toc187433098"/>
    <w:bookmarkStart w:id="1514" w:name="_Toc187433167"/>
    <w:bookmarkStart w:id="1515" w:name="_Toc187435114"/>
    <w:bookmarkStart w:id="1516" w:name="_Toc196372010"/>
    <w:bookmarkStart w:id="1517" w:name="_Toc223366239"/>
    <w:bookmarkStart w:id="1518" w:name="_Toc223366908"/>
    <w:bookmarkStart w:id="1519" w:name="_Toc223367020"/>
    <w:bookmarkStart w:id="1520" w:name="_Toc223367316"/>
    <w:bookmarkStart w:id="1521" w:name="_Toc223366240"/>
    <w:bookmarkStart w:id="1522" w:name="_Toc223366909"/>
    <w:bookmarkStart w:id="1523" w:name="_Toc223367021"/>
    <w:bookmarkStart w:id="1524" w:name="_Toc223367317"/>
    <w:bookmarkStart w:id="1525" w:name="_Toc390924330"/>
    <w:bookmarkStart w:id="1526" w:name="_Toc390941973"/>
    <w:bookmarkStart w:id="1527" w:name="_Toc390944850"/>
    <w:bookmarkStart w:id="1528" w:name="_Toc390945346"/>
    <w:bookmarkStart w:id="1529" w:name="_Toc399100216"/>
    <w:bookmarkStart w:id="1530" w:name="_Toc399173550"/>
    <w:bookmarkStart w:id="1531" w:name="_Toc407113838"/>
    <w:bookmarkStart w:id="1532" w:name="_Toc686137"/>
    <w:bookmarkStart w:id="1533" w:name="_Toc2780515"/>
    <w:bookmarkEnd w:id="1349"/>
    <w:bookmarkEnd w:id="1350"/>
    <w:bookmarkEnd w:id="1351"/>
    <w:bookmarkEnd w:id="1353"/>
    <w:bookmarkEnd w:id="1354"/>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Pr>
        <w:pStyle w:val="style4307"/>
        <w:numPr>
          <w:ilvl w:val="0"/>
          <w:numId w:val="0"/>
        </w:numPr>
        <w:ind w:left="390"/>
        <w:rPr/>
      </w:pPr>
      <w:r>
        <w:t>7</w:t>
      </w:r>
      <w:r>
        <w:t>.</w:t>
      </w:r>
      <w:r>
        <w:t>6</w:t>
      </w:r>
      <w:r>
        <w:t>. Arrangements institutionnels pour la mise en œuvre du CGES</w:t>
      </w:r>
      <w:bookmarkEnd w:id="1532"/>
      <w:bookmarkEnd w:id="1533"/>
    </w:p>
    <w:p>
      <w:pPr>
        <w:pStyle w:val="style0"/>
        <w:jc w:val="both"/>
        <w:rPr>
          <w:sz w:val="22"/>
          <w:szCs w:val="22"/>
        </w:rPr>
      </w:pPr>
      <w:r>
        <w:rPr>
          <w:sz w:val="22"/>
          <w:szCs w:val="22"/>
        </w:rPr>
        <w:t xml:space="preserve">La </w:t>
      </w:r>
      <w:r>
        <w:rPr>
          <w:sz w:val="22"/>
          <w:szCs w:val="22"/>
        </w:rPr>
        <w:t>mise en œuvre du processus de gestion</w:t>
      </w:r>
      <w:r>
        <w:rPr>
          <w:sz w:val="22"/>
          <w:szCs w:val="22"/>
        </w:rPr>
        <w:t> environnementale et sociale </w:t>
      </w:r>
      <w:r>
        <w:rPr>
          <w:sz w:val="22"/>
          <w:szCs w:val="22"/>
        </w:rPr>
        <w:t xml:space="preserve">du </w:t>
      </w:r>
      <w:r>
        <w:rPr>
          <w:sz w:val="22"/>
          <w:szCs w:val="22"/>
        </w:rPr>
        <w:t>PDCA</w:t>
      </w:r>
      <w:r>
        <w:rPr>
          <w:sz w:val="22"/>
          <w:szCs w:val="22"/>
        </w:rPr>
        <w:t xml:space="preserve"> </w:t>
      </w:r>
      <w:r>
        <w:rPr>
          <w:sz w:val="22"/>
          <w:szCs w:val="22"/>
        </w:rPr>
        <w:t>nécessitera des arrangements institutionnels à plusieurs  niveaux</w:t>
      </w:r>
      <w:r>
        <w:rPr>
          <w:sz w:val="22"/>
          <w:szCs w:val="22"/>
        </w:rPr>
        <w:t>:</w:t>
      </w:r>
    </w:p>
    <w:p>
      <w:pPr>
        <w:pStyle w:val="style0"/>
        <w:numPr>
          <w:ilvl w:val="0"/>
          <w:numId w:val="122"/>
        </w:numPr>
        <w:jc w:val="both"/>
        <w:rPr>
          <w:sz w:val="22"/>
          <w:szCs w:val="22"/>
        </w:rPr>
      </w:pPr>
      <w:r>
        <w:rPr>
          <w:b/>
          <w:sz w:val="22"/>
          <w:szCs w:val="22"/>
        </w:rPr>
        <w:t>le Comité de revue du Programme</w:t>
      </w:r>
      <w:r>
        <w:rPr>
          <w:sz w:val="22"/>
          <w:szCs w:val="22"/>
        </w:rPr>
        <w:t xml:space="preserve"> pour une </w:t>
      </w:r>
      <w:r>
        <w:rPr>
          <w:sz w:val="22"/>
          <w:szCs w:val="22"/>
        </w:rPr>
        <w:t>coordination d’ordre stratégique : Le PDCA relevant du programme budgétaire « Aménagements hydroagricoles et irrigation » du MAAH, un arrêté ministériel devra être pris pour préciser sa responsabilité et ses missions ainsi que son mode de fonctionnement. Il devra particulièrement veiller à l’exécution adéquate du Programme à travers le respect strict des orientations stratégiques et programmes d’activités opérationnelles, la cohérence entre les objectifs gouvernementaux et des partenaires avec ceux poursuivis par le programme. Il approuve les plans de travail et les budgets annuels/semestriels et veille également à la bonne gouvernance générale du Programme. Il devra aussi s</w:t>
      </w:r>
      <w:r>
        <w:rPr>
          <w:sz w:val="22"/>
          <w:szCs w:val="22"/>
        </w:rPr>
        <w:t>’assurer que tous les acteurs concernés sont bien impliqués et ont des rôles à jouer) ;</w:t>
      </w:r>
      <w:r>
        <w:rPr>
          <w:color w:val="000000"/>
          <w:sz w:val="22"/>
          <w:szCs w:val="22"/>
        </w:rPr>
        <w:t xml:space="preserve"> les structures membres du comité effectueront des missions de supervision ; </w:t>
      </w:r>
    </w:p>
    <w:p>
      <w:pPr>
        <w:pStyle w:val="style0"/>
        <w:numPr>
          <w:ilvl w:val="0"/>
          <w:numId w:val="122"/>
        </w:numPr>
        <w:jc w:val="both"/>
        <w:rPr>
          <w:sz w:val="22"/>
          <w:szCs w:val="22"/>
        </w:rPr>
      </w:pPr>
      <w:r>
        <w:rPr>
          <w:b/>
          <w:sz w:val="22"/>
          <w:szCs w:val="22"/>
        </w:rPr>
        <w:t>la Coordination du Programme</w:t>
      </w:r>
      <w:r>
        <w:rPr>
          <w:b/>
          <w:sz w:val="22"/>
          <w:szCs w:val="22"/>
        </w:rPr>
        <w:t xml:space="preserve"> </w:t>
      </w:r>
      <w:r>
        <w:rPr>
          <w:b/>
          <w:sz w:val="22"/>
          <w:szCs w:val="22"/>
        </w:rPr>
        <w:t>(UNC)</w:t>
      </w:r>
      <w:r>
        <w:rPr>
          <w:sz w:val="22"/>
          <w:szCs w:val="22"/>
        </w:rPr>
        <w:t xml:space="preserve"> </w:t>
      </w:r>
      <w:r>
        <w:rPr>
          <w:sz w:val="22"/>
          <w:szCs w:val="22"/>
        </w:rPr>
        <w:t>à travers s</w:t>
      </w:r>
      <w:r>
        <w:rPr>
          <w:sz w:val="22"/>
          <w:szCs w:val="22"/>
        </w:rPr>
        <w:t>es spécialistes en sauvegardes environnementale et sociale</w:t>
      </w:r>
      <w:r>
        <w:rPr>
          <w:sz w:val="22"/>
          <w:szCs w:val="22"/>
        </w:rPr>
        <w:t>,</w:t>
      </w:r>
      <w:r>
        <w:rPr>
          <w:sz w:val="22"/>
          <w:szCs w:val="22"/>
        </w:rPr>
        <w:t xml:space="preserve"> jouer</w:t>
      </w:r>
      <w:r>
        <w:rPr>
          <w:sz w:val="22"/>
          <w:szCs w:val="22"/>
        </w:rPr>
        <w:t>a</w:t>
      </w:r>
      <w:r>
        <w:rPr>
          <w:sz w:val="22"/>
          <w:szCs w:val="22"/>
        </w:rPr>
        <w:t xml:space="preserve"> un rôle d’interface avec le BUNEE  et veiller</w:t>
      </w:r>
      <w:r>
        <w:rPr>
          <w:sz w:val="22"/>
          <w:szCs w:val="22"/>
        </w:rPr>
        <w:t>a</w:t>
      </w:r>
      <w:r>
        <w:rPr>
          <w:sz w:val="22"/>
          <w:szCs w:val="22"/>
        </w:rPr>
        <w:t xml:space="preserve"> à la mise en œuvre de la sélection environnementale et sociale, l’approbation, la mise en œuvre et le suivi </w:t>
      </w:r>
      <w:r>
        <w:rPr>
          <w:sz w:val="22"/>
          <w:szCs w:val="22"/>
        </w:rPr>
        <w:t xml:space="preserve">environnemental et social </w:t>
      </w:r>
      <w:r>
        <w:rPr>
          <w:sz w:val="22"/>
          <w:szCs w:val="22"/>
        </w:rPr>
        <w:t>des activités retenues dans le cadre du Programme</w:t>
      </w:r>
      <w:r>
        <w:rPr>
          <w:sz w:val="22"/>
          <w:szCs w:val="22"/>
        </w:rPr>
        <w:t xml:space="preserve">. Par ailleurs, elle </w:t>
      </w:r>
      <w:r>
        <w:rPr>
          <w:sz w:val="22"/>
          <w:szCs w:val="22"/>
        </w:rPr>
        <w:t xml:space="preserve">va également recruter des ONG pour la sensibilisation, la mobilisation et l’accompagnement social. Elle veillera à la formation des autres acteurs en gestion environnementale et sociale ; </w:t>
      </w:r>
      <w:r>
        <w:rPr>
          <w:sz w:val="22"/>
          <w:szCs w:val="22"/>
        </w:rPr>
        <w:t>et</w:t>
      </w:r>
      <w:r>
        <w:rPr>
          <w:sz w:val="22"/>
          <w:szCs w:val="22"/>
        </w:rPr>
        <w:t xml:space="preserve"> assurera la diffusion du CGES</w:t>
      </w:r>
      <w:r>
        <w:rPr>
          <w:sz w:val="22"/>
          <w:szCs w:val="22"/>
        </w:rPr>
        <w:t>, du CPR, du PGP</w:t>
      </w:r>
      <w:r>
        <w:rPr>
          <w:sz w:val="22"/>
          <w:szCs w:val="22"/>
        </w:rPr>
        <w:t xml:space="preserve"> et des éventuelles évaluations environnementales</w:t>
      </w:r>
      <w:r>
        <w:rPr>
          <w:sz w:val="22"/>
          <w:szCs w:val="22"/>
        </w:rPr>
        <w:t xml:space="preserve"> et sociales</w:t>
      </w:r>
      <w:r>
        <w:rPr>
          <w:sz w:val="22"/>
          <w:szCs w:val="22"/>
        </w:rPr>
        <w:t xml:space="preserve"> spécifiques</w:t>
      </w:r>
      <w:r>
        <w:rPr>
          <w:sz w:val="22"/>
          <w:szCs w:val="22"/>
        </w:rPr>
        <w:t xml:space="preserve"> (EIES, NIES,</w:t>
      </w:r>
      <w:r>
        <w:rPr>
          <w:sz w:val="22"/>
          <w:szCs w:val="22"/>
        </w:rPr>
        <w:t xml:space="preserve"> </w:t>
      </w:r>
      <w:r>
        <w:rPr>
          <w:sz w:val="22"/>
          <w:szCs w:val="22"/>
        </w:rPr>
        <w:t>PAR, etc.)</w:t>
      </w:r>
      <w:r>
        <w:rPr>
          <w:sz w:val="22"/>
          <w:szCs w:val="22"/>
        </w:rPr>
        <w:t xml:space="preserve"> et établira des protocoles d’accord avec le BUNEE, les DRAAH, les DREEVCC et les DRRAH, pour la surveillance et le suivi.</w:t>
      </w:r>
    </w:p>
    <w:p>
      <w:pPr>
        <w:pStyle w:val="style0"/>
        <w:numPr>
          <w:ilvl w:val="0"/>
          <w:numId w:val="122"/>
        </w:numPr>
        <w:jc w:val="both"/>
        <w:rPr>
          <w:color w:val="000000"/>
          <w:sz w:val="22"/>
          <w:szCs w:val="22"/>
        </w:rPr>
      </w:pPr>
      <w:r>
        <w:rPr>
          <w:b/>
          <w:color w:val="000000"/>
          <w:sz w:val="22"/>
          <w:szCs w:val="22"/>
        </w:rPr>
        <w:t>le BUNEE</w:t>
      </w:r>
      <w:r>
        <w:rPr>
          <w:color w:val="000000"/>
          <w:sz w:val="22"/>
          <w:szCs w:val="22"/>
        </w:rPr>
        <w:t xml:space="preserve">, qui est l’institution nationale chargée de la coordination et du suivi des PGES ; le BUNEE effectuera le suivi externe de la mise en œuvre du CGES sur la base d’un protocole de collaboration dont les ressources seront prises en charge par l’UNC par le biais de programmes d’activités sur la durée du Programme ; ce </w:t>
      </w:r>
      <w:r>
        <w:rPr>
          <w:color w:val="000000"/>
          <w:sz w:val="22"/>
          <w:szCs w:val="22"/>
          <w:u w:val="single"/>
        </w:rPr>
        <w:t>protocole d’accord</w:t>
      </w:r>
      <w:r>
        <w:rPr>
          <w:color w:val="000000"/>
          <w:sz w:val="22"/>
          <w:szCs w:val="22"/>
        </w:rPr>
        <w:t xml:space="preserve"> définira les exigences en matière de suivi, les domaines fondamentaux du suivi et leur périodicité, le système de reportage, etc. enfin, dans le cadre de sa mission, </w:t>
      </w:r>
      <w:r>
        <w:rPr>
          <w:color w:val="000000"/>
          <w:sz w:val="22"/>
          <w:szCs w:val="22"/>
        </w:rPr>
        <w:t xml:space="preserve">Le BUNEE devra coordonner </w:t>
      </w:r>
      <w:r>
        <w:rPr>
          <w:color w:val="000000"/>
          <w:sz w:val="22"/>
          <w:szCs w:val="22"/>
          <w:u w:val="single"/>
        </w:rPr>
        <w:t>le suivi externe</w:t>
      </w:r>
      <w:r>
        <w:rPr>
          <w:color w:val="000000"/>
          <w:sz w:val="22"/>
          <w:szCs w:val="22"/>
        </w:rPr>
        <w:t>, en rapport avec d’autres institutions nationales</w:t>
      </w:r>
      <w:r>
        <w:rPr>
          <w:color w:val="000000"/>
          <w:sz w:val="22"/>
          <w:szCs w:val="22"/>
        </w:rPr>
        <w:t>.</w:t>
      </w:r>
      <w:r>
        <w:rPr>
          <w:color w:val="000000"/>
          <w:sz w:val="22"/>
          <w:szCs w:val="22"/>
        </w:rPr>
        <w:t xml:space="preserve"> Le suivi du BUNEE s’exécutera sous forme de contrôle ou vérification et </w:t>
      </w:r>
      <w:r>
        <w:rPr>
          <w:color w:val="000000"/>
          <w:sz w:val="22"/>
          <w:szCs w:val="22"/>
        </w:rPr>
        <w:t>s’appuiera sur l</w:t>
      </w:r>
      <w:r>
        <w:rPr>
          <w:color w:val="000000"/>
          <w:sz w:val="22"/>
          <w:szCs w:val="22"/>
        </w:rPr>
        <w:t xml:space="preserve">es rapports de suivi du </w:t>
      </w:r>
      <w:r>
        <w:rPr>
          <w:color w:val="000000"/>
          <w:sz w:val="22"/>
          <w:szCs w:val="22"/>
        </w:rPr>
        <w:t>Programme</w:t>
      </w:r>
      <w:r>
        <w:rPr>
          <w:color w:val="000000"/>
          <w:sz w:val="22"/>
          <w:szCs w:val="22"/>
        </w:rPr>
        <w:t>.</w:t>
      </w:r>
    </w:p>
    <w:p>
      <w:pPr>
        <w:pStyle w:val="style0"/>
        <w:numPr>
          <w:ilvl w:val="0"/>
          <w:numId w:val="122"/>
        </w:numPr>
        <w:jc w:val="both"/>
        <w:rPr>
          <w:bCs/>
          <w:sz w:val="22"/>
          <w:szCs w:val="22"/>
        </w:rPr>
      </w:pPr>
      <w:r>
        <w:rPr>
          <w:b/>
          <w:sz w:val="22"/>
          <w:szCs w:val="22"/>
        </w:rPr>
        <w:t>l</w:t>
      </w:r>
      <w:r>
        <w:rPr>
          <w:b/>
          <w:sz w:val="22"/>
          <w:szCs w:val="22"/>
        </w:rPr>
        <w:t>es DRAAH, DRRAH, DREEVCC, DRS et DRI</w:t>
      </w:r>
      <w:r>
        <w:rPr>
          <w:b/>
          <w:i/>
          <w:sz w:val="22"/>
          <w:szCs w:val="22"/>
        </w:rPr>
        <w:t xml:space="preserve"> : </w:t>
      </w:r>
      <w:r>
        <w:rPr>
          <w:sz w:val="22"/>
          <w:szCs w:val="22"/>
        </w:rPr>
        <w:t>Ces directions régionales sont tenues de désigner de façon nominative leurs Points Focaux</w:t>
      </w:r>
      <w:r>
        <w:rPr>
          <w:sz w:val="22"/>
          <w:szCs w:val="22"/>
        </w:rPr>
        <w:t xml:space="preserve"> (PF)</w:t>
      </w:r>
      <w:r>
        <w:rPr>
          <w:sz w:val="22"/>
          <w:szCs w:val="22"/>
        </w:rPr>
        <w:t>. Ces PF</w:t>
      </w:r>
      <w:r>
        <w:rPr>
          <w:b/>
          <w:i/>
          <w:sz w:val="22"/>
          <w:szCs w:val="22"/>
        </w:rPr>
        <w:t> </w:t>
      </w:r>
      <w:r>
        <w:rPr>
          <w:sz w:val="22"/>
          <w:szCs w:val="22"/>
        </w:rPr>
        <w:t>devront bénéficier des formations prévues par l’UNC pour assurer la surveillance environnementale et sociale des activités du Programme.</w:t>
      </w:r>
      <w:r>
        <w:rPr>
          <w:bCs/>
          <w:sz w:val="22"/>
          <w:szCs w:val="22"/>
        </w:rPr>
        <w:t xml:space="preserve"> </w:t>
      </w:r>
    </w:p>
    <w:p>
      <w:pPr>
        <w:pStyle w:val="style0"/>
        <w:numPr>
          <w:ilvl w:val="0"/>
          <w:numId w:val="122"/>
        </w:numPr>
        <w:jc w:val="both"/>
        <w:rPr>
          <w:sz w:val="22"/>
          <w:szCs w:val="22"/>
        </w:rPr>
      </w:pPr>
      <w:r>
        <w:rPr>
          <w:b/>
          <w:sz w:val="22"/>
          <w:szCs w:val="22"/>
        </w:rPr>
        <w:t>l</w:t>
      </w:r>
      <w:r>
        <w:rPr>
          <w:b/>
          <w:sz w:val="22"/>
          <w:szCs w:val="22"/>
        </w:rPr>
        <w:t>es collectivités territoriales</w:t>
      </w:r>
      <w:r>
        <w:rPr>
          <w:sz w:val="22"/>
          <w:szCs w:val="22"/>
        </w:rPr>
        <w:t xml:space="preserve"> : En tant qu’acteurs au niveau décentralisé, elles interviendront dans la gestion de leur environnement et le suivi de l’exécution des sous-projets. Outre cet aspect, les collectivités locales assureront le suivi de la mise en œuvre des PGES et participeront à la mise en œuvre des dispositions prévues dans le MGP.</w:t>
      </w:r>
    </w:p>
    <w:p>
      <w:pPr>
        <w:pStyle w:val="style0"/>
        <w:numPr>
          <w:ilvl w:val="0"/>
          <w:numId w:val="122"/>
        </w:numPr>
        <w:jc w:val="both"/>
        <w:rPr>
          <w:sz w:val="22"/>
          <w:szCs w:val="22"/>
        </w:rPr>
      </w:pPr>
      <w:r>
        <w:rPr>
          <w:b/>
          <w:sz w:val="22"/>
          <w:szCs w:val="22"/>
        </w:rPr>
        <w:t>l</w:t>
      </w:r>
      <w:r>
        <w:rPr>
          <w:b/>
          <w:sz w:val="22"/>
          <w:szCs w:val="22"/>
        </w:rPr>
        <w:t>es communautés locales</w:t>
      </w:r>
      <w:r>
        <w:rPr>
          <w:b/>
          <w:i/>
          <w:sz w:val="22"/>
          <w:szCs w:val="22"/>
        </w:rPr>
        <w:t xml:space="preserve"> : </w:t>
      </w:r>
      <w:r>
        <w:rPr>
          <w:sz w:val="22"/>
          <w:szCs w:val="22"/>
        </w:rPr>
        <w:t>Avec la mise en valeur des périmètres irrigués, un rôle important est attendu des communautés à savoir participer à la sensibilisation des populations, aux activités de mobilisation sociale et au suivi de proximité de la mise en œuvre des recommandations du CGES et des mesures contenues dans les évaluations environnementales.</w:t>
      </w:r>
    </w:p>
    <w:p>
      <w:pPr>
        <w:pStyle w:val="style0"/>
        <w:numPr>
          <w:ilvl w:val="0"/>
          <w:numId w:val="122"/>
        </w:numPr>
        <w:jc w:val="both"/>
        <w:rPr>
          <w:sz w:val="22"/>
          <w:szCs w:val="22"/>
        </w:rPr>
      </w:pPr>
      <w:r>
        <w:rPr>
          <w:b/>
          <w:sz w:val="22"/>
          <w:szCs w:val="22"/>
        </w:rPr>
        <w:t>l</w:t>
      </w:r>
      <w:r>
        <w:rPr>
          <w:b/>
          <w:sz w:val="22"/>
          <w:szCs w:val="22"/>
        </w:rPr>
        <w:t>es ONG et la Société civile</w:t>
      </w:r>
      <w:r>
        <w:rPr>
          <w:b/>
          <w:i/>
          <w:sz w:val="22"/>
          <w:szCs w:val="22"/>
        </w:rPr>
        <w:t xml:space="preserve"> : </w:t>
      </w:r>
      <w:r>
        <w:rPr>
          <w:sz w:val="22"/>
          <w:szCs w:val="22"/>
        </w:rPr>
        <w:t xml:space="preserve">Les ONG, OSC et autres organisations environnementales de société civile intervenant dans la zone du Programme ainsi que des structures comme  la CPF, l’UNPCB et le ROPPA, pourront aussi participer à informer, éduquer et conscientiser la population sur les aspects environnementaux et sociaux liés à la mise en œuvre du Programme, mais aussi au suivi de la mise en œuvre des mesures du CGES. </w:t>
      </w:r>
    </w:p>
    <w:p>
      <w:pPr>
        <w:pStyle w:val="style0"/>
        <w:numPr>
          <w:ilvl w:val="0"/>
          <w:numId w:val="122"/>
        </w:numPr>
        <w:jc w:val="both"/>
        <w:rPr>
          <w:sz w:val="22"/>
          <w:szCs w:val="22"/>
        </w:rPr>
      </w:pPr>
      <w:r>
        <w:rPr>
          <w:b/>
          <w:sz w:val="22"/>
          <w:szCs w:val="22"/>
        </w:rPr>
        <w:t>l</w:t>
      </w:r>
      <w:r>
        <w:rPr>
          <w:b/>
          <w:sz w:val="22"/>
          <w:szCs w:val="22"/>
        </w:rPr>
        <w:t>es entreprises et les missions de contrôle</w:t>
      </w:r>
      <w:r>
        <w:rPr>
          <w:b/>
          <w:i/>
          <w:sz w:val="22"/>
          <w:szCs w:val="22"/>
        </w:rPr>
        <w:t xml:space="preserve"> : </w:t>
      </w:r>
      <w:r>
        <w:rPr>
          <w:sz w:val="22"/>
          <w:szCs w:val="22"/>
        </w:rPr>
        <w:t>Les entreprises adjudicataires des travaux seront chargées de la mise en œuvre des PGES tandis que les environnementalistes des missions de contrôle effectueront le suivi/supervision de la mise en œuvre des recommandations environnementales et sociales et rendront compte au Maitre d’Ouvrage.</w:t>
      </w:r>
    </w:p>
    <w:p>
      <w:pPr>
        <w:pStyle w:val="style0"/>
        <w:rPr>
          <w:sz w:val="22"/>
          <w:szCs w:val="22"/>
        </w:rPr>
      </w:pPr>
      <w:r>
        <w:rPr>
          <w:sz w:val="22"/>
          <w:szCs w:val="22"/>
        </w:rPr>
        <w:br w:type="page"/>
      </w:r>
    </w:p>
    <w:p>
      <w:pPr>
        <w:pStyle w:val="style0"/>
        <w:jc w:val="both"/>
        <w:rPr>
          <w:sz w:val="22"/>
          <w:szCs w:val="22"/>
        </w:rPr>
      </w:pPr>
    </w:p>
    <w:bookmarkStart w:id="1534" w:name="_Toc536410751"/>
    <w:bookmarkStart w:id="1535" w:name="_Toc686138"/>
    <w:bookmarkStart w:id="1536" w:name="_Toc2780516"/>
    <w:p>
      <w:pPr>
        <w:pStyle w:val="style4307"/>
        <w:numPr>
          <w:ilvl w:val="0"/>
          <w:numId w:val="0"/>
        </w:numPr>
        <w:ind w:left="390"/>
        <w:rPr/>
      </w:pPr>
      <w:r>
        <w:t>7</w:t>
      </w:r>
      <w:r>
        <w:t>.</w:t>
      </w:r>
      <w:r>
        <w:t>7</w:t>
      </w:r>
      <w:r>
        <w:t>.</w:t>
      </w:r>
      <w:r>
        <w:t xml:space="preserve"> Calendrier</w:t>
      </w:r>
      <w:r>
        <w:t xml:space="preserve"> de mise en œuvre et de suivi activités de gestion environnementale et sociale</w:t>
      </w:r>
      <w:bookmarkEnd w:id="1534"/>
      <w:bookmarkEnd w:id="1535"/>
      <w:bookmarkEnd w:id="1536"/>
    </w:p>
    <w:p>
      <w:pPr>
        <w:pStyle w:val="style0"/>
        <w:rPr>
          <w:sz w:val="22"/>
          <w:szCs w:val="22"/>
          <w:lang w:eastAsia="en-US"/>
        </w:rPr>
      </w:pPr>
      <w:r>
        <w:rPr>
          <w:sz w:val="22"/>
          <w:szCs w:val="22"/>
          <w:lang w:eastAsia="en-US"/>
        </w:rPr>
        <w:t xml:space="preserve">Le calendrier de mise en œuvre et de suivi des activités environnementales et sociales du </w:t>
      </w:r>
      <w:r>
        <w:rPr>
          <w:sz w:val="22"/>
          <w:szCs w:val="22"/>
          <w:lang w:eastAsia="en-US"/>
        </w:rPr>
        <w:t>Programme</w:t>
      </w:r>
      <w:r>
        <w:rPr>
          <w:sz w:val="22"/>
          <w:szCs w:val="22"/>
          <w:lang w:eastAsia="en-US"/>
        </w:rPr>
        <w:t xml:space="preserve"> s’établira comme suit (étalé sur les 5 années du </w:t>
      </w:r>
      <w:r>
        <w:rPr>
          <w:sz w:val="22"/>
          <w:szCs w:val="22"/>
          <w:lang w:eastAsia="en-US"/>
        </w:rPr>
        <w:t>Programme</w:t>
      </w:r>
      <w:r>
        <w:rPr>
          <w:sz w:val="22"/>
          <w:szCs w:val="22"/>
          <w:lang w:eastAsia="en-US"/>
        </w:rPr>
        <w:t>) :</w:t>
      </w:r>
    </w:p>
    <w:p>
      <w:pPr>
        <w:pStyle w:val="style0"/>
        <w:rPr>
          <w:sz w:val="22"/>
          <w:szCs w:val="22"/>
          <w:lang w:eastAsia="en-US"/>
        </w:rPr>
      </w:pPr>
    </w:p>
    <w:p>
      <w:pPr>
        <w:pStyle w:val="style0"/>
        <w:rPr>
          <w:sz w:val="22"/>
          <w:szCs w:val="22"/>
          <w:lang w:eastAsia="en-US"/>
        </w:rPr>
        <w:sectPr>
          <w:headerReference w:type="default" r:id="rId11"/>
          <w:pgSz w:w="11906" w:h="16838" w:orient="portrait"/>
          <w:pgMar w:top="1418" w:right="1418" w:bottom="1418" w:left="1418" w:header="720" w:footer="720" w:gutter="0"/>
          <w:cols w:space="720"/>
          <w:titlePg/>
          <w:docGrid w:linePitch="360"/>
        </w:sectPr>
      </w:pPr>
    </w:p>
    <w:bookmarkStart w:id="1537" w:name="_Toc2780545"/>
    <w:p>
      <w:pPr>
        <w:pStyle w:val="style34"/>
        <w:keepNext/>
        <w:jc w:val="left"/>
        <w:rPr>
          <w:sz w:val="20"/>
          <w:szCs w:val="20"/>
        </w:rPr>
      </w:pPr>
      <w:r>
        <w:rPr>
          <w:sz w:val="20"/>
          <w:szCs w:val="20"/>
        </w:rPr>
        <w:t xml:space="preserve">Tableau </w:t>
      </w:r>
      <w:r>
        <w:rPr>
          <w:sz w:val="20"/>
          <w:szCs w:val="20"/>
        </w:rPr>
        <w:fldChar w:fldCharType="begin"/>
      </w:r>
      <w:r>
        <w:rPr>
          <w:sz w:val="20"/>
          <w:szCs w:val="20"/>
        </w:rPr>
        <w:instrText xml:space="preserve"> SEQ Tableau \* ARABIC </w:instrText>
      </w:r>
      <w:r>
        <w:rPr>
          <w:sz w:val="20"/>
          <w:szCs w:val="20"/>
        </w:rPr>
        <w:fldChar w:fldCharType="separate"/>
      </w:r>
      <w:r>
        <w:rPr>
          <w:noProof/>
          <w:sz w:val="20"/>
          <w:szCs w:val="20"/>
        </w:rPr>
        <w:t>11</w:t>
      </w:r>
      <w:r>
        <w:rPr>
          <w:sz w:val="20"/>
          <w:szCs w:val="20"/>
        </w:rPr>
        <w:fldChar w:fldCharType="end"/>
      </w:r>
      <w:r>
        <w:rPr>
          <w:color w:val="auto"/>
          <w:sz w:val="20"/>
          <w:szCs w:val="20"/>
        </w:rPr>
        <w:t> : Calendrier de mise en œuvre des mesures environnementales et sociales</w:t>
      </w:r>
      <w:bookmarkEnd w:id="1537"/>
    </w:p>
    <w:p>
      <w:pPr>
        <w:pStyle w:val="style34"/>
        <w:keepNext/>
        <w:jc w:val="left"/>
        <w:rPr/>
      </w:pPr>
      <w:r>
        <w:rPr>
          <w:noProof/>
          <w:lang w:eastAsia="fr-FR"/>
        </w:rPr>
        <w:drawing>
          <wp:inline distT="0" distR="0" distL="0" distB="0">
            <wp:extent cx="9372600" cy="5343525"/>
            <wp:effectExtent l="0" t="0" r="0" b="9525"/>
            <wp:docPr id="1069" name="Imag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16"/>
                    <pic:cNvPicPr/>
                  </pic:nvPicPr>
                  <pic:blipFill>
                    <a:blip r:embed="rId12" cstate="print"/>
                    <a:srcRect l="0" t="0" r="0" b="0"/>
                    <a:stretch/>
                  </pic:blipFill>
                  <pic:spPr>
                    <a:xfrm rot="0">
                      <a:off x="0" y="0"/>
                      <a:ext cx="9372600" cy="5343525"/>
                    </a:xfrm>
                    <a:prstGeom prst="rect"/>
                    <a:ln>
                      <a:noFill/>
                    </a:ln>
                  </pic:spPr>
                </pic:pic>
              </a:graphicData>
            </a:graphic>
          </wp:inline>
        </w:drawing>
      </w:r>
    </w:p>
    <w:p>
      <w:pPr>
        <w:pStyle w:val="style0"/>
        <w:rPr>
          <w:lang w:eastAsia="en-US"/>
        </w:rPr>
      </w:pPr>
    </w:p>
    <w:p>
      <w:pPr>
        <w:pStyle w:val="style0"/>
        <w:rPr>
          <w:lang w:eastAsia="en-US"/>
        </w:rPr>
        <w:sectPr>
          <w:pgSz w:w="16838" w:h="11906" w:orient="landscape"/>
          <w:pgMar w:top="1418" w:right="1418" w:bottom="1418" w:left="1418" w:header="720" w:footer="720" w:gutter="0"/>
          <w:cols w:space="720"/>
          <w:titlePg/>
          <w:docGrid w:linePitch="360"/>
        </w:sectPr>
      </w:pPr>
    </w:p>
    <w:bookmarkStart w:id="1538" w:name="_Toc536410752"/>
    <w:bookmarkStart w:id="1539" w:name="_Toc686139"/>
    <w:bookmarkStart w:id="1540" w:name="_Toc2780517"/>
    <w:p>
      <w:pPr>
        <w:pStyle w:val="style4307"/>
        <w:numPr>
          <w:ilvl w:val="0"/>
          <w:numId w:val="0"/>
        </w:numPr>
        <w:ind w:left="390"/>
        <w:rPr/>
      </w:pPr>
      <w:r>
        <w:t>7</w:t>
      </w:r>
      <w:r>
        <w:t>.</w:t>
      </w:r>
      <w:r>
        <w:t>8</w:t>
      </w:r>
      <w:r>
        <w:t>.</w:t>
      </w:r>
      <w:r>
        <w:t xml:space="preserve"> Coûts</w:t>
      </w:r>
      <w:r>
        <w:t xml:space="preserve"> des mesures environnementales et sociales</w:t>
      </w:r>
      <w:bookmarkEnd w:id="1538"/>
      <w:bookmarkEnd w:id="1539"/>
      <w:bookmarkEnd w:id="1540"/>
    </w:p>
    <w:p>
      <w:pPr>
        <w:pStyle w:val="style0"/>
        <w:jc w:val="both"/>
        <w:rPr>
          <w:sz w:val="22"/>
          <w:szCs w:val="22"/>
          <w:lang w:eastAsia="en-US"/>
        </w:rPr>
      </w:pPr>
      <w:r>
        <w:rPr>
          <w:sz w:val="22"/>
          <w:szCs w:val="22"/>
          <w:lang w:eastAsia="en-US"/>
        </w:rPr>
        <w:t xml:space="preserve">Les coûts des mesures environnementales, d’un montant global de </w:t>
      </w:r>
      <w:r>
        <w:rPr>
          <w:rFonts w:eastAsia="Calibri"/>
          <w:b/>
          <w:sz w:val="22"/>
          <w:szCs w:val="22"/>
        </w:rPr>
        <w:t>699</w:t>
      </w:r>
      <w:r>
        <w:rPr>
          <w:rFonts w:eastAsia="Calibri"/>
          <w:b/>
          <w:sz w:val="22"/>
          <w:szCs w:val="22"/>
        </w:rPr>
        <w:t xml:space="preserve"> 000 000 </w:t>
      </w:r>
      <w:r>
        <w:rPr>
          <w:b/>
          <w:sz w:val="22"/>
          <w:szCs w:val="22"/>
          <w:lang w:eastAsia="en-US"/>
        </w:rPr>
        <w:t>FCFA</w:t>
      </w:r>
      <w:r>
        <w:rPr>
          <w:sz w:val="22"/>
          <w:szCs w:val="22"/>
          <w:lang w:eastAsia="en-US"/>
        </w:rPr>
        <w:t xml:space="preserve"> comprennent : (i) des coûts d’ordre technique : i) Réalisation éventuelle des EIES/NIES ; ; iii) Suivi/Evaluation des activités du </w:t>
      </w:r>
      <w:r>
        <w:rPr>
          <w:sz w:val="22"/>
          <w:szCs w:val="22"/>
          <w:lang w:eastAsia="en-US"/>
        </w:rPr>
        <w:t>Programme</w:t>
      </w:r>
      <w:r>
        <w:rPr>
          <w:sz w:val="22"/>
          <w:szCs w:val="22"/>
          <w:lang w:eastAsia="en-US"/>
        </w:rPr>
        <w:t> ; iv) Renforcement de capacités en termes de formation et de sensibilisation des acteurs</w:t>
      </w:r>
      <w:r>
        <w:rPr>
          <w:sz w:val="22"/>
          <w:szCs w:val="22"/>
          <w:lang w:eastAsia="en-US"/>
        </w:rPr>
        <w:t> ; v) Reboisements de protection des berges</w:t>
      </w:r>
      <w:r>
        <w:rPr>
          <w:sz w:val="22"/>
          <w:szCs w:val="22"/>
          <w:lang w:eastAsia="en-US"/>
        </w:rPr>
        <w:t>.</w:t>
      </w:r>
    </w:p>
    <w:bookmarkStart w:id="1541" w:name="_Toc241846069"/>
    <w:bookmarkStart w:id="1542" w:name="_Toc243869079"/>
    <w:bookmarkStart w:id="1543" w:name="_Toc244267229"/>
    <w:bookmarkStart w:id="1544" w:name="_Toc686140"/>
    <w:bookmarkStart w:id="1545" w:name="_Toc2780518"/>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8</w:t>
      </w:r>
      <w:r>
        <w:rPr>
          <w:rFonts w:ascii="Times New Roman Bold" w:hAnsi="Times New Roman Bold"/>
          <w:b/>
          <w:bCs w:val="false"/>
          <w:spacing w:val="-3"/>
          <w:u w:val="none"/>
          <w:lang w:eastAsia="en-US"/>
        </w:rPr>
        <w:t xml:space="preserve">.1. </w:t>
      </w:r>
      <w:r>
        <w:rPr>
          <w:rFonts w:ascii="Times New Roman Bold" w:hAnsi="Times New Roman Bold"/>
          <w:b/>
          <w:bCs w:val="false"/>
          <w:spacing w:val="-3"/>
          <w:u w:val="none"/>
          <w:lang w:eastAsia="en-US"/>
        </w:rPr>
        <w:t>Coûts de réalisation des EIES/NIES et de mise en œuvre des mesures techniques</w:t>
      </w:r>
      <w:bookmarkEnd w:id="1541"/>
      <w:bookmarkEnd w:id="1542"/>
      <w:bookmarkEnd w:id="1543"/>
      <w:bookmarkEnd w:id="1544"/>
      <w:bookmarkEnd w:id="1545"/>
    </w:p>
    <w:p>
      <w:pPr>
        <w:pStyle w:val="style0"/>
        <w:numPr>
          <w:ilvl w:val="0"/>
          <w:numId w:val="37"/>
        </w:numPr>
        <w:jc w:val="both"/>
        <w:rPr>
          <w:sz w:val="23"/>
          <w:szCs w:val="23"/>
          <w:lang w:eastAsia="en-US"/>
        </w:rPr>
      </w:pPr>
      <w:r>
        <w:rPr>
          <w:b/>
          <w:bCs/>
          <w:i/>
          <w:sz w:val="23"/>
          <w:szCs w:val="23"/>
          <w:lang w:eastAsia="en-US"/>
        </w:rPr>
        <w:t>Réalisation des EIES/NIES et mise en œuvre des PGES par les porteurs de projets</w:t>
      </w:r>
    </w:p>
    <w:p>
      <w:pPr>
        <w:pStyle w:val="style0"/>
        <w:ind w:left="720"/>
        <w:jc w:val="both"/>
        <w:rPr>
          <w:sz w:val="23"/>
          <w:szCs w:val="23"/>
          <w:u w:val="single"/>
          <w:lang w:eastAsia="en-US"/>
        </w:rPr>
      </w:pPr>
      <w:r>
        <w:rPr>
          <w:bCs/>
          <w:sz w:val="23"/>
          <w:szCs w:val="23"/>
          <w:lang w:eastAsia="en-US"/>
        </w:rPr>
        <w:t xml:space="preserve">On pourrait estimer à environ </w:t>
      </w:r>
      <w:r>
        <w:rPr>
          <w:bCs/>
          <w:sz w:val="23"/>
          <w:szCs w:val="23"/>
          <w:lang w:eastAsia="en-US"/>
        </w:rPr>
        <w:t>6 EIES (aménagements hydroagricoles et 9 NIES (pistes rurales), soit un total de 15 EIES/NIES. I</w:t>
      </w:r>
      <w:r>
        <w:rPr>
          <w:bCs/>
          <w:sz w:val="23"/>
          <w:szCs w:val="23"/>
          <w:lang w:eastAsia="en-US"/>
        </w:rPr>
        <w:t xml:space="preserve">l s’agira de recruter des consultants pour conduire ces études. On peut estimer à </w:t>
      </w:r>
      <w:r>
        <w:rPr>
          <w:bCs/>
          <w:sz w:val="23"/>
          <w:szCs w:val="23"/>
          <w:lang w:eastAsia="en-US"/>
        </w:rPr>
        <w:t>4</w:t>
      </w:r>
      <w:r>
        <w:rPr>
          <w:bCs/>
          <w:sz w:val="23"/>
          <w:szCs w:val="23"/>
          <w:lang w:eastAsia="en-US"/>
        </w:rPr>
        <w:t> 000 000 FCFA par NIES</w:t>
      </w:r>
      <w:r>
        <w:rPr>
          <w:bCs/>
          <w:sz w:val="23"/>
          <w:szCs w:val="23"/>
          <w:lang w:eastAsia="en-US"/>
        </w:rPr>
        <w:t xml:space="preserve"> et 10 000 000FCFA par EIES</w:t>
      </w:r>
      <w:r>
        <w:rPr>
          <w:bCs/>
          <w:sz w:val="23"/>
          <w:szCs w:val="23"/>
          <w:lang w:eastAsia="en-US"/>
        </w:rPr>
        <w:t xml:space="preserve">, soit un coût total de </w:t>
      </w:r>
      <w:r>
        <w:rPr>
          <w:bCs/>
          <w:sz w:val="23"/>
          <w:szCs w:val="23"/>
          <w:lang w:eastAsia="en-US"/>
        </w:rPr>
        <w:t>96</w:t>
      </w:r>
      <w:r>
        <w:rPr>
          <w:bCs/>
          <w:sz w:val="23"/>
          <w:szCs w:val="23"/>
          <w:lang w:eastAsia="en-US"/>
        </w:rPr>
        <w:t> 000 000 FCFA à provisionner ; la</w:t>
      </w:r>
      <w:r>
        <w:rPr>
          <w:sz w:val="23"/>
          <w:szCs w:val="23"/>
          <w:lang w:eastAsia="en-US"/>
        </w:rPr>
        <w:t xml:space="preserve"> réalisation des PGES pourrait entraîner des mesures comportant des coûts et qui devront être budgétisés dès à présent. Au vu des prévisions en PGES à mettre en œuvre (</w:t>
      </w:r>
      <w:r>
        <w:rPr>
          <w:sz w:val="23"/>
          <w:szCs w:val="23"/>
          <w:lang w:eastAsia="en-US"/>
        </w:rPr>
        <w:t>2</w:t>
      </w:r>
      <w:r>
        <w:rPr>
          <w:sz w:val="23"/>
          <w:szCs w:val="23"/>
          <w:lang w:eastAsia="en-US"/>
        </w:rPr>
        <w:t xml:space="preserve"> million par PGES</w:t>
      </w:r>
      <w:r>
        <w:rPr>
          <w:sz w:val="23"/>
          <w:szCs w:val="23"/>
          <w:lang w:eastAsia="en-US"/>
        </w:rPr>
        <w:t>/NIES et 40 millions pour PGES/EIES</w:t>
      </w:r>
      <w:r>
        <w:rPr>
          <w:sz w:val="23"/>
          <w:szCs w:val="23"/>
          <w:lang w:eastAsia="en-US"/>
        </w:rPr>
        <w:t xml:space="preserve">), ce montant est estimé à </w:t>
      </w:r>
      <w:r>
        <w:rPr>
          <w:sz w:val="23"/>
          <w:szCs w:val="23"/>
          <w:lang w:eastAsia="en-US"/>
        </w:rPr>
        <w:t xml:space="preserve"> 258 </w:t>
      </w:r>
      <w:r>
        <w:rPr>
          <w:sz w:val="23"/>
          <w:szCs w:val="23"/>
          <w:lang w:eastAsia="en-US"/>
        </w:rPr>
        <w:t xml:space="preserve">000 000 FCFA. Soit un coût global de </w:t>
      </w:r>
      <w:r>
        <w:rPr>
          <w:sz w:val="23"/>
          <w:szCs w:val="23"/>
          <w:u w:val="single"/>
          <w:lang w:eastAsia="en-US"/>
        </w:rPr>
        <w:t>354</w:t>
      </w:r>
      <w:r>
        <w:rPr>
          <w:sz w:val="23"/>
          <w:szCs w:val="23"/>
          <w:u w:val="single"/>
          <w:lang w:eastAsia="en-US"/>
        </w:rPr>
        <w:t xml:space="preserve"> 000 000 FCFA. Ce coût est entièrement à la charge </w:t>
      </w:r>
      <w:r>
        <w:rPr>
          <w:sz w:val="23"/>
          <w:szCs w:val="23"/>
          <w:u w:val="single"/>
          <w:lang w:eastAsia="en-US"/>
        </w:rPr>
        <w:t>de l’UNC du PDCA</w:t>
      </w:r>
      <w:r>
        <w:rPr>
          <w:sz w:val="23"/>
          <w:szCs w:val="23"/>
          <w:u w:val="single"/>
          <w:lang w:eastAsia="en-US"/>
        </w:rPr>
        <w:t>.</w:t>
      </w:r>
    </w:p>
    <w:p>
      <w:pPr>
        <w:pStyle w:val="style0"/>
        <w:ind w:left="360"/>
        <w:jc w:val="both"/>
        <w:rPr>
          <w:sz w:val="23"/>
          <w:szCs w:val="23"/>
          <w:lang w:eastAsia="en-US"/>
        </w:rPr>
      </w:pPr>
    </w:p>
    <w:p>
      <w:pPr>
        <w:pStyle w:val="style0"/>
        <w:ind w:left="720"/>
        <w:jc w:val="both"/>
        <w:rPr>
          <w:bCs/>
          <w:sz w:val="23"/>
          <w:szCs w:val="23"/>
          <w:lang w:eastAsia="en-US"/>
        </w:rPr>
      </w:pPr>
    </w:p>
    <w:bookmarkStart w:id="1546" w:name="_Toc241846070"/>
    <w:bookmarkStart w:id="1547" w:name="_Toc243869080"/>
    <w:bookmarkStart w:id="1548" w:name="_Toc244267230"/>
    <w:bookmarkStart w:id="1549" w:name="_Toc686141"/>
    <w:bookmarkStart w:id="1550" w:name="_Toc2780519"/>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8</w:t>
      </w:r>
      <w:r>
        <w:rPr>
          <w:rFonts w:ascii="Times New Roman Bold" w:hAnsi="Times New Roman Bold"/>
          <w:b/>
          <w:bCs w:val="false"/>
          <w:spacing w:val="-3"/>
          <w:u w:val="none"/>
          <w:lang w:eastAsia="en-US"/>
        </w:rPr>
        <w:t xml:space="preserve">.2. </w:t>
      </w:r>
      <w:r>
        <w:rPr>
          <w:rFonts w:ascii="Times New Roman Bold" w:hAnsi="Times New Roman Bold"/>
          <w:b/>
          <w:bCs w:val="false"/>
          <w:spacing w:val="-3"/>
          <w:u w:val="none"/>
          <w:lang w:eastAsia="en-US"/>
        </w:rPr>
        <w:t xml:space="preserve">Coûts de Suivi/Evaluation des activités du </w:t>
      </w:r>
      <w:bookmarkEnd w:id="1546"/>
      <w:bookmarkEnd w:id="1547"/>
      <w:bookmarkEnd w:id="1548"/>
      <w:r>
        <w:rPr>
          <w:rFonts w:ascii="Times New Roman Bold" w:hAnsi="Times New Roman Bold"/>
          <w:b/>
          <w:bCs w:val="false"/>
          <w:spacing w:val="-3"/>
          <w:u w:val="none"/>
          <w:lang w:eastAsia="en-US"/>
        </w:rPr>
        <w:t>Programme</w:t>
      </w:r>
      <w:bookmarkEnd w:id="1549"/>
      <w:bookmarkEnd w:id="1550"/>
    </w:p>
    <w:p>
      <w:pPr>
        <w:pStyle w:val="style0"/>
        <w:numPr>
          <w:ilvl w:val="0"/>
          <w:numId w:val="75"/>
        </w:numPr>
        <w:jc w:val="both"/>
        <w:rPr>
          <w:sz w:val="23"/>
          <w:szCs w:val="23"/>
          <w:lang w:eastAsia="en-US"/>
        </w:rPr>
      </w:pPr>
      <w:r>
        <w:rPr>
          <w:b/>
          <w:bCs/>
          <w:i/>
          <w:sz w:val="23"/>
          <w:szCs w:val="23"/>
          <w:lang w:eastAsia="en-US"/>
        </w:rPr>
        <w:t>Evaluation du coût du suivi environnemental et social</w:t>
      </w:r>
    </w:p>
    <w:p>
      <w:pPr>
        <w:pStyle w:val="style0"/>
        <w:ind w:left="720"/>
        <w:jc w:val="both"/>
        <w:rPr>
          <w:sz w:val="23"/>
          <w:szCs w:val="23"/>
          <w:lang w:eastAsia="en-US"/>
        </w:rPr>
      </w:pPr>
      <w:r>
        <w:rPr>
          <w:sz w:val="23"/>
          <w:szCs w:val="23"/>
          <w:lang w:eastAsia="en-US"/>
        </w:rPr>
        <w:t>Il est proposé un suivi permanent (suivi interne) par le SSE</w:t>
      </w:r>
      <w:r>
        <w:rPr>
          <w:sz w:val="23"/>
          <w:szCs w:val="23"/>
          <w:lang w:eastAsia="en-US"/>
        </w:rPr>
        <w:t xml:space="preserve"> et le SSS</w:t>
      </w:r>
      <w:r>
        <w:rPr>
          <w:sz w:val="23"/>
          <w:szCs w:val="23"/>
          <w:lang w:eastAsia="en-US"/>
        </w:rPr>
        <w:t>/UNC</w:t>
      </w:r>
      <w:r>
        <w:rPr>
          <w:sz w:val="23"/>
          <w:szCs w:val="23"/>
          <w:lang w:eastAsia="en-US"/>
        </w:rPr>
        <w:t xml:space="preserve"> durant toute la phase d’exécution du projet (5 ans), soit environ un coût total de 20 000 000 FCFA</w:t>
      </w:r>
      <w:r>
        <w:rPr>
          <w:sz w:val="23"/>
          <w:szCs w:val="23"/>
          <w:lang w:eastAsia="en-US"/>
        </w:rPr>
        <w:t xml:space="preserve"> pour couvrir les frais de sortie et le carburant</w:t>
      </w:r>
      <w:r>
        <w:rPr>
          <w:sz w:val="23"/>
          <w:szCs w:val="23"/>
          <w:lang w:eastAsia="en-US"/>
        </w:rPr>
        <w:t>.</w:t>
      </w:r>
      <w:r>
        <w:rPr>
          <w:sz w:val="23"/>
          <w:szCs w:val="23"/>
          <w:lang w:eastAsia="en-US"/>
        </w:rPr>
        <w:t xml:space="preserve"> </w:t>
      </w:r>
    </w:p>
    <w:p>
      <w:pPr>
        <w:pStyle w:val="style0"/>
        <w:ind w:left="720"/>
        <w:jc w:val="both"/>
        <w:rPr>
          <w:sz w:val="23"/>
          <w:szCs w:val="23"/>
          <w:lang w:eastAsia="en-US"/>
        </w:rPr>
      </w:pPr>
    </w:p>
    <w:p>
      <w:pPr>
        <w:pStyle w:val="style0"/>
        <w:ind w:left="720"/>
        <w:jc w:val="both"/>
        <w:rPr>
          <w:sz w:val="23"/>
          <w:szCs w:val="23"/>
          <w:lang w:eastAsia="en-US"/>
        </w:rPr>
      </w:pPr>
      <w:r>
        <w:rPr>
          <w:sz w:val="23"/>
          <w:szCs w:val="23"/>
          <w:lang w:eastAsia="en-US"/>
        </w:rPr>
        <w:t xml:space="preserve">Pour le suivi externe de la mise en œuvre desdites mesures par le BUNEE, il est prévu une enveloppe financière de 5 000 000 FCFA par an soit un budget de 25 000 000 FCFA pour la durée du </w:t>
      </w:r>
      <w:r>
        <w:rPr>
          <w:sz w:val="23"/>
          <w:szCs w:val="23"/>
          <w:lang w:eastAsia="en-US"/>
        </w:rPr>
        <w:t>Programme</w:t>
      </w:r>
      <w:r>
        <w:rPr>
          <w:sz w:val="23"/>
          <w:szCs w:val="23"/>
          <w:lang w:eastAsia="en-US"/>
        </w:rPr>
        <w:t>. Ce budget sera mobilisé dans le cadre d’un protocole de collaboration qui engagera le BUNEE à réaliser des m</w:t>
      </w:r>
      <w:r>
        <w:rPr>
          <w:color w:val="000000"/>
          <w:sz w:val="23"/>
          <w:szCs w:val="23"/>
          <w:lang w:eastAsia="en-US"/>
        </w:rPr>
        <w:t>issions de suivi par trois (3) cadres et à assurer la validation des rapports EIES/NIES.</w:t>
      </w:r>
    </w:p>
    <w:p>
      <w:pPr>
        <w:pStyle w:val="style0"/>
        <w:numPr>
          <w:ilvl w:val="0"/>
          <w:numId w:val="75"/>
        </w:numPr>
        <w:jc w:val="both"/>
        <w:rPr>
          <w:sz w:val="23"/>
          <w:szCs w:val="23"/>
          <w:u w:val="single"/>
          <w:lang w:eastAsia="en-US"/>
        </w:rPr>
      </w:pPr>
      <w:r>
        <w:rPr>
          <w:b/>
          <w:bCs/>
          <w:i/>
          <w:sz w:val="23"/>
          <w:szCs w:val="23"/>
          <w:lang w:eastAsia="en-US"/>
        </w:rPr>
        <w:t xml:space="preserve">Estimation  du coût de l’évaluation (audit) : </w:t>
      </w:r>
      <w:r>
        <w:rPr>
          <w:sz w:val="23"/>
          <w:szCs w:val="23"/>
          <w:lang w:eastAsia="en-US"/>
        </w:rPr>
        <w:t xml:space="preserve">Pour l’évaluation, on retiendra une évaluation </w:t>
      </w:r>
      <w:r>
        <w:rPr>
          <w:sz w:val="23"/>
          <w:szCs w:val="23"/>
          <w:lang w:eastAsia="en-US"/>
        </w:rPr>
        <w:t xml:space="preserve">à mi-parcours et un autre </w:t>
      </w:r>
      <w:r>
        <w:rPr>
          <w:sz w:val="23"/>
          <w:szCs w:val="23"/>
          <w:lang w:eastAsia="en-US"/>
        </w:rPr>
        <w:t xml:space="preserve">à la fin du </w:t>
      </w:r>
      <w:r>
        <w:rPr>
          <w:sz w:val="23"/>
          <w:szCs w:val="23"/>
          <w:lang w:eastAsia="en-US"/>
        </w:rPr>
        <w:t>Programme</w:t>
      </w:r>
      <w:r>
        <w:rPr>
          <w:sz w:val="23"/>
          <w:szCs w:val="23"/>
          <w:lang w:eastAsia="en-US"/>
        </w:rPr>
        <w:t xml:space="preserve">, soit un total de </w:t>
      </w:r>
      <w:r>
        <w:rPr>
          <w:sz w:val="23"/>
          <w:szCs w:val="23"/>
          <w:u w:val="single"/>
          <w:lang w:eastAsia="en-US"/>
        </w:rPr>
        <w:t>10 000 000 FCFA</w:t>
      </w:r>
      <w:r>
        <w:rPr>
          <w:sz w:val="23"/>
          <w:szCs w:val="23"/>
          <w:lang w:eastAsia="en-US"/>
        </w:rPr>
        <w:t>. Ce coût compren</w:t>
      </w:r>
      <w:r>
        <w:rPr>
          <w:sz w:val="23"/>
          <w:szCs w:val="23"/>
          <w:lang w:eastAsia="en-US"/>
        </w:rPr>
        <w:t>d</w:t>
      </w:r>
      <w:r>
        <w:rPr>
          <w:sz w:val="23"/>
          <w:szCs w:val="23"/>
          <w:lang w:eastAsia="en-US"/>
        </w:rPr>
        <w:t xml:space="preserve"> le recrutement de consultant international.</w:t>
      </w:r>
    </w:p>
    <w:p>
      <w:pPr>
        <w:pStyle w:val="style0"/>
        <w:numPr>
          <w:ilvl w:val="0"/>
          <w:numId w:val="75"/>
        </w:numPr>
        <w:jc w:val="both"/>
        <w:rPr>
          <w:sz w:val="23"/>
          <w:szCs w:val="23"/>
          <w:u w:val="single"/>
          <w:lang w:eastAsia="en-US"/>
        </w:rPr>
      </w:pPr>
      <w:r>
        <w:rPr>
          <w:b/>
          <w:bCs/>
          <w:i/>
          <w:sz w:val="23"/>
          <w:szCs w:val="23"/>
          <w:lang w:eastAsia="en-US"/>
        </w:rPr>
        <w:t xml:space="preserve">Estimation du coût pour </w:t>
      </w:r>
      <w:r>
        <w:rPr>
          <w:b/>
          <w:bCs/>
          <w:i/>
          <w:sz w:val="23"/>
          <w:szCs w:val="23"/>
          <w:lang w:eastAsia="en-US"/>
        </w:rPr>
        <w:t xml:space="preserve">Supervision </w:t>
      </w:r>
      <w:r>
        <w:rPr>
          <w:b/>
          <w:bCs/>
          <w:i/>
          <w:sz w:val="23"/>
          <w:szCs w:val="23"/>
          <w:lang w:eastAsia="en-US"/>
        </w:rPr>
        <w:t>–</w:t>
      </w:r>
      <w:r>
        <w:rPr>
          <w:b/>
          <w:bCs/>
          <w:i/>
          <w:sz w:val="23"/>
          <w:szCs w:val="23"/>
          <w:lang w:eastAsia="en-US"/>
        </w:rPr>
        <w:t xml:space="preserve"> Suivi/ évaluation</w:t>
      </w:r>
      <w:r>
        <w:rPr>
          <w:b/>
          <w:bCs/>
          <w:i/>
          <w:sz w:val="23"/>
          <w:szCs w:val="23"/>
          <w:lang w:eastAsia="en-US"/>
        </w:rPr>
        <w:t xml:space="preserve"> du Programme</w:t>
      </w:r>
    </w:p>
    <w:p>
      <w:pPr>
        <w:pStyle w:val="style0"/>
        <w:ind w:left="720"/>
        <w:jc w:val="both"/>
        <w:rPr>
          <w:sz w:val="22"/>
          <w:szCs w:val="22"/>
          <w:u w:val="single"/>
          <w:lang w:eastAsia="en-US"/>
        </w:rPr>
      </w:pPr>
      <w:r>
        <w:rPr>
          <w:sz w:val="22"/>
          <w:szCs w:val="22"/>
          <w:u w:val="single"/>
          <w:lang w:eastAsia="en-US"/>
        </w:rPr>
        <w:t>Le f</w:t>
      </w:r>
      <w:r>
        <w:rPr>
          <w:sz w:val="22"/>
          <w:szCs w:val="22"/>
          <w:u w:val="single"/>
          <w:lang w:eastAsia="en-US"/>
        </w:rPr>
        <w:t>onctionnement du dispositif de suivi-évaluation été supervision du Programme impliquera des structures telles que la DGESS du MAAH. Une provision de 5 000 000FCFA l’an est à prévoir, soit un total de 25 000 000FCFA sur la durée du Programme.</w:t>
      </w:r>
    </w:p>
    <w:bookmarkStart w:id="1551" w:name="_Toc241846071"/>
    <w:bookmarkStart w:id="1552" w:name="_Toc243869081"/>
    <w:bookmarkStart w:id="1553" w:name="_Toc244267231"/>
    <w:bookmarkStart w:id="1554" w:name="_Toc686142"/>
    <w:bookmarkStart w:id="1555" w:name="_Toc2780520"/>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8</w:t>
      </w:r>
      <w:r>
        <w:rPr>
          <w:rFonts w:ascii="Times New Roman Bold" w:hAnsi="Times New Roman Bold"/>
          <w:b/>
          <w:bCs w:val="false"/>
          <w:spacing w:val="-3"/>
          <w:u w:val="none"/>
          <w:lang w:eastAsia="en-US"/>
        </w:rPr>
        <w:t xml:space="preserve">.3. </w:t>
      </w:r>
      <w:r>
        <w:rPr>
          <w:rFonts w:ascii="Times New Roman Bold" w:hAnsi="Times New Roman Bold"/>
          <w:b/>
          <w:bCs w:val="false"/>
          <w:spacing w:val="-3"/>
          <w:u w:val="none"/>
          <w:lang w:eastAsia="en-US"/>
        </w:rPr>
        <w:t>Coûts de</w:t>
      </w:r>
      <w:r>
        <w:rPr>
          <w:rFonts w:ascii="Times New Roman Bold" w:hAnsi="Times New Roman Bold"/>
          <w:b/>
          <w:bCs w:val="false"/>
          <w:spacing w:val="-3"/>
          <w:u w:val="none"/>
          <w:lang w:eastAsia="en-US"/>
        </w:rPr>
        <w:t>s</w:t>
      </w:r>
      <w:r>
        <w:rPr>
          <w:rFonts w:ascii="Times New Roman Bold" w:hAnsi="Times New Roman Bold"/>
          <w:b/>
          <w:bCs w:val="false"/>
          <w:spacing w:val="-3"/>
          <w:u w:val="none"/>
          <w:lang w:eastAsia="en-US"/>
        </w:rPr>
        <w:t xml:space="preserve"> mesures de Formation et de Sensibilisation</w:t>
      </w:r>
      <w:bookmarkEnd w:id="1551"/>
      <w:bookmarkEnd w:id="1552"/>
      <w:bookmarkEnd w:id="1553"/>
      <w:bookmarkEnd w:id="1554"/>
      <w:bookmarkEnd w:id="1555"/>
      <w:r>
        <w:rPr>
          <w:rFonts w:ascii="Times New Roman Bold" w:hAnsi="Times New Roman Bold"/>
          <w:b/>
          <w:bCs w:val="false"/>
          <w:spacing w:val="-3"/>
          <w:u w:val="none"/>
          <w:lang w:eastAsia="en-US"/>
        </w:rPr>
        <w:t> </w:t>
      </w:r>
    </w:p>
    <w:p>
      <w:pPr>
        <w:pStyle w:val="style0"/>
        <w:numPr>
          <w:ilvl w:val="0"/>
          <w:numId w:val="109"/>
        </w:numPr>
        <w:jc w:val="both"/>
        <w:rPr>
          <w:sz w:val="22"/>
          <w:szCs w:val="22"/>
          <w:lang w:val="en-US" w:eastAsia="en-US"/>
        </w:rPr>
      </w:pPr>
      <w:r>
        <w:rPr>
          <w:b/>
          <w:bCs/>
          <w:i/>
          <w:sz w:val="22"/>
          <w:szCs w:val="22"/>
          <w:lang w:val="en-US" w:eastAsia="en-US"/>
        </w:rPr>
        <w:t>Formation </w:t>
      </w:r>
    </w:p>
    <w:p>
      <w:pPr>
        <w:pStyle w:val="style0"/>
        <w:ind w:left="720"/>
        <w:jc w:val="both"/>
        <w:rPr>
          <w:sz w:val="22"/>
          <w:szCs w:val="22"/>
          <w:lang w:eastAsia="en-US"/>
        </w:rPr>
      </w:pPr>
      <w:r>
        <w:rPr>
          <w:sz w:val="22"/>
          <w:szCs w:val="22"/>
          <w:lang w:eastAsia="en-US"/>
        </w:rPr>
        <w:t xml:space="preserve">Il s’agira d’organiser un (01) atelier au niveau national sur les sauvegardes environnementales de la Banque mondiale. Cet atelier va regrouper les </w:t>
      </w:r>
      <w:r>
        <w:rPr>
          <w:sz w:val="22"/>
          <w:szCs w:val="22"/>
          <w:lang w:eastAsia="en-US"/>
        </w:rPr>
        <w:t xml:space="preserve">experts de l’UNC (11), les </w:t>
      </w:r>
      <w:r>
        <w:rPr>
          <w:sz w:val="22"/>
          <w:szCs w:val="22"/>
          <w:lang w:eastAsia="en-US"/>
        </w:rPr>
        <w:t>représentants des</w:t>
      </w:r>
      <w:r>
        <w:rPr>
          <w:sz w:val="22"/>
          <w:szCs w:val="22"/>
          <w:lang w:eastAsia="en-US"/>
        </w:rPr>
        <w:t xml:space="preserve"> directions générales impliquées (DGAHDI, DGPV, DGFOMR, DGPER, AMVS, DGPR, DGEP)</w:t>
      </w:r>
      <w:r>
        <w:rPr>
          <w:sz w:val="22"/>
          <w:szCs w:val="22"/>
          <w:lang w:eastAsia="en-US"/>
        </w:rPr>
        <w:t>. L’atelier national qui regrouper</w:t>
      </w:r>
      <w:r>
        <w:rPr>
          <w:sz w:val="22"/>
          <w:szCs w:val="22"/>
          <w:lang w:eastAsia="en-US"/>
        </w:rPr>
        <w:t>a une</w:t>
      </w:r>
      <w:r>
        <w:rPr>
          <w:sz w:val="22"/>
          <w:szCs w:val="22"/>
          <w:lang w:eastAsia="en-US"/>
        </w:rPr>
        <w:t xml:space="preserve"> </w:t>
      </w:r>
      <w:r>
        <w:rPr>
          <w:sz w:val="22"/>
          <w:szCs w:val="22"/>
          <w:lang w:eastAsia="en-US"/>
        </w:rPr>
        <w:t>vingtaine</w:t>
      </w:r>
      <w:r>
        <w:rPr>
          <w:sz w:val="22"/>
          <w:szCs w:val="22"/>
          <w:lang w:eastAsia="en-US"/>
        </w:rPr>
        <w:t xml:space="preserve"> </w:t>
      </w:r>
      <w:r>
        <w:rPr>
          <w:sz w:val="22"/>
          <w:szCs w:val="22"/>
          <w:lang w:eastAsia="en-US"/>
        </w:rPr>
        <w:t>de participants</w:t>
      </w:r>
      <w:r>
        <w:rPr>
          <w:sz w:val="22"/>
          <w:szCs w:val="22"/>
          <w:lang w:eastAsia="en-US"/>
        </w:rPr>
        <w:t xml:space="preserve">, se déroulera à Ouagadougou. </w:t>
      </w:r>
    </w:p>
    <w:p>
      <w:pPr>
        <w:pStyle w:val="style0"/>
        <w:ind w:left="720"/>
        <w:jc w:val="both"/>
        <w:rPr>
          <w:sz w:val="22"/>
          <w:szCs w:val="22"/>
          <w:lang w:eastAsia="en-US"/>
        </w:rPr>
      </w:pPr>
    </w:p>
    <w:p>
      <w:pPr>
        <w:pStyle w:val="style0"/>
        <w:ind w:left="720"/>
        <w:jc w:val="both"/>
        <w:rPr>
          <w:sz w:val="22"/>
          <w:szCs w:val="22"/>
          <w:lang w:eastAsia="en-US"/>
        </w:rPr>
      </w:pPr>
      <w:r>
        <w:rPr>
          <w:sz w:val="22"/>
          <w:szCs w:val="22"/>
          <w:lang w:eastAsia="en-US"/>
        </w:rPr>
        <w:t xml:space="preserve">Par </w:t>
      </w:r>
      <w:r>
        <w:rPr>
          <w:sz w:val="22"/>
          <w:szCs w:val="22"/>
          <w:lang w:eastAsia="en-US"/>
        </w:rPr>
        <w:t>région</w:t>
      </w:r>
      <w:r>
        <w:rPr>
          <w:sz w:val="22"/>
          <w:szCs w:val="22"/>
          <w:lang w:eastAsia="en-US"/>
        </w:rPr>
        <w:t xml:space="preserve"> d’intervention ciblée, </w:t>
      </w:r>
      <w:r>
        <w:rPr>
          <w:sz w:val="22"/>
          <w:szCs w:val="22"/>
          <w:lang w:eastAsia="en-US"/>
        </w:rPr>
        <w:t xml:space="preserve">un </w:t>
      </w:r>
      <w:r>
        <w:rPr>
          <w:sz w:val="22"/>
          <w:szCs w:val="22"/>
          <w:lang w:eastAsia="en-US"/>
        </w:rPr>
        <w:t>atelier régiona</w:t>
      </w:r>
      <w:r>
        <w:rPr>
          <w:sz w:val="22"/>
          <w:szCs w:val="22"/>
          <w:lang w:eastAsia="en-US"/>
        </w:rPr>
        <w:t xml:space="preserve">l </w:t>
      </w:r>
      <w:r>
        <w:rPr>
          <w:sz w:val="22"/>
          <w:szCs w:val="22"/>
          <w:lang w:eastAsia="en-US"/>
        </w:rPr>
        <w:t>regrouper</w:t>
      </w:r>
      <w:r>
        <w:rPr>
          <w:sz w:val="22"/>
          <w:szCs w:val="22"/>
          <w:lang w:eastAsia="en-US"/>
        </w:rPr>
        <w:t>a</w:t>
      </w:r>
      <w:r>
        <w:rPr>
          <w:sz w:val="22"/>
          <w:szCs w:val="22"/>
          <w:lang w:eastAsia="en-US"/>
        </w:rPr>
        <w:t xml:space="preserve"> </w:t>
      </w:r>
      <w:r>
        <w:rPr>
          <w:sz w:val="22"/>
          <w:szCs w:val="22"/>
          <w:lang w:eastAsia="en-US"/>
        </w:rPr>
        <w:t xml:space="preserve">outre les experts de chaque URC, mais aussi </w:t>
      </w:r>
      <w:r>
        <w:rPr>
          <w:sz w:val="22"/>
          <w:szCs w:val="22"/>
          <w:lang w:eastAsia="en-US"/>
        </w:rPr>
        <w:t xml:space="preserve">l’ensemble des acteurs techniques concernés par la mise en œuvre des mesures environnementales du </w:t>
      </w:r>
      <w:r>
        <w:rPr>
          <w:sz w:val="22"/>
          <w:szCs w:val="22"/>
          <w:lang w:eastAsia="en-US"/>
        </w:rPr>
        <w:t>CGES (DRAAH</w:t>
      </w:r>
      <w:r>
        <w:rPr>
          <w:sz w:val="22"/>
          <w:szCs w:val="22"/>
          <w:lang w:eastAsia="en-US"/>
        </w:rPr>
        <w:t>,</w:t>
      </w:r>
      <w:r>
        <w:rPr>
          <w:sz w:val="22"/>
          <w:szCs w:val="22"/>
          <w:lang w:eastAsia="en-US"/>
        </w:rPr>
        <w:t xml:space="preserve"> DRARH, DREA, DRI, DREP, Gouvernorat, etc.</w:t>
      </w:r>
      <w:r>
        <w:rPr>
          <w:sz w:val="22"/>
          <w:szCs w:val="22"/>
          <w:lang w:eastAsia="en-US"/>
        </w:rPr>
        <w:t xml:space="preserve"> </w:t>
      </w:r>
      <w:r>
        <w:rPr>
          <w:sz w:val="22"/>
          <w:szCs w:val="22"/>
          <w:lang w:eastAsia="en-US"/>
        </w:rPr>
        <w:t>Une vingtaine de participants est également attendue par région.</w:t>
      </w:r>
    </w:p>
    <w:p>
      <w:pPr>
        <w:pStyle w:val="style0"/>
        <w:ind w:left="720"/>
        <w:jc w:val="both"/>
        <w:rPr>
          <w:sz w:val="22"/>
          <w:szCs w:val="22"/>
          <w:lang w:eastAsia="en-US"/>
        </w:rPr>
      </w:pPr>
    </w:p>
    <w:p>
      <w:pPr>
        <w:pStyle w:val="style0"/>
        <w:ind w:left="720"/>
        <w:jc w:val="both"/>
        <w:rPr>
          <w:sz w:val="22"/>
          <w:szCs w:val="22"/>
          <w:lang w:eastAsia="en-US"/>
        </w:rPr>
      </w:pPr>
      <w:r>
        <w:rPr>
          <w:sz w:val="22"/>
          <w:szCs w:val="22"/>
          <w:lang w:eastAsia="en-US"/>
        </w:rPr>
        <w:t xml:space="preserve">Un budget de cinq millions (5 000 000 F) par atelier, soit un montant total de </w:t>
      </w:r>
      <w:r>
        <w:rPr>
          <w:sz w:val="22"/>
          <w:szCs w:val="22"/>
          <w:u w:val="single"/>
          <w:lang w:eastAsia="en-US"/>
        </w:rPr>
        <w:t>15 000 000 FCFA</w:t>
      </w:r>
      <w:r>
        <w:rPr>
          <w:sz w:val="22"/>
          <w:szCs w:val="22"/>
          <w:lang w:eastAsia="en-US"/>
        </w:rPr>
        <w:t xml:space="preserve"> permettra de couvrir ces dépenses de formation. </w:t>
      </w:r>
    </w:p>
    <w:p>
      <w:pPr>
        <w:pStyle w:val="style0"/>
        <w:ind w:left="360"/>
        <w:jc w:val="both"/>
        <w:rPr>
          <w:sz w:val="22"/>
          <w:szCs w:val="22"/>
          <w:lang w:eastAsia="en-US"/>
        </w:rPr>
      </w:pPr>
    </w:p>
    <w:p>
      <w:pPr>
        <w:pStyle w:val="style0"/>
        <w:numPr>
          <w:ilvl w:val="0"/>
          <w:numId w:val="109"/>
        </w:numPr>
        <w:jc w:val="both"/>
        <w:rPr>
          <w:sz w:val="22"/>
          <w:szCs w:val="22"/>
          <w:u w:val="single"/>
          <w:lang w:eastAsia="en-US"/>
        </w:rPr>
      </w:pPr>
      <w:r>
        <w:rPr>
          <w:b/>
          <w:bCs/>
          <w:i/>
          <w:sz w:val="22"/>
          <w:szCs w:val="22"/>
          <w:lang w:eastAsia="en-US"/>
        </w:rPr>
        <w:t>Information et Sensibilisation </w:t>
      </w:r>
    </w:p>
    <w:p>
      <w:pPr>
        <w:pStyle w:val="style0"/>
        <w:ind w:left="720"/>
        <w:jc w:val="both"/>
        <w:rPr>
          <w:color w:val="000000"/>
          <w:szCs w:val="22"/>
          <w:lang w:eastAsia="en-US"/>
        </w:rPr>
      </w:pPr>
      <w:r>
        <w:rPr>
          <w:bCs/>
          <w:sz w:val="22"/>
          <w:szCs w:val="22"/>
          <w:lang w:val="fr-CA" w:eastAsia="en-US"/>
        </w:rPr>
        <w:t>Il s’agira de recruter des ONG nationale pour mener des activités d’information et de sensibilisation des populations et d’accompag</w:t>
      </w:r>
      <w:r>
        <w:rPr>
          <w:bCs/>
          <w:sz w:val="22"/>
          <w:szCs w:val="22"/>
          <w:lang w:val="fr-CA" w:eastAsia="en-US"/>
        </w:rPr>
        <w:t>n</w:t>
      </w:r>
      <w:r>
        <w:rPr>
          <w:bCs/>
          <w:sz w:val="22"/>
          <w:szCs w:val="22"/>
          <w:lang w:val="fr-CA" w:eastAsia="en-US"/>
        </w:rPr>
        <w:t xml:space="preserve">ement des OP et des Producteurs, et des structures organisées au niveau de chaque site ciblé par le projet. Il est prévu </w:t>
      </w:r>
      <w:r>
        <w:rPr>
          <w:sz w:val="22"/>
          <w:szCs w:val="22"/>
          <w:lang w:eastAsia="en-US"/>
        </w:rPr>
        <w:t xml:space="preserve">des campagnes de sensibilisation au niveau des trois (03) zones. Une provision de 15 </w:t>
      </w:r>
      <w:r>
        <w:rPr>
          <w:sz w:val="22"/>
          <w:szCs w:val="22"/>
          <w:u w:val="single"/>
          <w:lang w:eastAsia="en-US"/>
        </w:rPr>
        <w:t xml:space="preserve">000 000 FCFA </w:t>
      </w:r>
      <w:r>
        <w:rPr>
          <w:sz w:val="22"/>
          <w:szCs w:val="22"/>
          <w:lang w:eastAsia="en-US"/>
        </w:rPr>
        <w:t>permettra de couvrir ces campagnes.</w:t>
      </w:r>
    </w:p>
    <w:bookmarkStart w:id="1556" w:name="_Toc686143"/>
    <w:bookmarkStart w:id="1557" w:name="_Toc2780521"/>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8</w:t>
      </w:r>
      <w:r>
        <w:rPr>
          <w:rFonts w:ascii="Times New Roman Bold" w:hAnsi="Times New Roman Bold"/>
          <w:b/>
          <w:bCs w:val="false"/>
          <w:spacing w:val="-3"/>
          <w:u w:val="none"/>
          <w:lang w:eastAsia="en-US"/>
        </w:rPr>
        <w:t>.</w:t>
      </w:r>
      <w:r>
        <w:rPr>
          <w:rFonts w:ascii="Times New Roman Bold" w:hAnsi="Times New Roman Bold"/>
          <w:b/>
          <w:bCs w:val="false"/>
          <w:spacing w:val="-3"/>
          <w:u w:val="none"/>
          <w:lang w:eastAsia="en-US"/>
        </w:rPr>
        <w:t>4</w:t>
      </w:r>
      <w:r>
        <w:rPr>
          <w:rFonts w:ascii="Times New Roman Bold" w:hAnsi="Times New Roman Bold"/>
          <w:b/>
          <w:bCs w:val="false"/>
          <w:spacing w:val="-3"/>
          <w:u w:val="none"/>
          <w:lang w:eastAsia="en-US"/>
        </w:rPr>
        <w:t xml:space="preserve">. </w:t>
      </w:r>
      <w:r>
        <w:rPr>
          <w:rFonts w:ascii="Times New Roman Bold" w:hAnsi="Times New Roman Bold"/>
          <w:b/>
          <w:bCs w:val="false"/>
          <w:spacing w:val="-3"/>
          <w:u w:val="none"/>
          <w:lang w:eastAsia="en-US"/>
        </w:rPr>
        <w:t>Autres coût</w:t>
      </w:r>
      <w:r>
        <w:rPr>
          <w:rFonts w:ascii="Times New Roman Bold" w:hAnsi="Times New Roman Bold"/>
          <w:b/>
          <w:bCs w:val="false"/>
          <w:spacing w:val="-3"/>
          <w:u w:val="none"/>
          <w:lang w:eastAsia="en-US"/>
        </w:rPr>
        <w:t>s</w:t>
      </w:r>
      <w:bookmarkEnd w:id="1556"/>
      <w:bookmarkEnd w:id="1557"/>
    </w:p>
    <w:p>
      <w:pPr>
        <w:pStyle w:val="style0"/>
        <w:numPr>
          <w:ilvl w:val="0"/>
          <w:numId w:val="109"/>
        </w:numPr>
        <w:jc w:val="both"/>
        <w:rPr>
          <w:b/>
          <w:bCs/>
          <w:i/>
          <w:sz w:val="22"/>
          <w:szCs w:val="22"/>
          <w:lang w:eastAsia="en-US"/>
        </w:rPr>
      </w:pPr>
      <w:r>
        <w:rPr>
          <w:b/>
          <w:bCs/>
          <w:i/>
          <w:sz w:val="22"/>
          <w:szCs w:val="22"/>
          <w:lang w:eastAsia="en-US"/>
        </w:rPr>
        <w:t>Reboisement</w:t>
      </w:r>
      <w:r>
        <w:rPr>
          <w:b/>
          <w:bCs/>
          <w:i/>
          <w:sz w:val="22"/>
          <w:szCs w:val="22"/>
          <w:lang w:eastAsia="en-US"/>
        </w:rPr>
        <w:t>s</w:t>
      </w:r>
      <w:r>
        <w:rPr>
          <w:b/>
          <w:bCs/>
          <w:i/>
          <w:sz w:val="22"/>
          <w:szCs w:val="22"/>
          <w:lang w:eastAsia="en-US"/>
        </w:rPr>
        <w:t xml:space="preserve"> de compensation (plantations de protection des berges dans les 4 régions)</w:t>
      </w:r>
    </w:p>
    <w:p>
      <w:pPr>
        <w:pStyle w:val="style0"/>
        <w:spacing w:before="120" w:after="120"/>
        <w:jc w:val="both"/>
        <w:rPr>
          <w:bCs/>
          <w:sz w:val="22"/>
          <w:szCs w:val="22"/>
          <w:lang w:eastAsia="en-US"/>
        </w:rPr>
      </w:pPr>
      <w:r>
        <w:rPr>
          <w:bCs/>
          <w:sz w:val="22"/>
          <w:szCs w:val="22"/>
          <w:lang w:eastAsia="en-US"/>
        </w:rPr>
        <w:t xml:space="preserve">Il s’agira </w:t>
      </w:r>
      <w:r>
        <w:rPr>
          <w:bCs/>
          <w:sz w:val="22"/>
          <w:szCs w:val="22"/>
          <w:lang w:eastAsia="en-US"/>
        </w:rPr>
        <w:t xml:space="preserve">de réaliser des plantations de protection des berges </w:t>
      </w:r>
      <w:r>
        <w:rPr>
          <w:bCs/>
          <w:sz w:val="22"/>
          <w:szCs w:val="22"/>
          <w:lang w:eastAsia="en-US"/>
        </w:rPr>
        <w:t xml:space="preserve">ainsi que la revégétalisation des ilôts parcellaires </w:t>
      </w:r>
      <w:r>
        <w:rPr>
          <w:bCs/>
          <w:sz w:val="22"/>
          <w:szCs w:val="22"/>
          <w:lang w:eastAsia="en-US"/>
        </w:rPr>
        <w:t>dans les quatre (4) régions d’intervention du Programme.</w:t>
      </w:r>
      <w:r>
        <w:rPr>
          <w:bCs/>
          <w:sz w:val="22"/>
          <w:szCs w:val="22"/>
          <w:lang w:eastAsia="en-US"/>
        </w:rPr>
        <w:t xml:space="preserve"> Un forfait de </w:t>
      </w:r>
      <w:r>
        <w:rPr>
          <w:bCs/>
          <w:sz w:val="22"/>
          <w:szCs w:val="22"/>
          <w:lang w:eastAsia="en-US"/>
        </w:rPr>
        <w:t>30 </w:t>
      </w:r>
      <w:r>
        <w:rPr>
          <w:bCs/>
          <w:sz w:val="22"/>
          <w:szCs w:val="22"/>
          <w:lang w:eastAsia="en-US"/>
        </w:rPr>
        <w:t xml:space="preserve">000 000FCFA par région est prévu, soit au total </w:t>
      </w:r>
      <w:r>
        <w:rPr>
          <w:bCs/>
          <w:sz w:val="22"/>
          <w:szCs w:val="22"/>
          <w:lang w:eastAsia="en-US"/>
        </w:rPr>
        <w:t>120 </w:t>
      </w:r>
      <w:r>
        <w:rPr>
          <w:bCs/>
          <w:sz w:val="22"/>
          <w:szCs w:val="22"/>
          <w:lang w:eastAsia="en-US"/>
        </w:rPr>
        <w:t>000 000 FCFA sur la durée du Programme.</w:t>
      </w:r>
    </w:p>
    <w:p>
      <w:pPr>
        <w:pStyle w:val="style0"/>
        <w:spacing w:before="120" w:after="120"/>
        <w:rPr>
          <w:bCs/>
          <w:sz w:val="23"/>
          <w:szCs w:val="23"/>
          <w:lang w:eastAsia="en-US"/>
        </w:rPr>
      </w:pPr>
    </w:p>
    <w:p>
      <w:pPr>
        <w:pStyle w:val="style0"/>
        <w:spacing w:before="120" w:after="120"/>
        <w:rPr>
          <w:bCs/>
          <w:sz w:val="23"/>
          <w:szCs w:val="23"/>
          <w:lang w:eastAsia="en-US"/>
        </w:rPr>
      </w:pPr>
      <w:r>
        <w:rPr>
          <w:bCs/>
          <w:sz w:val="23"/>
          <w:szCs w:val="23"/>
          <w:lang w:eastAsia="en-US"/>
        </w:rPr>
        <w:t>Le tableau suivant, donne les détails des coûts des mesures environnementales et sociales à mettre en œuvre.</w:t>
      </w:r>
    </w:p>
    <w:p>
      <w:pPr>
        <w:pStyle w:val="style0"/>
        <w:spacing w:before="120" w:after="120"/>
        <w:rPr>
          <w:bCs/>
          <w:sz w:val="23"/>
          <w:szCs w:val="23"/>
          <w:lang w:eastAsia="en-US"/>
        </w:rPr>
      </w:pPr>
    </w:p>
    <w:bookmarkStart w:id="1558" w:name="_Toc2780546"/>
    <w:p>
      <w:pPr>
        <w:pStyle w:val="style34"/>
        <w:keepNext/>
        <w:jc w:val="left"/>
        <w:rPr>
          <w:sz w:val="20"/>
          <w:szCs w:val="20"/>
        </w:rPr>
      </w:pPr>
      <w:r>
        <w:rPr>
          <w:color w:val="auto"/>
          <w:sz w:val="20"/>
          <w:szCs w:val="20"/>
        </w:rPr>
        <w:t xml:space="preserve">Tableau </w:t>
      </w:r>
      <w:r>
        <w:rPr>
          <w:color w:val="auto"/>
          <w:sz w:val="20"/>
          <w:szCs w:val="20"/>
        </w:rPr>
        <w:fldChar w:fldCharType="begin"/>
      </w:r>
      <w:r>
        <w:rPr>
          <w:color w:val="auto"/>
          <w:sz w:val="20"/>
          <w:szCs w:val="20"/>
        </w:rPr>
        <w:instrText xml:space="preserve"> SEQ Tableau \* ARABIC </w:instrText>
      </w:r>
      <w:r>
        <w:rPr>
          <w:color w:val="auto"/>
          <w:sz w:val="20"/>
          <w:szCs w:val="20"/>
        </w:rPr>
        <w:fldChar w:fldCharType="separate"/>
      </w:r>
      <w:r>
        <w:rPr>
          <w:noProof/>
          <w:color w:val="auto"/>
          <w:sz w:val="20"/>
          <w:szCs w:val="20"/>
        </w:rPr>
        <w:t>12</w:t>
      </w:r>
      <w:r>
        <w:rPr>
          <w:color w:val="auto"/>
          <w:sz w:val="20"/>
          <w:szCs w:val="20"/>
        </w:rPr>
        <w:fldChar w:fldCharType="end"/>
      </w:r>
      <w:r>
        <w:rPr>
          <w:color w:val="auto"/>
          <w:sz w:val="20"/>
          <w:szCs w:val="20"/>
        </w:rPr>
        <w:t> : Synthèse des couts des activités et mesures environnementales</w:t>
      </w:r>
      <w:bookmarkEnd w:id="15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3492"/>
        <w:gridCol w:w="1120"/>
        <w:gridCol w:w="781"/>
        <w:gridCol w:w="1410"/>
        <w:gridCol w:w="1836"/>
      </w:tblGrid>
      <w:tr>
        <w:trPr>
          <w:trHeight w:val="300" w:hRule="atLeast"/>
          <w:tblHeader/>
        </w:trPr>
        <w:tc>
          <w:tcPr>
            <w:tcW w:w="232" w:type="pct"/>
            <w:tcBorders/>
            <w:shd w:val="clear" w:color="auto" w:fill="bfbfbf"/>
            <w:noWrap/>
            <w:vAlign w:val="center"/>
            <w:hideMark/>
          </w:tcPr>
          <w:p>
            <w:pPr>
              <w:pStyle w:val="style0"/>
              <w:rPr>
                <w:color w:val="000000"/>
                <w:sz w:val="20"/>
                <w:szCs w:val="20"/>
              </w:rPr>
            </w:pPr>
            <w:r>
              <w:rPr>
                <w:color w:val="000000"/>
                <w:sz w:val="20"/>
                <w:szCs w:val="20"/>
              </w:rPr>
              <w:t>N°</w:t>
            </w:r>
          </w:p>
        </w:tc>
        <w:tc>
          <w:tcPr>
            <w:tcW w:w="1927" w:type="pct"/>
            <w:tcBorders/>
            <w:shd w:val="clear" w:color="auto" w:fill="bfbfbf"/>
            <w:noWrap/>
            <w:vAlign w:val="center"/>
            <w:hideMark/>
          </w:tcPr>
          <w:p>
            <w:pPr>
              <w:pStyle w:val="style0"/>
              <w:rPr>
                <w:b/>
                <w:bCs/>
                <w:color w:val="000000"/>
                <w:sz w:val="20"/>
                <w:szCs w:val="20"/>
              </w:rPr>
            </w:pPr>
            <w:r>
              <w:rPr>
                <w:b/>
                <w:bCs/>
                <w:color w:val="000000"/>
                <w:sz w:val="20"/>
                <w:szCs w:val="20"/>
              </w:rPr>
              <w:t>Activités/mesures environnementales et sociales</w:t>
            </w:r>
          </w:p>
        </w:tc>
        <w:tc>
          <w:tcPr>
            <w:tcW w:w="618" w:type="pct"/>
            <w:tcBorders/>
            <w:shd w:val="clear" w:color="auto" w:fill="bfbfbf"/>
            <w:noWrap/>
            <w:vAlign w:val="center"/>
            <w:hideMark/>
          </w:tcPr>
          <w:p>
            <w:pPr>
              <w:pStyle w:val="style0"/>
              <w:rPr>
                <w:b/>
                <w:bCs/>
                <w:color w:val="000000"/>
                <w:sz w:val="20"/>
                <w:szCs w:val="20"/>
              </w:rPr>
            </w:pPr>
            <w:r>
              <w:rPr>
                <w:b/>
                <w:bCs/>
                <w:color w:val="000000"/>
                <w:sz w:val="20"/>
                <w:szCs w:val="20"/>
              </w:rPr>
              <w:t>Coût unitaire</w:t>
            </w:r>
          </w:p>
        </w:tc>
        <w:tc>
          <w:tcPr>
            <w:tcW w:w="431" w:type="pct"/>
            <w:tcBorders/>
            <w:shd w:val="clear" w:color="auto" w:fill="bfbfbf"/>
            <w:noWrap/>
            <w:vAlign w:val="center"/>
            <w:hideMark/>
          </w:tcPr>
          <w:p>
            <w:pPr>
              <w:pStyle w:val="style0"/>
              <w:jc w:val="center"/>
              <w:rPr>
                <w:b/>
                <w:bCs/>
                <w:color w:val="000000"/>
                <w:sz w:val="20"/>
                <w:szCs w:val="20"/>
              </w:rPr>
            </w:pPr>
            <w:r>
              <w:rPr>
                <w:b/>
                <w:bCs/>
                <w:color w:val="000000"/>
                <w:sz w:val="20"/>
                <w:szCs w:val="20"/>
              </w:rPr>
              <w:t>Quantité</w:t>
            </w:r>
          </w:p>
        </w:tc>
        <w:tc>
          <w:tcPr>
            <w:tcW w:w="778" w:type="pct"/>
            <w:tcBorders/>
            <w:shd w:val="clear" w:color="auto" w:fill="bfbfbf"/>
            <w:noWrap/>
            <w:vAlign w:val="center"/>
            <w:hideMark/>
          </w:tcPr>
          <w:p>
            <w:pPr>
              <w:pStyle w:val="style0"/>
              <w:jc w:val="center"/>
              <w:rPr>
                <w:b/>
                <w:bCs/>
                <w:color w:val="000000"/>
                <w:sz w:val="20"/>
                <w:szCs w:val="20"/>
              </w:rPr>
            </w:pPr>
            <w:r>
              <w:rPr>
                <w:b/>
                <w:bCs/>
                <w:color w:val="000000"/>
                <w:sz w:val="20"/>
                <w:szCs w:val="20"/>
              </w:rPr>
              <w:t>Total (FCFA)</w:t>
            </w:r>
          </w:p>
        </w:tc>
        <w:tc>
          <w:tcPr>
            <w:tcW w:w="1013" w:type="pct"/>
            <w:tcBorders/>
            <w:shd w:val="clear" w:color="auto" w:fill="bfbfbf"/>
            <w:noWrap/>
            <w:vAlign w:val="center"/>
            <w:hideMark/>
          </w:tcPr>
          <w:p>
            <w:pPr>
              <w:pStyle w:val="style0"/>
              <w:jc w:val="center"/>
              <w:rPr>
                <w:b/>
                <w:bCs/>
                <w:color w:val="000000"/>
                <w:sz w:val="20"/>
                <w:szCs w:val="20"/>
              </w:rPr>
            </w:pPr>
            <w:r>
              <w:rPr>
                <w:b/>
                <w:bCs/>
                <w:color w:val="000000"/>
                <w:sz w:val="20"/>
                <w:szCs w:val="20"/>
              </w:rPr>
              <w:t>Observations</w:t>
            </w:r>
          </w:p>
        </w:tc>
      </w:tr>
      <w:tr>
        <w:tblPrEx/>
        <w:trPr>
          <w:trHeight w:val="1005"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1</w:t>
            </w:r>
          </w:p>
        </w:tc>
        <w:tc>
          <w:tcPr>
            <w:tcW w:w="1927" w:type="pct"/>
            <w:tcBorders/>
            <w:shd w:val="clear" w:color="auto" w:fill="auto"/>
            <w:noWrap/>
            <w:vAlign w:val="center"/>
            <w:hideMark/>
          </w:tcPr>
          <w:p>
            <w:pPr>
              <w:pStyle w:val="style0"/>
              <w:rPr>
                <w:color w:val="000000"/>
                <w:sz w:val="20"/>
                <w:szCs w:val="20"/>
              </w:rPr>
            </w:pPr>
            <w:r>
              <w:rPr>
                <w:color w:val="000000"/>
                <w:sz w:val="20"/>
                <w:szCs w:val="20"/>
              </w:rPr>
              <w:t>Réalisation EIES/NIES</w:t>
            </w:r>
          </w:p>
        </w:tc>
        <w:tc>
          <w:tcPr>
            <w:tcW w:w="618" w:type="pct"/>
            <w:tcBorders/>
            <w:shd w:val="clear" w:color="auto" w:fill="auto"/>
            <w:vAlign w:val="center"/>
            <w:hideMark/>
          </w:tcPr>
          <w:p>
            <w:pPr>
              <w:pStyle w:val="style0"/>
              <w:jc w:val="center"/>
              <w:rPr>
                <w:color w:val="000000"/>
                <w:sz w:val="20"/>
                <w:szCs w:val="20"/>
              </w:rPr>
            </w:pPr>
            <w:r>
              <w:rPr>
                <w:color w:val="000000"/>
                <w:sz w:val="20"/>
                <w:szCs w:val="20"/>
              </w:rPr>
              <w:t>10 millions/EIES et 4 millions/NIES</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15</w:t>
            </w:r>
          </w:p>
        </w:tc>
        <w:tc>
          <w:tcPr>
            <w:tcW w:w="778" w:type="pct"/>
            <w:tcBorders/>
            <w:shd w:val="clear" w:color="000000" w:fill="ffffff"/>
            <w:noWrap/>
            <w:vAlign w:val="center"/>
            <w:hideMark/>
          </w:tcPr>
          <w:p>
            <w:pPr>
              <w:pStyle w:val="style0"/>
              <w:jc w:val="center"/>
              <w:rPr>
                <w:color w:val="000000"/>
                <w:sz w:val="20"/>
                <w:szCs w:val="20"/>
              </w:rPr>
            </w:pPr>
            <w:r>
              <w:rPr>
                <w:color w:val="000000"/>
                <w:sz w:val="20"/>
                <w:szCs w:val="20"/>
              </w:rPr>
              <w:t>96 000 000</w:t>
            </w:r>
          </w:p>
        </w:tc>
        <w:tc>
          <w:tcPr>
            <w:tcW w:w="1013" w:type="pct"/>
            <w:tcBorders/>
            <w:shd w:val="clear" w:color="auto" w:fill="auto"/>
            <w:vAlign w:val="center"/>
            <w:hideMark/>
          </w:tcPr>
          <w:p>
            <w:pPr>
              <w:pStyle w:val="style0"/>
              <w:jc w:val="center"/>
              <w:rPr>
                <w:color w:val="000000"/>
                <w:sz w:val="20"/>
                <w:szCs w:val="20"/>
              </w:rPr>
            </w:pPr>
            <w:r>
              <w:rPr>
                <w:color w:val="000000"/>
                <w:sz w:val="20"/>
                <w:szCs w:val="20"/>
              </w:rPr>
              <w:t>Prévision pour 6 EIES (aménagements hydroagricoles) et 9 NIES (pistes rurales) pour la durée du programme. Quant aux PES, elles concernent les vergers et les constructions de magasins</w:t>
            </w:r>
          </w:p>
        </w:tc>
      </w:tr>
      <w:tr>
        <w:tblPrEx/>
        <w:trPr>
          <w:trHeight w:val="1035"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2</w:t>
            </w:r>
          </w:p>
        </w:tc>
        <w:tc>
          <w:tcPr>
            <w:tcW w:w="1927" w:type="pct"/>
            <w:tcBorders/>
            <w:shd w:val="clear" w:color="auto" w:fill="auto"/>
            <w:noWrap/>
            <w:vAlign w:val="center"/>
            <w:hideMark/>
          </w:tcPr>
          <w:p>
            <w:pPr>
              <w:pStyle w:val="style0"/>
              <w:rPr>
                <w:color w:val="000000"/>
                <w:sz w:val="20"/>
                <w:szCs w:val="20"/>
              </w:rPr>
            </w:pPr>
            <w:r>
              <w:rPr>
                <w:color w:val="000000"/>
                <w:sz w:val="20"/>
                <w:szCs w:val="20"/>
              </w:rPr>
              <w:t>Mise en œuvre PGES</w:t>
            </w:r>
          </w:p>
        </w:tc>
        <w:tc>
          <w:tcPr>
            <w:tcW w:w="618" w:type="pct"/>
            <w:tcBorders/>
            <w:shd w:val="clear" w:color="auto" w:fill="auto"/>
            <w:vAlign w:val="center"/>
            <w:hideMark/>
          </w:tcPr>
          <w:p>
            <w:pPr>
              <w:pStyle w:val="style0"/>
              <w:jc w:val="center"/>
              <w:rPr>
                <w:color w:val="000000"/>
                <w:sz w:val="20"/>
                <w:szCs w:val="20"/>
              </w:rPr>
            </w:pPr>
            <w:r>
              <w:rPr>
                <w:color w:val="000000"/>
                <w:sz w:val="20"/>
                <w:szCs w:val="20"/>
              </w:rPr>
              <w:t>2 millions (par PGES/NIES) et 40 millions (par PGES/EIES)</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15</w:t>
            </w:r>
          </w:p>
        </w:tc>
        <w:tc>
          <w:tcPr>
            <w:tcW w:w="778" w:type="pct"/>
            <w:tcBorders/>
            <w:shd w:val="clear" w:color="000000" w:fill="ffffff"/>
            <w:vAlign w:val="center"/>
            <w:hideMark/>
          </w:tcPr>
          <w:p>
            <w:pPr>
              <w:pStyle w:val="style0"/>
              <w:jc w:val="center"/>
              <w:rPr>
                <w:color w:val="000000"/>
                <w:sz w:val="20"/>
                <w:szCs w:val="20"/>
              </w:rPr>
            </w:pPr>
            <w:r>
              <w:rPr>
                <w:color w:val="000000"/>
                <w:sz w:val="20"/>
                <w:szCs w:val="20"/>
              </w:rPr>
              <w:t>258 000 000</w:t>
            </w:r>
          </w:p>
        </w:tc>
        <w:tc>
          <w:tcPr>
            <w:tcW w:w="1013" w:type="pct"/>
            <w:tcBorders/>
            <w:shd w:val="clear" w:color="auto" w:fill="auto"/>
            <w:vAlign w:val="center"/>
            <w:hideMark/>
          </w:tcPr>
          <w:p>
            <w:pPr>
              <w:pStyle w:val="style0"/>
              <w:jc w:val="center"/>
              <w:rPr>
                <w:color w:val="000000"/>
                <w:sz w:val="20"/>
                <w:szCs w:val="20"/>
              </w:rPr>
            </w:pPr>
            <w:r>
              <w:rPr>
                <w:color w:val="000000"/>
                <w:sz w:val="20"/>
                <w:szCs w:val="20"/>
              </w:rPr>
              <w:t>Un cout moyen de 5000 000FCFA par PGES (NIES) et 60 000 000FCFA par PGES (EIES)</w:t>
            </w: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3</w:t>
            </w:r>
          </w:p>
        </w:tc>
        <w:tc>
          <w:tcPr>
            <w:tcW w:w="1927" w:type="pct"/>
            <w:tcBorders/>
            <w:shd w:val="clear" w:color="auto" w:fill="auto"/>
            <w:noWrap/>
            <w:vAlign w:val="center"/>
            <w:hideMark/>
          </w:tcPr>
          <w:p>
            <w:pPr>
              <w:pStyle w:val="style0"/>
              <w:rPr>
                <w:color w:val="000000"/>
                <w:sz w:val="20"/>
                <w:szCs w:val="20"/>
              </w:rPr>
            </w:pPr>
            <w:r>
              <w:rPr>
                <w:color w:val="000000"/>
                <w:sz w:val="20"/>
                <w:szCs w:val="20"/>
              </w:rPr>
              <w:t>Suivi externe BUNEE (protocole)</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5 000 000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5</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25 000 000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4</w:t>
            </w:r>
          </w:p>
        </w:tc>
        <w:tc>
          <w:tcPr>
            <w:tcW w:w="1927" w:type="pct"/>
            <w:tcBorders/>
            <w:shd w:val="clear" w:color="auto" w:fill="auto"/>
            <w:noWrap/>
            <w:vAlign w:val="center"/>
            <w:hideMark/>
          </w:tcPr>
          <w:p>
            <w:pPr>
              <w:pStyle w:val="style0"/>
              <w:rPr>
                <w:color w:val="000000"/>
                <w:sz w:val="20"/>
                <w:szCs w:val="20"/>
              </w:rPr>
            </w:pPr>
            <w:r>
              <w:rPr>
                <w:color w:val="000000"/>
                <w:sz w:val="20"/>
                <w:szCs w:val="20"/>
              </w:rPr>
              <w:t>Suivi interne</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Forfait</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20 000 000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5</w:t>
            </w:r>
          </w:p>
        </w:tc>
        <w:tc>
          <w:tcPr>
            <w:tcW w:w="1927" w:type="pct"/>
            <w:tcBorders/>
            <w:shd w:val="clear" w:color="auto" w:fill="auto"/>
            <w:noWrap/>
            <w:vAlign w:val="center"/>
            <w:hideMark/>
          </w:tcPr>
          <w:p>
            <w:pPr>
              <w:pStyle w:val="style0"/>
              <w:rPr>
                <w:color w:val="000000"/>
                <w:sz w:val="20"/>
                <w:szCs w:val="20"/>
              </w:rPr>
            </w:pPr>
            <w:r>
              <w:rPr>
                <w:color w:val="000000"/>
                <w:sz w:val="20"/>
                <w:szCs w:val="20"/>
              </w:rPr>
              <w:t xml:space="preserve">Suivi de la qualité des eaux </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35 000 000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35 000 000</w:t>
            </w:r>
          </w:p>
        </w:tc>
        <w:tc>
          <w:tcPr>
            <w:tcW w:w="1013" w:type="pct"/>
            <w:tcBorders/>
            <w:shd w:val="clear" w:color="auto" w:fill="auto"/>
            <w:noWrap/>
            <w:vAlign w:val="center"/>
            <w:hideMark/>
          </w:tcPr>
          <w:p>
            <w:pPr>
              <w:pStyle w:val="style0"/>
              <w:jc w:val="center"/>
              <w:rPr>
                <w:color w:val="000000"/>
                <w:sz w:val="20"/>
                <w:szCs w:val="20"/>
              </w:rPr>
            </w:pPr>
            <w:r>
              <w:rPr>
                <w:color w:val="000000"/>
                <w:sz w:val="20"/>
                <w:szCs w:val="20"/>
              </w:rPr>
              <w:t>2ème, 3ème et 4ème année</w:t>
            </w: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6</w:t>
            </w:r>
          </w:p>
        </w:tc>
        <w:tc>
          <w:tcPr>
            <w:tcW w:w="1927" w:type="pct"/>
            <w:tcBorders/>
            <w:shd w:val="clear" w:color="auto" w:fill="auto"/>
            <w:noWrap/>
            <w:vAlign w:val="center"/>
            <w:hideMark/>
          </w:tcPr>
          <w:p>
            <w:pPr>
              <w:pStyle w:val="style0"/>
              <w:rPr>
                <w:color w:val="000000"/>
                <w:sz w:val="20"/>
                <w:szCs w:val="20"/>
              </w:rPr>
            </w:pPr>
            <w:r>
              <w:rPr>
                <w:color w:val="000000"/>
                <w:sz w:val="20"/>
                <w:szCs w:val="20"/>
              </w:rPr>
              <w:t>Suivi de la qualité des sols</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40 000 000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40 000 000</w:t>
            </w:r>
          </w:p>
        </w:tc>
        <w:tc>
          <w:tcPr>
            <w:tcW w:w="1013" w:type="pct"/>
            <w:tcBorders/>
            <w:shd w:val="clear" w:color="auto" w:fill="auto"/>
            <w:noWrap/>
            <w:vAlign w:val="center"/>
            <w:hideMark/>
          </w:tcPr>
          <w:p>
            <w:pPr>
              <w:pStyle w:val="style0"/>
              <w:jc w:val="center"/>
              <w:rPr>
                <w:color w:val="000000"/>
                <w:sz w:val="20"/>
                <w:szCs w:val="20"/>
              </w:rPr>
            </w:pPr>
            <w:r>
              <w:rPr>
                <w:color w:val="000000"/>
                <w:sz w:val="20"/>
                <w:szCs w:val="20"/>
              </w:rPr>
              <w:t>2ème, 3ème et 4ème année</w:t>
            </w: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7</w:t>
            </w:r>
          </w:p>
        </w:tc>
        <w:tc>
          <w:tcPr>
            <w:tcW w:w="1927" w:type="pct"/>
            <w:tcBorders/>
            <w:shd w:val="clear" w:color="auto" w:fill="auto"/>
            <w:noWrap/>
            <w:vAlign w:val="center"/>
            <w:hideMark/>
          </w:tcPr>
          <w:p>
            <w:pPr>
              <w:pStyle w:val="style0"/>
              <w:rPr>
                <w:color w:val="000000"/>
                <w:sz w:val="20"/>
                <w:szCs w:val="20"/>
              </w:rPr>
            </w:pPr>
            <w:r>
              <w:rPr>
                <w:color w:val="000000"/>
                <w:sz w:val="20"/>
                <w:szCs w:val="20"/>
              </w:rPr>
              <w:t>Suivi écologique (faune et flore)</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30 000 000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30 000 000</w:t>
            </w:r>
          </w:p>
        </w:tc>
        <w:tc>
          <w:tcPr>
            <w:tcW w:w="1013" w:type="pct"/>
            <w:tcBorders/>
            <w:shd w:val="clear" w:color="auto" w:fill="auto"/>
            <w:noWrap/>
            <w:vAlign w:val="center"/>
            <w:hideMark/>
          </w:tcPr>
          <w:p>
            <w:pPr>
              <w:pStyle w:val="style0"/>
              <w:jc w:val="center"/>
              <w:rPr>
                <w:color w:val="000000"/>
                <w:sz w:val="20"/>
                <w:szCs w:val="20"/>
              </w:rPr>
            </w:pPr>
            <w:r>
              <w:rPr>
                <w:color w:val="000000"/>
                <w:sz w:val="20"/>
                <w:szCs w:val="20"/>
              </w:rPr>
              <w:t>3ème année</w:t>
            </w: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8</w:t>
            </w:r>
          </w:p>
        </w:tc>
        <w:tc>
          <w:tcPr>
            <w:tcW w:w="1927" w:type="pct"/>
            <w:tcBorders/>
            <w:shd w:val="clear" w:color="auto" w:fill="auto"/>
            <w:noWrap/>
            <w:vAlign w:val="center"/>
            <w:hideMark/>
          </w:tcPr>
          <w:p>
            <w:pPr>
              <w:pStyle w:val="style0"/>
              <w:rPr>
                <w:color w:val="000000"/>
                <w:sz w:val="20"/>
                <w:szCs w:val="20"/>
              </w:rPr>
            </w:pPr>
            <w:r>
              <w:rPr>
                <w:color w:val="000000"/>
                <w:sz w:val="20"/>
                <w:szCs w:val="20"/>
              </w:rPr>
              <w:t>Audit environnemental et social</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Forfait</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10 000 000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525"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9</w:t>
            </w:r>
          </w:p>
        </w:tc>
        <w:tc>
          <w:tcPr>
            <w:tcW w:w="1927" w:type="pct"/>
            <w:tcBorders/>
            <w:shd w:val="clear" w:color="auto" w:fill="auto"/>
            <w:vAlign w:val="center"/>
            <w:hideMark/>
          </w:tcPr>
          <w:p>
            <w:pPr>
              <w:pStyle w:val="style0"/>
              <w:rPr>
                <w:color w:val="000000"/>
                <w:sz w:val="20"/>
                <w:szCs w:val="20"/>
              </w:rPr>
            </w:pPr>
            <w:r>
              <w:rPr>
                <w:color w:val="000000"/>
                <w:sz w:val="20"/>
                <w:szCs w:val="20"/>
              </w:rPr>
              <w:t>Elaboration manuel de bonnes pratiques de production et de transformation de produits</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Forfait</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10 000 000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10</w:t>
            </w:r>
          </w:p>
        </w:tc>
        <w:tc>
          <w:tcPr>
            <w:tcW w:w="1927" w:type="pct"/>
            <w:tcBorders/>
            <w:shd w:val="clear" w:color="auto" w:fill="auto"/>
            <w:vAlign w:val="center"/>
            <w:hideMark/>
          </w:tcPr>
          <w:p>
            <w:pPr>
              <w:pStyle w:val="style0"/>
              <w:rPr>
                <w:color w:val="000000"/>
                <w:sz w:val="20"/>
                <w:szCs w:val="20"/>
              </w:rPr>
            </w:pPr>
            <w:r>
              <w:rPr>
                <w:color w:val="000000"/>
                <w:sz w:val="20"/>
                <w:szCs w:val="20"/>
              </w:rPr>
              <w:t>Formation (atelier national et 04 ateliers régionaux)</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5 000 000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5</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25 000 000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54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11</w:t>
            </w:r>
          </w:p>
        </w:tc>
        <w:tc>
          <w:tcPr>
            <w:tcW w:w="1927" w:type="pct"/>
            <w:tcBorders/>
            <w:shd w:val="clear" w:color="auto" w:fill="auto"/>
            <w:vAlign w:val="center"/>
            <w:hideMark/>
          </w:tcPr>
          <w:p>
            <w:pPr>
              <w:pStyle w:val="style0"/>
              <w:rPr>
                <w:color w:val="000000"/>
                <w:sz w:val="20"/>
                <w:szCs w:val="20"/>
              </w:rPr>
            </w:pPr>
            <w:r>
              <w:rPr>
                <w:color w:val="000000"/>
                <w:sz w:val="20"/>
                <w:szCs w:val="20"/>
              </w:rPr>
              <w:t>Reboisement de compensation (plantations de protection des berges dans les 4 régions)</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30 000 000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4</w:t>
            </w:r>
          </w:p>
        </w:tc>
        <w:tc>
          <w:tcPr>
            <w:tcW w:w="778" w:type="pct"/>
            <w:tcBorders/>
            <w:shd w:val="clear" w:color="000000" w:fill="ffffff"/>
            <w:noWrap/>
            <w:vAlign w:val="center"/>
            <w:hideMark/>
          </w:tcPr>
          <w:p>
            <w:pPr>
              <w:pStyle w:val="style0"/>
              <w:jc w:val="center"/>
              <w:rPr>
                <w:color w:val="000000"/>
                <w:sz w:val="20"/>
                <w:szCs w:val="20"/>
              </w:rPr>
            </w:pPr>
            <w:r>
              <w:rPr>
                <w:color w:val="000000"/>
                <w:sz w:val="20"/>
                <w:szCs w:val="20"/>
              </w:rPr>
              <w:t>120 000 000</w:t>
            </w:r>
          </w:p>
        </w:tc>
        <w:tc>
          <w:tcPr>
            <w:tcW w:w="1013" w:type="pct"/>
            <w:tcBorders/>
            <w:shd w:val="clear" w:color="auto" w:fill="auto"/>
            <w:noWrap/>
            <w:vAlign w:val="center"/>
            <w:hideMark/>
          </w:tcPr>
          <w:p>
            <w:pPr>
              <w:pStyle w:val="style0"/>
              <w:jc w:val="center"/>
              <w:rPr>
                <w:color w:val="000000"/>
                <w:sz w:val="20"/>
                <w:szCs w:val="20"/>
              </w:rPr>
            </w:pPr>
            <w:r>
              <w:rPr>
                <w:color w:val="000000"/>
                <w:sz w:val="20"/>
                <w:szCs w:val="20"/>
              </w:rPr>
              <w:t>2ème, 3ème et 4ème année</w:t>
            </w:r>
          </w:p>
        </w:tc>
      </w:tr>
      <w:tr>
        <w:tblPrEx/>
        <w:trPr>
          <w:trHeight w:val="54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12</w:t>
            </w:r>
          </w:p>
        </w:tc>
        <w:tc>
          <w:tcPr>
            <w:tcW w:w="1927" w:type="pct"/>
            <w:tcBorders/>
            <w:shd w:val="clear" w:color="auto" w:fill="auto"/>
            <w:vAlign w:val="center"/>
            <w:hideMark/>
          </w:tcPr>
          <w:p>
            <w:pPr>
              <w:pStyle w:val="style0"/>
              <w:rPr>
                <w:color w:val="000000"/>
                <w:sz w:val="20"/>
                <w:szCs w:val="20"/>
              </w:rPr>
            </w:pPr>
            <w:r>
              <w:rPr>
                <w:color w:val="000000"/>
                <w:sz w:val="20"/>
                <w:szCs w:val="20"/>
              </w:rPr>
              <w:t>Recrutement d'une ONG pour mener une campagne de sensibilisation/information</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30 000 000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auto" w:fill="auto"/>
            <w:noWrap/>
            <w:vAlign w:val="center"/>
            <w:hideMark/>
          </w:tcPr>
          <w:p>
            <w:pPr>
              <w:pStyle w:val="style0"/>
              <w:jc w:val="center"/>
              <w:rPr>
                <w:color w:val="000000"/>
                <w:sz w:val="20"/>
                <w:szCs w:val="20"/>
              </w:rPr>
            </w:pPr>
            <w:r>
              <w:rPr>
                <w:color w:val="000000"/>
                <w:sz w:val="20"/>
                <w:szCs w:val="20"/>
              </w:rPr>
              <w:t>30 000 000</w:t>
            </w:r>
          </w:p>
        </w:tc>
        <w:tc>
          <w:tcPr>
            <w:tcW w:w="1013" w:type="pct"/>
            <w:tcBorders/>
            <w:shd w:val="clear" w:color="auto" w:fill="auto"/>
            <w:noWrap/>
            <w:vAlign w:val="center"/>
            <w:hideMark/>
          </w:tcPr>
          <w:p>
            <w:pPr>
              <w:pStyle w:val="style0"/>
              <w:jc w:val="center"/>
              <w:rPr>
                <w:color w:val="000000"/>
                <w:sz w:val="20"/>
                <w:szCs w:val="20"/>
              </w:rPr>
            </w:pPr>
          </w:p>
        </w:tc>
      </w:tr>
      <w:tr>
        <w:tblPrEx/>
        <w:trPr>
          <w:trHeight w:val="300" w:hRule="atLeast"/>
        </w:trPr>
        <w:tc>
          <w:tcPr>
            <w:tcW w:w="232" w:type="pct"/>
            <w:tcBorders/>
            <w:shd w:val="clear" w:color="auto" w:fill="auto"/>
            <w:noWrap/>
            <w:vAlign w:val="center"/>
            <w:hideMark/>
          </w:tcPr>
          <w:p>
            <w:pPr>
              <w:pStyle w:val="style0"/>
              <w:jc w:val="right"/>
              <w:rPr>
                <w:color w:val="000000"/>
                <w:sz w:val="20"/>
                <w:szCs w:val="20"/>
              </w:rPr>
            </w:pPr>
            <w:r>
              <w:rPr>
                <w:color w:val="000000"/>
                <w:sz w:val="20"/>
                <w:szCs w:val="20"/>
              </w:rPr>
              <w:t>13</w:t>
            </w:r>
          </w:p>
        </w:tc>
        <w:tc>
          <w:tcPr>
            <w:tcW w:w="1927" w:type="pct"/>
            <w:tcBorders/>
            <w:shd w:val="clear" w:color="auto" w:fill="auto"/>
            <w:noWrap/>
            <w:vAlign w:val="center"/>
            <w:hideMark/>
          </w:tcPr>
          <w:p>
            <w:pPr>
              <w:pStyle w:val="style0"/>
              <w:rPr>
                <w:color w:val="000000"/>
                <w:sz w:val="20"/>
                <w:szCs w:val="20"/>
              </w:rPr>
            </w:pPr>
            <w:r>
              <w:rPr>
                <w:color w:val="000000"/>
                <w:sz w:val="20"/>
                <w:szCs w:val="20"/>
              </w:rPr>
              <w:t>Supervision - Suivi/ évaluation</w:t>
            </w:r>
          </w:p>
        </w:tc>
        <w:tc>
          <w:tcPr>
            <w:tcW w:w="618" w:type="pct"/>
            <w:tcBorders/>
            <w:shd w:val="clear" w:color="auto" w:fill="auto"/>
            <w:noWrap/>
            <w:vAlign w:val="center"/>
            <w:hideMark/>
          </w:tcPr>
          <w:p>
            <w:pPr>
              <w:pStyle w:val="style0"/>
              <w:jc w:val="center"/>
              <w:rPr>
                <w:color w:val="000000"/>
                <w:sz w:val="20"/>
                <w:szCs w:val="20"/>
              </w:rPr>
            </w:pPr>
            <w:r>
              <w:rPr>
                <w:color w:val="000000"/>
                <w:sz w:val="20"/>
                <w:szCs w:val="20"/>
              </w:rPr>
              <w:t>25 000 000</w:t>
            </w:r>
          </w:p>
        </w:tc>
        <w:tc>
          <w:tcPr>
            <w:tcW w:w="431" w:type="pct"/>
            <w:tcBorders/>
            <w:shd w:val="clear" w:color="auto" w:fill="auto"/>
            <w:noWrap/>
            <w:vAlign w:val="center"/>
            <w:hideMark/>
          </w:tcPr>
          <w:p>
            <w:pPr>
              <w:pStyle w:val="style0"/>
              <w:jc w:val="center"/>
              <w:rPr>
                <w:color w:val="000000"/>
                <w:sz w:val="20"/>
                <w:szCs w:val="20"/>
              </w:rPr>
            </w:pPr>
            <w:r>
              <w:rPr>
                <w:color w:val="000000"/>
                <w:sz w:val="20"/>
                <w:szCs w:val="20"/>
              </w:rPr>
              <w:t>1</w:t>
            </w:r>
          </w:p>
        </w:tc>
        <w:tc>
          <w:tcPr>
            <w:tcW w:w="778" w:type="pct"/>
            <w:tcBorders/>
            <w:shd w:val="clear" w:color="000000" w:fill="ffffff"/>
            <w:noWrap/>
            <w:vAlign w:val="center"/>
            <w:hideMark/>
          </w:tcPr>
          <w:p>
            <w:pPr>
              <w:pStyle w:val="style0"/>
              <w:jc w:val="center"/>
              <w:rPr>
                <w:color w:val="000000"/>
                <w:sz w:val="20"/>
                <w:szCs w:val="20"/>
              </w:rPr>
            </w:pPr>
            <w:r>
              <w:rPr>
                <w:color w:val="000000"/>
                <w:sz w:val="20"/>
                <w:szCs w:val="20"/>
              </w:rPr>
              <w:t>25 000 000</w:t>
            </w:r>
          </w:p>
        </w:tc>
        <w:tc>
          <w:tcPr>
            <w:tcW w:w="1013" w:type="pct"/>
            <w:tcBorders/>
            <w:shd w:val="clear" w:color="auto" w:fill="auto"/>
            <w:noWrap/>
            <w:vAlign w:val="center"/>
            <w:hideMark/>
          </w:tcPr>
          <w:p>
            <w:pPr>
              <w:pStyle w:val="style0"/>
              <w:jc w:val="center"/>
              <w:rPr>
                <w:color w:val="000000"/>
                <w:sz w:val="20"/>
                <w:szCs w:val="20"/>
              </w:rPr>
            </w:pPr>
            <w:r>
              <w:rPr>
                <w:color w:val="000000"/>
                <w:sz w:val="20"/>
                <w:szCs w:val="20"/>
              </w:rPr>
              <w:t>A mi-parcours et Fin d'année</w:t>
            </w:r>
          </w:p>
        </w:tc>
      </w:tr>
      <w:tr>
        <w:tblPrEx/>
        <w:trPr>
          <w:trHeight w:val="315" w:hRule="atLeast"/>
        </w:trPr>
        <w:tc>
          <w:tcPr>
            <w:tcW w:w="232" w:type="pct"/>
            <w:tcBorders/>
            <w:shd w:val="clear" w:color="auto" w:fill="auto"/>
            <w:noWrap/>
            <w:vAlign w:val="center"/>
            <w:hideMark/>
          </w:tcPr>
          <w:p>
            <w:pPr>
              <w:pStyle w:val="style0"/>
              <w:jc w:val="center"/>
              <w:rPr>
                <w:color w:val="000000"/>
                <w:sz w:val="20"/>
                <w:szCs w:val="20"/>
              </w:rPr>
            </w:pPr>
          </w:p>
        </w:tc>
        <w:tc>
          <w:tcPr>
            <w:tcW w:w="1927" w:type="pct"/>
            <w:tcBorders/>
            <w:shd w:val="clear" w:color="auto" w:fill="auto"/>
            <w:vAlign w:val="center"/>
            <w:hideMark/>
          </w:tcPr>
          <w:p>
            <w:pPr>
              <w:pStyle w:val="style0"/>
              <w:rPr>
                <w:b/>
                <w:bCs/>
                <w:color w:val="000000"/>
                <w:sz w:val="20"/>
                <w:szCs w:val="20"/>
              </w:rPr>
            </w:pPr>
            <w:r>
              <w:rPr>
                <w:b/>
                <w:bCs/>
                <w:color w:val="000000"/>
                <w:sz w:val="20"/>
                <w:szCs w:val="20"/>
              </w:rPr>
              <w:t>Total</w:t>
            </w:r>
          </w:p>
        </w:tc>
        <w:tc>
          <w:tcPr>
            <w:tcW w:w="618" w:type="pct"/>
            <w:tcBorders/>
            <w:shd w:val="clear" w:color="auto" w:fill="auto"/>
            <w:noWrap/>
            <w:vAlign w:val="center"/>
            <w:hideMark/>
          </w:tcPr>
          <w:p>
            <w:pPr>
              <w:pStyle w:val="style0"/>
              <w:jc w:val="center"/>
              <w:rPr>
                <w:b/>
                <w:bCs/>
                <w:color w:val="000000"/>
                <w:sz w:val="20"/>
                <w:szCs w:val="20"/>
              </w:rPr>
            </w:pPr>
          </w:p>
        </w:tc>
        <w:tc>
          <w:tcPr>
            <w:tcW w:w="431" w:type="pct"/>
            <w:tcBorders/>
            <w:shd w:val="clear" w:color="auto" w:fill="auto"/>
            <w:noWrap/>
            <w:vAlign w:val="center"/>
            <w:hideMark/>
          </w:tcPr>
          <w:p>
            <w:pPr>
              <w:pStyle w:val="style0"/>
              <w:jc w:val="center"/>
              <w:rPr>
                <w:b/>
                <w:bCs/>
                <w:color w:val="000000"/>
                <w:sz w:val="20"/>
                <w:szCs w:val="20"/>
              </w:rPr>
            </w:pPr>
          </w:p>
        </w:tc>
        <w:tc>
          <w:tcPr>
            <w:tcW w:w="778" w:type="pct"/>
            <w:tcBorders/>
            <w:shd w:val="clear" w:color="auto" w:fill="auto"/>
            <w:noWrap/>
            <w:vAlign w:val="center"/>
            <w:hideMark/>
          </w:tcPr>
          <w:p>
            <w:pPr>
              <w:pStyle w:val="style0"/>
              <w:jc w:val="center"/>
              <w:rPr>
                <w:b/>
                <w:bCs/>
                <w:color w:val="000000"/>
                <w:sz w:val="20"/>
                <w:szCs w:val="20"/>
              </w:rPr>
            </w:pPr>
            <w:r>
              <w:rPr>
                <w:b/>
                <w:bCs/>
                <w:color w:val="000000"/>
                <w:sz w:val="20"/>
                <w:szCs w:val="20"/>
              </w:rPr>
              <w:t>699 000 000</w:t>
            </w:r>
          </w:p>
        </w:tc>
        <w:tc>
          <w:tcPr>
            <w:tcW w:w="1013" w:type="pct"/>
            <w:tcBorders/>
            <w:shd w:val="clear" w:color="auto" w:fill="auto"/>
            <w:noWrap/>
            <w:vAlign w:val="center"/>
            <w:hideMark/>
          </w:tcPr>
          <w:p>
            <w:pPr>
              <w:pStyle w:val="style0"/>
              <w:jc w:val="center"/>
              <w:rPr>
                <w:b/>
                <w:bCs/>
                <w:color w:val="000000"/>
                <w:sz w:val="20"/>
                <w:szCs w:val="20"/>
              </w:rPr>
            </w:pPr>
          </w:p>
        </w:tc>
      </w:tr>
    </w:tbl>
    <w:p>
      <w:pPr>
        <w:pStyle w:val="style0"/>
        <w:rPr>
          <w:caps/>
          <w:sz w:val="22"/>
          <w:szCs w:val="22"/>
        </w:rPr>
      </w:pPr>
    </w:p>
    <w:p>
      <w:pPr>
        <w:pStyle w:val="style0"/>
        <w:rPr>
          <w:lang w:eastAsia="en-US"/>
        </w:rPr>
      </w:pPr>
    </w:p>
    <w:p>
      <w:pPr>
        <w:pStyle w:val="style0"/>
        <w:rPr>
          <w:lang w:eastAsia="en-US"/>
        </w:rPr>
        <w:sectPr>
          <w:footerReference w:type="even" r:id="rId13"/>
          <w:footerReference w:type="default" r:id="rId14"/>
          <w:footerReference w:type="first" r:id="rId15"/>
          <w:pgSz w:w="11906" w:h="16838" w:orient="portrait"/>
          <w:pgMar w:top="1418" w:right="1418" w:bottom="1418" w:left="1418" w:header="720" w:footer="720" w:gutter="0"/>
          <w:cols w:space="720"/>
          <w:titlePg/>
        </w:sectPr>
      </w:pPr>
    </w:p>
    <w:bookmarkStart w:id="1559" w:name="_Toc686144"/>
    <w:bookmarkStart w:id="1560" w:name="_Toc2780522"/>
    <w:p>
      <w:pPr>
        <w:pStyle w:val="style4307"/>
        <w:numPr>
          <w:ilvl w:val="0"/>
          <w:numId w:val="0"/>
        </w:numPr>
        <w:ind w:left="390"/>
        <w:rPr/>
      </w:pPr>
      <w:r>
        <w:t>7</w:t>
      </w:r>
      <w:r>
        <w:t>.</w:t>
      </w:r>
      <w:r>
        <w:t>9</w:t>
      </w:r>
      <w:r>
        <w:t>. Mécanismes de gestion des plaintes</w:t>
      </w:r>
      <w:bookmarkEnd w:id="1559"/>
      <w:bookmarkEnd w:id="1560"/>
    </w:p>
    <w:p>
      <w:pPr>
        <w:pStyle w:val="style0"/>
        <w:jc w:val="both"/>
        <w:rPr>
          <w:sz w:val="22"/>
          <w:szCs w:val="22"/>
        </w:rPr>
      </w:pPr>
      <w:r>
        <w:rPr>
          <w:sz w:val="22"/>
          <w:szCs w:val="22"/>
          <w:lang w:val="fr-CA"/>
        </w:rPr>
        <w:t xml:space="preserve">Un dispositif portant sur l’enregistrement et la gestion d’éventuelles plaintes et l’information des PAP sur la procédure de recours pour la satisfaction de droits de réparation à quatre (4) niveaux est requis dans le cadre du </w:t>
      </w:r>
      <w:r>
        <w:rPr>
          <w:sz w:val="22"/>
          <w:szCs w:val="22"/>
        </w:rPr>
        <w:t>Programme</w:t>
      </w:r>
      <w:r>
        <w:rPr>
          <w:sz w:val="22"/>
          <w:szCs w:val="22"/>
          <w:lang w:val="fr-CA"/>
        </w:rPr>
        <w:t xml:space="preserve">. Ainsi, le </w:t>
      </w:r>
      <w:r>
        <w:rPr>
          <w:sz w:val="22"/>
          <w:szCs w:val="22"/>
        </w:rPr>
        <w:t xml:space="preserve">PDCA </w:t>
      </w:r>
      <w:r>
        <w:rPr>
          <w:sz w:val="22"/>
          <w:szCs w:val="22"/>
          <w:lang w:val="fr-CA"/>
        </w:rPr>
        <w:t xml:space="preserve">privilégiera d’abord, le recours à un mécanisme extra-judiciaire de règlement des litiges à l’amiable au niveau local en ayant recours à l’écoute, la concertation et la médiation par des tiers.   </w:t>
      </w:r>
    </w:p>
    <w:p>
      <w:pPr>
        <w:pStyle w:val="style0"/>
        <w:jc w:val="both"/>
        <w:rPr>
          <w:sz w:val="22"/>
          <w:szCs w:val="22"/>
        </w:rPr>
      </w:pPr>
    </w:p>
    <w:bookmarkStart w:id="1561" w:name="_Toc2527734"/>
    <w:bookmarkStart w:id="1562" w:name="_Toc2780523"/>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7.9.1. Les différents types de plaintes à traiter</w:t>
      </w:r>
      <w:bookmarkEnd w:id="1561"/>
      <w:bookmarkEnd w:id="1562"/>
      <w:r>
        <w:rPr>
          <w:rFonts w:ascii="Times New Roman Bold" w:hAnsi="Times New Roman Bold"/>
          <w:b/>
          <w:bCs w:val="false"/>
          <w:spacing w:val="-3"/>
          <w:u w:val="none"/>
          <w:lang w:eastAsia="en-US"/>
        </w:rPr>
        <w:t xml:space="preserve"> </w:t>
      </w:r>
    </w:p>
    <w:p>
      <w:pPr>
        <w:pStyle w:val="style0"/>
        <w:spacing w:after="160" w:lineRule="auto" w:line="259"/>
        <w:jc w:val="both"/>
        <w:rPr>
          <w:rFonts w:eastAsia="Calibri"/>
          <w:sz w:val="22"/>
          <w:szCs w:val="22"/>
          <w:lang w:eastAsia="it-IT"/>
        </w:rPr>
      </w:pPr>
      <w:r>
        <w:rPr>
          <w:rFonts w:eastAsia="Calibri"/>
          <w:sz w:val="22"/>
          <w:szCs w:val="22"/>
          <w:lang w:eastAsia="it-IT"/>
        </w:rPr>
        <w:t xml:space="preserve">En général, dans tout processus de réinstallation, des difficultés de différents ordres apparaissent sous forme de plaintes. Ces plaintes sont de deux ordres : les plaintes liées au déroulement du processus et celles liées au droit de propriété. </w:t>
      </w:r>
    </w:p>
    <w:p>
      <w:pPr>
        <w:pStyle w:val="style157"/>
        <w:rPr>
          <w:rFonts w:ascii="Times New Roman" w:hAnsi="Times New Roman"/>
          <w:b/>
          <w:lang w:val="fr-FR"/>
        </w:rPr>
      </w:pPr>
      <w:r>
        <w:rPr>
          <w:rFonts w:ascii="Times New Roman" w:hAnsi="Times New Roman"/>
          <w:b/>
          <w:lang w:val="fr-FR"/>
        </w:rPr>
        <w:t xml:space="preserve"> 7.9.1.1. Plaintes liées au processus </w:t>
      </w:r>
    </w:p>
    <w:p>
      <w:pPr>
        <w:pStyle w:val="style0"/>
        <w:spacing w:after="160" w:lineRule="auto" w:line="259"/>
        <w:jc w:val="both"/>
        <w:rPr>
          <w:rFonts w:eastAsia="Calibri"/>
          <w:sz w:val="22"/>
          <w:szCs w:val="22"/>
          <w:lang w:eastAsia="en-US"/>
        </w:rPr>
      </w:pPr>
      <w:r>
        <w:rPr>
          <w:rFonts w:eastAsia="Calibri"/>
          <w:sz w:val="22"/>
          <w:szCs w:val="22"/>
          <w:lang w:eastAsia="it-IT"/>
        </w:rPr>
        <w:t xml:space="preserve">Ces plaintes peuvent être liées entre autres aux omissions de patrimoines lors de l’opération de recensement des personnes et des biens, aux erreurs sur les identités des personnes impactées, la sous-évaluation des biens perdus, les bases de calculs des indemnisations, les conditions de réinstallation, etc. </w:t>
      </w:r>
    </w:p>
    <w:p>
      <w:pPr>
        <w:pStyle w:val="style157"/>
        <w:rPr>
          <w:rFonts w:eastAsia="Calibri"/>
          <w:b/>
          <w:bCs/>
          <w:lang w:val="fr-FR" w:eastAsia="it-IT"/>
        </w:rPr>
      </w:pPr>
      <w:r>
        <w:rPr>
          <w:rFonts w:ascii="Times New Roman" w:hAnsi="Times New Roman"/>
          <w:b/>
          <w:lang w:val="fr-FR"/>
        </w:rPr>
        <w:t>7.9.1.2. Plaintes liées au droit de propriété </w:t>
      </w:r>
    </w:p>
    <w:p>
      <w:pPr>
        <w:pStyle w:val="style0"/>
        <w:spacing w:after="160" w:lineRule="auto" w:line="259"/>
        <w:jc w:val="both"/>
        <w:rPr>
          <w:rFonts w:eastAsia="Calibri"/>
          <w:sz w:val="22"/>
          <w:szCs w:val="22"/>
          <w:lang w:eastAsia="it-IT"/>
        </w:rPr>
      </w:pPr>
      <w:r>
        <w:rPr>
          <w:rFonts w:eastAsia="Calibri"/>
          <w:sz w:val="22"/>
          <w:szCs w:val="22"/>
          <w:lang w:eastAsia="it-IT"/>
        </w:rPr>
        <w:t>Ces plaintes concernent la succession en termes d’héritage, les divorces, l’appropriation d’un bien commun ou d’un capital de production mis en place par plusieurs personnes, etc.</w:t>
      </w:r>
    </w:p>
    <w:p>
      <w:pPr>
        <w:pStyle w:val="style157"/>
        <w:rPr>
          <w:rFonts w:ascii="Times New Roman" w:hAnsi="Times New Roman"/>
          <w:b/>
          <w:lang w:val="fr-FR"/>
        </w:rPr>
      </w:pPr>
      <w:r>
        <w:rPr>
          <w:rFonts w:ascii="Times New Roman" w:hAnsi="Times New Roman"/>
          <w:b/>
          <w:lang w:val="fr-FR"/>
        </w:rPr>
        <w:t>7.9.1.3. Autres plaintes</w:t>
      </w:r>
    </w:p>
    <w:p>
      <w:pPr>
        <w:pStyle w:val="style0"/>
        <w:spacing w:after="160" w:lineRule="auto" w:line="259"/>
        <w:jc w:val="both"/>
        <w:rPr>
          <w:rFonts w:eastAsia="Calibri"/>
          <w:sz w:val="22"/>
          <w:szCs w:val="22"/>
          <w:lang w:eastAsia="it-IT"/>
        </w:rPr>
      </w:pPr>
      <w:r>
        <w:rPr>
          <w:rFonts w:eastAsia="Calibri"/>
          <w:sz w:val="22"/>
          <w:szCs w:val="22"/>
          <w:lang w:eastAsia="it-IT"/>
        </w:rPr>
        <w:t>D’autres types de plaintes peuvent apparaître dans le cadre de la mise en œuvre du Programme. Il s’agit </w:t>
      </w:r>
      <w:r>
        <w:rPr>
          <w:rFonts w:eastAsia="Calibri"/>
          <w:sz w:val="22"/>
          <w:szCs w:val="22"/>
          <w:lang w:eastAsia="it-IT"/>
        </w:rPr>
        <w:t xml:space="preserve">des </w:t>
      </w:r>
      <w:r>
        <w:rPr>
          <w:rFonts w:eastAsia="Calibri"/>
          <w:sz w:val="22"/>
          <w:szCs w:val="22"/>
          <w:lang w:eastAsia="it-IT"/>
        </w:rPr>
        <w:t>:</w:t>
      </w:r>
    </w:p>
    <w:p>
      <w:pPr>
        <w:pStyle w:val="style0"/>
        <w:numPr>
          <w:ilvl w:val="0"/>
          <w:numId w:val="101"/>
        </w:numPr>
        <w:spacing w:after="160" w:lineRule="auto" w:line="259"/>
        <w:jc w:val="both"/>
        <w:rPr>
          <w:rFonts w:eastAsia="Calibri"/>
          <w:sz w:val="22"/>
          <w:szCs w:val="22"/>
          <w:lang w:eastAsia="it-IT"/>
        </w:rPr>
      </w:pPr>
      <w:r>
        <w:rPr>
          <w:rFonts w:eastAsia="Calibri"/>
          <w:sz w:val="22"/>
          <w:szCs w:val="22"/>
          <w:lang w:eastAsia="it-IT"/>
        </w:rPr>
        <w:t>incidents liés aux travaux (pollutions des eaux, poussières &amp; fumées, accidents, nuisances sonores, etc.) ;</w:t>
      </w:r>
    </w:p>
    <w:p>
      <w:pPr>
        <w:pStyle w:val="style0"/>
        <w:numPr>
          <w:ilvl w:val="0"/>
          <w:numId w:val="101"/>
        </w:numPr>
        <w:spacing w:after="160" w:lineRule="auto" w:line="259"/>
        <w:jc w:val="both"/>
        <w:rPr>
          <w:rFonts w:eastAsia="Calibri"/>
          <w:sz w:val="22"/>
          <w:szCs w:val="22"/>
          <w:lang w:eastAsia="it-IT"/>
        </w:rPr>
      </w:pPr>
      <w:r>
        <w:rPr>
          <w:rFonts w:eastAsia="Calibri"/>
          <w:sz w:val="22"/>
          <w:szCs w:val="22"/>
          <w:lang w:eastAsia="it-IT"/>
        </w:rPr>
        <w:t>problèmes liés à la sélection des prestataires ;</w:t>
      </w:r>
    </w:p>
    <w:p>
      <w:pPr>
        <w:pStyle w:val="style0"/>
        <w:numPr>
          <w:ilvl w:val="0"/>
          <w:numId w:val="101"/>
        </w:numPr>
        <w:spacing w:after="160" w:lineRule="auto" w:line="259"/>
        <w:jc w:val="both"/>
        <w:rPr>
          <w:rFonts w:eastAsia="Calibri"/>
          <w:sz w:val="22"/>
          <w:szCs w:val="22"/>
          <w:lang w:eastAsia="it-IT"/>
        </w:rPr>
      </w:pPr>
      <w:r>
        <w:rPr>
          <w:rFonts w:eastAsia="Calibri"/>
          <w:sz w:val="22"/>
          <w:szCs w:val="22"/>
          <w:lang w:eastAsia="it-IT"/>
        </w:rPr>
        <w:t>doléances soumises par les populations riveraines ;</w:t>
      </w:r>
    </w:p>
    <w:p>
      <w:pPr>
        <w:pStyle w:val="style0"/>
        <w:numPr>
          <w:ilvl w:val="0"/>
          <w:numId w:val="101"/>
        </w:numPr>
        <w:spacing w:after="160" w:lineRule="auto" w:line="259"/>
        <w:jc w:val="both"/>
        <w:rPr>
          <w:rFonts w:eastAsia="Calibri"/>
          <w:sz w:val="22"/>
          <w:szCs w:val="22"/>
          <w:lang w:eastAsia="it-IT"/>
        </w:rPr>
      </w:pPr>
      <w:r>
        <w:rPr>
          <w:rFonts w:eastAsia="Calibri"/>
          <w:sz w:val="22"/>
          <w:szCs w:val="22"/>
          <w:lang w:val="fr-CA" w:eastAsia="it-IT"/>
        </w:rPr>
        <w:t xml:space="preserve"> requêtes ou demandes de clarification sur les sous- projets; </w:t>
      </w:r>
    </w:p>
    <w:p>
      <w:pPr>
        <w:pStyle w:val="style0"/>
        <w:numPr>
          <w:ilvl w:val="0"/>
          <w:numId w:val="101"/>
        </w:numPr>
        <w:spacing w:after="160" w:lineRule="auto" w:line="259"/>
        <w:jc w:val="both"/>
        <w:rPr>
          <w:rFonts w:eastAsia="Calibri"/>
          <w:sz w:val="22"/>
          <w:szCs w:val="22"/>
          <w:lang w:eastAsia="it-IT"/>
        </w:rPr>
      </w:pPr>
      <w:r>
        <w:rPr>
          <w:rFonts w:eastAsia="Calibri"/>
          <w:sz w:val="22"/>
          <w:szCs w:val="22"/>
          <w:lang w:eastAsia="it-IT"/>
        </w:rPr>
        <w:t>des cas de dénonciations faites par des tiers.</w:t>
      </w:r>
    </w:p>
    <w:bookmarkStart w:id="1563" w:name="_Toc2527735"/>
    <w:p>
      <w:pPr>
        <w:pStyle w:val="style3"/>
        <w:numPr>
          <w:ilvl w:val="0"/>
          <w:numId w:val="0"/>
        </w:numPr>
        <w:ind w:left="644" w:hanging="360"/>
        <w:rPr>
          <w:rFonts w:ascii="Times New Roman Bold" w:hAnsi="Times New Roman Bold"/>
          <w:b/>
          <w:bCs w:val="false"/>
          <w:spacing w:val="-3"/>
          <w:u w:val="none"/>
          <w:lang w:eastAsia="en-US"/>
        </w:rPr>
      </w:pPr>
    </w:p>
    <w:bookmarkStart w:id="1564" w:name="_Toc2780524"/>
    <w:p>
      <w:pPr>
        <w:pStyle w:val="style3"/>
        <w:numPr>
          <w:ilvl w:val="0"/>
          <w:numId w:val="0"/>
        </w:numPr>
        <w:ind w:left="644" w:hanging="360"/>
        <w:rPr>
          <w:rFonts w:ascii="Times New Roman Bold" w:hAnsi="Times New Roman Bold"/>
          <w:b/>
          <w:bCs w:val="false"/>
          <w:spacing w:val="-3"/>
          <w:u w:val="none"/>
          <w:lang w:eastAsia="en-US"/>
        </w:rPr>
      </w:pPr>
      <w:r>
        <w:rPr>
          <w:rFonts w:ascii="Times New Roman Bold" w:hAnsi="Times New Roman Bold"/>
          <w:b/>
          <w:bCs w:val="false"/>
          <w:spacing w:val="-3"/>
          <w:u w:val="none"/>
          <w:lang w:eastAsia="en-US"/>
        </w:rPr>
        <w:t xml:space="preserve">7.9.2. </w:t>
      </w:r>
      <w:r>
        <w:rPr>
          <w:rFonts w:ascii="Times New Roman Bold" w:hAnsi="Times New Roman Bold"/>
          <w:b/>
          <w:bCs w:val="false"/>
          <w:spacing w:val="-3"/>
          <w:u w:val="none"/>
          <w:lang w:eastAsia="en-US"/>
        </w:rPr>
        <w:t>Procédure d’e</w:t>
      </w:r>
      <w:r>
        <w:rPr>
          <w:rFonts w:ascii="Times New Roman Bold" w:hAnsi="Times New Roman Bold"/>
          <w:b/>
          <w:bCs w:val="false"/>
          <w:spacing w:val="-3"/>
          <w:u w:val="none"/>
          <w:lang w:eastAsia="en-US"/>
        </w:rPr>
        <w:t>nregistrement et gestion des plaintes</w:t>
      </w:r>
      <w:bookmarkEnd w:id="1563"/>
      <w:bookmarkEnd w:id="1564"/>
    </w:p>
    <w:p>
      <w:pPr>
        <w:pStyle w:val="style0"/>
        <w:spacing w:after="160" w:lineRule="auto" w:line="259"/>
        <w:jc w:val="both"/>
        <w:rPr>
          <w:rFonts w:eastAsia="Calibri"/>
          <w:sz w:val="22"/>
          <w:szCs w:val="22"/>
          <w:lang w:eastAsia="it-IT"/>
        </w:rPr>
      </w:pPr>
      <w:r>
        <w:rPr>
          <w:rFonts w:eastAsia="Calibri"/>
          <w:sz w:val="22"/>
          <w:szCs w:val="22"/>
          <w:lang w:eastAsia="it-IT"/>
        </w:rPr>
        <w:t>La procédure d’enregistrement et de gestion des plaintes dans le cadre du CGES est en harmonie avec celle retenue par le CPRP, document élaboré parallèlement. Elle comporte quatre (4) niveaux :</w:t>
      </w:r>
    </w:p>
    <w:p>
      <w:pPr>
        <w:pStyle w:val="style0"/>
        <w:numPr>
          <w:ilvl w:val="0"/>
          <w:numId w:val="55"/>
        </w:numPr>
        <w:spacing w:after="160" w:lineRule="auto" w:line="259"/>
        <w:jc w:val="both"/>
        <w:contextualSpacing/>
        <w:rPr>
          <w:rFonts w:eastAsia="Calibri"/>
          <w:sz w:val="22"/>
          <w:szCs w:val="22"/>
          <w:lang w:eastAsia="it-IT"/>
        </w:rPr>
      </w:pPr>
      <w:r>
        <w:rPr>
          <w:rFonts w:eastAsia="Calibri"/>
          <w:b/>
          <w:sz w:val="22"/>
          <w:szCs w:val="22"/>
          <w:lang w:eastAsia="it-IT"/>
        </w:rPr>
        <w:t>P</w:t>
      </w:r>
      <w:r>
        <w:rPr>
          <w:rFonts w:eastAsia="Calibri"/>
          <w:b/>
          <w:sz w:val="22"/>
          <w:szCs w:val="22"/>
          <w:lang w:eastAsia="it-IT"/>
        </w:rPr>
        <w:t>remier niveau de règlement des plaintes</w:t>
      </w:r>
      <w:r>
        <w:rPr>
          <w:rFonts w:eastAsia="Calibri"/>
          <w:sz w:val="22"/>
          <w:szCs w:val="22"/>
          <w:lang w:eastAsia="it-IT"/>
        </w:rPr>
        <w:t xml:space="preserve"> </w:t>
      </w:r>
    </w:p>
    <w:p>
      <w:pPr>
        <w:pStyle w:val="style0"/>
        <w:spacing w:after="160" w:lineRule="auto" w:line="259"/>
        <w:jc w:val="both"/>
        <w:rPr>
          <w:rFonts w:eastAsia="Calibri"/>
          <w:sz w:val="22"/>
          <w:szCs w:val="22"/>
          <w:lang w:eastAsia="it-IT"/>
        </w:rPr>
      </w:pPr>
      <w:r>
        <w:rPr>
          <w:rFonts w:eastAsia="Calibri"/>
          <w:sz w:val="22"/>
          <w:szCs w:val="22"/>
          <w:lang w:eastAsia="it-IT"/>
        </w:rPr>
        <w:t xml:space="preserve">Le premier reste le village du ressort territorial de chaque PAP plaignante. En effet, les PAP seront informées pendant la période information-consultation des lieux d’enregistrement et de traitement des plaintes qui sont basés au niveau des villages et des mairies des communes concernées par les travaux du </w:t>
      </w:r>
      <w:r>
        <w:rPr>
          <w:rFonts w:eastAsia="Calibri"/>
          <w:sz w:val="22"/>
          <w:szCs w:val="22"/>
          <w:lang w:eastAsia="en-US"/>
        </w:rPr>
        <w:t>Projet</w:t>
      </w:r>
      <w:r>
        <w:rPr>
          <w:rFonts w:eastAsia="Calibri"/>
          <w:sz w:val="22"/>
          <w:szCs w:val="22"/>
          <w:lang w:eastAsia="it-IT"/>
        </w:rPr>
        <w:t xml:space="preserve">. Des sous-Comités Villageois de Gestion de Plaintes (CVGP) seront mis en place au niveau desdits villages. Le processus consiste pour chaque sous- Comité Restreint de recevoir le plaignant, de procéder à l‘enregistrement de sa plainte dans un registre (une fiche ou un cahier) ainsi qu’à son examen préliminaire. Un délai maximum de 72 heures est requis pour le traitement de la plainte. </w:t>
      </w:r>
    </w:p>
    <w:p>
      <w:pPr>
        <w:pStyle w:val="style0"/>
        <w:spacing w:after="160" w:lineRule="auto" w:line="259"/>
        <w:jc w:val="both"/>
        <w:rPr>
          <w:rFonts w:eastAsia="Calibri"/>
          <w:sz w:val="22"/>
          <w:szCs w:val="22"/>
          <w:lang w:eastAsia="it-IT"/>
        </w:rPr>
      </w:pPr>
      <w:r>
        <w:rPr>
          <w:rFonts w:eastAsia="Calibri"/>
          <w:sz w:val="22"/>
          <w:szCs w:val="22"/>
          <w:lang w:eastAsia="it-IT"/>
        </w:rPr>
        <w:t>Ces sous - comités villageois en charge de ce premier niveau de gestion des plaintes seront mis en s’appuyant sur le dispositif informel de gestion de plaintes existant au niveau local. Elle sera composée de 07 membres tout au plus (1. Chef de village, 2. Président CVD, 3-Secrétaire CVD, 4-proprietaire terriens principal, 5-Representant PAP  6-Représentante des femmes 6-Representant des jeunes, 8-Chef de terre. La composition pourrait être adaptée en fonction des circonstances particulières de terrain.</w:t>
      </w:r>
    </w:p>
    <w:p>
      <w:pPr>
        <w:pStyle w:val="style0"/>
        <w:numPr>
          <w:ilvl w:val="0"/>
          <w:numId w:val="55"/>
        </w:numPr>
        <w:spacing w:after="160" w:lineRule="auto" w:line="259"/>
        <w:jc w:val="both"/>
        <w:contextualSpacing/>
        <w:rPr>
          <w:rFonts w:eastAsia="Calibri"/>
          <w:sz w:val="22"/>
          <w:szCs w:val="22"/>
          <w:lang w:eastAsia="it-IT"/>
        </w:rPr>
      </w:pPr>
      <w:r>
        <w:rPr>
          <w:rFonts w:eastAsia="Calibri"/>
          <w:b/>
          <w:sz w:val="22"/>
          <w:szCs w:val="22"/>
          <w:lang w:eastAsia="it-IT"/>
        </w:rPr>
        <w:t>D</w:t>
      </w:r>
      <w:r>
        <w:rPr>
          <w:rFonts w:eastAsia="Calibri"/>
          <w:b/>
          <w:sz w:val="22"/>
          <w:szCs w:val="22"/>
          <w:lang w:eastAsia="it-IT"/>
        </w:rPr>
        <w:t>euxième niveau de gestion des plaintes</w:t>
      </w:r>
      <w:r>
        <w:rPr>
          <w:rFonts w:eastAsia="Calibri"/>
          <w:sz w:val="22"/>
          <w:szCs w:val="22"/>
          <w:lang w:eastAsia="it-IT"/>
        </w:rPr>
        <w:t xml:space="preserve"> </w:t>
      </w:r>
    </w:p>
    <w:p>
      <w:pPr>
        <w:pStyle w:val="style0"/>
        <w:spacing w:after="160" w:lineRule="auto" w:line="259"/>
        <w:jc w:val="both"/>
        <w:rPr>
          <w:rFonts w:eastAsia="Calibri"/>
          <w:sz w:val="22"/>
          <w:szCs w:val="22"/>
          <w:lang w:eastAsia="it-IT"/>
        </w:rPr>
      </w:pPr>
      <w:r>
        <w:rPr>
          <w:rFonts w:eastAsia="Calibri"/>
          <w:sz w:val="22"/>
          <w:szCs w:val="22"/>
          <w:lang w:eastAsia="it-IT"/>
        </w:rPr>
        <w:t xml:space="preserve">Si une solution n’est pas trouvée dès le premier niveau (village), le règlement à l’amiable des réclamations sera toujours recherché à travers l'arbitrage du Comité Communal de Gestion des Plaintes (CCGP) autant que faire se peut dans l’optique d’aboutir à un consensus (dans un délai de 7 jours) sur les questions soumises à règlement. Présidé par le Maire de ladite commune, Ce Comité sera mis en place et formalisé par la prise d’un arrêté Municipal.  </w:t>
      </w:r>
    </w:p>
    <w:p>
      <w:pPr>
        <w:pStyle w:val="style0"/>
        <w:spacing w:after="160" w:lineRule="auto" w:line="259"/>
        <w:jc w:val="both"/>
        <w:rPr>
          <w:rFonts w:eastAsia="Calibri"/>
          <w:sz w:val="22"/>
          <w:szCs w:val="22"/>
          <w:lang w:eastAsia="it-IT"/>
        </w:rPr>
      </w:pPr>
      <w:r>
        <w:rPr>
          <w:rFonts w:eastAsia="Calibri"/>
          <w:sz w:val="22"/>
          <w:szCs w:val="22"/>
          <w:lang w:eastAsia="it-IT"/>
        </w:rPr>
        <w:t>Il devra être composé</w:t>
      </w:r>
      <w:r>
        <w:rPr>
          <w:rFonts w:eastAsia="Calibri"/>
          <w:sz w:val="22"/>
          <w:szCs w:val="22"/>
          <w:vertAlign w:val="superscript"/>
          <w:lang w:eastAsia="it-IT"/>
        </w:rPr>
        <w:footnoteReference w:id="1"/>
      </w:r>
      <w:r>
        <w:rPr>
          <w:rFonts w:eastAsia="Calibri"/>
          <w:sz w:val="22"/>
          <w:szCs w:val="22"/>
          <w:lang w:eastAsia="it-IT"/>
        </w:rPr>
        <w:t xml:space="preserve"> de tout au plus 15 Membres comme suit :</w:t>
      </w:r>
    </w:p>
    <w:p>
      <w:pPr>
        <w:pStyle w:val="style0"/>
        <w:spacing w:after="160" w:lineRule="auto" w:line="259"/>
        <w:jc w:val="both"/>
        <w:rPr>
          <w:rFonts w:eastAsia="Calibri"/>
          <w:sz w:val="22"/>
          <w:szCs w:val="22"/>
          <w:lang w:eastAsia="it-IT"/>
        </w:rPr>
      </w:pPr>
      <w:r>
        <w:rPr>
          <w:rFonts w:eastAsia="Calibri"/>
          <w:sz w:val="22"/>
          <w:szCs w:val="22"/>
          <w:lang w:eastAsia="it-IT"/>
        </w:rPr>
        <w:t xml:space="preserve">1. (02) représentants de la Mairie (Maire + service domanial +une entité jugée utile pour le </w:t>
      </w:r>
      <w:r>
        <w:rPr>
          <w:rFonts w:eastAsia="Calibri"/>
          <w:sz w:val="22"/>
          <w:szCs w:val="22"/>
          <w:lang w:eastAsia="en-US"/>
        </w:rPr>
        <w:t>Projet</w:t>
      </w:r>
      <w:r>
        <w:rPr>
          <w:rFonts w:eastAsia="Calibri"/>
          <w:sz w:val="22"/>
          <w:szCs w:val="22"/>
          <w:lang w:eastAsia="it-IT"/>
        </w:rPr>
        <w:t>, 2. (02) Représentant PAP de la Commune, 3. (01) Représentante de la coordination des femmes de la commune, 4. (01) représentant des jeunes, 5. (01) représentant des coutumiers, 6. (01) représentant des religieux, 7. (03) représentant des services techniques (élevage, agriculture et environnement)</w:t>
      </w:r>
    </w:p>
    <w:p>
      <w:pPr>
        <w:pStyle w:val="style0"/>
        <w:numPr>
          <w:ilvl w:val="0"/>
          <w:numId w:val="55"/>
        </w:numPr>
        <w:spacing w:after="160" w:lineRule="auto" w:line="259"/>
        <w:jc w:val="both"/>
        <w:contextualSpacing/>
        <w:rPr>
          <w:rFonts w:eastAsia="Calibri"/>
          <w:sz w:val="22"/>
          <w:szCs w:val="22"/>
          <w:lang w:eastAsia="it-IT"/>
        </w:rPr>
      </w:pPr>
      <w:r>
        <w:rPr>
          <w:rFonts w:eastAsia="Calibri"/>
          <w:b/>
          <w:sz w:val="22"/>
          <w:szCs w:val="22"/>
          <w:lang w:eastAsia="it-IT"/>
        </w:rPr>
        <w:t>T</w:t>
      </w:r>
      <w:r>
        <w:rPr>
          <w:rFonts w:eastAsia="Calibri"/>
          <w:b/>
          <w:sz w:val="22"/>
          <w:szCs w:val="22"/>
          <w:lang w:eastAsia="it-IT"/>
        </w:rPr>
        <w:t>roisième niveau de gestion des plaintes </w:t>
      </w:r>
    </w:p>
    <w:p>
      <w:pPr>
        <w:pStyle w:val="style0"/>
        <w:spacing w:after="160" w:lineRule="auto" w:line="259"/>
        <w:jc w:val="both"/>
        <w:rPr>
          <w:rFonts w:eastAsia="Calibri"/>
          <w:sz w:val="22"/>
          <w:szCs w:val="22"/>
          <w:lang w:eastAsia="it-IT"/>
        </w:rPr>
      </w:pPr>
      <w:r>
        <w:rPr>
          <w:rFonts w:eastAsia="Calibri"/>
          <w:sz w:val="22"/>
          <w:szCs w:val="22"/>
          <w:lang w:eastAsia="it-IT"/>
        </w:rPr>
        <w:t>La plainte sera gérée avec l’arbitrage du maitre d’ouvrage qui devra être représenté par un membre de la cellule d’exécution du projet ou le responsable de la mise en œuvre du PAR pour la gestion des plaintes et des réclamations. Ce dernier sera assisté par quelques membres du comité Communal ainsi que la PAP qui sera accompagnée par un des représentants des PAP et l’ONG locale recrutée à cet effet</w:t>
      </w:r>
      <w:r>
        <w:rPr>
          <w:rFonts w:eastAsia="Calibri"/>
          <w:b/>
          <w:sz w:val="22"/>
          <w:szCs w:val="22"/>
          <w:lang w:eastAsia="it-IT"/>
        </w:rPr>
        <w:t xml:space="preserve"> et ce</w:t>
      </w:r>
      <w:r>
        <w:rPr>
          <w:rFonts w:eastAsia="Calibri"/>
          <w:sz w:val="22"/>
          <w:szCs w:val="22"/>
          <w:lang w:eastAsia="it-IT"/>
        </w:rPr>
        <w:t>, dans un délai de 02 semaines.</w:t>
      </w:r>
    </w:p>
    <w:p>
      <w:pPr>
        <w:pStyle w:val="style0"/>
        <w:numPr>
          <w:ilvl w:val="0"/>
          <w:numId w:val="55"/>
        </w:numPr>
        <w:spacing w:after="160" w:lineRule="auto" w:line="259"/>
        <w:jc w:val="both"/>
        <w:contextualSpacing/>
        <w:rPr>
          <w:rFonts w:eastAsia="Calibri"/>
          <w:sz w:val="22"/>
          <w:szCs w:val="22"/>
          <w:lang w:eastAsia="it-IT"/>
        </w:rPr>
      </w:pPr>
      <w:r>
        <w:rPr>
          <w:rFonts w:eastAsia="Calibri"/>
          <w:b/>
          <w:sz w:val="22"/>
          <w:szCs w:val="22"/>
          <w:lang w:eastAsia="it-IT"/>
        </w:rPr>
        <w:t>Q</w:t>
      </w:r>
      <w:r>
        <w:rPr>
          <w:rFonts w:eastAsia="Calibri"/>
          <w:b/>
          <w:sz w:val="22"/>
          <w:szCs w:val="22"/>
          <w:lang w:eastAsia="it-IT"/>
        </w:rPr>
        <w:t>uatrième niveau de gestion des plaintes</w:t>
      </w:r>
      <w:r>
        <w:rPr>
          <w:rFonts w:eastAsia="Calibri"/>
          <w:sz w:val="22"/>
          <w:szCs w:val="22"/>
          <w:lang w:eastAsia="it-IT"/>
        </w:rPr>
        <w:t> </w:t>
      </w:r>
    </w:p>
    <w:p>
      <w:pPr>
        <w:pStyle w:val="style0"/>
        <w:spacing w:after="160" w:lineRule="auto" w:line="259"/>
        <w:jc w:val="both"/>
        <w:rPr>
          <w:rFonts w:eastAsia="Calibri"/>
          <w:sz w:val="22"/>
          <w:szCs w:val="22"/>
          <w:lang w:eastAsia="it-IT"/>
        </w:rPr>
      </w:pPr>
      <w:r>
        <w:rPr>
          <w:rFonts w:eastAsia="Calibri"/>
          <w:sz w:val="22"/>
          <w:szCs w:val="22"/>
          <w:lang w:eastAsia="it-IT"/>
        </w:rPr>
        <w:t>La saisie des tribunaux par le plaignant se fera au cas où il y a échec dans la recherche de solutions aux 03 premiers niveaux de gestion de sa plainte et les coûts de traitement du dossier seront supportés par le PDCA.</w:t>
      </w:r>
    </w:p>
    <w:p>
      <w:pPr>
        <w:pStyle w:val="style0"/>
        <w:spacing w:after="160" w:lineRule="auto" w:line="259"/>
        <w:jc w:val="both"/>
        <w:rPr>
          <w:rFonts w:eastAsia="Calibri"/>
          <w:sz w:val="22"/>
          <w:szCs w:val="22"/>
          <w:lang w:eastAsia="it-IT"/>
        </w:rPr>
      </w:pPr>
      <w:r>
        <w:rPr>
          <w:rFonts w:eastAsia="Calibri"/>
          <w:b/>
          <w:sz w:val="22"/>
          <w:szCs w:val="22"/>
          <w:u w:val="single"/>
          <w:lang w:eastAsia="it-IT"/>
        </w:rPr>
        <w:t>NB</w:t>
      </w:r>
      <w:r>
        <w:rPr>
          <w:rFonts w:eastAsia="Calibri"/>
          <w:sz w:val="22"/>
          <w:szCs w:val="22"/>
          <w:lang w:eastAsia="it-IT"/>
        </w:rPr>
        <w:t xml:space="preserve"> : Le choix des membres de cette structure devra se faire de manière que la composition soit représentative de tous acteurs pour jouer le rôle de première instance de règlement des plaintes visant à constituer un organe proche des populations affectées en vue de faciliter des solutions à l’amiable.</w:t>
      </w:r>
    </w:p>
    <w:p>
      <w:pPr>
        <w:pStyle w:val="style0"/>
        <w:spacing w:after="160" w:lineRule="auto" w:line="259"/>
        <w:jc w:val="both"/>
        <w:rPr>
          <w:rFonts w:eastAsia="Calibri"/>
          <w:sz w:val="22"/>
          <w:szCs w:val="22"/>
          <w:lang w:eastAsia="it-IT"/>
        </w:rPr>
      </w:pPr>
      <w:r>
        <w:rPr>
          <w:rFonts w:eastAsia="Calibri"/>
          <w:sz w:val="22"/>
          <w:szCs w:val="22"/>
          <w:lang w:eastAsia="it-IT"/>
        </w:rPr>
        <w:t>Les règlements amiables des plaintes garantissent la cohésion sociale et permettent d’optimiser la mise en œuvre du projet. Pour chaque plainte traitée, il sera établi un procès-verbal en trois exemplaires dont un pour chacune des parties (commune, PDCA et plaignant).</w:t>
      </w:r>
    </w:p>
    <w:p>
      <w:pPr>
        <w:pStyle w:val="style0"/>
        <w:spacing w:after="160" w:lineRule="auto" w:line="259"/>
        <w:jc w:val="both"/>
        <w:rPr>
          <w:rFonts w:eastAsia="Calibri"/>
          <w:sz w:val="22"/>
          <w:szCs w:val="22"/>
          <w:lang w:eastAsia="it-IT"/>
        </w:rPr>
      </w:pPr>
      <w:r>
        <w:rPr>
          <w:rFonts w:eastAsia="Calibri"/>
          <w:sz w:val="22"/>
          <w:szCs w:val="22"/>
          <w:lang w:eastAsia="it-IT"/>
        </w:rPr>
        <w:t xml:space="preserve">Les éventuelles réclamations qui surviendraient ultérieurement, seront enregistrées au niveau des mairies concernées et feront l’objet de traitement par le PDCA à travers des sorties organisées sur le terrain avec au moins un membre du comité et des représentants des PAP. </w:t>
      </w:r>
    </w:p>
    <w:p>
      <w:pPr>
        <w:pStyle w:val="style0"/>
        <w:spacing w:after="160" w:lineRule="auto" w:line="259"/>
        <w:jc w:val="both"/>
        <w:rPr>
          <w:rFonts w:eastAsia="Calibri"/>
          <w:sz w:val="22"/>
          <w:szCs w:val="22"/>
          <w:lang w:eastAsia="it-IT"/>
        </w:rPr>
      </w:pPr>
      <w:r>
        <w:rPr>
          <w:rFonts w:eastAsia="Calibri"/>
          <w:sz w:val="22"/>
          <w:szCs w:val="22"/>
          <w:lang w:eastAsia="it-IT"/>
        </w:rPr>
        <w:t>En parallèle à la procédure ci-dessus décrite, les plaintes des tiers pourront être également reçues par le Directeur de la plaine aménagée ou encore l’UNC/PDCA.</w:t>
      </w:r>
    </w:p>
    <w:p>
      <w:pPr>
        <w:pStyle w:val="style0"/>
        <w:jc w:val="both"/>
        <w:rPr>
          <w:b/>
          <w:sz w:val="22"/>
          <w:szCs w:val="22"/>
          <w:lang w:eastAsia="en-US"/>
        </w:rPr>
      </w:pPr>
      <w:r>
        <w:rPr>
          <w:b/>
          <w:sz w:val="22"/>
          <w:szCs w:val="22"/>
          <w:lang w:eastAsia="en-US"/>
        </w:rPr>
        <w:t>Directeur de la plainte</w:t>
      </w:r>
    </w:p>
    <w:p>
      <w:pPr>
        <w:pStyle w:val="style0"/>
        <w:jc w:val="both"/>
        <w:rPr>
          <w:sz w:val="22"/>
          <w:szCs w:val="22"/>
          <w:lang w:eastAsia="en-US"/>
        </w:rPr>
      </w:pPr>
      <w:r>
        <w:rPr>
          <w:sz w:val="22"/>
          <w:szCs w:val="22"/>
          <w:lang w:eastAsia="en-US"/>
        </w:rPr>
        <w:t>Il peut recevoir directement les plaintes à enregistrer dans un registre dédié à cet effet. Il dispose d’un délai de deux (2) semaines de réaction aux réclamations posées.</w:t>
      </w:r>
    </w:p>
    <w:p>
      <w:pPr>
        <w:pStyle w:val="style0"/>
        <w:jc w:val="both"/>
        <w:rPr>
          <w:sz w:val="22"/>
          <w:szCs w:val="22"/>
          <w:lang w:eastAsia="en-US"/>
        </w:rPr>
      </w:pPr>
    </w:p>
    <w:p>
      <w:pPr>
        <w:pStyle w:val="style0"/>
        <w:jc w:val="both"/>
        <w:rPr>
          <w:b/>
          <w:sz w:val="22"/>
          <w:szCs w:val="22"/>
          <w:lang w:eastAsia="en-US"/>
        </w:rPr>
      </w:pPr>
      <w:r>
        <w:rPr>
          <w:b/>
          <w:sz w:val="22"/>
          <w:szCs w:val="22"/>
          <w:lang w:eastAsia="en-US"/>
        </w:rPr>
        <w:t>UNC/PDCA</w:t>
      </w:r>
    </w:p>
    <w:p>
      <w:pPr>
        <w:pStyle w:val="style0"/>
        <w:jc w:val="both"/>
        <w:rPr>
          <w:sz w:val="22"/>
          <w:szCs w:val="22"/>
          <w:lang w:eastAsia="en-US"/>
        </w:rPr>
      </w:pPr>
      <w:r>
        <w:rPr>
          <w:sz w:val="22"/>
          <w:szCs w:val="22"/>
          <w:lang w:eastAsia="en-US"/>
        </w:rPr>
        <w:t>Elle peut également être saisie directement pour des cas de plaintes de la part de tiers. Dans son rôle de coordination de l’ensemble du Programme, l’UNC devra exécuter les tâches suivantes :</w:t>
      </w:r>
    </w:p>
    <w:p>
      <w:pPr>
        <w:pStyle w:val="style0"/>
        <w:numPr>
          <w:ilvl w:val="0"/>
          <w:numId w:val="68"/>
        </w:numPr>
        <w:spacing w:after="200" w:lineRule="auto" w:line="276"/>
        <w:jc w:val="both"/>
        <w:contextualSpacing/>
        <w:rPr>
          <w:sz w:val="22"/>
          <w:szCs w:val="22"/>
          <w:lang w:eastAsia="en-US"/>
        </w:rPr>
      </w:pPr>
      <w:r>
        <w:rPr>
          <w:sz w:val="22"/>
          <w:szCs w:val="22"/>
          <w:lang w:eastAsia="en-US"/>
        </w:rPr>
        <w:t>assurer que le mécanisme de gestion des plaintes est fonctionnel ;</w:t>
      </w:r>
    </w:p>
    <w:p>
      <w:pPr>
        <w:pStyle w:val="style0"/>
        <w:numPr>
          <w:ilvl w:val="0"/>
          <w:numId w:val="68"/>
        </w:numPr>
        <w:spacing w:after="200" w:lineRule="auto" w:line="276"/>
        <w:jc w:val="both"/>
        <w:contextualSpacing/>
        <w:rPr>
          <w:sz w:val="22"/>
          <w:szCs w:val="22"/>
          <w:lang w:eastAsia="en-US"/>
        </w:rPr>
      </w:pPr>
      <w:r>
        <w:rPr>
          <w:sz w:val="22"/>
          <w:szCs w:val="22"/>
          <w:lang w:eastAsia="en-US"/>
        </w:rPr>
        <w:t>suivre et documenter les plaintes (rapports trimestriels) et procéder à l’archivage physique et électronique des plaintes ;</w:t>
      </w:r>
    </w:p>
    <w:p>
      <w:pPr>
        <w:pStyle w:val="style0"/>
        <w:numPr>
          <w:ilvl w:val="0"/>
          <w:numId w:val="68"/>
        </w:numPr>
        <w:spacing w:after="200" w:lineRule="auto" w:line="276"/>
        <w:jc w:val="both"/>
        <w:contextualSpacing/>
        <w:rPr>
          <w:sz w:val="22"/>
          <w:szCs w:val="22"/>
          <w:lang w:eastAsia="en-US"/>
        </w:rPr>
      </w:pPr>
      <w:r>
        <w:rPr>
          <w:sz w:val="22"/>
          <w:szCs w:val="22"/>
          <w:lang w:eastAsia="en-US"/>
        </w:rPr>
        <w:t>procéder en cas de besoin à la saisine des tribunaux et suivre les décisions de justice ainsi que leur exécution.</w:t>
      </w:r>
    </w:p>
    <w:bookmarkStart w:id="1565" w:name="_Toc2527736"/>
    <w:p>
      <w:pPr>
        <w:pStyle w:val="style0"/>
        <w:keepNext/>
        <w:keepLines/>
        <w:tabs>
          <w:tab w:val="left" w:leader="none" w:pos="567"/>
        </w:tabs>
        <w:spacing w:before="240" w:after="120" w:lineRule="auto" w:line="276"/>
        <w:jc w:val="both"/>
        <w:outlineLvl w:val="1"/>
        <w:rPr>
          <w:sz w:val="22"/>
          <w:szCs w:val="22"/>
          <w:lang w:eastAsia="en-US"/>
        </w:rPr>
      </w:pPr>
    </w:p>
    <w:bookmarkStart w:id="1566" w:name="_Toc2780525"/>
    <w:p>
      <w:pPr>
        <w:pStyle w:val="style3"/>
        <w:numPr>
          <w:ilvl w:val="0"/>
          <w:numId w:val="0"/>
        </w:numPr>
        <w:ind w:left="644" w:hanging="360"/>
        <w:rPr>
          <w:b/>
          <w:bCs w:val="false"/>
          <w:spacing w:val="-3"/>
          <w:u w:val="none"/>
          <w:lang w:eastAsia="en-US"/>
        </w:rPr>
      </w:pPr>
      <w:r>
        <w:rPr>
          <w:b/>
          <w:bCs w:val="false"/>
          <w:spacing w:val="-3"/>
          <w:u w:val="none"/>
          <w:lang w:eastAsia="en-US"/>
        </w:rPr>
        <w:t>7.9.3. D</w:t>
      </w:r>
      <w:r>
        <w:rPr>
          <w:b/>
          <w:bCs w:val="false"/>
          <w:spacing w:val="-3"/>
          <w:u w:val="none"/>
          <w:lang w:eastAsia="en-US"/>
        </w:rPr>
        <w:t>ocument</w:t>
      </w:r>
      <w:r>
        <w:rPr>
          <w:b/>
          <w:bCs w:val="false"/>
          <w:spacing w:val="-3"/>
          <w:u w:val="none"/>
          <w:lang w:eastAsia="en-US"/>
        </w:rPr>
        <w:t>ation de la procédure d’</w:t>
      </w:r>
      <w:r>
        <w:rPr>
          <w:b/>
          <w:bCs w:val="false"/>
          <w:spacing w:val="-3"/>
          <w:u w:val="none"/>
          <w:lang w:eastAsia="en-US"/>
        </w:rPr>
        <w:t>enregistrement et</w:t>
      </w:r>
      <w:r>
        <w:rPr>
          <w:b/>
          <w:bCs w:val="false"/>
          <w:spacing w:val="-3"/>
          <w:u w:val="none"/>
          <w:lang w:eastAsia="en-US"/>
        </w:rPr>
        <w:t xml:space="preserve"> de </w:t>
      </w:r>
      <w:r>
        <w:rPr>
          <w:b/>
          <w:bCs w:val="false"/>
          <w:spacing w:val="-3"/>
          <w:u w:val="none"/>
          <w:lang w:eastAsia="en-US"/>
        </w:rPr>
        <w:t xml:space="preserve"> gestion des plaintes</w:t>
      </w:r>
      <w:bookmarkEnd w:id="1565"/>
      <w:bookmarkEnd w:id="1566"/>
    </w:p>
    <w:p>
      <w:pPr>
        <w:pStyle w:val="style0"/>
        <w:spacing w:after="160" w:lineRule="auto" w:line="259"/>
        <w:jc w:val="both"/>
        <w:rPr>
          <w:rFonts w:eastAsia="Calibri"/>
          <w:sz w:val="22"/>
          <w:szCs w:val="22"/>
          <w:lang w:eastAsia="it-IT"/>
        </w:rPr>
      </w:pPr>
      <w:r>
        <w:rPr>
          <w:rFonts w:eastAsia="Calibri"/>
          <w:sz w:val="22"/>
          <w:szCs w:val="22"/>
          <w:lang w:eastAsia="it-IT"/>
        </w:rPr>
        <w:t>Les trois (3) premières instances devraient tenir un registre à jour de différentes plaintes. Les dossiers constitués du processus de gestion de plaintes devront être bien documentés et archivés (fiches d’enregistrement de plaintes, PV de conciliation ou de non conciliation, PV/ Rapport de gestion de plaintes …) au niveau des Mairies et PDCA.</w:t>
      </w:r>
    </w:p>
    <w:p>
      <w:pPr>
        <w:pStyle w:val="style0"/>
        <w:jc w:val="both"/>
        <w:rPr>
          <w:sz w:val="22"/>
          <w:szCs w:val="22"/>
        </w:rPr>
      </w:pPr>
    </w:p>
    <w:bookmarkStart w:id="1567" w:name="_Toc348812"/>
    <w:bookmarkStart w:id="1568" w:name="_Toc348813"/>
    <w:bookmarkEnd w:id="1334"/>
    <w:bookmarkEnd w:id="1335"/>
    <w:bookmarkEnd w:id="1336"/>
    <w:bookmarkEnd w:id="1567"/>
    <w:bookmarkEnd w:id="1568"/>
    <w:p>
      <w:pPr>
        <w:pStyle w:val="style1"/>
        <w:rPr/>
      </w:pPr>
      <w:r>
        <w:br w:type="page"/>
      </w:r>
      <w:bookmarkStart w:id="1569" w:name="_Toc686147"/>
      <w:bookmarkStart w:id="1570" w:name="_Toc2780526"/>
      <w:r>
        <w:t xml:space="preserve">8. </w:t>
      </w:r>
      <w:r>
        <w:t>CONCLUSION</w:t>
      </w:r>
      <w:bookmarkEnd w:id="1569"/>
      <w:bookmarkEnd w:id="1570"/>
    </w:p>
    <w:p>
      <w:pPr>
        <w:pStyle w:val="style4125"/>
        <w:ind w:left="0"/>
        <w:jc w:val="both"/>
        <w:rPr>
          <w:sz w:val="23"/>
          <w:szCs w:val="23"/>
          <w:lang w:val="fr-FR"/>
        </w:rPr>
      </w:pPr>
    </w:p>
    <w:p>
      <w:pPr>
        <w:pStyle w:val="style4125"/>
        <w:ind w:left="0"/>
        <w:jc w:val="both"/>
        <w:rPr>
          <w:sz w:val="22"/>
          <w:szCs w:val="22"/>
          <w:lang w:val="fr-FR" w:eastAsia="fr-FR"/>
        </w:rPr>
      </w:pPr>
      <w:r>
        <w:rPr>
          <w:sz w:val="22"/>
          <w:szCs w:val="22"/>
          <w:lang w:val="fr-FR" w:eastAsia="fr-FR"/>
        </w:rPr>
        <w:t xml:space="preserve">Le </w:t>
      </w:r>
      <w:r>
        <w:rPr>
          <w:sz w:val="22"/>
          <w:szCs w:val="22"/>
          <w:lang w:val="fr-FR"/>
        </w:rPr>
        <w:t>PDCA</w:t>
      </w:r>
      <w:r>
        <w:rPr>
          <w:sz w:val="22"/>
          <w:szCs w:val="22"/>
          <w:lang w:val="fr-FR" w:eastAsia="fr-FR"/>
        </w:rPr>
        <w:t xml:space="preserve"> est structuré en trois (3) composantes : </w:t>
      </w:r>
    </w:p>
    <w:p>
      <w:pPr>
        <w:pStyle w:val="style4125"/>
        <w:numPr>
          <w:ilvl w:val="0"/>
          <w:numId w:val="43"/>
        </w:numPr>
        <w:jc w:val="both"/>
        <w:rPr>
          <w:i/>
          <w:sz w:val="22"/>
          <w:szCs w:val="22"/>
          <w:lang w:val="fr-FR"/>
        </w:rPr>
      </w:pPr>
      <w:r>
        <w:rPr>
          <w:i/>
          <w:sz w:val="22"/>
          <w:szCs w:val="22"/>
          <w:lang w:val="fr-FR"/>
        </w:rPr>
        <w:t>La composante 1 : amélioration de la productivité et de la production agricole à travers trois (3) sous composantes.</w:t>
      </w:r>
      <w:r>
        <w:rPr>
          <w:i/>
          <w:sz w:val="22"/>
          <w:szCs w:val="22"/>
          <w:lang w:val="fr-FR"/>
        </w:rPr>
        <w:t xml:space="preserve"> </w:t>
      </w:r>
    </w:p>
    <w:p>
      <w:pPr>
        <w:pStyle w:val="style4125"/>
        <w:numPr>
          <w:ilvl w:val="0"/>
          <w:numId w:val="43"/>
        </w:numPr>
        <w:jc w:val="both"/>
        <w:rPr>
          <w:i/>
          <w:sz w:val="22"/>
          <w:szCs w:val="22"/>
          <w:lang w:val="fr-FR"/>
        </w:rPr>
      </w:pPr>
      <w:r>
        <w:rPr>
          <w:i/>
          <w:sz w:val="22"/>
          <w:szCs w:val="22"/>
          <w:lang w:val="fr-FR"/>
        </w:rPr>
        <w:t xml:space="preserve">La composante 2 : amélioration de l’accès au marché et appui aux investissements privés </w:t>
      </w:r>
      <w:r>
        <w:rPr>
          <w:i/>
          <w:sz w:val="22"/>
          <w:szCs w:val="22"/>
          <w:lang w:val="fr-FR"/>
        </w:rPr>
        <w:t>et</w:t>
      </w:r>
      <w:r>
        <w:rPr>
          <w:i/>
          <w:sz w:val="22"/>
          <w:szCs w:val="22"/>
          <w:lang w:val="fr-FR"/>
        </w:rPr>
        <w:t> ;</w:t>
      </w:r>
    </w:p>
    <w:p>
      <w:pPr>
        <w:pStyle w:val="style4125"/>
        <w:numPr>
          <w:ilvl w:val="0"/>
          <w:numId w:val="43"/>
        </w:numPr>
        <w:jc w:val="both"/>
        <w:rPr>
          <w:i/>
          <w:sz w:val="22"/>
          <w:szCs w:val="22"/>
          <w:lang w:val="fr-FR"/>
        </w:rPr>
      </w:pPr>
      <w:r>
        <w:rPr>
          <w:i/>
          <w:sz w:val="22"/>
          <w:szCs w:val="22"/>
          <w:lang w:val="fr-FR"/>
        </w:rPr>
        <w:t>L</w:t>
      </w:r>
      <w:r>
        <w:rPr>
          <w:i/>
          <w:sz w:val="22"/>
          <w:szCs w:val="22"/>
          <w:lang w:val="fr-FR"/>
        </w:rPr>
        <w:t>a composante 3 : prévention et gestion des crises</w:t>
      </w:r>
      <w:r>
        <w:rPr>
          <w:i/>
          <w:sz w:val="22"/>
          <w:szCs w:val="22"/>
          <w:lang w:val="fr-FR"/>
        </w:rPr>
        <w:t>,</w:t>
      </w:r>
      <w:r>
        <w:rPr>
          <w:i/>
          <w:sz w:val="22"/>
          <w:szCs w:val="22"/>
          <w:lang w:val="fr-FR"/>
        </w:rPr>
        <w:t xml:space="preserve"> coordination du Pro</w:t>
      </w:r>
      <w:r>
        <w:rPr>
          <w:i/>
          <w:sz w:val="22"/>
          <w:szCs w:val="22"/>
          <w:lang w:val="fr-FR"/>
        </w:rPr>
        <w:t>gramme</w:t>
      </w:r>
      <w:r>
        <w:rPr>
          <w:i/>
          <w:sz w:val="22"/>
          <w:szCs w:val="22"/>
          <w:lang w:val="fr-FR"/>
        </w:rPr>
        <w:t>.</w:t>
      </w:r>
    </w:p>
    <w:p>
      <w:pPr>
        <w:pStyle w:val="style0"/>
        <w:autoSpaceDE w:val="false"/>
        <w:autoSpaceDN w:val="false"/>
        <w:adjustRightInd w:val="false"/>
        <w:jc w:val="both"/>
        <w:rPr>
          <w:sz w:val="22"/>
          <w:szCs w:val="22"/>
        </w:rPr>
      </w:pPr>
    </w:p>
    <w:p>
      <w:pPr>
        <w:pStyle w:val="style0"/>
        <w:autoSpaceDE w:val="false"/>
        <w:autoSpaceDN w:val="false"/>
        <w:adjustRightInd w:val="false"/>
        <w:jc w:val="both"/>
        <w:rPr>
          <w:sz w:val="22"/>
          <w:szCs w:val="22"/>
        </w:rPr>
      </w:pPr>
    </w:p>
    <w:p>
      <w:pPr>
        <w:pStyle w:val="style0"/>
        <w:jc w:val="both"/>
        <w:rPr>
          <w:rFonts w:eastAsia="Calibri"/>
          <w:sz w:val="23"/>
          <w:szCs w:val="23"/>
        </w:rPr>
      </w:pPr>
      <w:r>
        <w:rPr>
          <w:rFonts w:eastAsia="Calibri"/>
          <w:sz w:val="23"/>
          <w:szCs w:val="23"/>
        </w:rPr>
        <w:t xml:space="preserve">L’élaboration du CGES a permis de faire une revue des principaux </w:t>
      </w:r>
      <w:r>
        <w:rPr>
          <w:rFonts w:eastAsia="Calibri"/>
          <w:sz w:val="23"/>
          <w:szCs w:val="23"/>
        </w:rPr>
        <w:t xml:space="preserve">risques </w:t>
      </w:r>
      <w:r>
        <w:rPr>
          <w:rFonts w:eastAsia="Calibri"/>
          <w:sz w:val="23"/>
          <w:szCs w:val="23"/>
        </w:rPr>
        <w:t>environnementaux et sociaux</w:t>
      </w:r>
      <w:r>
        <w:rPr>
          <w:rFonts w:eastAsia="Calibri"/>
          <w:sz w:val="23"/>
          <w:szCs w:val="23"/>
        </w:rPr>
        <w:t>, par sous projet type,</w:t>
      </w:r>
      <w:r>
        <w:rPr>
          <w:rFonts w:eastAsia="Calibri"/>
          <w:sz w:val="23"/>
          <w:szCs w:val="23"/>
        </w:rPr>
        <w:t xml:space="preserve"> au cours de la mise en œuvre du</w:t>
      </w:r>
      <w:r>
        <w:rPr>
          <w:rFonts w:eastAsia="Calibri"/>
          <w:sz w:val="23"/>
          <w:szCs w:val="23"/>
        </w:rPr>
        <w:t xml:space="preserve"> Programme</w:t>
      </w:r>
      <w:r>
        <w:rPr>
          <w:rFonts w:eastAsia="Calibri"/>
          <w:sz w:val="23"/>
          <w:szCs w:val="23"/>
        </w:rPr>
        <w:t xml:space="preserve"> qui s’étendra sur cinq (05) ans et de procéder à une évaluation du cadre juridique et institutionnel de gestion environnementale et sociale. </w:t>
      </w:r>
    </w:p>
    <w:p>
      <w:pPr>
        <w:pStyle w:val="style0"/>
        <w:jc w:val="both"/>
        <w:rPr>
          <w:sz w:val="23"/>
          <w:szCs w:val="23"/>
        </w:rPr>
      </w:pPr>
    </w:p>
    <w:p>
      <w:pPr>
        <w:pStyle w:val="style0"/>
        <w:autoSpaceDE w:val="false"/>
        <w:autoSpaceDN w:val="false"/>
        <w:adjustRightInd w:val="false"/>
        <w:jc w:val="both"/>
        <w:rPr>
          <w:rFonts w:eastAsia="Calibri"/>
          <w:sz w:val="22"/>
          <w:szCs w:val="22"/>
        </w:rPr>
      </w:pPr>
      <w:r>
        <w:rPr>
          <w:rFonts w:eastAsia="Calibri"/>
          <w:sz w:val="22"/>
          <w:szCs w:val="22"/>
        </w:rPr>
        <w:t>Le programme aura des im</w:t>
      </w:r>
      <w:r>
        <w:rPr>
          <w:rFonts w:eastAsia="Calibri"/>
          <w:sz w:val="22"/>
          <w:szCs w:val="22"/>
        </w:rPr>
        <w:t>pacts positifs n</w:t>
      </w:r>
      <w:r>
        <w:rPr>
          <w:rFonts w:eastAsia="Calibri"/>
          <w:sz w:val="22"/>
          <w:szCs w:val="22"/>
        </w:rPr>
        <w:t xml:space="preserve">otoires au plan environnemental et social : </w:t>
      </w:r>
      <w:r>
        <w:rPr>
          <w:sz w:val="22"/>
          <w:szCs w:val="22"/>
        </w:rPr>
        <w:t>l’amélioration de la productivité agricole</w:t>
      </w:r>
      <w:r>
        <w:rPr>
          <w:sz w:val="22"/>
          <w:szCs w:val="22"/>
        </w:rPr>
        <w:t xml:space="preserve"> </w:t>
      </w:r>
      <w:r>
        <w:rPr>
          <w:sz w:val="22"/>
          <w:szCs w:val="22"/>
        </w:rPr>
        <w:t>; la création d’emplois ;</w:t>
      </w:r>
      <w:r>
        <w:rPr>
          <w:sz w:val="22"/>
          <w:szCs w:val="22"/>
        </w:rPr>
        <w:t xml:space="preserve"> </w:t>
      </w:r>
      <w:r>
        <w:rPr>
          <w:sz w:val="22"/>
          <w:szCs w:val="22"/>
        </w:rPr>
        <w:t>l’amélioration</w:t>
      </w:r>
      <w:r>
        <w:rPr>
          <w:sz w:val="22"/>
          <w:szCs w:val="22"/>
        </w:rPr>
        <w:t xml:space="preserve"> du fonctionnement et de la compétitivité des chaînes de valeur des filières ; le renforcement des mécanismes de pr</w:t>
      </w:r>
      <w:r>
        <w:rPr>
          <w:sz w:val="22"/>
          <w:szCs w:val="22"/>
        </w:rPr>
        <w:t xml:space="preserve">éparation et de </w:t>
      </w:r>
      <w:r>
        <w:rPr>
          <w:sz w:val="22"/>
          <w:szCs w:val="22"/>
        </w:rPr>
        <w:t>réponse aux crises et aux urgences, et le renforcement des capacités de coordination du programme</w:t>
      </w:r>
      <w:r>
        <w:rPr>
          <w:rFonts w:eastAsia="Calibri"/>
          <w:sz w:val="22"/>
          <w:szCs w:val="22"/>
        </w:rPr>
        <w:t xml:space="preserve">. </w:t>
      </w:r>
    </w:p>
    <w:p>
      <w:pPr>
        <w:pStyle w:val="style0"/>
        <w:autoSpaceDE w:val="false"/>
        <w:autoSpaceDN w:val="false"/>
        <w:adjustRightInd w:val="false"/>
        <w:jc w:val="both"/>
        <w:rPr>
          <w:rFonts w:eastAsia="Calibri"/>
          <w:sz w:val="22"/>
          <w:szCs w:val="22"/>
        </w:rPr>
      </w:pPr>
    </w:p>
    <w:p>
      <w:pPr>
        <w:pStyle w:val="style0"/>
        <w:autoSpaceDE w:val="false"/>
        <w:autoSpaceDN w:val="false"/>
        <w:adjustRightInd w:val="false"/>
        <w:jc w:val="both"/>
        <w:rPr>
          <w:rFonts w:eastAsia="Calibri"/>
          <w:sz w:val="22"/>
          <w:szCs w:val="22"/>
        </w:rPr>
      </w:pPr>
      <w:r>
        <w:rPr>
          <w:rFonts w:eastAsia="Calibri"/>
          <w:sz w:val="22"/>
          <w:szCs w:val="22"/>
        </w:rPr>
        <w:t xml:space="preserve">Toutefois, le programme </w:t>
      </w:r>
      <w:r>
        <w:rPr>
          <w:rFonts w:eastAsia="Calibri"/>
          <w:sz w:val="22"/>
          <w:szCs w:val="22"/>
        </w:rPr>
        <w:t>comporte des risques</w:t>
      </w:r>
      <w:r>
        <w:rPr>
          <w:rFonts w:eastAsia="Calibri"/>
          <w:sz w:val="22"/>
          <w:szCs w:val="22"/>
        </w:rPr>
        <w:t xml:space="preserve"> qui seront pris en compte efficacement par l’application de mesures environnementales et sociales :</w:t>
      </w:r>
      <w:r>
        <w:rPr>
          <w:rFonts w:eastAsia="Arial Unicode MS"/>
          <w:sz w:val="22"/>
          <w:szCs w:val="22"/>
        </w:rPr>
        <w:t xml:space="preserve"> le </w:t>
      </w:r>
      <w:r>
        <w:rPr>
          <w:sz w:val="22"/>
          <w:szCs w:val="22"/>
        </w:rPr>
        <w:t>reboisement/plantation d’arbres ;  la collecte, le traitement et l’élimination des rejets/des déchets ; le balisage des sites des travaux ; la dotation des employés en équipement de protection individuelle ; la protection des sols et des sources d’eau </w:t>
      </w:r>
      <w:r>
        <w:rPr>
          <w:sz w:val="22"/>
          <w:szCs w:val="22"/>
        </w:rPr>
        <w:t xml:space="preserve">; l’information/sensibilisation des agents de l’agriculture, des agriculteurs et des populations sur </w:t>
      </w:r>
      <w:r>
        <w:rPr>
          <w:sz w:val="22"/>
          <w:szCs w:val="22"/>
        </w:rPr>
        <w:t xml:space="preserve">les risques sanitaires des déchets agricoles, </w:t>
      </w:r>
      <w:r>
        <w:rPr>
          <w:sz w:val="22"/>
          <w:szCs w:val="22"/>
        </w:rPr>
        <w:t>etc</w:t>
      </w:r>
      <w:r>
        <w:rPr>
          <w:sz w:val="22"/>
          <w:szCs w:val="22"/>
        </w:rPr>
        <w:t>.</w:t>
      </w:r>
      <w:r>
        <w:rPr>
          <w:rFonts w:eastAsia="Calibri"/>
          <w:sz w:val="22"/>
          <w:szCs w:val="22"/>
        </w:rPr>
        <w:t xml:space="preserve">  </w:t>
      </w:r>
    </w:p>
    <w:p>
      <w:pPr>
        <w:pStyle w:val="style0"/>
        <w:autoSpaceDE w:val="false"/>
        <w:autoSpaceDN w:val="false"/>
        <w:adjustRightInd w:val="false"/>
        <w:jc w:val="both"/>
        <w:rPr>
          <w:rFonts w:eastAsia="Calibri"/>
          <w:sz w:val="22"/>
          <w:szCs w:val="22"/>
        </w:rPr>
      </w:pPr>
    </w:p>
    <w:p>
      <w:pPr>
        <w:pStyle w:val="style0"/>
        <w:jc w:val="both"/>
        <w:rPr>
          <w:rFonts w:eastAsia="Calibri"/>
          <w:sz w:val="22"/>
          <w:szCs w:val="22"/>
        </w:rPr>
      </w:pPr>
      <w:r>
        <w:rPr>
          <w:rFonts w:eastAsia="Calibri"/>
          <w:sz w:val="22"/>
          <w:szCs w:val="22"/>
        </w:rPr>
        <w:t>Le P</w:t>
      </w:r>
      <w:r>
        <w:rPr>
          <w:rFonts w:eastAsia="Calibri"/>
          <w:sz w:val="22"/>
          <w:szCs w:val="22"/>
        </w:rPr>
        <w:t>C</w:t>
      </w:r>
      <w:r>
        <w:rPr>
          <w:rFonts w:eastAsia="Calibri"/>
          <w:sz w:val="22"/>
          <w:szCs w:val="22"/>
        </w:rPr>
        <w:t xml:space="preserve">GES comprend </w:t>
      </w:r>
      <w:r>
        <w:rPr>
          <w:sz w:val="22"/>
          <w:szCs w:val="22"/>
        </w:rPr>
        <w:t>une procédure de gestion environnementale et sociale des sous projets qui assure la préparation préalable des EIES, et la prise en compte des mesures dans les DAO et plans de construction, lorsque leurs localisations seront connues.</w:t>
      </w:r>
    </w:p>
    <w:p>
      <w:pPr>
        <w:pStyle w:val="style0"/>
        <w:jc w:val="both"/>
        <w:rPr>
          <w:rFonts w:eastAsia="Calibri"/>
          <w:sz w:val="22"/>
          <w:szCs w:val="22"/>
        </w:rPr>
      </w:pPr>
    </w:p>
    <w:p>
      <w:pPr>
        <w:pStyle w:val="style0"/>
        <w:jc w:val="both"/>
        <w:rPr>
          <w:sz w:val="22"/>
          <w:szCs w:val="22"/>
        </w:rPr>
      </w:pPr>
      <w:r>
        <w:rPr>
          <w:rFonts w:eastAsia="Calibri"/>
          <w:sz w:val="22"/>
          <w:szCs w:val="22"/>
        </w:rPr>
        <w:t>La mise en œuvr</w:t>
      </w:r>
      <w:r>
        <w:rPr>
          <w:rFonts w:eastAsia="Calibri"/>
          <w:sz w:val="22"/>
          <w:szCs w:val="22"/>
        </w:rPr>
        <w:t>e des activ</w:t>
      </w:r>
      <w:r>
        <w:rPr>
          <w:rFonts w:eastAsia="Calibri"/>
          <w:sz w:val="22"/>
          <w:szCs w:val="22"/>
        </w:rPr>
        <w:t xml:space="preserve">ités du </w:t>
      </w:r>
      <w:r>
        <w:rPr>
          <w:sz w:val="22"/>
          <w:szCs w:val="22"/>
        </w:rPr>
        <w:t>PDCA</w:t>
      </w:r>
      <w:r>
        <w:rPr>
          <w:rFonts w:eastAsia="Calibri"/>
          <w:sz w:val="22"/>
          <w:szCs w:val="22"/>
        </w:rPr>
        <w:t xml:space="preserve"> sera assurée </w:t>
      </w:r>
      <w:r>
        <w:rPr>
          <w:sz w:val="22"/>
          <w:szCs w:val="22"/>
        </w:rPr>
        <w:t>l’U</w:t>
      </w:r>
      <w:r>
        <w:rPr>
          <w:sz w:val="22"/>
          <w:szCs w:val="22"/>
        </w:rPr>
        <w:t xml:space="preserve">NC </w:t>
      </w:r>
      <w:r>
        <w:rPr>
          <w:sz w:val="22"/>
          <w:szCs w:val="22"/>
        </w:rPr>
        <w:t>avec l’appui des services centraux et déc</w:t>
      </w:r>
      <w:r>
        <w:rPr>
          <w:sz w:val="22"/>
          <w:szCs w:val="22"/>
        </w:rPr>
        <w:t xml:space="preserve">oncentrés </w:t>
      </w:r>
      <w:r>
        <w:rPr>
          <w:sz w:val="22"/>
          <w:szCs w:val="22"/>
        </w:rPr>
        <w:t xml:space="preserve">du MAAH, </w:t>
      </w:r>
      <w:r>
        <w:rPr>
          <w:sz w:val="22"/>
          <w:szCs w:val="22"/>
        </w:rPr>
        <w:t xml:space="preserve">du MRAH, du MEEVCC, des membres du Comité de Pilotage du </w:t>
      </w:r>
      <w:r>
        <w:rPr>
          <w:sz w:val="22"/>
          <w:szCs w:val="22"/>
        </w:rPr>
        <w:t>programme</w:t>
      </w:r>
      <w:r>
        <w:rPr>
          <w:sz w:val="22"/>
          <w:szCs w:val="22"/>
        </w:rPr>
        <w:t xml:space="preserve"> et l’implicatio</w:t>
      </w:r>
      <w:r>
        <w:rPr>
          <w:sz w:val="22"/>
          <w:szCs w:val="22"/>
        </w:rPr>
        <w:t xml:space="preserve">n des collectivités locales, des populations, des ONG et OSC de la zone du </w:t>
      </w:r>
      <w:r>
        <w:rPr>
          <w:sz w:val="22"/>
          <w:szCs w:val="22"/>
        </w:rPr>
        <w:t>programme</w:t>
      </w:r>
      <w:r>
        <w:rPr>
          <w:sz w:val="22"/>
          <w:szCs w:val="22"/>
        </w:rPr>
        <w:t xml:space="preserve">.  </w:t>
      </w:r>
    </w:p>
    <w:p>
      <w:pPr>
        <w:pStyle w:val="style0"/>
        <w:jc w:val="both"/>
        <w:rPr>
          <w:rFonts w:eastAsia="Calibri"/>
          <w:sz w:val="22"/>
          <w:szCs w:val="22"/>
        </w:rPr>
      </w:pPr>
    </w:p>
    <w:p>
      <w:pPr>
        <w:pStyle w:val="style0"/>
        <w:jc w:val="both"/>
        <w:rPr>
          <w:rFonts w:eastAsia="Calibri"/>
          <w:sz w:val="22"/>
          <w:szCs w:val="22"/>
        </w:rPr>
      </w:pPr>
      <w:r>
        <w:rPr>
          <w:rFonts w:eastAsia="Calibri"/>
          <w:sz w:val="22"/>
          <w:szCs w:val="22"/>
        </w:rPr>
        <w:t xml:space="preserve">Le programme de suivi portera sur le suivi interne et externe, la supervision et l’évaluation annuelle. Le suivi externe </w:t>
      </w:r>
      <w:r>
        <w:rPr>
          <w:sz w:val="22"/>
          <w:szCs w:val="22"/>
        </w:rPr>
        <w:t xml:space="preserve">sera effectué par le BUNEE et les directions régionales du MEEVCC, </w:t>
      </w:r>
      <w:r>
        <w:rPr>
          <w:sz w:val="22"/>
          <w:szCs w:val="22"/>
        </w:rPr>
        <w:t>du MAAH</w:t>
      </w:r>
      <w:r>
        <w:rPr>
          <w:sz w:val="22"/>
          <w:szCs w:val="22"/>
        </w:rPr>
        <w:t xml:space="preserve"> </w:t>
      </w:r>
      <w:r>
        <w:rPr>
          <w:sz w:val="22"/>
          <w:szCs w:val="22"/>
        </w:rPr>
        <w:t>du MRAH</w:t>
      </w:r>
      <w:r>
        <w:rPr>
          <w:sz w:val="22"/>
          <w:szCs w:val="22"/>
        </w:rPr>
        <w:t xml:space="preserve"> </w:t>
      </w:r>
      <w:r>
        <w:rPr>
          <w:sz w:val="22"/>
          <w:szCs w:val="22"/>
        </w:rPr>
        <w:t xml:space="preserve">à travers les PFES désignés. A cet effet, </w:t>
      </w:r>
      <w:r>
        <w:rPr>
          <w:rFonts w:eastAsia="Calibri"/>
          <w:sz w:val="22"/>
          <w:szCs w:val="22"/>
        </w:rPr>
        <w:t xml:space="preserve">les capacités </w:t>
      </w:r>
      <w:r>
        <w:rPr>
          <w:sz w:val="22"/>
          <w:szCs w:val="22"/>
        </w:rPr>
        <w:t>des directions régionales du MEEVCC,</w:t>
      </w:r>
      <w:r>
        <w:rPr>
          <w:sz w:val="22"/>
          <w:szCs w:val="22"/>
        </w:rPr>
        <w:t xml:space="preserve"> du MAAH</w:t>
      </w:r>
      <w:r>
        <w:rPr>
          <w:sz w:val="22"/>
          <w:szCs w:val="22"/>
        </w:rPr>
        <w:t xml:space="preserve"> du MRAH</w:t>
      </w:r>
      <w:r>
        <w:rPr>
          <w:sz w:val="22"/>
          <w:szCs w:val="22"/>
        </w:rPr>
        <w:t xml:space="preserve"> </w:t>
      </w:r>
      <w:r>
        <w:rPr>
          <w:rFonts w:eastAsia="Calibri"/>
          <w:sz w:val="22"/>
          <w:szCs w:val="22"/>
        </w:rPr>
        <w:t xml:space="preserve">devront être renforcées. Les coûts des mesures environnementales, d’un montant global de </w:t>
      </w:r>
      <w:r>
        <w:rPr>
          <w:rFonts w:eastAsia="Calibri"/>
          <w:b/>
          <w:sz w:val="22"/>
          <w:szCs w:val="22"/>
        </w:rPr>
        <w:t xml:space="preserve">699 </w:t>
      </w:r>
      <w:r>
        <w:rPr>
          <w:rFonts w:eastAsia="Calibri"/>
          <w:b/>
          <w:sz w:val="22"/>
          <w:szCs w:val="22"/>
        </w:rPr>
        <w:t>0</w:t>
      </w:r>
      <w:r>
        <w:rPr>
          <w:rFonts w:eastAsia="Calibri"/>
          <w:b/>
          <w:sz w:val="22"/>
          <w:szCs w:val="22"/>
        </w:rPr>
        <w:t>00 000 FCFA</w:t>
      </w:r>
      <w:r>
        <w:rPr>
          <w:rFonts w:eastAsia="Calibri"/>
          <w:sz w:val="22"/>
          <w:szCs w:val="22"/>
        </w:rPr>
        <w:t xml:space="preserve"> pour les cinq (5) années de mise en œuvre du </w:t>
      </w:r>
      <w:r>
        <w:rPr>
          <w:rFonts w:eastAsia="Calibri"/>
          <w:sz w:val="22"/>
          <w:szCs w:val="22"/>
        </w:rPr>
        <w:t>Programme</w:t>
      </w:r>
      <w:r>
        <w:rPr>
          <w:rFonts w:eastAsia="Calibri"/>
          <w:sz w:val="22"/>
          <w:szCs w:val="22"/>
        </w:rPr>
        <w:t>.</w:t>
      </w: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bookmarkStart w:id="1571" w:name="_Toc686148"/>
    <w:p>
      <w:pPr>
        <w:pStyle w:val="style0"/>
        <w:rPr>
          <w:b/>
          <w:bCs/>
          <w:color w:val="000000"/>
          <w:szCs w:val="20"/>
        </w:rPr>
      </w:pPr>
      <w:r>
        <w:br w:type="page"/>
      </w:r>
    </w:p>
    <w:bookmarkStart w:id="1572" w:name="_Toc2780527"/>
    <w:p>
      <w:pPr>
        <w:pStyle w:val="style1"/>
        <w:rPr/>
      </w:pPr>
      <w:r>
        <w:t>BIBLIOGRAPHIE</w:t>
      </w:r>
      <w:bookmarkEnd w:id="1571"/>
      <w:bookmarkEnd w:id="1572"/>
    </w:p>
    <w:p>
      <w:pPr>
        <w:pStyle w:val="style0"/>
        <w:jc w:val="both"/>
        <w:rPr>
          <w:rFonts w:eastAsia="Calibri"/>
          <w:sz w:val="22"/>
          <w:szCs w:val="22"/>
        </w:rPr>
      </w:pPr>
    </w:p>
    <w:p>
      <w:pPr>
        <w:pStyle w:val="style0"/>
        <w:jc w:val="both"/>
        <w:rPr>
          <w:rFonts w:eastAsia="Calibri"/>
          <w:sz w:val="22"/>
          <w:szCs w:val="22"/>
        </w:rPr>
      </w:pPr>
    </w:p>
    <w:p>
      <w:pPr>
        <w:pStyle w:val="style0"/>
        <w:numPr>
          <w:ilvl w:val="0"/>
          <w:numId w:val="18"/>
        </w:numPr>
        <w:rPr>
          <w:sz w:val="22"/>
          <w:szCs w:val="22"/>
        </w:rPr>
      </w:pPr>
      <w:r>
        <w:rPr>
          <w:sz w:val="22"/>
          <w:szCs w:val="22"/>
        </w:rPr>
        <w:t>CEDEAO, 2012. Règlement d’exécution 02/06/12 relatif aux attributions, à l’organisation et au fonctionnement du comité Ouest Africain d’homologation des pesticides</w:t>
      </w:r>
    </w:p>
    <w:p>
      <w:pPr>
        <w:pStyle w:val="style0"/>
        <w:numPr>
          <w:ilvl w:val="0"/>
          <w:numId w:val="18"/>
        </w:numPr>
        <w:rPr>
          <w:sz w:val="22"/>
          <w:szCs w:val="22"/>
        </w:rPr>
      </w:pPr>
      <w:r>
        <w:rPr>
          <w:sz w:val="22"/>
          <w:szCs w:val="22"/>
        </w:rPr>
        <w:t>CILSS, 1999. Réglementation commune aux Etats membres du CILSS sur l'homologation des pesticides, Version révisée décembre, 27 pp.</w:t>
      </w:r>
    </w:p>
    <w:p>
      <w:pPr>
        <w:pStyle w:val="style0"/>
        <w:numPr>
          <w:ilvl w:val="0"/>
          <w:numId w:val="18"/>
        </w:numPr>
        <w:rPr>
          <w:sz w:val="22"/>
          <w:szCs w:val="22"/>
        </w:rPr>
      </w:pPr>
      <w:r>
        <w:rPr>
          <w:sz w:val="22"/>
          <w:szCs w:val="22"/>
        </w:rPr>
        <w:t xml:space="preserve">CILSS, décembre 1999 -Réglementation commune aux Etats membres du CILSS sur l’homologation des pesticides /Version  révisée </w:t>
      </w:r>
    </w:p>
    <w:p>
      <w:pPr>
        <w:pStyle w:val="style0"/>
        <w:numPr>
          <w:ilvl w:val="0"/>
          <w:numId w:val="18"/>
        </w:numPr>
        <w:rPr>
          <w:sz w:val="22"/>
          <w:szCs w:val="22"/>
        </w:rPr>
      </w:pPr>
      <w:r>
        <w:rPr>
          <w:sz w:val="22"/>
          <w:szCs w:val="22"/>
        </w:rPr>
        <w:t>CNRST, 2007. Gestion intégrée de la production et des déprédateurs des cultures. Bilan et perspectives au Burkina Faso. Eurêka spécial, n°49.</w:t>
      </w:r>
    </w:p>
    <w:p>
      <w:pPr>
        <w:pStyle w:val="style0"/>
        <w:numPr>
          <w:ilvl w:val="0"/>
          <w:numId w:val="18"/>
        </w:numPr>
        <w:rPr>
          <w:sz w:val="22"/>
          <w:szCs w:val="22"/>
        </w:rPr>
      </w:pPr>
      <w:r>
        <w:rPr>
          <w:sz w:val="22"/>
          <w:szCs w:val="22"/>
        </w:rPr>
        <w:t xml:space="preserve">Direction de productions végétales- Service de la Protection des Végétaux et   du contrôle phytosanitaire) Octobre 2000 - Rapport de présentation des textes législatifs et Réglementaires sur le contrôle des pesticides au Burkina Faso </w:t>
      </w:r>
    </w:p>
    <w:p>
      <w:pPr>
        <w:pStyle w:val="style0"/>
        <w:numPr>
          <w:ilvl w:val="0"/>
          <w:numId w:val="18"/>
        </w:numPr>
        <w:rPr>
          <w:sz w:val="22"/>
          <w:szCs w:val="22"/>
        </w:rPr>
      </w:pPr>
      <w:r>
        <w:rPr>
          <w:sz w:val="22"/>
          <w:szCs w:val="22"/>
        </w:rPr>
        <w:t>FAO, 2004 : étude de la situation et de l'évolution des systèmes de vulgarisation et d'animation forestière en Afrique sahélienne, http://www.fao.org/docrep/009/j2623f/j2623f00.htm accédé le 15/05/2018</w:t>
      </w:r>
    </w:p>
    <w:p>
      <w:pPr>
        <w:pStyle w:val="style0"/>
        <w:numPr>
          <w:ilvl w:val="0"/>
          <w:numId w:val="18"/>
        </w:numPr>
        <w:rPr>
          <w:sz w:val="22"/>
          <w:szCs w:val="22"/>
        </w:rPr>
      </w:pPr>
      <w:r>
        <w:rPr>
          <w:sz w:val="22"/>
          <w:szCs w:val="22"/>
        </w:rPr>
        <w:t>FA</w:t>
      </w:r>
      <w:r>
        <w:rPr>
          <w:sz w:val="22"/>
          <w:szCs w:val="22"/>
        </w:rPr>
        <w:t>YE Mb., 2007. Cadre de Gestion Environnementale et Sociale (CGES) Programme de Productivité agricole en Afrique de l’Ouest (Burkina Faso, Ghana, Mali, Sénégal)</w:t>
      </w:r>
    </w:p>
    <w:p>
      <w:pPr>
        <w:pStyle w:val="style0"/>
        <w:numPr>
          <w:ilvl w:val="0"/>
          <w:numId w:val="18"/>
        </w:numPr>
        <w:jc w:val="both"/>
        <w:rPr>
          <w:sz w:val="22"/>
          <w:szCs w:val="22"/>
        </w:rPr>
      </w:pPr>
      <w:r>
        <w:rPr>
          <w:sz w:val="22"/>
          <w:szCs w:val="22"/>
        </w:rPr>
        <w:t>Manuel d’Evaluation Environnementale.  Vol.1 : Politiques, procédures et questions intersectorielles ; Banque Mondiale / Secrétariat francophone de l’Association Internationale pour l’Evaluation d’Impacts ; Montréal, 1999</w:t>
      </w:r>
    </w:p>
    <w:p>
      <w:pPr>
        <w:pStyle w:val="style0"/>
        <w:numPr>
          <w:ilvl w:val="0"/>
          <w:numId w:val="18"/>
        </w:numPr>
        <w:jc w:val="both"/>
        <w:rPr>
          <w:sz w:val="22"/>
          <w:szCs w:val="22"/>
        </w:rPr>
      </w:pPr>
      <w:r>
        <w:rPr>
          <w:sz w:val="22"/>
          <w:szCs w:val="22"/>
        </w:rPr>
        <w:t xml:space="preserve">Manuel d’Evaluation </w:t>
      </w:r>
      <w:r>
        <w:rPr>
          <w:sz w:val="22"/>
          <w:szCs w:val="22"/>
        </w:rPr>
        <w:t>Environnementale, Vol.</w:t>
      </w:r>
      <w:r>
        <w:rPr>
          <w:sz w:val="22"/>
          <w:szCs w:val="22"/>
        </w:rPr>
        <w:t>2 : Lignes directrices sectorielles Banque Mondiale / Secrétariat francophone de l’Association Internationale pour l’Evaluation d’Impacts, Montréal, 1999</w:t>
      </w:r>
    </w:p>
    <w:p>
      <w:pPr>
        <w:pStyle w:val="style0"/>
        <w:numPr>
          <w:ilvl w:val="0"/>
          <w:numId w:val="18"/>
        </w:numPr>
        <w:jc w:val="both"/>
        <w:rPr>
          <w:sz w:val="22"/>
          <w:szCs w:val="22"/>
        </w:rPr>
      </w:pPr>
      <w:r>
        <w:rPr>
          <w:sz w:val="22"/>
          <w:szCs w:val="22"/>
        </w:rPr>
        <w:t>Manuel Opérationnel de la Banque Mondiale – Politiques Opérationnelles, Banque Mondiale, Washington, 1999</w:t>
      </w:r>
    </w:p>
    <w:p>
      <w:pPr>
        <w:pStyle w:val="style0"/>
        <w:numPr>
          <w:ilvl w:val="0"/>
          <w:numId w:val="18"/>
        </w:numPr>
        <w:jc w:val="both"/>
        <w:rPr>
          <w:sz w:val="22"/>
          <w:szCs w:val="22"/>
        </w:rPr>
      </w:pPr>
      <w:r>
        <w:rPr>
          <w:sz w:val="22"/>
          <w:szCs w:val="22"/>
        </w:rPr>
        <w:t xml:space="preserve">Ministère de l’Economie, des Finances et du Développement (MINEFID, 2016). Plan National de Développement Economique et Social du Burkina Faso. </w:t>
      </w:r>
      <w:r>
        <w:rPr>
          <w:sz w:val="22"/>
          <w:szCs w:val="22"/>
          <w:lang w:val="en-US"/>
        </w:rPr>
        <w:t>Ouagadougou, 97p</w:t>
      </w:r>
    </w:p>
    <w:p>
      <w:pPr>
        <w:pStyle w:val="style0"/>
        <w:numPr>
          <w:ilvl w:val="0"/>
          <w:numId w:val="18"/>
        </w:numPr>
        <w:jc w:val="both"/>
        <w:rPr>
          <w:sz w:val="22"/>
          <w:szCs w:val="22"/>
        </w:rPr>
      </w:pPr>
      <w:r>
        <w:rPr>
          <w:sz w:val="22"/>
          <w:szCs w:val="22"/>
        </w:rPr>
        <w:t xml:space="preserve">Politiques opérationnelles, Manuel opérationnel de </w:t>
      </w:r>
      <w:r>
        <w:rPr>
          <w:sz w:val="22"/>
          <w:szCs w:val="22"/>
        </w:rPr>
        <w:t>la Banque</w:t>
      </w:r>
      <w:r>
        <w:rPr>
          <w:sz w:val="22"/>
          <w:szCs w:val="22"/>
        </w:rPr>
        <w:t xml:space="preserve"> mondiale</w:t>
      </w:r>
    </w:p>
    <w:p>
      <w:pPr>
        <w:pStyle w:val="style0"/>
        <w:numPr>
          <w:ilvl w:val="0"/>
          <w:numId w:val="18"/>
        </w:numPr>
        <w:jc w:val="both"/>
        <w:rPr>
          <w:sz w:val="22"/>
          <w:szCs w:val="22"/>
        </w:rPr>
      </w:pPr>
      <w:r>
        <w:rPr>
          <w:sz w:val="22"/>
          <w:szCs w:val="22"/>
        </w:rPr>
        <w:t>Préparation du programme d’appui aux filières agro-sylvo-pastorales (PAFASP), Ciblage des filières et de la zone d’intervention du PAFASP, version finale, Ministère de l’agriculture, de l’hydraulique et des ressources animales (MAHRH), septembre 2005 (Salifou Konaté)</w:t>
      </w:r>
    </w:p>
    <w:p>
      <w:pPr>
        <w:pStyle w:val="style0"/>
        <w:numPr>
          <w:ilvl w:val="0"/>
          <w:numId w:val="18"/>
        </w:numPr>
        <w:jc w:val="both"/>
        <w:rPr>
          <w:sz w:val="22"/>
          <w:szCs w:val="22"/>
        </w:rPr>
      </w:pPr>
      <w:r>
        <w:rPr>
          <w:sz w:val="22"/>
          <w:szCs w:val="22"/>
        </w:rPr>
        <w:t>Projet Régional d’Appui à l’Initiative pour l’Irrigation au Sahel (PARIIS, 2016) : Rapport final du Cadre de Gestion Environnementale et Sociale (CGES).</w:t>
      </w:r>
    </w:p>
    <w:p>
      <w:pPr>
        <w:pStyle w:val="style0"/>
        <w:numPr>
          <w:ilvl w:val="0"/>
          <w:numId w:val="18"/>
        </w:numPr>
        <w:jc w:val="both"/>
        <w:rPr>
          <w:sz w:val="22"/>
          <w:szCs w:val="22"/>
        </w:rPr>
      </w:pPr>
      <w:r>
        <w:rPr>
          <w:sz w:val="22"/>
          <w:szCs w:val="22"/>
        </w:rPr>
        <w:t>Projet d’Amélioration de la Productivité et de la Sécurité Alimentaire PAPSA (2016) : Rapport final du Cadre de Gestion Environnementale et Sociale (CGES).</w:t>
      </w:r>
    </w:p>
    <w:p>
      <w:pPr>
        <w:pStyle w:val="style0"/>
        <w:numPr>
          <w:ilvl w:val="0"/>
          <w:numId w:val="18"/>
        </w:numPr>
        <w:jc w:val="both"/>
        <w:rPr>
          <w:sz w:val="22"/>
          <w:szCs w:val="22"/>
        </w:rPr>
      </w:pPr>
      <w:r>
        <w:rPr>
          <w:sz w:val="22"/>
          <w:szCs w:val="22"/>
        </w:rPr>
        <w:t>Programme d’appui aux filières agro-pastorales (PAFASP, 2014) : Rapport final du Cadre de Gestion Environnementale et Sociale (CGES).</w:t>
      </w:r>
    </w:p>
    <w:p>
      <w:pPr>
        <w:pStyle w:val="style0"/>
        <w:numPr>
          <w:ilvl w:val="0"/>
          <w:numId w:val="18"/>
        </w:numPr>
        <w:jc w:val="both"/>
        <w:rPr>
          <w:b/>
          <w:sz w:val="22"/>
          <w:szCs w:val="22"/>
        </w:rPr>
      </w:pPr>
      <w:r>
        <w:rPr>
          <w:sz w:val="22"/>
          <w:szCs w:val="22"/>
        </w:rPr>
        <w:t>Projet pilote de promotion des exportations agricoles</w:t>
      </w:r>
      <w:r>
        <w:rPr>
          <w:sz w:val="22"/>
          <w:szCs w:val="22"/>
        </w:rPr>
        <w:t xml:space="preserve"> : </w:t>
      </w:r>
      <w:r>
        <w:rPr>
          <w:sz w:val="22"/>
          <w:szCs w:val="22"/>
        </w:rPr>
        <w:t>Evaluation environnementale, , République du Sénégal, septembre 1997</w:t>
      </w:r>
    </w:p>
    <w:p>
      <w:pPr>
        <w:pStyle w:val="style0"/>
        <w:numPr>
          <w:ilvl w:val="0"/>
          <w:numId w:val="18"/>
        </w:numPr>
        <w:jc w:val="both"/>
        <w:rPr>
          <w:sz w:val="22"/>
          <w:szCs w:val="22"/>
        </w:rPr>
      </w:pPr>
      <w:r>
        <w:rPr>
          <w:sz w:val="22"/>
          <w:szCs w:val="22"/>
        </w:rPr>
        <w:t>Loi N° 014/96/</w:t>
      </w:r>
      <w:r>
        <w:rPr>
          <w:sz w:val="22"/>
          <w:szCs w:val="22"/>
        </w:rPr>
        <w:t>AD</w:t>
      </w:r>
      <w:r>
        <w:rPr>
          <w:sz w:val="22"/>
          <w:szCs w:val="22"/>
        </w:rPr>
        <w:t>P portant réorganisation agraire et foncière au Burkina Faso</w:t>
      </w:r>
    </w:p>
    <w:bookmarkStart w:id="1573" w:name="_Hlk1272132"/>
    <w:p>
      <w:pPr>
        <w:pStyle w:val="style0"/>
        <w:numPr>
          <w:ilvl w:val="0"/>
          <w:numId w:val="18"/>
        </w:numPr>
        <w:jc w:val="both"/>
        <w:rPr>
          <w:sz w:val="22"/>
          <w:szCs w:val="22"/>
        </w:rPr>
      </w:pPr>
      <w:r>
        <w:rPr>
          <w:sz w:val="22"/>
          <w:szCs w:val="22"/>
        </w:rPr>
        <w:t>Etudes d’impact environnemental du Projet d’appui aux filières agro-sylvo-pastorales (PAFASP)</w:t>
      </w:r>
      <w:bookmarkEnd w:id="1573"/>
      <w:r>
        <w:rPr>
          <w:sz w:val="22"/>
          <w:szCs w:val="22"/>
        </w:rPr>
        <w:t>, Bureau Géographique du Burkina, Etudes, Recherches, Appuis – Conseils et Formation ; Geographic Department of Burkina Surveys</w:t>
      </w:r>
      <w:r>
        <w:rPr>
          <w:bCs/>
          <w:iCs/>
          <w:sz w:val="22"/>
          <w:szCs w:val="22"/>
        </w:rPr>
        <w:t>, janvier 2006</w:t>
      </w:r>
    </w:p>
    <w:p>
      <w:pPr>
        <w:pStyle w:val="style0"/>
        <w:numPr>
          <w:ilvl w:val="0"/>
          <w:numId w:val="18"/>
        </w:numPr>
        <w:jc w:val="both"/>
        <w:rPr>
          <w:sz w:val="22"/>
          <w:szCs w:val="22"/>
        </w:rPr>
      </w:pPr>
      <w:r>
        <w:rPr>
          <w:sz w:val="22"/>
          <w:szCs w:val="22"/>
        </w:rPr>
        <w:t>La</w:t>
      </w:r>
      <w:r>
        <w:rPr>
          <w:sz w:val="22"/>
          <w:szCs w:val="22"/>
        </w:rPr>
        <w:t xml:space="preserve"> </w:t>
      </w:r>
      <w:r>
        <w:rPr>
          <w:rFonts w:cs="Calibri"/>
          <w:sz w:val="22"/>
          <w:szCs w:val="22"/>
        </w:rPr>
        <w:t xml:space="preserve">loi </w:t>
      </w:r>
      <w:r>
        <w:rPr>
          <w:rFonts w:cs="Calibri"/>
          <w:bCs/>
          <w:sz w:val="22"/>
          <w:szCs w:val="22"/>
        </w:rPr>
        <w:t xml:space="preserve">n° 034-2012/AN </w:t>
      </w:r>
      <w:r>
        <w:rPr>
          <w:sz w:val="22"/>
          <w:szCs w:val="22"/>
        </w:rPr>
        <w:t>du 02 juillet 2012</w:t>
      </w:r>
      <w:r>
        <w:rPr>
          <w:sz w:val="22"/>
          <w:szCs w:val="22"/>
        </w:rPr>
        <w:t xml:space="preserve">portant Réorganisation Agraire et Foncière au Burkina Faso ; </w:t>
      </w:r>
    </w:p>
    <w:p>
      <w:pPr>
        <w:pStyle w:val="style0"/>
        <w:numPr>
          <w:ilvl w:val="0"/>
          <w:numId w:val="18"/>
        </w:numPr>
        <w:jc w:val="both"/>
        <w:rPr>
          <w:sz w:val="22"/>
          <w:szCs w:val="22"/>
        </w:rPr>
      </w:pPr>
      <w:r>
        <w:rPr>
          <w:sz w:val="22"/>
          <w:szCs w:val="22"/>
        </w:rPr>
        <w:t>La loi N°002-2001/AN du 08 février 2001 portant loi d’orientation relative à la gestion de l’eau ;</w:t>
      </w:r>
    </w:p>
    <w:p>
      <w:pPr>
        <w:pStyle w:val="style0"/>
        <w:numPr>
          <w:ilvl w:val="0"/>
          <w:numId w:val="18"/>
        </w:numPr>
        <w:jc w:val="both"/>
        <w:rPr>
          <w:sz w:val="22"/>
          <w:szCs w:val="22"/>
        </w:rPr>
      </w:pPr>
      <w:r>
        <w:rPr>
          <w:sz w:val="22"/>
          <w:szCs w:val="22"/>
        </w:rPr>
        <w:t>La loi N°006-2013/AN du 02 avril 2013 portant code de l’environnement au Burkina Faso ;</w:t>
      </w:r>
    </w:p>
    <w:p>
      <w:pPr>
        <w:pStyle w:val="style0"/>
        <w:numPr>
          <w:ilvl w:val="0"/>
          <w:numId w:val="18"/>
        </w:numPr>
        <w:jc w:val="both"/>
        <w:rPr>
          <w:sz w:val="22"/>
          <w:szCs w:val="22"/>
        </w:rPr>
      </w:pPr>
      <w:r>
        <w:rPr>
          <w:sz w:val="22"/>
          <w:szCs w:val="22"/>
        </w:rPr>
        <w:t xml:space="preserve">La loi n°003/2011/AN du 05 Avril 2011portant code forestier au Burkina Faso ;   </w:t>
      </w:r>
    </w:p>
    <w:p>
      <w:pPr>
        <w:pStyle w:val="style0"/>
        <w:numPr>
          <w:ilvl w:val="0"/>
          <w:numId w:val="18"/>
        </w:numPr>
        <w:rPr>
          <w:sz w:val="22"/>
          <w:szCs w:val="22"/>
        </w:rPr>
      </w:pPr>
      <w:r>
        <w:rPr>
          <w:sz w:val="22"/>
          <w:szCs w:val="22"/>
        </w:rPr>
        <w:t>La loi N°055-2004/AN du 21 décembre 2004 portant code général des collectivités territoriales au Burkina Faso ;</w:t>
      </w:r>
    </w:p>
    <w:p>
      <w:pPr>
        <w:pStyle w:val="style0"/>
        <w:numPr>
          <w:ilvl w:val="0"/>
          <w:numId w:val="18"/>
        </w:numPr>
        <w:rPr>
          <w:sz w:val="22"/>
          <w:szCs w:val="22"/>
        </w:rPr>
      </w:pPr>
      <w:r>
        <w:rPr>
          <w:sz w:val="22"/>
          <w:szCs w:val="22"/>
        </w:rPr>
        <w:t>La loi N°034-2002/AN du 14 novembre 2002 portant Loi d’orientation relative au pastoralisme au Burkina Faso</w:t>
      </w: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p>
      <w:pPr>
        <w:pStyle w:val="style0"/>
        <w:jc w:val="both"/>
        <w:rPr>
          <w:rFonts w:eastAsia="Calibri"/>
          <w:sz w:val="22"/>
          <w:szCs w:val="22"/>
        </w:rPr>
      </w:pPr>
    </w:p>
    <w:bookmarkStart w:id="1574" w:name="_Toc686149"/>
    <w:bookmarkStart w:id="1575" w:name="_Toc2780528"/>
    <w:p>
      <w:pPr>
        <w:pStyle w:val="style1"/>
        <w:rPr>
          <w:color w:val="auto"/>
        </w:rPr>
      </w:pPr>
      <w:r>
        <w:rPr>
          <w:color w:val="auto"/>
        </w:rPr>
        <w:t>ANNEXE</w:t>
      </w:r>
      <w:r>
        <w:rPr>
          <w:color w:val="auto"/>
        </w:rPr>
        <w:t>S</w:t>
      </w:r>
      <w:bookmarkEnd w:id="1574"/>
      <w:bookmarkEnd w:id="1575"/>
    </w:p>
    <w:p>
      <w:pPr>
        <w:pStyle w:val="style0"/>
        <w:jc w:val="both"/>
        <w:rPr>
          <w:rFonts w:eastAsia="Calibri"/>
          <w:sz w:val="22"/>
          <w:szCs w:val="22"/>
        </w:rPr>
      </w:pPr>
    </w:p>
    <w:p>
      <w:pPr>
        <w:pStyle w:val="style0"/>
        <w:rPr>
          <w:sz w:val="22"/>
          <w:szCs w:val="22"/>
        </w:rPr>
      </w:pPr>
      <w:r>
        <w:rPr>
          <w:sz w:val="22"/>
          <w:szCs w:val="22"/>
        </w:rPr>
        <w:t>Les documents suivants sont présentés en annexe :</w:t>
      </w:r>
    </w:p>
    <w:p>
      <w:pPr>
        <w:pStyle w:val="style0"/>
        <w:numPr>
          <w:ilvl w:val="0"/>
          <w:numId w:val="93"/>
        </w:numPr>
        <w:jc w:val="both"/>
        <w:rPr>
          <w:sz w:val="22"/>
          <w:szCs w:val="22"/>
        </w:rPr>
      </w:pPr>
      <w:r>
        <w:rPr>
          <w:sz w:val="22"/>
          <w:szCs w:val="22"/>
        </w:rPr>
        <w:t>TDR pour l’élaboration du CGES</w:t>
      </w:r>
    </w:p>
    <w:p>
      <w:pPr>
        <w:pStyle w:val="style0"/>
        <w:numPr>
          <w:ilvl w:val="0"/>
          <w:numId w:val="93"/>
        </w:numPr>
        <w:jc w:val="both"/>
        <w:rPr>
          <w:sz w:val="22"/>
          <w:szCs w:val="22"/>
        </w:rPr>
      </w:pPr>
      <w:r>
        <w:rPr>
          <w:sz w:val="22"/>
          <w:szCs w:val="22"/>
        </w:rPr>
        <w:t>Formulaire de sélection des projets ;</w:t>
      </w:r>
    </w:p>
    <w:p>
      <w:pPr>
        <w:pStyle w:val="style0"/>
        <w:numPr>
          <w:ilvl w:val="0"/>
          <w:numId w:val="93"/>
        </w:numPr>
        <w:jc w:val="both"/>
        <w:rPr>
          <w:sz w:val="22"/>
          <w:szCs w:val="22"/>
        </w:rPr>
      </w:pPr>
      <w:r>
        <w:t>Liste de contrôle environnementale et sociale</w:t>
      </w:r>
    </w:p>
    <w:p>
      <w:pPr>
        <w:pStyle w:val="style0"/>
        <w:numPr>
          <w:ilvl w:val="0"/>
          <w:numId w:val="93"/>
        </w:numPr>
        <w:jc w:val="both"/>
        <w:rPr>
          <w:sz w:val="22"/>
          <w:szCs w:val="22"/>
        </w:rPr>
      </w:pPr>
      <w:r>
        <w:rPr>
          <w:sz w:val="22"/>
          <w:szCs w:val="22"/>
        </w:rPr>
        <w:t xml:space="preserve">Procès-verbaux de rencontre et d’échange effectués dans le cadre du PDCA </w:t>
      </w:r>
      <w:r>
        <w:rPr>
          <w:sz w:val="22"/>
          <w:szCs w:val="22"/>
        </w:rPr>
        <w:t>;</w:t>
      </w:r>
    </w:p>
    <w:p>
      <w:pPr>
        <w:pStyle w:val="style0"/>
        <w:numPr>
          <w:ilvl w:val="0"/>
          <w:numId w:val="93"/>
        </w:numPr>
        <w:jc w:val="both"/>
        <w:rPr>
          <w:sz w:val="22"/>
          <w:szCs w:val="22"/>
        </w:rPr>
      </w:pPr>
      <w:r>
        <w:rPr>
          <w:sz w:val="22"/>
          <w:szCs w:val="22"/>
        </w:rPr>
        <w:t xml:space="preserve">Liste de </w:t>
      </w:r>
      <w:r>
        <w:rPr>
          <w:sz w:val="22"/>
          <w:szCs w:val="22"/>
        </w:rPr>
        <w:t>présences</w:t>
      </w:r>
    </w:p>
    <w:p>
      <w:pPr>
        <w:pStyle w:val="style0"/>
        <w:numPr>
          <w:ilvl w:val="0"/>
          <w:numId w:val="93"/>
        </w:numPr>
        <w:jc w:val="both"/>
        <w:rPr>
          <w:sz w:val="22"/>
          <w:szCs w:val="22"/>
        </w:rPr>
      </w:pPr>
      <w:r>
        <w:rPr>
          <w:sz w:val="22"/>
          <w:szCs w:val="22"/>
        </w:rPr>
        <w:t>Photos choisies</w:t>
      </w:r>
    </w:p>
    <w:p>
      <w:pPr>
        <w:pStyle w:val="style0"/>
        <w:jc w:val="both"/>
        <w:rPr>
          <w:rFonts w:eastAsia="Calibri"/>
          <w:sz w:val="22"/>
          <w:szCs w:val="22"/>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0"/>
        <w:jc w:val="both"/>
        <w:rPr>
          <w:rFonts w:eastAsia="Calibri"/>
          <w:sz w:val="22"/>
          <w:szCs w:val="22"/>
          <w:lang w:val="fr-CA"/>
        </w:rPr>
      </w:pPr>
    </w:p>
    <w:p>
      <w:pPr>
        <w:pStyle w:val="style1"/>
        <w:shd w:val="clear" w:color="auto" w:fill="bfbfbf"/>
        <w:rPr/>
      </w:pPr>
      <w:r>
        <w:br w:type="page"/>
      </w:r>
      <w:bookmarkStart w:id="1576" w:name="_Toc686150"/>
      <w:bookmarkStart w:id="1577" w:name="_Toc2780529"/>
      <w:r>
        <w:t xml:space="preserve">ANNEXE 1 : </w:t>
      </w:r>
      <w:r>
        <w:rPr>
          <w:rFonts w:ascii="Times New Roman Gras" w:hAnsi="Times New Roman Gras"/>
          <w:caps/>
        </w:rPr>
        <w:t>Formulaire de sélection des projets</w:t>
      </w:r>
      <w:bookmarkEnd w:id="1576"/>
      <w:bookmarkEnd w:id="1577"/>
    </w:p>
    <w:p>
      <w:pPr>
        <w:pStyle w:val="style0"/>
        <w:shd w:val="clear" w:color="auto" w:fill="bfbfbf"/>
        <w:jc w:val="both"/>
        <w:rPr>
          <w:rFonts w:eastAsia="Calibri"/>
          <w:sz w:val="22"/>
          <w:szCs w:val="22"/>
          <w:lang w:val="fr-CA"/>
        </w:rPr>
      </w:pPr>
    </w:p>
    <w:p>
      <w:pPr>
        <w:pStyle w:val="style0"/>
        <w:jc w:val="both"/>
        <w:rPr>
          <w:rFonts w:eastAsia="Calibri"/>
          <w:sz w:val="22"/>
          <w:szCs w:val="22"/>
          <w:lang w:val="fr-CA"/>
        </w:rPr>
      </w:pPr>
    </w:p>
    <w:p>
      <w:pPr>
        <w:pStyle w:val="style0"/>
        <w:jc w:val="both"/>
        <w:rPr>
          <w:sz w:val="22"/>
          <w:szCs w:val="22"/>
        </w:rPr>
      </w:pPr>
      <w:r>
        <w:rPr>
          <w:sz w:val="22"/>
          <w:szCs w:val="22"/>
        </w:rPr>
        <w:t xml:space="preserve">Le présent formulaire de sélection a été conçu pour aider dans la sélection initiale des projets </w:t>
      </w:r>
      <w:r>
        <w:rPr>
          <w:sz w:val="22"/>
          <w:szCs w:val="22"/>
        </w:rPr>
        <w:t>devant être exécutée</w:t>
      </w:r>
      <w:r>
        <w:rPr>
          <w:sz w:val="22"/>
          <w:szCs w:val="22"/>
        </w:rPr>
        <w:t xml:space="preserve"> sur le terrain. Le formulaire a été conçu pour mettre les informations entre les mains des exécutants afin que les impacts environnementaux et sociaux et les mesures d’atténuation y relatives, s’il y en a, soient identifiés et/ou que les exigences en vue d’une analyse environnementale plus poussée soient déterminées. Le formulaire de sélection contient des informations qui permettront aux structures de mise en œuvre de déterminer les aspects caractéristiques de l’environnement </w:t>
      </w:r>
      <w:r>
        <w:rPr>
          <w:rStyle w:val="style4116"/>
          <w:color w:val="000000"/>
          <w:sz w:val="22"/>
          <w:szCs w:val="22"/>
        </w:rPr>
        <w:t>biophysique</w:t>
      </w:r>
      <w:r>
        <w:rPr>
          <w:sz w:val="22"/>
          <w:szCs w:val="22"/>
        </w:rPr>
        <w:t xml:space="preserve"> local et social aux fins d’évaluer les impacts socio-économiques potentiels de l’activité sur lui. </w:t>
      </w:r>
      <w:r>
        <w:rPr>
          <w:color w:val="000000"/>
          <w:sz w:val="22"/>
          <w:szCs w:val="22"/>
        </w:rPr>
        <w:t>Si le formulaire de sélection contient des réponses affirmatives quelconques « Oui », ou celles</w:t>
      </w:r>
      <w:r>
        <w:rPr>
          <w:color w:val="000000"/>
          <w:sz w:val="22"/>
          <w:szCs w:val="22"/>
        </w:rPr>
        <w:t xml:space="preserve"> </w:t>
      </w:r>
      <w:r>
        <w:rPr>
          <w:rStyle w:val="style4116"/>
          <w:color w:val="000000"/>
          <w:sz w:val="22"/>
          <w:szCs w:val="22"/>
        </w:rPr>
        <w:t>négatives</w:t>
      </w:r>
      <w:r>
        <w:rPr>
          <w:color w:val="000000"/>
          <w:sz w:val="22"/>
          <w:szCs w:val="22"/>
        </w:rPr>
        <w:t xml:space="preserve"> apparemment injustifiées « Non », la demande du projet devrait expliquer de manière adéquate et démontrer que le sujet a été appréhendé pour éviter les effets/impacts négatifs inacceptables</w:t>
      </w:r>
      <w:r>
        <w:rPr>
          <w:sz w:val="22"/>
          <w:szCs w:val="22"/>
        </w:rPr>
        <w:t>.</w:t>
      </w:r>
    </w:p>
    <w:p>
      <w:pPr>
        <w:pStyle w:val="style0"/>
        <w:jc w:val="both"/>
        <w:rPr>
          <w:sz w:val="22"/>
          <w:szCs w:val="22"/>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840"/>
        <w:gridCol w:w="2216"/>
      </w:tblGrid>
      <w:tr>
        <w:trPr/>
        <w:tc>
          <w:tcPr>
            <w:tcW w:w="9524" w:type="dxa"/>
            <w:gridSpan w:val="3"/>
            <w:tcBorders/>
          </w:tcPr>
          <w:p>
            <w:pPr>
              <w:pStyle w:val="style0"/>
              <w:jc w:val="center"/>
              <w:rPr>
                <w:b/>
                <w:bCs/>
                <w:sz w:val="22"/>
                <w:szCs w:val="22"/>
              </w:rPr>
            </w:pPr>
            <w:r>
              <w:rPr>
                <w:b/>
                <w:bCs/>
                <w:sz w:val="22"/>
                <w:szCs w:val="22"/>
              </w:rPr>
              <w:t>Formulaire de sélection environnementale et sociale</w:t>
            </w:r>
          </w:p>
        </w:tc>
      </w:tr>
      <w:tr>
        <w:tblPrEx/>
        <w:trPr/>
        <w:tc>
          <w:tcPr>
            <w:tcW w:w="468" w:type="dxa"/>
            <w:tcBorders/>
          </w:tcPr>
          <w:p>
            <w:pPr>
              <w:pStyle w:val="style0"/>
              <w:jc w:val="both"/>
              <w:rPr>
                <w:b/>
                <w:sz w:val="22"/>
                <w:szCs w:val="22"/>
              </w:rPr>
            </w:pPr>
            <w:r>
              <w:rPr>
                <w:b/>
                <w:sz w:val="22"/>
                <w:szCs w:val="22"/>
              </w:rPr>
              <w:t>1</w:t>
            </w:r>
          </w:p>
        </w:tc>
        <w:tc>
          <w:tcPr>
            <w:tcW w:w="6840" w:type="dxa"/>
            <w:tcBorders/>
          </w:tcPr>
          <w:p>
            <w:pPr>
              <w:pStyle w:val="style0"/>
              <w:jc w:val="both"/>
              <w:rPr>
                <w:b/>
                <w:sz w:val="22"/>
                <w:szCs w:val="22"/>
              </w:rPr>
            </w:pPr>
            <w:r>
              <w:rPr>
                <w:color w:val="000000"/>
                <w:sz w:val="22"/>
                <w:szCs w:val="22"/>
              </w:rPr>
              <w:t xml:space="preserve">Nom de la localité où le projet sera réalisé </w:t>
            </w:r>
          </w:p>
        </w:tc>
        <w:tc>
          <w:tcPr>
            <w:tcW w:w="2216" w:type="dxa"/>
            <w:tcBorders/>
          </w:tcPr>
          <w:p>
            <w:pPr>
              <w:pStyle w:val="style0"/>
              <w:jc w:val="both"/>
              <w:rPr>
                <w:b/>
                <w:sz w:val="22"/>
                <w:szCs w:val="22"/>
              </w:rPr>
            </w:pPr>
          </w:p>
        </w:tc>
      </w:tr>
      <w:tr>
        <w:tblPrEx/>
        <w:trPr/>
        <w:tc>
          <w:tcPr>
            <w:tcW w:w="468" w:type="dxa"/>
            <w:tcBorders/>
          </w:tcPr>
          <w:p>
            <w:pPr>
              <w:pStyle w:val="style0"/>
              <w:jc w:val="both"/>
              <w:rPr>
                <w:b/>
                <w:sz w:val="22"/>
                <w:szCs w:val="22"/>
              </w:rPr>
            </w:pPr>
            <w:r>
              <w:rPr>
                <w:b/>
                <w:sz w:val="22"/>
                <w:szCs w:val="22"/>
              </w:rPr>
              <w:t>2</w:t>
            </w:r>
          </w:p>
        </w:tc>
        <w:tc>
          <w:tcPr>
            <w:tcW w:w="6840" w:type="dxa"/>
            <w:tcBorders/>
          </w:tcPr>
          <w:p>
            <w:pPr>
              <w:pStyle w:val="style0"/>
              <w:jc w:val="both"/>
              <w:rPr>
                <w:b/>
                <w:sz w:val="22"/>
                <w:szCs w:val="22"/>
              </w:rPr>
            </w:pPr>
            <w:r>
              <w:rPr>
                <w:color w:val="000000"/>
                <w:sz w:val="22"/>
                <w:szCs w:val="22"/>
              </w:rPr>
              <w:t xml:space="preserve">Nom de la personne à contacter </w:t>
            </w:r>
          </w:p>
        </w:tc>
        <w:tc>
          <w:tcPr>
            <w:tcW w:w="2216" w:type="dxa"/>
            <w:tcBorders/>
          </w:tcPr>
          <w:p>
            <w:pPr>
              <w:pStyle w:val="style0"/>
              <w:jc w:val="both"/>
              <w:rPr>
                <w:b/>
                <w:sz w:val="22"/>
                <w:szCs w:val="22"/>
              </w:rPr>
            </w:pPr>
          </w:p>
        </w:tc>
      </w:tr>
      <w:tr>
        <w:tblPrEx/>
        <w:trPr/>
        <w:tc>
          <w:tcPr>
            <w:tcW w:w="468" w:type="dxa"/>
            <w:tcBorders/>
          </w:tcPr>
          <w:p>
            <w:pPr>
              <w:pStyle w:val="style0"/>
              <w:jc w:val="both"/>
              <w:rPr>
                <w:b/>
                <w:sz w:val="22"/>
                <w:szCs w:val="22"/>
              </w:rPr>
            </w:pPr>
            <w:r>
              <w:rPr>
                <w:b/>
                <w:sz w:val="22"/>
                <w:szCs w:val="22"/>
              </w:rPr>
              <w:t>4</w:t>
            </w:r>
          </w:p>
        </w:tc>
        <w:tc>
          <w:tcPr>
            <w:tcW w:w="6840" w:type="dxa"/>
            <w:tcBorders/>
          </w:tcPr>
          <w:p>
            <w:pPr>
              <w:pStyle w:val="style0"/>
              <w:jc w:val="both"/>
              <w:rPr>
                <w:b/>
                <w:sz w:val="22"/>
                <w:szCs w:val="22"/>
              </w:rPr>
            </w:pPr>
            <w:r>
              <w:rPr>
                <w:color w:val="000000"/>
                <w:sz w:val="22"/>
                <w:szCs w:val="22"/>
              </w:rPr>
              <w:t>Nom de l’Autorité qui a</w:t>
            </w:r>
            <w:r>
              <w:rPr>
                <w:color w:val="000000"/>
                <w:sz w:val="22"/>
                <w:szCs w:val="22"/>
              </w:rPr>
              <w:t>pprouve</w:t>
            </w:r>
          </w:p>
        </w:tc>
        <w:tc>
          <w:tcPr>
            <w:tcW w:w="2216" w:type="dxa"/>
            <w:tcBorders/>
          </w:tcPr>
          <w:p>
            <w:pPr>
              <w:pStyle w:val="style0"/>
              <w:jc w:val="both"/>
              <w:rPr>
                <w:b/>
                <w:sz w:val="22"/>
                <w:szCs w:val="22"/>
              </w:rPr>
            </w:pPr>
          </w:p>
        </w:tc>
      </w:tr>
      <w:tr>
        <w:tblPrEx/>
        <w:trPr/>
        <w:tc>
          <w:tcPr>
            <w:tcW w:w="468" w:type="dxa"/>
            <w:tcBorders/>
          </w:tcPr>
          <w:p>
            <w:pPr>
              <w:pStyle w:val="style0"/>
              <w:jc w:val="both"/>
              <w:rPr>
                <w:b/>
                <w:sz w:val="22"/>
                <w:szCs w:val="22"/>
              </w:rPr>
            </w:pPr>
            <w:r>
              <w:rPr>
                <w:b/>
                <w:sz w:val="22"/>
                <w:szCs w:val="22"/>
              </w:rPr>
              <w:t>5</w:t>
            </w:r>
          </w:p>
        </w:tc>
        <w:tc>
          <w:tcPr>
            <w:tcW w:w="6840" w:type="dxa"/>
            <w:tcBorders/>
          </w:tcPr>
          <w:p>
            <w:pPr>
              <w:pStyle w:val="style0"/>
              <w:jc w:val="both"/>
              <w:rPr>
                <w:b/>
                <w:sz w:val="22"/>
                <w:szCs w:val="22"/>
              </w:rPr>
            </w:pPr>
            <w:r>
              <w:rPr>
                <w:color w:val="000000"/>
                <w:sz w:val="22"/>
                <w:szCs w:val="22"/>
              </w:rPr>
              <w:t>Nom, fonction, et informations sur la personne chargée de remplir le présent formulaire.</w:t>
            </w:r>
          </w:p>
        </w:tc>
        <w:tc>
          <w:tcPr>
            <w:tcW w:w="2216" w:type="dxa"/>
            <w:tcBorders/>
          </w:tcPr>
          <w:p>
            <w:pPr>
              <w:pStyle w:val="style0"/>
              <w:jc w:val="both"/>
              <w:rPr>
                <w:b/>
                <w:sz w:val="22"/>
                <w:szCs w:val="22"/>
              </w:rPr>
            </w:pPr>
          </w:p>
        </w:tc>
      </w:tr>
      <w:tr>
        <w:tblPrEx/>
        <w:trPr/>
        <w:tc>
          <w:tcPr>
            <w:tcW w:w="9524" w:type="dxa"/>
            <w:gridSpan w:val="3"/>
            <w:tcBorders/>
          </w:tcPr>
          <w:p>
            <w:pPr>
              <w:pStyle w:val="style0"/>
              <w:jc w:val="both"/>
              <w:rPr>
                <w:b/>
                <w:color w:val="000000"/>
                <w:sz w:val="22"/>
                <w:szCs w:val="22"/>
              </w:rPr>
            </w:pPr>
            <w:r>
              <w:rPr>
                <w:b/>
                <w:color w:val="000000"/>
                <w:sz w:val="22"/>
                <w:szCs w:val="22"/>
              </w:rPr>
              <w:t>Date:</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Signatures:</w:t>
            </w:r>
          </w:p>
        </w:tc>
      </w:tr>
    </w:tbl>
    <w:p>
      <w:pPr>
        <w:pStyle w:val="style0"/>
        <w:rPr>
          <w:rFonts w:ascii="Arial" w:cs="Arial" w:hAnsi="Arial"/>
          <w:b/>
          <w:sz w:val="22"/>
          <w:szCs w:val="22"/>
          <w:u w:val="single"/>
        </w:rPr>
      </w:pPr>
    </w:p>
    <w:p>
      <w:pPr>
        <w:pStyle w:val="style0"/>
        <w:rPr>
          <w:b/>
          <w:bCs/>
          <w:sz w:val="22"/>
          <w:szCs w:val="22"/>
          <w:u w:val="single"/>
        </w:rPr>
      </w:pPr>
      <w:r>
        <w:rPr>
          <w:b/>
          <w:sz w:val="22"/>
          <w:szCs w:val="22"/>
          <w:u w:val="single"/>
        </w:rPr>
        <w:t>Partie</w:t>
      </w:r>
      <w:r>
        <w:rPr>
          <w:b/>
          <w:sz w:val="22"/>
          <w:szCs w:val="22"/>
          <w:u w:val="single"/>
        </w:rPr>
        <w:t xml:space="preserve"> </w:t>
      </w:r>
      <w:r>
        <w:rPr>
          <w:b/>
          <w:sz w:val="22"/>
          <w:szCs w:val="22"/>
          <w:u w:val="single"/>
        </w:rPr>
        <w:t>A : Brève description du projet agricole proposé</w:t>
      </w:r>
    </w:p>
    <w:p>
      <w:pPr>
        <w:pStyle w:val="style0"/>
        <w:jc w:val="both"/>
        <w:rPr>
          <w:bCs/>
          <w:sz w:val="22"/>
          <w:szCs w:val="22"/>
        </w:rPr>
      </w:pPr>
      <w:r>
        <w:rPr>
          <w:bCs/>
          <w:sz w:val="22"/>
          <w:szCs w:val="22"/>
        </w:rPr>
        <w:t xml:space="preserve">Fournir les informations sur (i) le projet proposé (superficie, terrain nécessaire, taille approximative de la surface totale à occuper) ; (ii) les actions nécessaires pendant la mise en œuvre des activités et l’exploitation du projet. </w:t>
      </w:r>
    </w:p>
    <w:p>
      <w:pPr>
        <w:pStyle w:val="style0"/>
        <w:rPr>
          <w:rFonts w:ascii="Arial" w:cs="Arial" w:hAnsi="Arial"/>
          <w:b/>
          <w:sz w:val="22"/>
          <w:szCs w:val="22"/>
          <w:u w:val="single"/>
        </w:rPr>
      </w:pPr>
    </w:p>
    <w:p>
      <w:pPr>
        <w:pStyle w:val="style0"/>
        <w:rPr>
          <w:b/>
          <w:sz w:val="22"/>
          <w:szCs w:val="22"/>
          <w:u w:val="single"/>
        </w:rPr>
      </w:pPr>
      <w:r>
        <w:rPr>
          <w:b/>
          <w:sz w:val="22"/>
          <w:szCs w:val="22"/>
          <w:u w:val="single"/>
        </w:rPr>
        <w:t xml:space="preserve">Partie B : Brève description de la situation environnementale et identification des impacts environnementaux et sociaux </w:t>
      </w:r>
    </w:p>
    <w:p>
      <w:pPr>
        <w:pStyle w:val="style0"/>
        <w:jc w:val="both"/>
        <w:rPr>
          <w:rFonts w:ascii="Arial" w:cs="Arial" w:hAnsi="Arial"/>
          <w:spacing w:val="20"/>
          <w:sz w:val="22"/>
          <w:szCs w:val="22"/>
          <w:u w:val="single"/>
        </w:rPr>
      </w:pPr>
    </w:p>
    <w:p>
      <w:pPr>
        <w:pStyle w:val="style0"/>
        <w:jc w:val="both"/>
        <w:rPr>
          <w:b/>
          <w:bCs/>
          <w:sz w:val="22"/>
          <w:szCs w:val="22"/>
        </w:rPr>
      </w:pPr>
      <w:r>
        <w:rPr>
          <w:b/>
          <w:bCs/>
          <w:sz w:val="22"/>
          <w:szCs w:val="22"/>
        </w:rPr>
        <w:t>1. L’environnement naturel</w:t>
      </w:r>
      <w:r>
        <w:rPr>
          <w:b/>
          <w:bCs/>
          <w:sz w:val="22"/>
          <w:szCs w:val="22"/>
        </w:rPr>
        <w:t xml:space="preserve"> </w:t>
      </w:r>
    </w:p>
    <w:p>
      <w:pPr>
        <w:pStyle w:val="style0"/>
        <w:rPr>
          <w:sz w:val="22"/>
          <w:szCs w:val="22"/>
        </w:rPr>
      </w:pPr>
      <w:r>
        <w:rPr>
          <w:sz w:val="22"/>
          <w:szCs w:val="22"/>
        </w:rPr>
        <w:t xml:space="preserve"> (a) Décrire la formation du sol, la topographie, la </w:t>
      </w:r>
      <w:r>
        <w:rPr>
          <w:rStyle w:val="style4116"/>
          <w:color w:val="000000"/>
          <w:sz w:val="22"/>
          <w:szCs w:val="22"/>
        </w:rPr>
        <w:t>végétation</w:t>
      </w:r>
      <w:r>
        <w:rPr>
          <w:sz w:val="22"/>
          <w:szCs w:val="22"/>
        </w:rPr>
        <w:t xml:space="preserve"> de l’endroit/adjacente à la zone d’exécution du projet agricole___________________________________________________</w:t>
      </w:r>
    </w:p>
    <w:p>
      <w:pPr>
        <w:pStyle w:val="style0"/>
        <w:rPr>
          <w:sz w:val="22"/>
          <w:szCs w:val="22"/>
        </w:rPr>
      </w:pPr>
      <w:r>
        <w:rPr>
          <w:sz w:val="22"/>
          <w:szCs w:val="22"/>
        </w:rPr>
        <w:t>(b) Faire une estimation et indiquer la végétation qui pourrait être dégagée_______________</w:t>
      </w:r>
      <w:r>
        <w:rPr>
          <w:sz w:val="22"/>
          <w:szCs w:val="22"/>
        </w:rPr>
        <w:t xml:space="preserve"> </w:t>
      </w:r>
      <w:r>
        <w:rPr>
          <w:sz w:val="22"/>
          <w:szCs w:val="22"/>
        </w:rPr>
        <w:t xml:space="preserve"> </w:t>
      </w:r>
    </w:p>
    <w:p>
      <w:pPr>
        <w:pStyle w:val="style0"/>
        <w:rPr>
          <w:sz w:val="22"/>
          <w:szCs w:val="22"/>
        </w:rPr>
      </w:pPr>
      <w:r>
        <w:rPr>
          <w:sz w:val="22"/>
          <w:szCs w:val="22"/>
        </w:rPr>
        <w:t xml:space="preserve">(c) Y a-t-il des zones sensibles sur le plan environnemental ou des espèces menacées d’extinction </w:t>
      </w:r>
    </w:p>
    <w:p>
      <w:pPr>
        <w:pStyle w:val="style4112"/>
        <w:keepNext w:val="false"/>
        <w:numPr>
          <w:ilvl w:val="0"/>
          <w:numId w:val="0"/>
        </w:numPr>
        <w:jc w:val="both"/>
        <w:rPr>
          <w:rFonts w:cs="Courier New"/>
          <w:iCs/>
          <w:sz w:val="22"/>
          <w:szCs w:val="22"/>
          <w:lang w:val="fr-FR" w:bidi="he-IL" w:eastAsia="fr-FR"/>
        </w:rPr>
      </w:pPr>
    </w:p>
    <w:p>
      <w:pPr>
        <w:pStyle w:val="style4112"/>
        <w:keepNext w:val="false"/>
        <w:numPr>
          <w:ilvl w:val="0"/>
          <w:numId w:val="0"/>
        </w:numPr>
        <w:jc w:val="both"/>
        <w:rPr>
          <w:caps/>
          <w:sz w:val="22"/>
          <w:szCs w:val="22"/>
          <w:lang w:val="fr-FR" w:bidi="he-IL"/>
        </w:rPr>
      </w:pPr>
      <w:r>
        <w:rPr>
          <w:rFonts w:cs="Courier New"/>
          <w:iCs/>
          <w:sz w:val="22"/>
          <w:szCs w:val="22"/>
          <w:lang w:val="fr-FR" w:bidi="he-IL" w:eastAsia="fr-FR"/>
        </w:rPr>
        <w:t>2. Ecologie des rivières et des lacs</w:t>
      </w:r>
      <w:r>
        <w:rPr>
          <w:caps/>
          <w:sz w:val="22"/>
          <w:szCs w:val="22"/>
          <w:lang w:val="fr-FR" w:bidi="he-IL"/>
        </w:rPr>
        <w:t xml:space="preserve"> </w:t>
      </w:r>
    </w:p>
    <w:p>
      <w:pPr>
        <w:pStyle w:val="style0"/>
        <w:jc w:val="both"/>
        <w:rPr>
          <w:sz w:val="22"/>
          <w:szCs w:val="22"/>
        </w:rPr>
      </w:pPr>
      <w:r>
        <w:rPr>
          <w:sz w:val="22"/>
          <w:szCs w:val="22"/>
        </w:rPr>
        <w:t xml:space="preserve">Y a-t-il une possibilité que, du fait de l’exécution et de la mise en service de </w:t>
      </w:r>
      <w:r>
        <w:rPr>
          <w:sz w:val="22"/>
          <w:szCs w:val="22"/>
        </w:rPr>
        <w:t>l’ouvrage</w:t>
      </w:r>
      <w:r>
        <w:rPr>
          <w:sz w:val="22"/>
          <w:szCs w:val="22"/>
        </w:rPr>
        <w:t>, l’écologie des rivières ou des lacs pourra être affectée négativement. Oui______ Non______</w:t>
      </w:r>
    </w:p>
    <w:p>
      <w:pPr>
        <w:pStyle w:val="style4112"/>
        <w:keepNext w:val="false"/>
        <w:numPr>
          <w:ilvl w:val="0"/>
          <w:numId w:val="0"/>
        </w:numPr>
        <w:jc w:val="both"/>
        <w:rPr>
          <w:rFonts w:cs="Courier New"/>
          <w:iCs/>
          <w:sz w:val="22"/>
          <w:szCs w:val="22"/>
          <w:lang w:val="fr-FR" w:bidi="he-IL" w:eastAsia="fr-FR"/>
        </w:rPr>
      </w:pPr>
    </w:p>
    <w:p>
      <w:pPr>
        <w:pStyle w:val="style4112"/>
        <w:keepNext w:val="false"/>
        <w:numPr>
          <w:ilvl w:val="0"/>
          <w:numId w:val="0"/>
        </w:numPr>
        <w:jc w:val="both"/>
        <w:rPr>
          <w:rFonts w:cs="Courier New"/>
          <w:iCs/>
          <w:sz w:val="22"/>
          <w:szCs w:val="22"/>
          <w:lang w:val="fr-FR" w:bidi="he-IL" w:eastAsia="fr-FR"/>
        </w:rPr>
      </w:pPr>
      <w:r>
        <w:rPr>
          <w:rFonts w:cs="Courier New"/>
          <w:iCs/>
          <w:sz w:val="22"/>
          <w:szCs w:val="22"/>
          <w:lang w:val="fr-FR" w:bidi="he-IL" w:eastAsia="fr-FR"/>
        </w:rPr>
        <w:t>3. Aires protégées</w:t>
      </w:r>
    </w:p>
    <w:p>
      <w:pPr>
        <w:pStyle w:val="style0"/>
        <w:jc w:val="both"/>
        <w:rPr>
          <w:sz w:val="22"/>
          <w:szCs w:val="22"/>
        </w:rPr>
      </w:pPr>
      <w:r>
        <w:rPr>
          <w:sz w:val="22"/>
          <w:szCs w:val="22"/>
        </w:rPr>
        <w:t>La zone se trouvant autour du site du projet se trouve-t-elle à l’intérieur ou est-elle adjacente à des aires protégées quelconques tracées par l</w:t>
      </w:r>
      <w:r>
        <w:rPr>
          <w:sz w:val="22"/>
          <w:szCs w:val="22"/>
        </w:rPr>
        <w:t xml:space="preserve">’Etat </w:t>
      </w:r>
      <w:r>
        <w:rPr>
          <w:sz w:val="22"/>
          <w:szCs w:val="22"/>
        </w:rPr>
        <w:t>(parc national, réserve nationale, site d’héritage mondial, etc.)?</w:t>
      </w:r>
      <w:r>
        <w:rPr>
          <w:sz w:val="22"/>
          <w:szCs w:val="22"/>
        </w:rPr>
        <w:t xml:space="preserve"> </w:t>
      </w:r>
      <w:r>
        <w:rPr>
          <w:sz w:val="22"/>
          <w:szCs w:val="22"/>
        </w:rPr>
        <w:t xml:space="preserve"> Oui______ Non______</w:t>
      </w:r>
    </w:p>
    <w:p>
      <w:pPr>
        <w:pStyle w:val="style0"/>
        <w:jc w:val="both"/>
        <w:rPr>
          <w:rFonts w:ascii="Arial" w:cs="Arial" w:hAnsi="Arial"/>
          <w:sz w:val="22"/>
          <w:szCs w:val="22"/>
        </w:rPr>
      </w:pPr>
    </w:p>
    <w:p>
      <w:pPr>
        <w:pStyle w:val="style0"/>
        <w:jc w:val="both"/>
        <w:rPr>
          <w:sz w:val="22"/>
          <w:szCs w:val="22"/>
        </w:rPr>
      </w:pPr>
      <w:r>
        <w:rPr>
          <w:sz w:val="22"/>
          <w:szCs w:val="22"/>
        </w:rPr>
        <w:t xml:space="preserve">Si l’exécution/mise en service de </w:t>
      </w:r>
      <w:r>
        <w:rPr>
          <w:sz w:val="22"/>
          <w:szCs w:val="22"/>
        </w:rPr>
        <w:t>l’infrastructure</w:t>
      </w:r>
      <w:r>
        <w:rPr>
          <w:sz w:val="22"/>
          <w:szCs w:val="22"/>
        </w:rPr>
        <w:t xml:space="preserve"> s’effectuent en dehors d’une aire protégée (ou dans ses environs), sont-elles susceptible</w:t>
      </w:r>
      <w:r>
        <w:rPr>
          <w:sz w:val="22"/>
          <w:szCs w:val="22"/>
        </w:rPr>
        <w:t>s</w:t>
      </w:r>
      <w:r>
        <w:rPr>
          <w:sz w:val="22"/>
          <w:szCs w:val="22"/>
        </w:rPr>
        <w:t xml:space="preserve"> d’affecter négativement l’écologie de l’aire protégée (exemple : interférence les routes de migration de mammifères ou d’oiseaux)?</w:t>
      </w:r>
      <w:r>
        <w:rPr>
          <w:sz w:val="22"/>
          <w:szCs w:val="22"/>
        </w:rPr>
        <w:t xml:space="preserve">  </w:t>
      </w:r>
      <w:r>
        <w:rPr>
          <w:sz w:val="22"/>
          <w:szCs w:val="22"/>
        </w:rPr>
        <w:t>Oui______ Non______</w:t>
      </w:r>
    </w:p>
    <w:p>
      <w:pPr>
        <w:pStyle w:val="style0"/>
        <w:jc w:val="both"/>
        <w:rPr>
          <w:sz w:val="22"/>
          <w:szCs w:val="22"/>
        </w:rPr>
      </w:pPr>
    </w:p>
    <w:p>
      <w:pPr>
        <w:pStyle w:val="style0"/>
        <w:jc w:val="both"/>
        <w:rPr>
          <w:sz w:val="22"/>
          <w:szCs w:val="22"/>
        </w:rPr>
      </w:pPr>
    </w:p>
    <w:p>
      <w:pPr>
        <w:pStyle w:val="style4112"/>
        <w:keepNext w:val="false"/>
        <w:numPr>
          <w:ilvl w:val="0"/>
          <w:numId w:val="0"/>
        </w:numPr>
        <w:jc w:val="both"/>
        <w:rPr>
          <w:rFonts w:cs="Courier New"/>
          <w:iCs/>
          <w:sz w:val="22"/>
          <w:szCs w:val="22"/>
          <w:lang w:val="fr-FR" w:bidi="he-IL" w:eastAsia="fr-FR"/>
        </w:rPr>
      </w:pPr>
      <w:r>
        <w:rPr>
          <w:rFonts w:cs="Courier New"/>
          <w:iCs/>
          <w:sz w:val="22"/>
          <w:szCs w:val="22"/>
          <w:lang w:val="fr-FR" w:bidi="he-IL" w:eastAsia="fr-FR"/>
        </w:rPr>
        <w:t xml:space="preserve">4. Géologie et sols </w:t>
      </w:r>
    </w:p>
    <w:p>
      <w:pPr>
        <w:pStyle w:val="style0"/>
        <w:jc w:val="both"/>
        <w:rPr>
          <w:sz w:val="22"/>
          <w:szCs w:val="22"/>
        </w:rPr>
      </w:pPr>
      <w:r>
        <w:rPr>
          <w:sz w:val="22"/>
          <w:szCs w:val="22"/>
        </w:rPr>
        <w:t>Y a-t-il des zones de possible instabilité géologique ou du sol (prédisposition à l’érosion, aux glissements de terrains, à l’affaissement)?</w:t>
      </w:r>
      <w:r>
        <w:rPr>
          <w:sz w:val="22"/>
          <w:szCs w:val="22"/>
        </w:rPr>
        <w:t xml:space="preserve"> </w:t>
      </w:r>
      <w:r>
        <w:rPr>
          <w:sz w:val="22"/>
          <w:szCs w:val="22"/>
        </w:rPr>
        <w:t xml:space="preserve"> Oui ______ Non______</w:t>
      </w:r>
    </w:p>
    <w:p>
      <w:pPr>
        <w:pStyle w:val="style0"/>
        <w:jc w:val="both"/>
        <w:rPr>
          <w:sz w:val="22"/>
          <w:szCs w:val="22"/>
        </w:rPr>
      </w:pPr>
    </w:p>
    <w:p>
      <w:pPr>
        <w:pStyle w:val="style4112"/>
        <w:keepNext w:val="false"/>
        <w:numPr>
          <w:ilvl w:val="0"/>
          <w:numId w:val="0"/>
        </w:numPr>
        <w:jc w:val="both"/>
        <w:rPr>
          <w:rFonts w:cs="Courier New"/>
          <w:iCs/>
          <w:sz w:val="22"/>
          <w:szCs w:val="22"/>
          <w:lang w:val="fr-FR" w:bidi="he-IL" w:eastAsia="fr-FR"/>
        </w:rPr>
      </w:pPr>
      <w:r>
        <w:rPr>
          <w:rFonts w:cs="Courier New"/>
          <w:iCs/>
          <w:sz w:val="22"/>
          <w:szCs w:val="22"/>
          <w:lang w:val="fr-FR" w:bidi="he-IL" w:eastAsia="fr-FR"/>
        </w:rPr>
        <w:t>5. Paysage/esthétique</w:t>
      </w:r>
    </w:p>
    <w:p>
      <w:pPr>
        <w:pStyle w:val="style0"/>
        <w:jc w:val="both"/>
        <w:rPr>
          <w:sz w:val="22"/>
          <w:szCs w:val="22"/>
        </w:rPr>
      </w:pPr>
      <w:r>
        <w:rPr>
          <w:sz w:val="22"/>
          <w:szCs w:val="22"/>
        </w:rPr>
        <w:t>Y a-t-il possibilité que les travaux affectent négativement l’aspect esthétique du paysage local?</w:t>
      </w:r>
    </w:p>
    <w:p>
      <w:pPr>
        <w:pStyle w:val="style0"/>
        <w:jc w:val="both"/>
        <w:rPr>
          <w:sz w:val="22"/>
          <w:szCs w:val="22"/>
        </w:rPr>
      </w:pPr>
      <w:r>
        <w:rPr>
          <w:sz w:val="22"/>
          <w:szCs w:val="22"/>
        </w:rPr>
        <w:t>Oui______ Non______</w:t>
      </w:r>
    </w:p>
    <w:p>
      <w:pPr>
        <w:pStyle w:val="style0"/>
        <w:jc w:val="both"/>
        <w:rPr>
          <w:rFonts w:ascii="Arial" w:cs="Arial" w:hAnsi="Arial"/>
          <w:sz w:val="22"/>
          <w:szCs w:val="22"/>
        </w:rPr>
      </w:pPr>
      <w:r>
        <w:rPr>
          <w:rFonts w:ascii="Arial" w:cs="Arial" w:hAnsi="Arial"/>
          <w:sz w:val="22"/>
          <w:szCs w:val="22"/>
        </w:rPr>
        <w:t xml:space="preserve"> </w:t>
      </w:r>
    </w:p>
    <w:p>
      <w:pPr>
        <w:pStyle w:val="style0"/>
        <w:jc w:val="both"/>
        <w:rPr>
          <w:sz w:val="22"/>
          <w:szCs w:val="22"/>
        </w:rPr>
      </w:pPr>
      <w:r>
        <w:rPr>
          <w:b/>
          <w:bCs/>
          <w:sz w:val="22"/>
          <w:szCs w:val="22"/>
        </w:rPr>
        <w:t>6. Site historique, archéologique ou d’héritage culturel</w:t>
      </w:r>
      <w:r>
        <w:rPr>
          <w:sz w:val="22"/>
          <w:szCs w:val="22"/>
        </w:rPr>
        <w:t>.</w:t>
      </w:r>
    </w:p>
    <w:p>
      <w:pPr>
        <w:pStyle w:val="style0"/>
        <w:jc w:val="both"/>
        <w:rPr>
          <w:sz w:val="22"/>
          <w:szCs w:val="22"/>
        </w:rPr>
      </w:pPr>
      <w:r>
        <w:rPr>
          <w:sz w:val="22"/>
          <w:szCs w:val="22"/>
        </w:rPr>
        <w:t xml:space="preserve">Sur la base des sources disponibles, des consultations avec les autorités locales, des connaissances et/ou observations locales, le projet pourrait-il altérer des sites historiques, archéologiques ou d’héritage culture ou faudrait-il faire des fouilles tout près ? </w:t>
      </w:r>
    </w:p>
    <w:p>
      <w:pPr>
        <w:pStyle w:val="style0"/>
        <w:jc w:val="both"/>
        <w:rPr>
          <w:sz w:val="22"/>
          <w:szCs w:val="22"/>
        </w:rPr>
      </w:pPr>
      <w:r>
        <w:rPr>
          <w:sz w:val="22"/>
          <w:szCs w:val="22"/>
        </w:rPr>
        <w:t>Oui______ Non______</w:t>
      </w:r>
    </w:p>
    <w:p>
      <w:pPr>
        <w:pStyle w:val="style0"/>
        <w:jc w:val="both"/>
        <w:rPr>
          <w:rFonts w:ascii="Arial" w:cs="Arial" w:hAnsi="Arial"/>
          <w:sz w:val="22"/>
          <w:szCs w:val="22"/>
        </w:rPr>
      </w:pPr>
    </w:p>
    <w:p>
      <w:pPr>
        <w:pStyle w:val="style0"/>
        <w:jc w:val="both"/>
        <w:rPr>
          <w:b/>
          <w:bCs/>
          <w:sz w:val="22"/>
          <w:szCs w:val="22"/>
        </w:rPr>
      </w:pPr>
      <w:r>
        <w:rPr>
          <w:b/>
          <w:bCs/>
          <w:sz w:val="22"/>
          <w:szCs w:val="22"/>
        </w:rPr>
        <w:t>7. Compensation et ou acquisition des terres</w:t>
      </w:r>
      <w:r>
        <w:rPr>
          <w:b/>
          <w:bCs/>
          <w:sz w:val="22"/>
          <w:szCs w:val="22"/>
        </w:rPr>
        <w:t xml:space="preserve"> </w:t>
      </w:r>
    </w:p>
    <w:p>
      <w:pPr>
        <w:pStyle w:val="style0"/>
        <w:jc w:val="both"/>
        <w:rPr>
          <w:sz w:val="22"/>
          <w:szCs w:val="22"/>
        </w:rPr>
      </w:pPr>
      <w:r>
        <w:rPr>
          <w:sz w:val="22"/>
          <w:szCs w:val="22"/>
        </w:rPr>
        <w:t xml:space="preserve">L’acquisition de terres ou la perte, le déni ou la restriction d’accès au terrain ou aux autres ressources économiques seront-ils le fait du projet </w:t>
      </w:r>
      <w:r>
        <w:rPr>
          <w:sz w:val="22"/>
          <w:szCs w:val="22"/>
        </w:rPr>
        <w:t>concerné ?</w:t>
      </w:r>
      <w:r>
        <w:rPr>
          <w:sz w:val="22"/>
          <w:szCs w:val="22"/>
        </w:rPr>
        <w:t xml:space="preserve"> </w:t>
      </w:r>
      <w:r>
        <w:rPr>
          <w:sz w:val="22"/>
          <w:szCs w:val="22"/>
        </w:rPr>
        <w:t xml:space="preserve"> Oui______ Non______</w:t>
      </w:r>
    </w:p>
    <w:p>
      <w:pPr>
        <w:pStyle w:val="style0"/>
        <w:jc w:val="both"/>
        <w:rPr>
          <w:sz w:val="22"/>
          <w:szCs w:val="22"/>
        </w:rPr>
      </w:pPr>
    </w:p>
    <w:p>
      <w:pPr>
        <w:pStyle w:val="style0"/>
        <w:jc w:val="both"/>
        <w:rPr>
          <w:b/>
          <w:bCs/>
          <w:sz w:val="22"/>
          <w:szCs w:val="22"/>
        </w:rPr>
      </w:pPr>
      <w:r>
        <w:rPr>
          <w:b/>
          <w:bCs/>
          <w:sz w:val="22"/>
          <w:szCs w:val="22"/>
        </w:rPr>
        <w:t>8. Perte de récoltes, arbres fruitiers, et infrastructures domestiques</w:t>
      </w:r>
    </w:p>
    <w:p>
      <w:pPr>
        <w:pStyle w:val="style0"/>
        <w:jc w:val="both"/>
        <w:rPr>
          <w:sz w:val="22"/>
          <w:szCs w:val="22"/>
        </w:rPr>
      </w:pPr>
      <w:r>
        <w:rPr>
          <w:sz w:val="22"/>
          <w:szCs w:val="22"/>
        </w:rPr>
        <w:t>Le projet concerné provoquera –t-il la perte permanente ou temporaire de récoltes, arbres fruitiers, ou infrastructures domestiques ?</w:t>
      </w:r>
      <w:r>
        <w:rPr>
          <w:sz w:val="22"/>
          <w:szCs w:val="22"/>
        </w:rPr>
        <w:t xml:space="preserve"> </w:t>
      </w:r>
      <w:r>
        <w:rPr>
          <w:sz w:val="22"/>
          <w:szCs w:val="22"/>
        </w:rPr>
        <w:t xml:space="preserve"> Oui___ Non_____</w:t>
      </w:r>
    </w:p>
    <w:p>
      <w:pPr>
        <w:pStyle w:val="style0"/>
        <w:jc w:val="both"/>
        <w:rPr>
          <w:rFonts w:ascii="Arial" w:cs="Arial" w:hAnsi="Arial"/>
          <w:sz w:val="22"/>
          <w:szCs w:val="22"/>
        </w:rPr>
      </w:pPr>
    </w:p>
    <w:p>
      <w:pPr>
        <w:pStyle w:val="style0"/>
        <w:jc w:val="both"/>
        <w:rPr>
          <w:b/>
          <w:bCs/>
          <w:sz w:val="22"/>
          <w:szCs w:val="22"/>
          <w:lang w:bidi="he-IL"/>
        </w:rPr>
      </w:pPr>
      <w:r>
        <w:rPr>
          <w:b/>
          <w:bCs/>
          <w:sz w:val="22"/>
          <w:szCs w:val="22"/>
          <w:lang w:bidi="he-IL"/>
        </w:rPr>
        <w:t>9.</w:t>
      </w:r>
      <w:r>
        <w:rPr>
          <w:b/>
          <w:bCs/>
          <w:sz w:val="22"/>
          <w:szCs w:val="22"/>
          <w:lang w:bidi="he-IL"/>
        </w:rPr>
        <w:t xml:space="preserve"> </w:t>
      </w:r>
      <w:r>
        <w:rPr>
          <w:b/>
          <w:bCs/>
          <w:sz w:val="22"/>
          <w:szCs w:val="22"/>
          <w:lang w:bidi="he-IL"/>
        </w:rPr>
        <w:t xml:space="preserve">Pollution par bruit pendant l’exécution et la mise en œuvre du projet </w:t>
      </w:r>
    </w:p>
    <w:p>
      <w:pPr>
        <w:pStyle w:val="style0"/>
        <w:jc w:val="both"/>
        <w:rPr>
          <w:sz w:val="22"/>
          <w:szCs w:val="22"/>
        </w:rPr>
      </w:pPr>
      <w:r>
        <w:rPr>
          <w:sz w:val="22"/>
          <w:szCs w:val="22"/>
        </w:rPr>
        <w:t xml:space="preserve">Le niveau de bruit pendant la mise en œuvre du projet concerné va-t-il dépasser les limites de bruit </w:t>
      </w:r>
      <w:r>
        <w:rPr>
          <w:sz w:val="22"/>
          <w:szCs w:val="22"/>
        </w:rPr>
        <w:t>acceptables ?</w:t>
      </w:r>
      <w:r>
        <w:rPr>
          <w:sz w:val="22"/>
          <w:szCs w:val="22"/>
        </w:rPr>
        <w:t xml:space="preserve"> </w:t>
      </w:r>
      <w:r>
        <w:rPr>
          <w:sz w:val="22"/>
          <w:szCs w:val="22"/>
        </w:rPr>
        <w:t xml:space="preserve"> Oui___ Non_____</w:t>
      </w:r>
    </w:p>
    <w:p>
      <w:pPr>
        <w:pStyle w:val="style0"/>
        <w:jc w:val="both"/>
        <w:rPr>
          <w:sz w:val="22"/>
          <w:szCs w:val="22"/>
        </w:rPr>
      </w:pPr>
    </w:p>
    <w:p>
      <w:pPr>
        <w:pStyle w:val="style0"/>
        <w:jc w:val="both"/>
        <w:rPr>
          <w:sz w:val="22"/>
          <w:szCs w:val="22"/>
        </w:rPr>
      </w:pPr>
      <w:r>
        <w:rPr>
          <w:b/>
          <w:bCs/>
          <w:sz w:val="22"/>
          <w:szCs w:val="22"/>
        </w:rPr>
        <w:t>10.</w:t>
      </w:r>
      <w:r>
        <w:rPr>
          <w:b/>
          <w:bCs/>
          <w:sz w:val="22"/>
          <w:szCs w:val="22"/>
        </w:rPr>
        <w:t xml:space="preserve"> </w:t>
      </w:r>
      <w:r>
        <w:rPr>
          <w:b/>
          <w:bCs/>
          <w:sz w:val="22"/>
          <w:szCs w:val="22"/>
        </w:rPr>
        <w:t>Déchets solides ou liquides</w:t>
      </w:r>
    </w:p>
    <w:p>
      <w:pPr>
        <w:pStyle w:val="style0"/>
        <w:jc w:val="both"/>
        <w:rPr>
          <w:sz w:val="22"/>
          <w:szCs w:val="22"/>
        </w:rPr>
      </w:pPr>
      <w:r>
        <w:rPr>
          <w:sz w:val="22"/>
          <w:szCs w:val="22"/>
        </w:rPr>
        <w:t xml:space="preserve">L’activité concernée va-t-elle générer des déchets solides ou </w:t>
      </w:r>
      <w:r>
        <w:rPr>
          <w:sz w:val="22"/>
          <w:szCs w:val="22"/>
        </w:rPr>
        <w:t>liquides ?</w:t>
      </w:r>
      <w:r>
        <w:rPr>
          <w:sz w:val="22"/>
          <w:szCs w:val="22"/>
        </w:rPr>
        <w:t xml:space="preserve">  </w:t>
      </w:r>
      <w:r>
        <w:rPr>
          <w:sz w:val="22"/>
          <w:szCs w:val="22"/>
        </w:rPr>
        <w:t>Oui____</w:t>
      </w:r>
      <w:r>
        <w:rPr>
          <w:sz w:val="22"/>
          <w:szCs w:val="22"/>
        </w:rPr>
        <w:t xml:space="preserve"> </w:t>
      </w:r>
      <w:r>
        <w:rPr>
          <w:sz w:val="22"/>
          <w:szCs w:val="22"/>
        </w:rPr>
        <w:t>Non___</w:t>
      </w:r>
    </w:p>
    <w:p>
      <w:pPr>
        <w:pStyle w:val="style0"/>
        <w:jc w:val="both"/>
        <w:rPr>
          <w:sz w:val="22"/>
          <w:szCs w:val="22"/>
        </w:rPr>
      </w:pPr>
      <w:r>
        <w:rPr>
          <w:sz w:val="22"/>
          <w:szCs w:val="22"/>
        </w:rPr>
        <w:t>Si</w:t>
      </w:r>
      <w:r>
        <w:rPr>
          <w:sz w:val="22"/>
          <w:szCs w:val="22"/>
        </w:rPr>
        <w:t xml:space="preserve"> </w:t>
      </w:r>
      <w:r>
        <w:rPr>
          <w:sz w:val="22"/>
          <w:szCs w:val="22"/>
        </w:rPr>
        <w:t xml:space="preserve">“Oui”, le projet dispose-t-il d’un plan pour leur ramassage et leur </w:t>
      </w:r>
      <w:r>
        <w:rPr>
          <w:sz w:val="22"/>
          <w:szCs w:val="22"/>
        </w:rPr>
        <w:t>évacuation ?</w:t>
      </w:r>
      <w:r>
        <w:rPr>
          <w:sz w:val="22"/>
          <w:szCs w:val="22"/>
        </w:rPr>
        <w:t xml:space="preserve"> </w:t>
      </w:r>
      <w:r>
        <w:rPr>
          <w:sz w:val="22"/>
          <w:szCs w:val="22"/>
        </w:rPr>
        <w:t>Oui____ Non___</w:t>
      </w:r>
    </w:p>
    <w:p>
      <w:pPr>
        <w:pStyle w:val="style0"/>
        <w:rPr>
          <w:sz w:val="22"/>
          <w:szCs w:val="22"/>
        </w:rPr>
      </w:pPr>
    </w:p>
    <w:p>
      <w:pPr>
        <w:pStyle w:val="style0"/>
        <w:jc w:val="both"/>
        <w:rPr>
          <w:b/>
          <w:bCs/>
          <w:sz w:val="22"/>
          <w:szCs w:val="22"/>
        </w:rPr>
      </w:pPr>
      <w:r>
        <w:rPr>
          <w:b/>
          <w:bCs/>
          <w:sz w:val="22"/>
          <w:szCs w:val="22"/>
        </w:rPr>
        <w:t>11.</w:t>
      </w:r>
      <w:r>
        <w:rPr>
          <w:b/>
          <w:bCs/>
          <w:sz w:val="22"/>
          <w:szCs w:val="22"/>
        </w:rPr>
        <w:t xml:space="preserve"> </w:t>
      </w:r>
      <w:r>
        <w:rPr>
          <w:b/>
          <w:bCs/>
          <w:sz w:val="22"/>
          <w:szCs w:val="22"/>
        </w:rPr>
        <w:t>Consultation du public</w:t>
      </w:r>
    </w:p>
    <w:p>
      <w:pPr>
        <w:pStyle w:val="style0"/>
        <w:jc w:val="both"/>
        <w:rPr>
          <w:sz w:val="22"/>
          <w:szCs w:val="22"/>
        </w:rPr>
      </w:pPr>
      <w:r>
        <w:rPr>
          <w:sz w:val="22"/>
          <w:szCs w:val="22"/>
        </w:rPr>
        <w:t xml:space="preserve">Lors de la préparation et la mise en œuvre du projet, la consultation et la participation du public ont-elles été </w:t>
      </w:r>
      <w:r>
        <w:rPr>
          <w:sz w:val="22"/>
          <w:szCs w:val="22"/>
        </w:rPr>
        <w:t>recherchées ?</w:t>
      </w:r>
      <w:r>
        <w:rPr>
          <w:sz w:val="22"/>
          <w:szCs w:val="22"/>
        </w:rPr>
        <w:t xml:space="preserve"> </w:t>
      </w:r>
      <w:r>
        <w:rPr>
          <w:sz w:val="22"/>
          <w:szCs w:val="22"/>
        </w:rPr>
        <w:t>Oui____</w:t>
      </w:r>
      <w:r>
        <w:rPr>
          <w:sz w:val="22"/>
          <w:szCs w:val="22"/>
        </w:rPr>
        <w:t xml:space="preserve"> </w:t>
      </w:r>
      <w:r>
        <w:rPr>
          <w:sz w:val="22"/>
          <w:szCs w:val="22"/>
        </w:rPr>
        <w:t>Non___Si “Oui”, décrire brièvement les mesures qui ont été prises à cet effet.</w:t>
      </w:r>
    </w:p>
    <w:p>
      <w:pPr>
        <w:pStyle w:val="style0"/>
        <w:rPr>
          <w:sz w:val="22"/>
          <w:szCs w:val="22"/>
        </w:rPr>
      </w:pPr>
    </w:p>
    <w:p>
      <w:pPr>
        <w:pStyle w:val="style0"/>
        <w:rPr>
          <w:b/>
          <w:bCs/>
          <w:sz w:val="22"/>
          <w:szCs w:val="22"/>
          <w:u w:val="single"/>
        </w:rPr>
      </w:pPr>
      <w:r>
        <w:rPr>
          <w:b/>
          <w:sz w:val="22"/>
          <w:szCs w:val="22"/>
          <w:u w:val="single"/>
        </w:rPr>
        <w:t>Partie C : Mesures d’atténuation</w:t>
      </w:r>
    </w:p>
    <w:p>
      <w:pPr>
        <w:pStyle w:val="style0"/>
        <w:jc w:val="both"/>
        <w:rPr>
          <w:sz w:val="22"/>
          <w:szCs w:val="22"/>
        </w:rPr>
      </w:pPr>
      <w:r>
        <w:rPr>
          <w:sz w:val="22"/>
          <w:szCs w:val="22"/>
        </w:rPr>
        <w:t xml:space="preserve">Pour toutes les réponses « Oui », les </w:t>
      </w:r>
      <w:r>
        <w:rPr>
          <w:sz w:val="22"/>
          <w:szCs w:val="22"/>
        </w:rPr>
        <w:t>Point</w:t>
      </w:r>
      <w:r>
        <w:rPr>
          <w:sz w:val="22"/>
          <w:szCs w:val="22"/>
        </w:rPr>
        <w:t>s</w:t>
      </w:r>
      <w:r>
        <w:rPr>
          <w:sz w:val="22"/>
          <w:szCs w:val="22"/>
        </w:rPr>
        <w:t xml:space="preserve"> Foca</w:t>
      </w:r>
      <w:r>
        <w:rPr>
          <w:sz w:val="22"/>
          <w:szCs w:val="22"/>
        </w:rPr>
        <w:t>ux</w:t>
      </w:r>
      <w:r>
        <w:rPr>
          <w:sz w:val="22"/>
          <w:szCs w:val="22"/>
        </w:rPr>
        <w:t xml:space="preserve"> Environnement et Social </w:t>
      </w:r>
      <w:r>
        <w:rPr>
          <w:sz w:val="22"/>
          <w:szCs w:val="22"/>
        </w:rPr>
        <w:t>(</w:t>
      </w:r>
      <w:r>
        <w:rPr>
          <w:sz w:val="22"/>
          <w:szCs w:val="22"/>
        </w:rPr>
        <w:t>PFE</w:t>
      </w:r>
      <w:r>
        <w:rPr>
          <w:sz w:val="22"/>
          <w:szCs w:val="22"/>
        </w:rPr>
        <w:t>S</w:t>
      </w:r>
      <w:r>
        <w:rPr>
          <w:sz w:val="22"/>
          <w:szCs w:val="22"/>
        </w:rPr>
        <w:t>)</w:t>
      </w:r>
      <w:r>
        <w:rPr>
          <w:sz w:val="22"/>
          <w:szCs w:val="22"/>
        </w:rPr>
        <w:t>, en consultation avec les institutions techniques locales, en particulier celles qui sont chargées de l’environnement, devraient décrire brièvement les mesures prises à cet effet.</w:t>
      </w:r>
    </w:p>
    <w:p>
      <w:pPr>
        <w:pStyle w:val="style0"/>
        <w:rPr>
          <w:sz w:val="22"/>
          <w:szCs w:val="22"/>
        </w:rPr>
      </w:pPr>
    </w:p>
    <w:p>
      <w:pPr>
        <w:pStyle w:val="style0"/>
        <w:rPr>
          <w:b/>
          <w:sz w:val="22"/>
          <w:szCs w:val="22"/>
          <w:u w:val="single"/>
        </w:rPr>
      </w:pPr>
      <w:r>
        <w:rPr>
          <w:b/>
          <w:sz w:val="22"/>
          <w:szCs w:val="22"/>
          <w:u w:val="single"/>
        </w:rPr>
        <w:t>Partie D : Classification du projet et travail environnemental</w:t>
      </w:r>
    </w:p>
    <w:p>
      <w:pPr>
        <w:pStyle w:val="style0"/>
        <w:rPr>
          <w:b/>
          <w:bCs/>
          <w:sz w:val="22"/>
          <w:szCs w:val="22"/>
        </w:rPr>
      </w:pPr>
    </w:p>
    <w:p>
      <w:pPr>
        <w:pStyle w:val="style0"/>
        <w:rPr>
          <w:sz w:val="22"/>
          <w:szCs w:val="22"/>
        </w:rPr>
      </w:pPr>
      <w:r>
        <w:rPr>
          <w:b/>
          <w:i/>
          <w:sz w:val="22"/>
          <w:szCs w:val="22"/>
        </w:rPr>
        <w:t>Projet de type </w:t>
      </w:r>
      <w:r>
        <w:rPr>
          <w:sz w:val="22"/>
          <w:szCs w:val="22"/>
        </w:rPr>
        <w:t>:</w:t>
      </w:r>
      <w:r>
        <w:rPr>
          <w:sz w:val="22"/>
          <w:szCs w:val="22"/>
        </w:rPr>
        <w:t xml:space="preserve">    </w:t>
      </w:r>
      <w:r>
        <w:rPr>
          <w:sz w:val="22"/>
          <w:szCs w:val="22"/>
        </w:rPr>
        <w:t xml:space="preserve"> A</w:t>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9525" t="9525" r="9525" b="9525"/>
                <wp:docPr id="1070" name="Zone de dessin 1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s:wsp>
                        <wps:cNvSpPr/>
                        <wps:spPr>
                          <a:xfrm rot="0">
                            <a:off x="0" y="0"/>
                            <a:ext cx="228600" cy="228600"/>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wpc:wpc>
                  </a:graphicData>
                </a:graphic>
              </wp:inline>
            </w:drawing>
          </mc:Choice>
          <mc:Fallback>
            <w:pict>
              <v:group id="1070" filled="f" stroked="f" style="margin-left:0.0pt;margin-top:0.0pt;width:18.0pt;height:18.0pt;mso-wrap-distance-left:0.0pt;mso-wrap-distance-right:0.0pt;visibility:visible;" coordsize="228600,228600" editas="canvas">
                <v:shape id="1071" type="#_x0000_t75" filled="f" stroked="f" style="position:absolute;left:0;top:0;width:228600;height:228600;z-index:2;mso-position-horizontal-relative:page;mso-position-vertical-relative:page;mso-width-relative:page;mso-height-relative:page;visibility:visible;">
                  <v:stroke on="f"/>
                  <w10:wrap type="square"/>
                  <v:fill/>
                </v:shape>
                <v:rect id="1072" fillcolor="white" stroked="t" style="position:absolute;left:0;top:0;width:228600;height:228600;z-index:3;mso-position-horizontal-relative:page;mso-position-vertical-relative:page;mso-width-relative:page;mso-height-relative:page;visibility:visible;">
                  <v:stroke joinstyle="miter"/>
                  <v:fill/>
                </v:rect>
                <w10:anchorlock/>
                <v:fill rotate="true"/>
              </v:group>
            </w:pict>
          </mc:Fallback>
        </mc:AlternateContent>
      </w:r>
      <w:r>
        <w:rPr>
          <w:noProof/>
          <w:sz w:val="22"/>
          <w:szCs w:val="22"/>
        </w:rPr>
      </w:r>
      <w:r>
        <w:rPr>
          <w:noProof/>
          <w:sz w:val="22"/>
          <w:szCs w:val="22"/>
        </w:rPr>
      </w:r>
      <w:r>
        <w:rPr>
          <w:sz w:val="22"/>
          <w:szCs w:val="22"/>
        </w:rPr>
        <w:tab/>
      </w:r>
      <w:r>
        <w:rPr>
          <w:sz w:val="22"/>
          <w:szCs w:val="22"/>
        </w:rPr>
        <w:tab/>
      </w:r>
      <w:r>
        <w:rPr>
          <w:sz w:val="22"/>
          <w:szCs w:val="22"/>
        </w:rPr>
        <w:t xml:space="preserve">   </w:t>
      </w:r>
      <w:r>
        <w:rPr>
          <w:sz w:val="22"/>
          <w:szCs w:val="22"/>
        </w:rPr>
        <w:tab/>
      </w:r>
      <w:r>
        <w:rPr>
          <w:sz w:val="22"/>
          <w:szCs w:val="22"/>
        </w:rPr>
        <w:t xml:space="preserve">  </w:t>
      </w:r>
      <w:r>
        <w:rPr>
          <w:sz w:val="22"/>
          <w:szCs w:val="22"/>
        </w:rPr>
        <w:t xml:space="preserve"> B</w:t>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9525" t="9525" r="9525" b="9525"/>
                <wp:docPr id="1074" name="Zone de dessin 1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s:wsp>
                        <wps:cNvSpPr/>
                        <wps:spPr>
                          <a:xfrm rot="0">
                            <a:off x="0" y="0"/>
                            <a:ext cx="228600" cy="228600"/>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wpc:wpc>
                  </a:graphicData>
                </a:graphic>
              </wp:inline>
            </w:drawing>
          </mc:Choice>
          <mc:Fallback>
            <w:pict>
              <v:group id="1074" filled="f" stroked="f" style="margin-left:0.0pt;margin-top:0.0pt;width:18.0pt;height:18.0pt;mso-wrap-distance-left:0.0pt;mso-wrap-distance-right:0.0pt;visibility:visible;" coordsize="228600,228600" editas="canvas">
                <v:shape id="1075" type="#_x0000_t75" filled="f" stroked="f" style="position:absolute;left:0;top:0;width:228600;height:228600;z-index:2;mso-position-horizontal-relative:page;mso-position-vertical-relative:page;mso-width-relative:page;mso-height-relative:page;visibility:visible;">
                  <v:stroke on="f"/>
                  <w10:wrap type="square"/>
                  <v:fill/>
                </v:shape>
                <v:rect id="1076" fillcolor="white" stroked="t" style="position:absolute;left:0;top:0;width:228600;height:228600;z-index:3;mso-position-horizontal-relative:page;mso-position-vertical-relative:page;mso-width-relative:page;mso-height-relative:page;visibility:visible;">
                  <v:stroke joinstyle="miter"/>
                  <v:fill/>
                </v:rect>
                <w10:anchorlock/>
                <v:fill rotate="true"/>
              </v:group>
            </w:pict>
          </mc:Fallback>
        </mc:AlternateContent>
      </w:r>
      <w:r>
        <w:rPr>
          <w:noProof/>
          <w:sz w:val="22"/>
          <w:szCs w:val="22"/>
        </w:rPr>
      </w:r>
      <w:r>
        <w:rPr>
          <w:noProof/>
          <w:sz w:val="22"/>
          <w:szCs w:val="22"/>
        </w:rPr>
      </w:r>
      <w:r>
        <w:rPr>
          <w:sz w:val="22"/>
          <w:szCs w:val="22"/>
        </w:rPr>
        <w:tab/>
      </w:r>
      <w:r>
        <w:rPr>
          <w:sz w:val="22"/>
          <w:szCs w:val="22"/>
        </w:rPr>
        <w:t xml:space="preserve">        </w:t>
      </w:r>
      <w:r>
        <w:rPr>
          <w:sz w:val="22"/>
          <w:szCs w:val="22"/>
        </w:rPr>
        <w:t>C</w:t>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9525" t="9525" r="9525" b="9525"/>
                <wp:docPr id="1078" name="Zone de dessin 1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s:wsp>
                        <wps:cNvSpPr/>
                        <wps:spPr>
                          <a:xfrm rot="0">
                            <a:off x="0" y="0"/>
                            <a:ext cx="228600" cy="228600"/>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wpc:wpc>
                  </a:graphicData>
                </a:graphic>
              </wp:inline>
            </w:drawing>
          </mc:Choice>
          <mc:Fallback>
            <w:pict>
              <v:group id="1078" filled="f" stroked="f" style="margin-left:0.0pt;margin-top:0.0pt;width:18.0pt;height:18.0pt;mso-wrap-distance-left:0.0pt;mso-wrap-distance-right:0.0pt;visibility:visible;" coordsize="228600,228600" editas="canvas">
                <v:shape id="1079" type="#_x0000_t75" filled="f" stroked="f" style="position:absolute;left:0;top:0;width:228600;height:228600;z-index:2;mso-position-horizontal-relative:page;mso-position-vertical-relative:page;mso-width-relative:page;mso-height-relative:page;visibility:visible;">
                  <v:stroke on="f"/>
                  <w10:wrap type="square"/>
                  <v:fill/>
                </v:shape>
                <v:rect id="1080" fillcolor="white" stroked="t" style="position:absolute;left:0;top:0;width:228600;height:228600;z-index:3;mso-position-horizontal-relative:page;mso-position-vertical-relative:page;mso-width-relative:page;mso-height-relative:page;visibility:visible;">
                  <v:stroke joinstyle="miter"/>
                  <v:fill/>
                </v:rect>
                <w10:anchorlock/>
                <v:fill rotate="true"/>
              </v:group>
            </w:pict>
          </mc:Fallback>
        </mc:AlternateContent>
      </w:r>
      <w:r>
        <w:rPr>
          <w:noProof/>
          <w:sz w:val="22"/>
          <w:szCs w:val="22"/>
        </w:rPr>
      </w:r>
      <w:r>
        <w:rPr>
          <w:noProof/>
          <w:sz w:val="22"/>
          <w:szCs w:val="22"/>
        </w:rPr>
      </w:r>
      <w:r>
        <w:rPr>
          <w:sz w:val="22"/>
          <w:szCs w:val="22"/>
        </w:rPr>
        <w:tab/>
      </w:r>
    </w:p>
    <w:p>
      <w:pPr>
        <w:pStyle w:val="style0"/>
        <w:rPr>
          <w:sz w:val="22"/>
          <w:szCs w:val="22"/>
        </w:rPr>
      </w:pPr>
    </w:p>
    <w:p>
      <w:pPr>
        <w:pStyle w:val="style0"/>
        <w:rPr>
          <w:b/>
          <w:i/>
          <w:sz w:val="22"/>
          <w:szCs w:val="22"/>
        </w:rPr>
      </w:pPr>
      <w:r>
        <w:rPr>
          <w:b/>
          <w:i/>
          <w:sz w:val="22"/>
          <w:szCs w:val="22"/>
        </w:rPr>
        <w:t>Travail environnemental nécessaire :</w:t>
      </w:r>
    </w:p>
    <w:p>
      <w:pPr>
        <w:pStyle w:val="style0"/>
        <w:rPr>
          <w:sz w:val="22"/>
          <w:szCs w:val="22"/>
        </w:rPr>
      </w:pPr>
      <w:r>
        <w:rPr>
          <w:noProof/>
          <w:sz w:val="22"/>
          <w:szCs w:val="22"/>
        </w:rPr>
        <mc:AlternateContent>
          <mc:Choice Requires="wps">
            <w:drawing>
              <wp:anchor distT="0" distB="0" distL="0" distR="0" simplePos="false" relativeHeight="2" behindDoc="false" locked="false" layoutInCell="true" allowOverlap="true">
                <wp:simplePos x="0" y="0"/>
                <wp:positionH relativeFrom="column">
                  <wp:posOffset>2514600</wp:posOffset>
                </wp:positionH>
                <wp:positionV relativeFrom="paragraph">
                  <wp:posOffset>152400</wp:posOffset>
                </wp:positionV>
                <wp:extent cx="228600" cy="114300"/>
                <wp:effectExtent l="9525" t="9525" r="9525" b="9525"/>
                <wp:wrapNone/>
                <wp:docPr id="1082" name="Rectangle 1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14300"/>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82" fillcolor="white" stroked="t" style="position:absolute;margin-left:198.0pt;margin-top:12.0pt;width:18.0pt;height:9.0pt;z-index:2;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sz w:val="22"/>
          <w:szCs w:val="22"/>
        </w:rPr>
        <w:t>Pas de travail environnemental</w:t>
      </w:r>
      <w:r>
        <w:rPr>
          <w:sz w:val="22"/>
          <w:szCs w:val="22"/>
        </w:rPr>
        <w:tab/>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0" t="0" r="0" b="0"/>
                <wp:docPr id="1083" name="Zone de dessin 1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c:wpc>
                  </a:graphicData>
                </a:graphic>
              </wp:inline>
            </w:drawing>
          </mc:Choice>
          <mc:Fallback>
            <w:pict>
              <v:group id="1083" filled="f" stroked="f" style="margin-left:0.0pt;margin-top:0.0pt;width:18.0pt;height:18.0pt;mso-wrap-distance-left:0.0pt;mso-wrap-distance-right:0.0pt;visibility:visible;" coordsize="228600,228600" editas="canvas">
                <v:shape id="1084" type="#_x0000_t75" filled="f" stroked="f" style="position:absolute;left:0;top:0;width:228600;height:228600;z-index:2;mso-position-horizontal-relative:page;mso-position-vertical-relative:page;mso-width-relative:page;mso-height-relative:page;visibility:visible;">
                  <v:stroke on="f"/>
                  <w10:wrap type="square"/>
                  <v:fill/>
                </v:shape>
                <w10:anchorlock/>
                <v:fill rotate="true"/>
              </v:group>
            </w:pict>
          </mc:Fallback>
        </mc:AlternateContent>
      </w:r>
      <w:r>
        <w:rPr>
          <w:noProof/>
          <w:sz w:val="22"/>
          <w:szCs w:val="22"/>
        </w:rPr>
      </w:r>
      <w:r>
        <w:rPr>
          <w:noProof/>
          <w:sz w:val="22"/>
          <w:szCs w:val="22"/>
        </w:rPr>
      </w:r>
    </w:p>
    <w:p>
      <w:pPr>
        <w:pStyle w:val="style0"/>
        <w:rPr>
          <w:sz w:val="22"/>
          <w:szCs w:val="22"/>
        </w:rPr>
      </w:pPr>
      <w:r>
        <w:rPr>
          <w:noProof/>
          <w:sz w:val="22"/>
          <w:szCs w:val="22"/>
        </w:rPr>
        <mc:AlternateContent>
          <mc:Choice Requires="wps">
            <w:drawing>
              <wp:anchor distT="0" distB="0" distL="0" distR="0" simplePos="false" relativeHeight="3" behindDoc="false" locked="false" layoutInCell="true" allowOverlap="true">
                <wp:simplePos x="0" y="0"/>
                <wp:positionH relativeFrom="column">
                  <wp:posOffset>2514600</wp:posOffset>
                </wp:positionH>
                <wp:positionV relativeFrom="paragraph">
                  <wp:posOffset>121920</wp:posOffset>
                </wp:positionV>
                <wp:extent cx="228600" cy="114300"/>
                <wp:effectExtent l="9525" t="7620" r="9525" b="11430"/>
                <wp:wrapNone/>
                <wp:docPr id="1086" name="Rectangle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14300"/>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86" fillcolor="white" stroked="t" style="position:absolute;margin-left:198.0pt;margin-top:9.6pt;width:18.0pt;height:9.0pt;z-index:3;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sz w:val="22"/>
          <w:szCs w:val="22"/>
        </w:rPr>
        <w:t>Simples mesures d’atténuation</w:t>
      </w:r>
      <w:r>
        <w:rPr>
          <w:sz w:val="22"/>
          <w:szCs w:val="22"/>
        </w:rPr>
        <w:tab/>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0" t="0" r="0" b="0"/>
                <wp:docPr id="1087" name="Zone de dessin 1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c:wpc>
                  </a:graphicData>
                </a:graphic>
              </wp:inline>
            </w:drawing>
          </mc:Choice>
          <mc:Fallback>
            <w:pict>
              <v:group id="1087" filled="f" stroked="f" style="margin-left:0.0pt;margin-top:0.0pt;width:18.0pt;height:18.0pt;mso-wrap-distance-left:0.0pt;mso-wrap-distance-right:0.0pt;visibility:visible;" coordsize="228600,228600" editas="canvas">
                <v:shape id="1088" type="#_x0000_t75" filled="f" stroked="f" style="position:absolute;left:0;top:0;width:228600;height:228600;z-index:2;mso-position-horizontal-relative:page;mso-position-vertical-relative:page;mso-width-relative:page;mso-height-relative:page;visibility:visible;">
                  <v:stroke on="f"/>
                  <w10:wrap type="square"/>
                  <v:fill/>
                </v:shape>
                <w10:anchorlock/>
                <v:fill rotate="true"/>
              </v:group>
            </w:pict>
          </mc:Fallback>
        </mc:AlternateContent>
      </w:r>
      <w:r>
        <w:rPr>
          <w:noProof/>
          <w:sz w:val="22"/>
          <w:szCs w:val="22"/>
        </w:rPr>
      </w:r>
      <w:r>
        <w:rPr>
          <w:noProof/>
          <w:sz w:val="22"/>
          <w:szCs w:val="22"/>
        </w:rPr>
      </w:r>
    </w:p>
    <w:p>
      <w:pPr>
        <w:pStyle w:val="style0"/>
        <w:rPr>
          <w:sz w:val="22"/>
          <w:szCs w:val="22"/>
        </w:rPr>
      </w:pPr>
      <w:r>
        <w:rPr>
          <w:noProof/>
          <w:sz w:val="22"/>
          <w:szCs w:val="22"/>
        </w:rPr>
        <mc:AlternateContent>
          <mc:Choice Requires="wps">
            <w:drawing>
              <wp:anchor distT="0" distB="0" distL="0" distR="0" simplePos="false" relativeHeight="4" behindDoc="false" locked="false" layoutInCell="true" allowOverlap="true">
                <wp:simplePos x="0" y="0"/>
                <wp:positionH relativeFrom="column">
                  <wp:posOffset>2514600</wp:posOffset>
                </wp:positionH>
                <wp:positionV relativeFrom="paragraph">
                  <wp:posOffset>90170</wp:posOffset>
                </wp:positionV>
                <wp:extent cx="228600" cy="128269"/>
                <wp:effectExtent l="9525" t="13970" r="9525" b="10160"/>
                <wp:wrapNone/>
                <wp:docPr id="1090" name="Rectangle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28269"/>
                        </a:xfrm>
                        <a:prstGeom prst="rect"/>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90" fillcolor="white" stroked="t" style="position:absolute;margin-left:198.0pt;margin-top:7.1pt;width:18.0pt;height:10.1pt;z-index:4;mso-position-horizontal-relative:text;mso-position-vertical-relative:text;mso-width-percent:0;mso-height-percent:0;mso-width-relative:page;mso-height-relative:page;mso-wrap-distance-left:0.0pt;mso-wrap-distance-right:0.0pt;visibility:visible;">
                <v:stroke joinstyle="miter"/>
                <v:fill/>
              </v:rect>
            </w:pict>
          </mc:Fallback>
        </mc:AlternateContent>
      </w:r>
      <w:r>
        <w:rPr>
          <w:sz w:val="22"/>
          <w:szCs w:val="22"/>
        </w:rPr>
        <w:t>Etude d’Impact Environnemental</w:t>
      </w:r>
      <w:r>
        <w:rPr>
          <w:sz w:val="22"/>
          <w:szCs w:val="22"/>
        </w:rPr>
        <w:tab/>
      </w:r>
      <w:r>
        <w:rPr>
          <w:noProof/>
          <w:sz w:val="22"/>
          <w:szCs w:val="22"/>
        </w:rPr>
      </w:r>
      <w:r>
        <w:rPr>
          <w:noProof/>
          <w:sz w:val="22"/>
          <w:szCs w:val="22"/>
        </w:rPr>
      </w:r>
      <w:r>
        <w:rPr>
          <w:noProof/>
          <w:sz w:val="22"/>
          <w:szCs w:val="22"/>
        </w:rPr>
      </w:r>
      <w:r>
        <w:rPr>
          <w:noProof/>
          <w:sz w:val="22"/>
          <w:szCs w:val="22"/>
        </w:rPr>
        <mc:AlternateContent>
          <mc:Choice Requires="wpc">
            <w:drawing>
              <wp:inline distT="0" distR="0" distL="0" distB="0">
                <wp:extent cx="228600" cy="228600"/>
                <wp:effectExtent l="0" t="0" r="0" b="0"/>
                <wp:docPr id="1091" name="Zone de dessin 1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c:wpc>
                  </a:graphicData>
                </a:graphic>
              </wp:inline>
            </w:drawing>
          </mc:Choice>
          <mc:Fallback>
            <w:pict>
              <v:group id="1091" filled="f" stroked="f" style="margin-left:0.0pt;margin-top:0.0pt;width:18.0pt;height:18.0pt;mso-wrap-distance-left:0.0pt;mso-wrap-distance-right:0.0pt;visibility:visible;" coordsize="228600,228600" editas="canvas">
                <v:shape id="1092" type="#_x0000_t75" filled="f" stroked="f" style="position:absolute;left:0;top:0;width:228600;height:228600;z-index:2;mso-position-horizontal-relative:page;mso-position-vertical-relative:page;mso-width-relative:page;mso-height-relative:page;visibility:visible;">
                  <v:stroke on="f"/>
                  <w10:wrap type="square"/>
                  <v:fill/>
                </v:shape>
                <w10:anchorlock/>
                <v:fill rotate="true"/>
              </v:group>
            </w:pict>
          </mc:Fallback>
        </mc:AlternateContent>
      </w:r>
      <w:r>
        <w:rPr>
          <w:noProof/>
          <w:sz w:val="22"/>
          <w:szCs w:val="22"/>
        </w:rPr>
      </w:r>
      <w:r>
        <w:rPr>
          <w:noProof/>
          <w:sz w:val="22"/>
          <w:szCs w:val="22"/>
        </w:rPr>
      </w:r>
    </w:p>
    <w:p>
      <w:pPr>
        <w:pStyle w:val="style0"/>
        <w:rPr>
          <w:sz w:val="22"/>
          <w:szCs w:val="22"/>
        </w:rPr>
      </w:pPr>
    </w:p>
    <w:p>
      <w:pPr>
        <w:pStyle w:val="style1"/>
        <w:shd w:val="clear" w:color="auto" w:fill="bfbfbf"/>
        <w:rPr/>
      </w:pPr>
      <w:r>
        <w:br w:type="page"/>
      </w:r>
      <w:bookmarkStart w:id="1578" w:name="_Hlk536399139"/>
      <w:bookmarkStart w:id="1579" w:name="_Toc686151"/>
      <w:bookmarkStart w:id="1580" w:name="_Toc2780530"/>
      <w:r>
        <w:t xml:space="preserve">ANNEXE 2 : </w:t>
      </w:r>
      <w:r>
        <w:rPr>
          <w:rFonts w:ascii="Times New Roman Gras" w:hAnsi="Times New Roman Gras"/>
          <w:caps/>
        </w:rPr>
        <w:t>LISTE DE CONTRÔLE ENVIRONNEMENTAL ET SOCIAL</w:t>
      </w:r>
      <w:bookmarkEnd w:id="1578"/>
      <w:bookmarkEnd w:id="1579"/>
      <w:bookmarkEnd w:id="1580"/>
    </w:p>
    <w:p>
      <w:pPr>
        <w:pStyle w:val="style0"/>
        <w:shd w:val="clear" w:color="auto" w:fill="bfbfbf"/>
        <w:rPr>
          <w:szCs w:val="22"/>
        </w:rPr>
      </w:pPr>
    </w:p>
    <w:p>
      <w:pPr>
        <w:pStyle w:val="style0"/>
        <w:rPr>
          <w:szCs w:val="22"/>
        </w:rPr>
      </w:pPr>
      <w:r>
        <w:rPr>
          <w:szCs w:val="22"/>
        </w:rPr>
        <w:t xml:space="preserve">Pour chaque </w:t>
      </w:r>
      <w:r>
        <w:rPr>
          <w:szCs w:val="22"/>
        </w:rPr>
        <w:t>activité agricole</w:t>
      </w:r>
      <w:r>
        <w:rPr>
          <w:szCs w:val="22"/>
        </w:rPr>
        <w:t xml:space="preserve"> </w:t>
      </w:r>
      <w:r>
        <w:rPr>
          <w:szCs w:val="22"/>
        </w:rPr>
        <w:t>proposée, remplir la section correspondante de la liste de contrôle</w:t>
      </w:r>
      <w:r>
        <w:rPr>
          <w:szCs w:val="22"/>
        </w:rPr>
        <w:t xml:space="preserve"> : </w:t>
      </w:r>
    </w:p>
    <w:p>
      <w:pPr>
        <w:pStyle w:val="style0"/>
        <w:rPr>
          <w:szCs w:val="22"/>
        </w:rPr>
      </w:pPr>
    </w:p>
    <w:tbl>
      <w:tblPr>
        <w:tblW w:w="1053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680"/>
        <w:gridCol w:w="720"/>
        <w:gridCol w:w="819"/>
        <w:gridCol w:w="2340"/>
      </w:tblGrid>
      <w:tr>
        <w:trPr/>
        <w:tc>
          <w:tcPr>
            <w:tcW w:w="1980" w:type="dxa"/>
            <w:tcBorders/>
          </w:tcPr>
          <w:p>
            <w:pPr>
              <w:pStyle w:val="style0"/>
              <w:rPr>
                <w:b/>
                <w:bCs/>
                <w:szCs w:val="22"/>
              </w:rPr>
            </w:pPr>
            <w:r>
              <w:rPr>
                <w:b/>
                <w:bCs/>
                <w:szCs w:val="22"/>
              </w:rPr>
              <w:t>Activité P</w:t>
            </w:r>
            <w:r>
              <w:rPr>
                <w:b/>
                <w:bCs/>
                <w:szCs w:val="22"/>
              </w:rPr>
              <w:t>DCA</w:t>
            </w:r>
          </w:p>
          <w:p>
            <w:pPr>
              <w:pStyle w:val="style0"/>
              <w:rPr>
                <w:b/>
                <w:bCs/>
                <w:szCs w:val="22"/>
              </w:rPr>
            </w:pPr>
          </w:p>
        </w:tc>
        <w:tc>
          <w:tcPr>
            <w:tcW w:w="4680" w:type="dxa"/>
            <w:tcBorders/>
          </w:tcPr>
          <w:p>
            <w:pPr>
              <w:pStyle w:val="style0"/>
              <w:rPr>
                <w:b/>
                <w:bCs/>
                <w:szCs w:val="22"/>
              </w:rPr>
            </w:pPr>
            <w:r>
              <w:rPr>
                <w:b/>
                <w:bCs/>
                <w:szCs w:val="22"/>
              </w:rPr>
              <w:t>Questions auxquelles i</w:t>
            </w:r>
            <w:r>
              <w:rPr>
                <w:b/>
                <w:bCs/>
                <w:szCs w:val="22"/>
              </w:rPr>
              <w:t xml:space="preserve">l </w:t>
            </w:r>
            <w:r>
              <w:rPr>
                <w:b/>
                <w:bCs/>
                <w:szCs w:val="22"/>
              </w:rPr>
              <w:t>faut répondre</w:t>
            </w:r>
          </w:p>
        </w:tc>
        <w:tc>
          <w:tcPr>
            <w:tcW w:w="720" w:type="dxa"/>
            <w:tcBorders/>
          </w:tcPr>
          <w:p>
            <w:pPr>
              <w:pStyle w:val="style0"/>
              <w:rPr>
                <w:b/>
                <w:bCs/>
                <w:szCs w:val="22"/>
              </w:rPr>
            </w:pPr>
            <w:r>
              <w:rPr>
                <w:b/>
                <w:bCs/>
                <w:szCs w:val="22"/>
              </w:rPr>
              <w:t>OUI</w:t>
            </w:r>
          </w:p>
        </w:tc>
        <w:tc>
          <w:tcPr>
            <w:tcW w:w="819" w:type="dxa"/>
            <w:tcBorders/>
          </w:tcPr>
          <w:p>
            <w:pPr>
              <w:pStyle w:val="style0"/>
              <w:rPr>
                <w:b/>
                <w:bCs/>
                <w:szCs w:val="22"/>
              </w:rPr>
            </w:pPr>
            <w:r>
              <w:rPr>
                <w:b/>
                <w:bCs/>
                <w:szCs w:val="22"/>
              </w:rPr>
              <w:t>NON</w:t>
            </w:r>
          </w:p>
        </w:tc>
        <w:tc>
          <w:tcPr>
            <w:tcW w:w="2340" w:type="dxa"/>
            <w:tcBorders/>
          </w:tcPr>
          <w:p>
            <w:pPr>
              <w:pStyle w:val="style0"/>
              <w:rPr>
                <w:b/>
                <w:bCs/>
                <w:szCs w:val="22"/>
              </w:rPr>
            </w:pPr>
            <w:r>
              <w:rPr>
                <w:b/>
                <w:bCs/>
                <w:szCs w:val="22"/>
              </w:rPr>
              <w:t>Si OUI,</w:t>
            </w:r>
          </w:p>
        </w:tc>
      </w:tr>
      <w:tr>
        <w:tblPrEx/>
        <w:trPr>
          <w:trHeight w:val="7030" w:hRule="atLeast"/>
        </w:trPr>
        <w:tc>
          <w:tcPr>
            <w:tcW w:w="1980" w:type="dxa"/>
            <w:tcBorders/>
          </w:tcPr>
          <w:p>
            <w:pPr>
              <w:pStyle w:val="style0"/>
              <w:rPr>
                <w:szCs w:val="22"/>
              </w:rPr>
            </w:pPr>
            <w:r>
              <w:rPr>
                <w:szCs w:val="22"/>
              </w:rPr>
              <w:t>Mise en œuvre et exploitation des techniques et technologies d’amélioration de</w:t>
            </w:r>
            <w:r>
              <w:rPr>
                <w:szCs w:val="22"/>
              </w:rPr>
              <w:t xml:space="preserve"> la productivité </w:t>
            </w:r>
            <w:r>
              <w:rPr>
                <w:szCs w:val="22"/>
              </w:rPr>
              <w:t>agricoles</w:t>
            </w: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p>
            <w:pPr>
              <w:pStyle w:val="style0"/>
              <w:rPr>
                <w:szCs w:val="22"/>
              </w:rPr>
            </w:pPr>
          </w:p>
        </w:tc>
        <w:tc>
          <w:tcPr>
            <w:tcW w:w="4680" w:type="dxa"/>
            <w:tcBorders/>
          </w:tcPr>
          <w:p>
            <w:pPr>
              <w:pStyle w:val="style0"/>
              <w:numPr>
                <w:ilvl w:val="0"/>
                <w:numId w:val="95"/>
              </w:numPr>
              <w:rPr>
                <w:szCs w:val="22"/>
              </w:rPr>
            </w:pPr>
            <w:r>
              <w:rPr>
                <w:szCs w:val="22"/>
              </w:rPr>
              <w:t>Y aura-t-il perte de végétation quelconque pendant l’exploitation de la filière agricole ?</w:t>
            </w:r>
          </w:p>
          <w:p>
            <w:pPr>
              <w:pStyle w:val="style0"/>
              <w:numPr>
                <w:ilvl w:val="0"/>
                <w:numId w:val="95"/>
              </w:numPr>
              <w:rPr>
                <w:szCs w:val="22"/>
              </w:rPr>
            </w:pPr>
            <w:r>
              <w:rPr>
                <w:szCs w:val="22"/>
              </w:rPr>
              <w:t>Y a-t-il des services adéquats pour l’évacuation des déchets prévus pendant la l’exploitation ?</w:t>
            </w:r>
          </w:p>
          <w:p>
            <w:pPr>
              <w:pStyle w:val="style0"/>
              <w:numPr>
                <w:ilvl w:val="0"/>
                <w:numId w:val="95"/>
              </w:numPr>
              <w:rPr>
                <w:szCs w:val="22"/>
              </w:rPr>
            </w:pPr>
            <w:r>
              <w:rPr>
                <w:szCs w:val="22"/>
              </w:rPr>
              <w:t xml:space="preserve">Les détritus générés pendant la mise en oeuvre </w:t>
            </w:r>
            <w:r>
              <w:rPr>
                <w:szCs w:val="22"/>
              </w:rPr>
              <w:t xml:space="preserve">et l’exploitation </w:t>
            </w:r>
            <w:r>
              <w:rPr>
                <w:szCs w:val="22"/>
              </w:rPr>
              <w:t>seront-ils nettoyés et éliminés écologiquement ?</w:t>
            </w:r>
          </w:p>
          <w:p>
            <w:pPr>
              <w:pStyle w:val="style0"/>
              <w:numPr>
                <w:ilvl w:val="0"/>
                <w:numId w:val="95"/>
              </w:numPr>
              <w:rPr/>
            </w:pPr>
            <w:r>
              <w:rPr>
                <w:szCs w:val="22"/>
              </w:rPr>
              <w:t>Les équipements et matériel de sécurité et de secours en cas d’accident seront-ils disponibles pendant la mise en œuvre et  l’exploitation ?</w:t>
            </w:r>
          </w:p>
          <w:p>
            <w:pPr>
              <w:pStyle w:val="style0"/>
              <w:numPr>
                <w:ilvl w:val="0"/>
                <w:numId w:val="15"/>
              </w:numPr>
              <w:rPr>
                <w:szCs w:val="22"/>
              </w:rPr>
            </w:pPr>
            <w:r>
              <w:rPr>
                <w:szCs w:val="22"/>
              </w:rPr>
              <w:t xml:space="preserve">Y a-t-il des risques de pollution des eaux souterraines </w:t>
            </w:r>
            <w:r>
              <w:rPr>
                <w:szCs w:val="22"/>
              </w:rPr>
              <w:t xml:space="preserve">ou superficielles </w:t>
            </w:r>
            <w:r>
              <w:rPr>
                <w:szCs w:val="22"/>
              </w:rPr>
              <w:t>par les activités du projet ?</w:t>
            </w:r>
          </w:p>
          <w:p>
            <w:pPr>
              <w:pStyle w:val="style0"/>
              <w:numPr>
                <w:ilvl w:val="0"/>
                <w:numId w:val="15"/>
              </w:numPr>
              <w:rPr>
                <w:szCs w:val="22"/>
              </w:rPr>
            </w:pPr>
            <w:r>
              <w:rPr>
                <w:szCs w:val="22"/>
              </w:rPr>
              <w:t>Y a-t-il des zones écologiques sensibles dans les environs de la zone d’exploitation qui pourraient être impactés négativement ?</w:t>
            </w:r>
          </w:p>
          <w:p>
            <w:pPr>
              <w:pStyle w:val="style0"/>
              <w:numPr>
                <w:ilvl w:val="0"/>
                <w:numId w:val="15"/>
              </w:numPr>
              <w:rPr>
                <w:szCs w:val="22"/>
              </w:rPr>
            </w:pPr>
            <w:r>
              <w:rPr>
                <w:szCs w:val="22"/>
              </w:rPr>
              <w:t>Y a-t-il des impacts sur la santé des populations riveraines et celle du personnel de mise en œuvre et  d’exploitation ?</w:t>
            </w:r>
          </w:p>
          <w:p>
            <w:pPr>
              <w:pStyle w:val="style0"/>
              <w:numPr>
                <w:ilvl w:val="0"/>
                <w:numId w:val="15"/>
              </w:numPr>
              <w:rPr>
                <w:szCs w:val="22"/>
              </w:rPr>
            </w:pPr>
            <w:r>
              <w:rPr>
                <w:szCs w:val="22"/>
              </w:rPr>
              <w:t>Y a-t-il des impacts visuels causés par les travaux?</w:t>
            </w:r>
          </w:p>
          <w:p>
            <w:pPr>
              <w:pStyle w:val="style0"/>
              <w:numPr>
                <w:ilvl w:val="0"/>
                <w:numId w:val="15"/>
              </w:numPr>
              <w:rPr>
                <w:szCs w:val="22"/>
              </w:rPr>
            </w:pPr>
            <w:r>
              <w:rPr>
                <w:szCs w:val="22"/>
              </w:rPr>
              <w:t>Y a-t-il des odeurs pouvant provenir du rejet des déchets des activités agricoles ?</w:t>
            </w:r>
          </w:p>
          <w:p>
            <w:pPr>
              <w:pStyle w:val="style0"/>
              <w:numPr>
                <w:ilvl w:val="0"/>
                <w:numId w:val="15"/>
              </w:numPr>
              <w:rPr/>
            </w:pPr>
            <w:r>
              <w:rPr>
                <w:szCs w:val="22"/>
              </w:rPr>
              <w:t>Y a-t-il des établissements humains,  ou des sites d’importance culturelle, religieuse, ou historique près du site d’exploitation agricole?</w:t>
            </w:r>
          </w:p>
        </w:tc>
        <w:tc>
          <w:tcPr>
            <w:tcW w:w="720" w:type="dxa"/>
            <w:tcBorders/>
          </w:tcPr>
          <w:p>
            <w:pPr>
              <w:pStyle w:val="style0"/>
              <w:rPr/>
            </w:pPr>
          </w:p>
        </w:tc>
        <w:tc>
          <w:tcPr>
            <w:tcW w:w="819" w:type="dxa"/>
            <w:tcBorders/>
          </w:tcPr>
          <w:p>
            <w:pPr>
              <w:pStyle w:val="style0"/>
              <w:rPr>
                <w:szCs w:val="22"/>
              </w:rPr>
            </w:pPr>
          </w:p>
        </w:tc>
        <w:tc>
          <w:tcPr>
            <w:tcW w:w="2340" w:type="dxa"/>
            <w:tcBorders/>
          </w:tcPr>
          <w:p>
            <w:pPr>
              <w:pStyle w:val="style0"/>
              <w:rPr>
                <w:szCs w:val="22"/>
              </w:rPr>
            </w:pPr>
          </w:p>
          <w:p>
            <w:pPr>
              <w:pStyle w:val="style0"/>
              <w:rPr>
                <w:szCs w:val="22"/>
              </w:rPr>
            </w:pPr>
          </w:p>
          <w:p>
            <w:pPr>
              <w:pStyle w:val="style0"/>
              <w:rPr>
                <w:szCs w:val="22"/>
              </w:rPr>
            </w:pPr>
          </w:p>
          <w:p>
            <w:pPr>
              <w:pStyle w:val="style0"/>
              <w:rPr>
                <w:szCs w:val="22"/>
              </w:rPr>
            </w:pPr>
          </w:p>
        </w:tc>
      </w:tr>
    </w:tbl>
    <w:p>
      <w:pPr>
        <w:pStyle w:val="style1"/>
        <w:shd w:val="clear" w:color="auto" w:fill="bfbfbf"/>
        <w:rPr/>
      </w:pPr>
      <w:r>
        <w:rPr>
          <w:highlight w:val="yellow"/>
        </w:rPr>
        <w:br w:type="page"/>
      </w:r>
      <w:bookmarkStart w:id="1581" w:name="_Toc686152"/>
      <w:bookmarkStart w:id="1582" w:name="_Toc2780531"/>
      <w:r>
        <w:t xml:space="preserve">ANNEXE 3 : </w:t>
      </w:r>
      <w:r>
        <w:t>COMPTES RENDUS</w:t>
      </w:r>
      <w:r>
        <w:t xml:space="preserve"> DE RENCONTRES ET D’ECHANGE</w:t>
      </w:r>
      <w:r>
        <w:t>S</w:t>
      </w:r>
      <w:r>
        <w:t xml:space="preserve"> EFFECTUES DANS LE CADRE DU PDCA</w:t>
      </w:r>
      <w:bookmarkEnd w:id="1581"/>
      <w:bookmarkEnd w:id="1582"/>
    </w:p>
    <w:p>
      <w:pPr>
        <w:pStyle w:val="style0"/>
        <w:jc w:val="both"/>
        <w:rPr/>
      </w:pPr>
    </w:p>
    <w:p>
      <w:pPr>
        <w:pStyle w:val="style0"/>
        <w:spacing w:lineRule="auto" w:line="360"/>
        <w:rPr>
          <w:b/>
          <w:sz w:val="22"/>
          <w:szCs w:val="22"/>
        </w:rPr>
      </w:pPr>
      <w:r>
        <w:rPr>
          <w:b/>
          <w:sz w:val="22"/>
          <w:szCs w:val="22"/>
        </w:rPr>
        <w:t xml:space="preserve">Région </w:t>
      </w:r>
      <w:r>
        <w:rPr>
          <w:b/>
          <w:sz w:val="22"/>
          <w:szCs w:val="22"/>
        </w:rPr>
        <w:t>du Nord</w:t>
      </w:r>
    </w:p>
    <w:p>
      <w:pPr>
        <w:pStyle w:val="style0"/>
        <w:spacing w:lineRule="auto" w:line="360"/>
        <w:rPr>
          <w:b/>
          <w:sz w:val="22"/>
          <w:szCs w:val="22"/>
        </w:rPr>
      </w:pPr>
      <w:r>
        <w:rPr>
          <w:b/>
          <w:sz w:val="22"/>
          <w:szCs w:val="22"/>
        </w:rPr>
        <w:t xml:space="preserve">Province du </w:t>
      </w:r>
      <w:r>
        <w:rPr>
          <w:b/>
          <w:sz w:val="22"/>
          <w:szCs w:val="22"/>
        </w:rPr>
        <w:t>Passoré</w:t>
      </w:r>
    </w:p>
    <w:p>
      <w:pPr>
        <w:pStyle w:val="style0"/>
        <w:spacing w:lineRule="auto" w:line="360"/>
        <w:rPr>
          <w:b/>
          <w:sz w:val="22"/>
          <w:szCs w:val="22"/>
        </w:rPr>
      </w:pPr>
      <w:r>
        <w:rPr>
          <w:b/>
          <w:sz w:val="22"/>
          <w:szCs w:val="22"/>
        </w:rPr>
        <w:t>Commune</w:t>
      </w:r>
      <w:r>
        <w:rPr>
          <w:b/>
          <w:sz w:val="22"/>
          <w:szCs w:val="22"/>
        </w:rPr>
        <w:t>s</w:t>
      </w:r>
      <w:r>
        <w:rPr>
          <w:b/>
          <w:sz w:val="22"/>
          <w:szCs w:val="22"/>
        </w:rPr>
        <w:t xml:space="preserve"> de </w:t>
      </w:r>
      <w:r>
        <w:rPr>
          <w:b/>
          <w:sz w:val="22"/>
          <w:szCs w:val="22"/>
        </w:rPr>
        <w:t>Yako et Kirsi</w:t>
      </w:r>
    </w:p>
    <w:p>
      <w:pPr>
        <w:pStyle w:val="style0"/>
        <w:spacing w:lineRule="auto" w:line="360"/>
        <w:jc w:val="both"/>
        <w:rPr>
          <w:b/>
          <w:sz w:val="22"/>
          <w:szCs w:val="22"/>
        </w:rPr>
      </w:pPr>
      <w:r>
        <w:rPr>
          <w:b/>
          <w:sz w:val="22"/>
          <w:szCs w:val="22"/>
        </w:rPr>
        <w:t xml:space="preserve">Village de </w:t>
      </w:r>
      <w:r>
        <w:rPr>
          <w:b/>
          <w:sz w:val="22"/>
          <w:szCs w:val="22"/>
        </w:rPr>
        <w:t>Dourou</w:t>
      </w:r>
    </w:p>
    <w:p>
      <w:pPr>
        <w:pStyle w:val="style0"/>
        <w:spacing w:after="160" w:lineRule="auto" w:line="259"/>
        <w:jc w:val="both"/>
        <w:contextualSpacing/>
        <w:rPr>
          <w:b/>
        </w:rPr>
      </w:pPr>
    </w:p>
    <w:p>
      <w:pPr>
        <w:pStyle w:val="style179"/>
        <w:numPr>
          <w:ilvl w:val="0"/>
          <w:numId w:val="20"/>
        </w:numPr>
        <w:spacing w:after="160" w:lineRule="auto" w:line="259"/>
        <w:jc w:val="both"/>
        <w:contextualSpacing/>
        <w:rPr>
          <w:b/>
        </w:rPr>
      </w:pPr>
      <w:r>
        <w:rPr>
          <w:b/>
        </w:rPr>
        <w:t xml:space="preserve">Directeur Provincial de l’agriculture et des aménagements hydrauliques </w:t>
      </w:r>
    </w:p>
    <w:p>
      <w:pPr>
        <w:pStyle w:val="style0"/>
        <w:jc w:val="both"/>
        <w:rPr/>
      </w:pPr>
      <w:r>
        <w:rPr>
          <w:b/>
        </w:rPr>
        <w:t>Le lundi 7 janvier 2019</w:t>
      </w:r>
      <w:r>
        <w:t xml:space="preserve"> à 9 heures la mission du PDCA a été reçue par le Directeur Provincial. Après les salutations d’usage, la mission a décliné l’objet de la rencontre. </w:t>
      </w:r>
    </w:p>
    <w:p>
      <w:pPr>
        <w:pStyle w:val="style0"/>
        <w:jc w:val="both"/>
        <w:rPr>
          <w:iCs/>
        </w:rPr>
      </w:pPr>
      <w:r>
        <w:t xml:space="preserve">La mission est alors intervenue pour présenter le projet et préciser que </w:t>
      </w:r>
      <w:r>
        <w:rPr>
          <w:iCs/>
        </w:rPr>
        <w:t>les échanges</w:t>
      </w:r>
      <w:r>
        <w:t xml:space="preserve"> vont porter </w:t>
      </w:r>
      <w:r>
        <w:rPr>
          <w:iCs/>
        </w:rPr>
        <w:t>particulièrement</w:t>
      </w:r>
      <w:r>
        <w:t xml:space="preserve"> sur les aspects de Gestion des pestes et pesticides et les questions</w:t>
      </w:r>
      <w:r>
        <w:rPr>
          <w:iCs/>
        </w:rPr>
        <w:t xml:space="preserve"> de sauvegardes environnementales et sociales. </w:t>
      </w:r>
    </w:p>
    <w:p>
      <w:pPr>
        <w:pStyle w:val="style0"/>
        <w:jc w:val="both"/>
        <w:rPr/>
      </w:pPr>
      <w:r>
        <w:t xml:space="preserve">Le premier responsable provincial de l’agriculture en réponse, dira que pour le premier aspect, les principaux ennemis des cultures se rencontrent sur les cultures maraichères sont entre autres, les mouches blanches, la noctuelle de la tomate, plutella du chou. </w:t>
      </w:r>
    </w:p>
    <w:p>
      <w:pPr>
        <w:pStyle w:val="style0"/>
        <w:jc w:val="both"/>
        <w:rPr/>
      </w:pPr>
      <w:r>
        <w:t>Les pesticides utilisés sont les insecticides et les herbicides tout venant. On rencontre ceux homologués et non homologués et même des pesticides du cotonnier utilisés dans les cultures maraichères. Les doses utilisées ne répondent pas les normes et les récoltes ne respectent pas la durée de rémanence des produits utilisés.</w:t>
      </w:r>
    </w:p>
    <w:p>
      <w:pPr>
        <w:pStyle w:val="style0"/>
        <w:jc w:val="both"/>
        <w:rPr/>
      </w:pPr>
      <w:r>
        <w:t xml:space="preserve">Des actions de sensibilisation sont menées par la direction provinciale pour un changement de comportement des utilisateurs. La direction souhaite voir le démarrage du projet pour le bonheur des producteurs de la localité.  </w:t>
      </w:r>
    </w:p>
    <w:p>
      <w:pPr>
        <w:pStyle w:val="style0"/>
        <w:jc w:val="both"/>
        <w:rPr/>
      </w:pPr>
      <w:r>
        <w:t xml:space="preserve">Compte tenu de son calendrier chargé, il a confié la mission au chef de zone d’appui technique et de l’agent en charge de l’animation technique du site pour  ce qui est de l’organisation des rencontres de terrain. </w:t>
      </w:r>
    </w:p>
    <w:p>
      <w:pPr>
        <w:pStyle w:val="style0"/>
        <w:jc w:val="both"/>
        <w:rPr/>
      </w:pPr>
      <w:r>
        <w:t>La mission avant de se retirer après une heure d’échange, a salué la disponibilité du premier responsable.</w:t>
      </w:r>
    </w:p>
    <w:p>
      <w:pPr>
        <w:pStyle w:val="style0"/>
        <w:jc w:val="both"/>
        <w:rPr/>
      </w:pPr>
      <w:r>
        <w:t xml:space="preserve"> </w:t>
      </w:r>
    </w:p>
    <w:p>
      <w:pPr>
        <w:pStyle w:val="style179"/>
        <w:numPr>
          <w:ilvl w:val="0"/>
          <w:numId w:val="20"/>
        </w:numPr>
        <w:spacing w:after="160" w:lineRule="auto" w:line="259"/>
        <w:jc w:val="both"/>
        <w:contextualSpacing/>
        <w:rPr>
          <w:b/>
        </w:rPr>
      </w:pPr>
      <w:r>
        <w:rPr>
          <w:b/>
        </w:rPr>
        <w:t xml:space="preserve">Rencontre avec le service de l’environnement de Yako </w:t>
      </w:r>
    </w:p>
    <w:p>
      <w:pPr>
        <w:pStyle w:val="style0"/>
        <w:jc w:val="both"/>
        <w:rPr/>
      </w:pPr>
      <w:r>
        <w:t xml:space="preserve">Le premier responsable absent nous a fait recevoir par l’intérimaire. </w:t>
      </w:r>
    </w:p>
    <w:p>
      <w:pPr>
        <w:pStyle w:val="style0"/>
        <w:jc w:val="both"/>
        <w:rPr/>
      </w:pPr>
      <w:r>
        <w:t>La même démarche a été suivie à cette rencontre. Bonne appréciation du projet mais que l’aménagement des 300ha aura un impact environnemental certain. Il est difficile aujourd’hui de défendre l’usage des pesticides dans la production agricole malgré les conséquences que cela engendre. Passer par des actions de sensibilisation des utilisateurs pour une meilleure utilisation des pesticides.</w:t>
      </w:r>
    </w:p>
    <w:p>
      <w:pPr>
        <w:pStyle w:val="style0"/>
        <w:jc w:val="both"/>
        <w:rPr/>
      </w:pPr>
    </w:p>
    <w:p>
      <w:pPr>
        <w:pStyle w:val="style179"/>
        <w:numPr>
          <w:ilvl w:val="0"/>
          <w:numId w:val="20"/>
        </w:numPr>
        <w:spacing w:after="160" w:lineRule="auto" w:line="259"/>
        <w:jc w:val="both"/>
        <w:contextualSpacing/>
        <w:rPr>
          <w:b/>
        </w:rPr>
      </w:pPr>
      <w:r>
        <w:rPr>
          <w:b/>
        </w:rPr>
        <w:t>Direction Provinciale des Ressources Animales et Halieutiques du Passoré</w:t>
      </w:r>
    </w:p>
    <w:p>
      <w:pPr>
        <w:pStyle w:val="style0"/>
        <w:jc w:val="both"/>
        <w:rPr/>
      </w:pPr>
      <w:r>
        <w:t>Dourou est un élément important pour l’élevage et les ressources halieutiques car sources d’abreuvement des animaux et des hommes. L’utilisation des pesticides inquiète car chaque année des cas de mortalité d’animaux sont enregistrés surtout en hivernage affectant ainsi le climat social. Les herbicides utilisés sur les pâturages et les plans d’eau, affectent les animaux, les poissons et les humains.</w:t>
      </w:r>
    </w:p>
    <w:p>
      <w:pPr>
        <w:pStyle w:val="style0"/>
        <w:jc w:val="both"/>
        <w:rPr/>
      </w:pPr>
      <w:r>
        <w:t xml:space="preserve">Ensemble, des actions de sensibilisation doivent être menées pour présenter aux producteurs les risques liés à l’utilisation abusive des pesticides.  </w:t>
      </w:r>
    </w:p>
    <w:p>
      <w:pPr>
        <w:pStyle w:val="style0"/>
        <w:jc w:val="both"/>
        <w:rPr/>
      </w:pPr>
    </w:p>
    <w:p>
      <w:pPr>
        <w:pStyle w:val="style179"/>
        <w:numPr>
          <w:ilvl w:val="0"/>
          <w:numId w:val="20"/>
        </w:numPr>
        <w:spacing w:after="160" w:lineRule="auto" w:line="259"/>
        <w:jc w:val="both"/>
        <w:contextualSpacing/>
        <w:rPr>
          <w:b/>
        </w:rPr>
      </w:pPr>
      <w:r>
        <w:rPr>
          <w:b/>
        </w:rPr>
        <w:t>Vendeur</w:t>
      </w:r>
      <w:r>
        <w:rPr>
          <w:b/>
        </w:rPr>
        <w:t>s</w:t>
      </w:r>
      <w:r>
        <w:rPr>
          <w:b/>
        </w:rPr>
        <w:t xml:space="preserve"> agréé</w:t>
      </w:r>
      <w:r>
        <w:rPr>
          <w:b/>
        </w:rPr>
        <w:t>s</w:t>
      </w:r>
      <w:r>
        <w:rPr>
          <w:b/>
        </w:rPr>
        <w:t xml:space="preserve"> de pesticides </w:t>
      </w:r>
    </w:p>
    <w:p>
      <w:pPr>
        <w:pStyle w:val="style0"/>
        <w:jc w:val="both"/>
        <w:rPr/>
      </w:pPr>
      <w:r>
        <w:t>Deux (2) vendeurs agréés de pesticides exercent à Yako et ont reçu notre visite. Un des deux est installé à Ouagadougou et a ouvert un dépôt non permanent dans la localité.</w:t>
      </w:r>
    </w:p>
    <w:p>
      <w:pPr>
        <w:pStyle w:val="style0"/>
        <w:jc w:val="both"/>
        <w:rPr/>
      </w:pPr>
    </w:p>
    <w:p>
      <w:pPr>
        <w:pStyle w:val="style0"/>
        <w:jc w:val="both"/>
        <w:rPr/>
      </w:pPr>
      <w:r>
        <w:t>Le vendeur permanent dispose d’une boutique à Yako assez fournie en pesticides (herbicides, insecticides, fongicides …) liquides ou poudreux et matériels divers utilisés pour les traitements. Tous les produits vendus ne sont pas homologués.</w:t>
      </w:r>
    </w:p>
    <w:p>
      <w:pPr>
        <w:pStyle w:val="style0"/>
        <w:jc w:val="both"/>
        <w:rPr/>
      </w:pPr>
      <w:r>
        <w:t>Il dit avoir bénéficié de formations des structures agrées (Saphyto, Prophyma.) il s’approvisionne depuis la capital.</w:t>
      </w:r>
    </w:p>
    <w:p>
      <w:pPr>
        <w:pStyle w:val="style0"/>
        <w:jc w:val="both"/>
        <w:rPr/>
      </w:pPr>
    </w:p>
    <w:p>
      <w:pPr>
        <w:pStyle w:val="style179"/>
        <w:numPr>
          <w:ilvl w:val="0"/>
          <w:numId w:val="20"/>
        </w:numPr>
        <w:spacing w:after="160" w:lineRule="auto" w:line="259"/>
        <w:jc w:val="both"/>
        <w:contextualSpacing/>
        <w:rPr>
          <w:b/>
        </w:rPr>
      </w:pPr>
      <w:r>
        <w:rPr>
          <w:b/>
        </w:rPr>
        <w:t xml:space="preserve">Vendeur non agréé </w:t>
      </w:r>
    </w:p>
    <w:p>
      <w:pPr>
        <w:pStyle w:val="style0"/>
        <w:jc w:val="both"/>
        <w:rPr/>
      </w:pPr>
      <w:r>
        <w:t xml:space="preserve">Plus d’une dizaine de vendeurs non agréée se retrouvent les jours de marché. Quelques permanents sont installés à la place du marché. La particularité est que les pesticides, les semences et les engrais sont présentés en vrac aux clients. </w:t>
      </w:r>
    </w:p>
    <w:p>
      <w:pPr>
        <w:pStyle w:val="style0"/>
        <w:jc w:val="both"/>
        <w:rPr/>
      </w:pPr>
    </w:p>
    <w:p>
      <w:pPr>
        <w:pStyle w:val="style179"/>
        <w:numPr>
          <w:ilvl w:val="0"/>
          <w:numId w:val="20"/>
        </w:numPr>
        <w:spacing w:after="160" w:lineRule="auto" w:line="259"/>
        <w:jc w:val="both"/>
        <w:contextualSpacing/>
        <w:rPr>
          <w:b/>
        </w:rPr>
      </w:pPr>
      <w:r>
        <w:rPr>
          <w:b/>
        </w:rPr>
        <w:t>Responsable du centre de santé de Dourou</w:t>
      </w:r>
    </w:p>
    <w:p>
      <w:pPr>
        <w:pStyle w:val="style0"/>
        <w:jc w:val="both"/>
        <w:rPr/>
      </w:pPr>
      <w:r>
        <w:t>L’aménagement pourrait être cause d’augmentation du paludisme dans la localité. Souhait de bénéficier de formation des agents de santé sur la prise en charge des cas d’intoxication aux pesticides. Le service de santé pourrait contribuer à la sensibilisation de la population à un meilleur usage des pesticides.</w:t>
      </w:r>
    </w:p>
    <w:p>
      <w:pPr>
        <w:pStyle w:val="style0"/>
        <w:jc w:val="both"/>
        <w:rPr/>
      </w:pPr>
      <w:r>
        <w:t>A ce jour, il n’est pas fait cas d’intoxication aux pesticides admis au centre de centre de Dourou.</w:t>
      </w:r>
    </w:p>
    <w:p>
      <w:pPr>
        <w:pStyle w:val="style0"/>
        <w:jc w:val="both"/>
        <w:rPr/>
      </w:pPr>
    </w:p>
    <w:p>
      <w:pPr>
        <w:pStyle w:val="style179"/>
        <w:numPr>
          <w:ilvl w:val="0"/>
          <w:numId w:val="20"/>
        </w:numPr>
        <w:spacing w:after="160" w:lineRule="auto" w:line="259"/>
        <w:jc w:val="both"/>
        <w:contextualSpacing/>
        <w:rPr>
          <w:b/>
        </w:rPr>
      </w:pPr>
      <w:r>
        <w:rPr>
          <w:b/>
        </w:rPr>
        <w:t>Chef coutumier</w:t>
      </w:r>
      <w:r>
        <w:rPr>
          <w:b/>
        </w:rPr>
        <w:t xml:space="preserve"> de Dourou</w:t>
      </w:r>
    </w:p>
    <w:p>
      <w:pPr>
        <w:pStyle w:val="style0"/>
        <w:jc w:val="both"/>
        <w:rPr/>
      </w:pPr>
      <w:r>
        <w:t>Entouré de ses notables, le chef coutumier a reçu la mission. Des échanges avec lui, il est établi que la situation des pesticides à Dourou est préoccupante. Qu’une bonne sensibilisation avec des canaux appropriés est nécessaire pour un changement des comportements. Il propose des projections vidéos comme meilleur moyen pour toucher les cibles. Il n’a pas été enregistré des cas d’intoxication aux pesticides jusque-là, mais il dit craindre pour le futur.</w:t>
      </w:r>
    </w:p>
    <w:p>
      <w:pPr>
        <w:pStyle w:val="style0"/>
        <w:jc w:val="both"/>
        <w:rPr/>
      </w:pPr>
    </w:p>
    <w:p>
      <w:pPr>
        <w:pStyle w:val="style179"/>
        <w:numPr>
          <w:ilvl w:val="0"/>
          <w:numId w:val="20"/>
        </w:numPr>
        <w:spacing w:after="160" w:lineRule="auto" w:line="259"/>
        <w:jc w:val="both"/>
        <w:contextualSpacing/>
        <w:rPr>
          <w:b/>
        </w:rPr>
      </w:pPr>
      <w:r>
        <w:rPr>
          <w:b/>
        </w:rPr>
        <w:t>Agent UAT</w:t>
      </w:r>
    </w:p>
    <w:p>
      <w:pPr>
        <w:pStyle w:val="style0"/>
        <w:jc w:val="both"/>
        <w:rPr/>
      </w:pPr>
      <w:r>
        <w:t xml:space="preserve">L’agent d’agriculture, chargé de l’encadrement technique des producteurs du site de Dourou dit être préoccupé par l’utilisation abusive des pesticides tout précisément l’emploi des herbicides tout venants en hivernage. </w:t>
      </w:r>
    </w:p>
    <w:p>
      <w:pPr>
        <w:pStyle w:val="style0"/>
        <w:jc w:val="both"/>
        <w:rPr/>
      </w:pPr>
      <w:r>
        <w:t xml:space="preserve">Il dit n’avoir pas reçu une formation spécifique sur la connaissance et l’utilisation des pesticides. </w:t>
      </w:r>
    </w:p>
    <w:p>
      <w:pPr>
        <w:pStyle w:val="style0"/>
        <w:jc w:val="both"/>
        <w:rPr/>
      </w:pPr>
      <w:r>
        <w:t>Les actions qu’il mène sont entre autres la sensibilisation pour les bonnes pratiques agricoles, la formation et les démonstrations et suivi technique.</w:t>
      </w:r>
    </w:p>
    <w:p>
      <w:pPr>
        <w:pStyle w:val="style0"/>
        <w:jc w:val="both"/>
        <w:rPr/>
      </w:pPr>
      <w:r>
        <w:t xml:space="preserve">Il souhaite que le nombre d’agents chargés d’accompagner les producteurs soit revu à la hausse et bénéficier de formations sur la gestion des pesticides et être doté de moyens adéquats de déplacement. </w:t>
      </w:r>
    </w:p>
    <w:p>
      <w:pPr>
        <w:pStyle w:val="style0"/>
        <w:spacing w:after="160" w:lineRule="auto" w:line="259"/>
        <w:rPr/>
      </w:pPr>
      <w:r>
        <w:br w:type="page"/>
      </w:r>
    </w:p>
    <w:p>
      <w:pPr>
        <w:pStyle w:val="style0"/>
        <w:jc w:val="both"/>
        <w:rPr/>
      </w:pPr>
    </w:p>
    <w:p>
      <w:pPr>
        <w:pStyle w:val="style179"/>
        <w:numPr>
          <w:ilvl w:val="0"/>
          <w:numId w:val="20"/>
        </w:numPr>
        <w:spacing w:after="160" w:lineRule="auto" w:line="259"/>
        <w:jc w:val="both"/>
        <w:contextualSpacing/>
        <w:rPr>
          <w:b/>
        </w:rPr>
      </w:pPr>
      <w:r>
        <w:rPr>
          <w:b/>
        </w:rPr>
        <w:t>CVD et conseiller</w:t>
      </w:r>
      <w:r>
        <w:rPr>
          <w:b/>
        </w:rPr>
        <w:t>s</w:t>
      </w:r>
    </w:p>
    <w:p>
      <w:pPr>
        <w:pStyle w:val="style0"/>
        <w:jc w:val="both"/>
        <w:rPr/>
      </w:pPr>
      <w:r>
        <w:t xml:space="preserve">Pour les pesticides, ils souhaitent que les pesticides soient disponibles et être à leur portée à Dourou et qu’il ne soit vendu que des produits homologués. Ils souhaitent que les préoccupations des populations soient prises en compte avant, pendant et après l’aménagement du site. </w:t>
      </w:r>
    </w:p>
    <w:p>
      <w:pPr>
        <w:pStyle w:val="style179"/>
        <w:jc w:val="both"/>
        <w:rPr/>
      </w:pPr>
    </w:p>
    <w:p>
      <w:pPr>
        <w:pStyle w:val="style179"/>
        <w:numPr>
          <w:ilvl w:val="0"/>
          <w:numId w:val="20"/>
        </w:numPr>
        <w:spacing w:after="160" w:lineRule="auto" w:line="259"/>
        <w:jc w:val="both"/>
        <w:contextualSpacing/>
        <w:rPr>
          <w:b/>
        </w:rPr>
      </w:pPr>
      <w:r>
        <w:rPr>
          <w:b/>
        </w:rPr>
        <w:t xml:space="preserve">Groupe de </w:t>
      </w:r>
      <w:r>
        <w:rPr>
          <w:b/>
        </w:rPr>
        <w:t>p</w:t>
      </w:r>
      <w:r>
        <w:rPr>
          <w:b/>
        </w:rPr>
        <w:t>roducteurs rencontrés</w:t>
      </w:r>
    </w:p>
    <w:p>
      <w:pPr>
        <w:pStyle w:val="style0"/>
        <w:jc w:val="both"/>
        <w:rPr/>
      </w:pPr>
      <w:r>
        <w:t xml:space="preserve">La mission a été introduite auprès du groupe de producteurs et productrices par l’agent </w:t>
      </w:r>
      <w:r>
        <w:t xml:space="preserve">d’agriculture.  Des échanges avec les producteurs, on peut retenir ceci : </w:t>
      </w:r>
    </w:p>
    <w:p>
      <w:pPr>
        <w:pStyle w:val="style0"/>
        <w:jc w:val="both"/>
        <w:rPr/>
      </w:pPr>
      <w:r>
        <w:t>Le site en aval du barrage est exploité par un groupement de 25 hommes et 25 femmes</w:t>
      </w:r>
      <w:r>
        <w:rPr>
          <w:rStyle w:val="style39"/>
          <w:sz w:val="22"/>
          <w:szCs w:val="22"/>
        </w:rPr>
        <w:t xml:space="preserve">. le site est exploité en hivernage </w:t>
      </w:r>
      <w:r>
        <w:t>comme en  saison sèche</w:t>
      </w:r>
      <w:r>
        <w:t>.</w:t>
      </w:r>
      <w:r>
        <w:t xml:space="preserve"> </w:t>
      </w:r>
      <w:r>
        <w:t>Les principales spéculations, en saison humide sont : maïs, sorgho, niébé, sésame, riz, arachide et vouandzou.</w:t>
      </w:r>
      <w:r>
        <w:t xml:space="preserve"> </w:t>
      </w:r>
      <w:r>
        <w:t>En saison sèche, les cultures maraichères sont dominantes : tomate, oignon, chou, haricot vert, aubergine, courgette, concombre et pomme de terre.</w:t>
      </w:r>
    </w:p>
    <w:p>
      <w:pPr>
        <w:pStyle w:val="style0"/>
        <w:jc w:val="both"/>
        <w:rPr/>
      </w:pPr>
    </w:p>
    <w:p>
      <w:pPr>
        <w:pStyle w:val="style0"/>
        <w:jc w:val="both"/>
        <w:rPr/>
      </w:pPr>
      <w:r>
        <w:t xml:space="preserve">Les cultures fruitières sont : des vergers de bananier, de papayer et quelques manguiers. </w:t>
      </w:r>
    </w:p>
    <w:p>
      <w:pPr>
        <w:pStyle w:val="style179"/>
        <w:numPr>
          <w:ilvl w:val="0"/>
          <w:numId w:val="51"/>
        </w:numPr>
        <w:spacing w:after="160" w:lineRule="auto" w:line="259"/>
        <w:jc w:val="both"/>
        <w:contextualSpacing/>
        <w:rPr/>
      </w:pPr>
      <w:r>
        <w:t xml:space="preserve">Les pesticides (herbicides et insecticides) utilisés sont importants pour accroitre les superficies cultivées et lutter contre les nuisibles des cultures.  </w:t>
      </w:r>
    </w:p>
    <w:p>
      <w:pPr>
        <w:pStyle w:val="style179"/>
        <w:numPr>
          <w:ilvl w:val="0"/>
          <w:numId w:val="51"/>
        </w:numPr>
        <w:spacing w:after="160" w:lineRule="auto" w:line="259"/>
        <w:jc w:val="both"/>
        <w:contextualSpacing/>
        <w:rPr/>
      </w:pPr>
      <w:r>
        <w:t>Les herbicides utilisés sont : Gramoxone super, Aligator</w:t>
      </w:r>
      <w:r>
        <w:t>, etc</w:t>
      </w:r>
      <w:r>
        <w:t>.</w:t>
      </w:r>
    </w:p>
    <w:p>
      <w:pPr>
        <w:pStyle w:val="style179"/>
        <w:numPr>
          <w:ilvl w:val="0"/>
          <w:numId w:val="51"/>
        </w:numPr>
        <w:spacing w:after="160" w:lineRule="auto" w:line="259"/>
        <w:jc w:val="both"/>
        <w:contextualSpacing/>
        <w:rPr/>
      </w:pPr>
      <w:r>
        <w:t>Les insecticides sont : Lamda super, Caiman, Pacha</w:t>
      </w:r>
      <w:r>
        <w:t>, etc</w:t>
      </w:r>
      <w:r>
        <w:t>.</w:t>
      </w:r>
    </w:p>
    <w:p>
      <w:pPr>
        <w:pStyle w:val="style179"/>
        <w:numPr>
          <w:ilvl w:val="0"/>
          <w:numId w:val="51"/>
        </w:numPr>
        <w:spacing w:after="160" w:lineRule="auto" w:line="259"/>
        <w:jc w:val="both"/>
        <w:contextualSpacing/>
        <w:rPr/>
      </w:pPr>
      <w:r>
        <w:t>Les principaux nuisibles rencontrés sont : les chenilles, les criquets, les pucerons</w:t>
      </w:r>
      <w:r>
        <w:t>, etc</w:t>
      </w:r>
      <w:r>
        <w:t>.</w:t>
      </w:r>
    </w:p>
    <w:p>
      <w:pPr>
        <w:pStyle w:val="style179"/>
        <w:numPr>
          <w:ilvl w:val="0"/>
          <w:numId w:val="51"/>
        </w:numPr>
        <w:spacing w:after="160" w:lineRule="auto" w:line="259"/>
        <w:jc w:val="both"/>
        <w:contextualSpacing/>
        <w:rPr/>
      </w:pPr>
      <w:r>
        <w:t>Des symptômes de maladies sont constatés sur les feuilles gombo, aubergine, poivron, concombre (recroquevillée, jaunissement). Pourriture des bulbes d’oignon.</w:t>
      </w:r>
    </w:p>
    <w:p>
      <w:pPr>
        <w:pStyle w:val="style0"/>
        <w:jc w:val="both"/>
        <w:rPr>
          <w:u w:val="single"/>
        </w:rPr>
      </w:pPr>
      <w:r>
        <w:rPr>
          <w:u w:val="single"/>
        </w:rPr>
        <w:t>Ces informations nous été fournies par les producteurs pendant la consultation publique</w:t>
      </w:r>
    </w:p>
    <w:p>
      <w:pPr>
        <w:pStyle w:val="style0"/>
        <w:jc w:val="both"/>
        <w:rPr/>
      </w:pPr>
      <w:r>
        <w:t>Les hommes comme les femmes utilisent les pesticides dans leur parcelle de cultures. Tous sont conscients des risques. Risques de maladies, même la mort, disent-ils, la destruction du sol, la destruction de l’environnement.</w:t>
      </w:r>
      <w:r>
        <w:t xml:space="preserve"> </w:t>
      </w:r>
      <w:r>
        <w:t>Ils souhaitent des formations sur l’utilisation des pesticides pour connaitre les ravageurs de leurs cultures, les produits efficaces à utiliser, les doses d’emploi. Ils souhaitent également la réduction des prix des produits homologués et un meilleur encadrement des producteurs afin de minimiser la prolifération des produits non autorisés dans les marchés.</w:t>
      </w:r>
    </w:p>
    <w:p>
      <w:pPr>
        <w:pStyle w:val="style0"/>
        <w:jc w:val="both"/>
        <w:rPr/>
      </w:pPr>
    </w:p>
    <w:p>
      <w:pPr>
        <w:pStyle w:val="style179"/>
        <w:numPr>
          <w:ilvl w:val="0"/>
          <w:numId w:val="20"/>
        </w:numPr>
        <w:spacing w:after="160" w:lineRule="auto" w:line="259"/>
        <w:jc w:val="both"/>
        <w:contextualSpacing/>
        <w:rPr>
          <w:b/>
        </w:rPr>
      </w:pPr>
      <w:r>
        <w:rPr>
          <w:b/>
        </w:rPr>
        <w:t>Maire de la commune de Kirsi</w:t>
      </w:r>
    </w:p>
    <w:p>
      <w:pPr>
        <w:pStyle w:val="style0"/>
        <w:jc w:val="both"/>
        <w:rPr/>
      </w:pPr>
      <w:r>
        <w:t xml:space="preserve">L’aménagement du site créera des emplois au profit des populations, ce qui poussera le retour des jeunes des mines d’or. Le constat que l’on fait, est qu’il y a une utilisation abusive des pesticides pour la production dans la zone. Pire, c’est l’utilisation des produits non autorisés.  Il faut que les premières autorités du pays t prennent des décisions fermes pour empêcher la pénétration des produits contrefaits non autorisés. En attendant la sensibilisation des acteurs des utilisateurs seront déployée.  </w:t>
      </w:r>
    </w:p>
    <w:p>
      <w:pPr>
        <w:pStyle w:val="style179"/>
        <w:jc w:val="both"/>
        <w:rPr/>
      </w:pPr>
    </w:p>
    <w:p>
      <w:pPr>
        <w:pStyle w:val="style179"/>
        <w:numPr>
          <w:ilvl w:val="0"/>
          <w:numId w:val="20"/>
        </w:numPr>
        <w:spacing w:lineRule="auto" w:line="259"/>
        <w:jc w:val="both"/>
        <w:contextualSpacing/>
        <w:rPr>
          <w:b/>
        </w:rPr>
      </w:pPr>
      <w:r>
        <w:rPr>
          <w:b/>
        </w:rPr>
        <w:t>Préfet de Kirsi</w:t>
      </w:r>
    </w:p>
    <w:p>
      <w:pPr>
        <w:pStyle w:val="style0"/>
        <w:jc w:val="both"/>
        <w:rPr/>
      </w:pPr>
      <w:r>
        <w:t xml:space="preserve">Il pense que la sensibilisation doit se poursuivre pour montrer aux utilisateurs et aux consommateurs les risques liés à leur pratique. Le contrôle suivi du retrait des produits non autorisés sera à entreprendre. Il dit être prêt à accueillir cet aménagement qui offrira en toute saison des produits maraichers en abondance. </w:t>
      </w:r>
    </w:p>
    <w:p>
      <w:pPr>
        <w:pStyle w:val="style0"/>
        <w:jc w:val="both"/>
        <w:rPr/>
      </w:pPr>
    </w:p>
    <w:p>
      <w:pPr>
        <w:pStyle w:val="style179"/>
        <w:spacing w:after="160" w:lineRule="auto" w:line="259"/>
        <w:ind w:left="0"/>
        <w:jc w:val="both"/>
        <w:contextualSpacing/>
        <w:rPr>
          <w:b/>
          <w:sz w:val="23"/>
          <w:szCs w:val="23"/>
        </w:rPr>
      </w:pPr>
      <w:r>
        <w:rPr>
          <w:b/>
          <w:sz w:val="23"/>
          <w:szCs w:val="23"/>
        </w:rPr>
        <w:t>COORDONNEES DES POINTS D’INTERET RELEVES SUR LE TERRAIN</w:t>
      </w:r>
    </w:p>
    <w:p>
      <w:pPr>
        <w:pStyle w:val="style0"/>
        <w:ind w:left="360"/>
        <w:jc w:val="both"/>
        <w:rPr>
          <w:b/>
          <w:sz w:val="23"/>
          <w:szCs w:val="23"/>
        </w:rPr>
      </w:pPr>
      <w:r>
        <w:rPr>
          <w:b/>
          <w:sz w:val="23"/>
          <w:szCs w:val="23"/>
        </w:rPr>
        <w:t xml:space="preserve">Tableau </w:t>
      </w:r>
      <w:r>
        <w:rPr>
          <w:b/>
          <w:sz w:val="23"/>
          <w:szCs w:val="23"/>
        </w:rPr>
        <w:t>1</w:t>
      </w:r>
      <w:r>
        <w:rPr>
          <w:b/>
          <w:sz w:val="23"/>
          <w:szCs w:val="23"/>
        </w:rPr>
        <w:t> </w:t>
      </w:r>
      <w:r>
        <w:rPr>
          <w:b/>
          <w:sz w:val="23"/>
          <w:szCs w:val="23"/>
        </w:rPr>
        <w:t>: Coordonnées GPS de quelques points d'intérêts identifiés sur le site de Dourou</w:t>
      </w:r>
    </w:p>
    <w:tbl>
      <w:tblPr>
        <w:tblW w:w="9059" w:type="dxa"/>
        <w:tblInd w:w="75" w:type="dxa"/>
        <w:tblCellMar>
          <w:left w:w="70" w:type="dxa"/>
          <w:right w:w="70" w:type="dxa"/>
        </w:tblCellMar>
        <w:tblLook w:val="04A0" w:firstRow="1" w:lastRow="0" w:firstColumn="1" w:lastColumn="0" w:noHBand="0" w:noVBand="1"/>
      </w:tblPr>
      <w:tblGrid>
        <w:gridCol w:w="1657"/>
        <w:gridCol w:w="2872"/>
        <w:gridCol w:w="2099"/>
        <w:gridCol w:w="2431"/>
      </w:tblGrid>
      <w:tr>
        <w:trPr>
          <w:trHeight w:val="302" w:hRule="atLeast"/>
        </w:trPr>
        <w:tc>
          <w:tcPr>
            <w:tcW w:w="1657" w:type="dxa"/>
            <w:tcBorders>
              <w:top w:val="nil"/>
              <w:left w:val="nil"/>
              <w:bottom w:val="nil"/>
              <w:right w:val="nil"/>
            </w:tcBorders>
            <w:shd w:val="clear" w:color="auto" w:fill="bfbfbf"/>
            <w:noWrap/>
            <w:vAlign w:val="bottom"/>
            <w:hideMark/>
          </w:tcPr>
          <w:p>
            <w:pPr>
              <w:pStyle w:val="style0"/>
              <w:rPr>
                <w:sz w:val="23"/>
                <w:szCs w:val="23"/>
              </w:rPr>
            </w:pPr>
          </w:p>
        </w:tc>
        <w:tc>
          <w:tcPr>
            <w:tcW w:w="2872" w:type="dxa"/>
            <w:tcBorders>
              <w:top w:val="nil"/>
              <w:left w:val="nil"/>
              <w:bottom w:val="nil"/>
              <w:right w:val="nil"/>
            </w:tcBorders>
            <w:shd w:val="clear" w:color="auto" w:fill="bfbfbf"/>
            <w:noWrap/>
            <w:vAlign w:val="bottom"/>
            <w:hideMark/>
          </w:tcPr>
          <w:p>
            <w:pPr>
              <w:pStyle w:val="style0"/>
              <w:jc w:val="center"/>
              <w:rPr>
                <w:sz w:val="23"/>
                <w:szCs w:val="23"/>
              </w:rPr>
            </w:pPr>
          </w:p>
        </w:tc>
        <w:tc>
          <w:tcPr>
            <w:tcW w:w="453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pPr>
              <w:pStyle w:val="style0"/>
              <w:jc w:val="center"/>
              <w:rPr>
                <w:b/>
                <w:bCs/>
                <w:color w:val="000000"/>
                <w:sz w:val="23"/>
                <w:szCs w:val="23"/>
              </w:rPr>
            </w:pPr>
            <w:r>
              <w:rPr>
                <w:b/>
                <w:bCs/>
                <w:color w:val="000000"/>
                <w:sz w:val="23"/>
                <w:szCs w:val="23"/>
              </w:rPr>
              <w:t>Coordonnées GPS</w:t>
            </w:r>
          </w:p>
        </w:tc>
      </w:tr>
      <w:tr>
        <w:tblPrEx/>
        <w:trPr>
          <w:trHeight w:val="302" w:hRule="atLeast"/>
        </w:trPr>
        <w:tc>
          <w:tcPr>
            <w:tcW w:w="1657"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pPr>
              <w:pStyle w:val="style0"/>
              <w:jc w:val="center"/>
              <w:rPr>
                <w:b/>
                <w:bCs/>
                <w:color w:val="000000"/>
                <w:sz w:val="23"/>
                <w:szCs w:val="23"/>
              </w:rPr>
            </w:pPr>
            <w:r>
              <w:rPr>
                <w:b/>
                <w:bCs/>
                <w:color w:val="000000"/>
                <w:sz w:val="23"/>
                <w:szCs w:val="23"/>
              </w:rPr>
              <w:t xml:space="preserve">Ordre </w:t>
            </w:r>
          </w:p>
        </w:tc>
        <w:tc>
          <w:tcPr>
            <w:tcW w:w="2872" w:type="dxa"/>
            <w:tcBorders>
              <w:top w:val="single" w:sz="4" w:space="0" w:color="auto"/>
              <w:left w:val="nil"/>
              <w:bottom w:val="single" w:sz="4" w:space="0" w:color="auto"/>
              <w:right w:val="single" w:sz="4" w:space="0" w:color="auto"/>
            </w:tcBorders>
            <w:shd w:val="clear" w:color="auto" w:fill="bfbfbf"/>
            <w:noWrap/>
            <w:vAlign w:val="bottom"/>
            <w:hideMark/>
          </w:tcPr>
          <w:p>
            <w:pPr>
              <w:pStyle w:val="style0"/>
              <w:jc w:val="center"/>
              <w:rPr>
                <w:b/>
                <w:bCs/>
                <w:color w:val="000000"/>
                <w:sz w:val="23"/>
                <w:szCs w:val="23"/>
              </w:rPr>
            </w:pPr>
            <w:r>
              <w:rPr>
                <w:b/>
                <w:bCs/>
                <w:color w:val="000000"/>
                <w:sz w:val="23"/>
                <w:szCs w:val="23"/>
              </w:rPr>
              <w:t>Sites</w:t>
            </w:r>
          </w:p>
        </w:tc>
        <w:tc>
          <w:tcPr>
            <w:tcW w:w="2099" w:type="dxa"/>
            <w:tcBorders>
              <w:top w:val="nil"/>
              <w:left w:val="nil"/>
              <w:bottom w:val="single" w:sz="4" w:space="0" w:color="auto"/>
              <w:right w:val="single" w:sz="4" w:space="0" w:color="auto"/>
            </w:tcBorders>
            <w:shd w:val="clear" w:color="auto" w:fill="bfbfbf"/>
            <w:noWrap/>
            <w:vAlign w:val="bottom"/>
            <w:hideMark/>
          </w:tcPr>
          <w:p>
            <w:pPr>
              <w:pStyle w:val="style0"/>
              <w:jc w:val="center"/>
              <w:rPr>
                <w:b/>
                <w:bCs/>
                <w:color w:val="000000"/>
                <w:sz w:val="23"/>
                <w:szCs w:val="23"/>
              </w:rPr>
            </w:pPr>
            <w:r>
              <w:rPr>
                <w:b/>
                <w:bCs/>
                <w:color w:val="000000"/>
                <w:sz w:val="23"/>
                <w:szCs w:val="23"/>
              </w:rPr>
              <w:t>X</w:t>
            </w:r>
          </w:p>
        </w:tc>
        <w:tc>
          <w:tcPr>
            <w:tcW w:w="2430" w:type="dxa"/>
            <w:tcBorders>
              <w:top w:val="nil"/>
              <w:left w:val="nil"/>
              <w:bottom w:val="single" w:sz="4" w:space="0" w:color="auto"/>
              <w:right w:val="single" w:sz="4" w:space="0" w:color="auto"/>
            </w:tcBorders>
            <w:shd w:val="clear" w:color="auto" w:fill="bfbfbf"/>
            <w:noWrap/>
            <w:vAlign w:val="bottom"/>
            <w:hideMark/>
          </w:tcPr>
          <w:p>
            <w:pPr>
              <w:pStyle w:val="style0"/>
              <w:jc w:val="center"/>
              <w:rPr>
                <w:b/>
                <w:bCs/>
                <w:color w:val="000000"/>
                <w:sz w:val="23"/>
                <w:szCs w:val="23"/>
              </w:rPr>
            </w:pPr>
            <w:r>
              <w:rPr>
                <w:b/>
                <w:bCs/>
                <w:color w:val="000000"/>
                <w:sz w:val="23"/>
                <w:szCs w:val="23"/>
              </w:rPr>
              <w:t>Y</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Site sacré (Baontenga)</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603173</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1438228</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2</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Site sacré (Kazimtensé)</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603179</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1438001</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3</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Site sacré (Goundritensé)</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605492</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1438422</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4</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Tombeau</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603114</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1437751</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5</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Tombeau</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603053</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1437734</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6</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Tombeau</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603017</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1437722</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7</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Cimetière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602998</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1437868</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8</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Cimetière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603085</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1438088</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9</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Cimetière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603064</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1438188</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10</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603137</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1436540</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11</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600196</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1440411</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12</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601061</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1436231</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13</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602624</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1436285</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14</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604761</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1436938</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15</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Habitation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605504</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1438189</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16</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Ecole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602845</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1436565</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17</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CSPS</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602599</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1436654</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18</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Culture d'oignon</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602211</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1439207</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19</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 xml:space="preserve">Culture de banane </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601976</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1440554</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20</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Culture d'aubergine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601939</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1440812</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21</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Point d'abreuvement</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601477</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1438023</w:t>
            </w:r>
          </w:p>
        </w:tc>
      </w:tr>
      <w:tr>
        <w:tblPrEx/>
        <w:trPr>
          <w:trHeight w:val="302" w:hRule="atLeast"/>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pPr>
              <w:pStyle w:val="style0"/>
              <w:jc w:val="center"/>
              <w:rPr>
                <w:color w:val="000000"/>
                <w:sz w:val="23"/>
                <w:szCs w:val="23"/>
              </w:rPr>
            </w:pPr>
            <w:r>
              <w:rPr>
                <w:color w:val="000000"/>
                <w:sz w:val="23"/>
                <w:szCs w:val="23"/>
              </w:rPr>
              <w:t>22</w:t>
            </w:r>
          </w:p>
        </w:tc>
        <w:tc>
          <w:tcPr>
            <w:tcW w:w="2872" w:type="dxa"/>
            <w:tcBorders>
              <w:top w:val="nil"/>
              <w:left w:val="nil"/>
              <w:bottom w:val="single" w:sz="4" w:space="0" w:color="auto"/>
              <w:right w:val="single" w:sz="4" w:space="0" w:color="auto"/>
            </w:tcBorders>
            <w:shd w:val="clear" w:color="auto" w:fill="auto"/>
            <w:noWrap/>
            <w:vAlign w:val="bottom"/>
            <w:hideMark/>
          </w:tcPr>
          <w:p>
            <w:pPr>
              <w:pStyle w:val="style0"/>
              <w:rPr>
                <w:color w:val="000000"/>
                <w:sz w:val="23"/>
                <w:szCs w:val="23"/>
              </w:rPr>
            </w:pPr>
            <w:r>
              <w:rPr>
                <w:color w:val="000000"/>
                <w:sz w:val="23"/>
                <w:szCs w:val="23"/>
              </w:rPr>
              <w:t>Digue du barrage</w:t>
            </w:r>
          </w:p>
        </w:tc>
        <w:tc>
          <w:tcPr>
            <w:tcW w:w="2099"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601840</w:t>
            </w:r>
          </w:p>
        </w:tc>
        <w:tc>
          <w:tcPr>
            <w:tcW w:w="2430" w:type="dxa"/>
            <w:tcBorders>
              <w:top w:val="nil"/>
              <w:left w:val="nil"/>
              <w:bottom w:val="single" w:sz="4" w:space="0" w:color="auto"/>
              <w:right w:val="single" w:sz="4" w:space="0" w:color="auto"/>
            </w:tcBorders>
            <w:shd w:val="clear" w:color="auto" w:fill="auto"/>
            <w:noWrap/>
            <w:vAlign w:val="bottom"/>
            <w:hideMark/>
          </w:tcPr>
          <w:p>
            <w:pPr>
              <w:pStyle w:val="style0"/>
              <w:jc w:val="right"/>
              <w:rPr>
                <w:color w:val="000000"/>
                <w:sz w:val="23"/>
                <w:szCs w:val="23"/>
              </w:rPr>
            </w:pPr>
            <w:r>
              <w:rPr>
                <w:color w:val="000000"/>
                <w:sz w:val="23"/>
                <w:szCs w:val="23"/>
              </w:rPr>
              <w:t>1440684</w:t>
            </w:r>
          </w:p>
        </w:tc>
      </w:tr>
    </w:tbl>
    <w:p>
      <w:pPr>
        <w:pStyle w:val="style0"/>
        <w:rPr/>
      </w:pPr>
    </w:p>
    <w:p>
      <w:pPr>
        <w:pStyle w:val="style179"/>
        <w:spacing w:after="160" w:lineRule="auto" w:line="259"/>
        <w:ind w:left="0"/>
        <w:jc w:val="both"/>
        <w:contextualSpacing/>
        <w:rPr>
          <w:b/>
        </w:rPr>
      </w:pPr>
      <w:r>
        <w:rPr>
          <w:b/>
        </w:rPr>
        <w:t xml:space="preserve">Liste des parties prenantes rencontrées à </w:t>
      </w:r>
      <w:r>
        <w:rPr>
          <w:b/>
        </w:rPr>
        <w:t>YAKO / DOUROU</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2892"/>
      </w:tblGrid>
      <w:tr>
        <w:trPr/>
        <w:tc>
          <w:tcPr>
            <w:tcW w:w="1812" w:type="dxa"/>
            <w:tcBorders/>
            <w:shd w:val="clear" w:color="auto" w:fill="auto"/>
          </w:tcPr>
          <w:p>
            <w:pPr>
              <w:pStyle w:val="style0"/>
              <w:jc w:val="both"/>
              <w:rPr>
                <w:b/>
              </w:rPr>
            </w:pPr>
            <w:r>
              <w:rPr>
                <w:b/>
              </w:rPr>
              <w:t>Date</w:t>
            </w:r>
          </w:p>
        </w:tc>
        <w:tc>
          <w:tcPr>
            <w:tcW w:w="1812" w:type="dxa"/>
            <w:tcBorders/>
            <w:shd w:val="clear" w:color="auto" w:fill="auto"/>
          </w:tcPr>
          <w:p>
            <w:pPr>
              <w:pStyle w:val="style0"/>
              <w:jc w:val="both"/>
              <w:rPr>
                <w:b/>
              </w:rPr>
            </w:pPr>
            <w:r>
              <w:rPr>
                <w:b/>
              </w:rPr>
              <w:t>Localité</w:t>
            </w:r>
          </w:p>
        </w:tc>
        <w:tc>
          <w:tcPr>
            <w:tcW w:w="2892" w:type="dxa"/>
            <w:tcBorders/>
            <w:shd w:val="clear" w:color="auto" w:fill="auto"/>
          </w:tcPr>
          <w:p>
            <w:pPr>
              <w:pStyle w:val="style0"/>
              <w:jc w:val="both"/>
              <w:rPr>
                <w:b/>
              </w:rPr>
            </w:pPr>
            <w:r>
              <w:rPr>
                <w:b/>
              </w:rPr>
              <w:t>Parties prenantes</w:t>
            </w:r>
          </w:p>
        </w:tc>
      </w:tr>
      <w:tr>
        <w:tblPrEx/>
        <w:trPr/>
        <w:tc>
          <w:tcPr>
            <w:tcW w:w="1812" w:type="dxa"/>
            <w:tcBorders/>
            <w:shd w:val="clear" w:color="auto" w:fill="auto"/>
          </w:tcPr>
          <w:p>
            <w:pPr>
              <w:pStyle w:val="style0"/>
              <w:jc w:val="both"/>
              <w:rPr/>
            </w:pPr>
            <w:r>
              <w:t>07/01/2019</w:t>
            </w:r>
          </w:p>
        </w:tc>
        <w:tc>
          <w:tcPr>
            <w:tcW w:w="1812" w:type="dxa"/>
            <w:tcBorders/>
            <w:shd w:val="clear" w:color="auto" w:fill="auto"/>
          </w:tcPr>
          <w:p>
            <w:pPr>
              <w:pStyle w:val="style0"/>
              <w:jc w:val="both"/>
              <w:rPr/>
            </w:pPr>
            <w:r>
              <w:t>Yako</w:t>
            </w:r>
          </w:p>
        </w:tc>
        <w:tc>
          <w:tcPr>
            <w:tcW w:w="2892" w:type="dxa"/>
            <w:tcBorders/>
            <w:shd w:val="clear" w:color="auto" w:fill="auto"/>
          </w:tcPr>
          <w:p>
            <w:pPr>
              <w:pStyle w:val="style0"/>
              <w:jc w:val="both"/>
              <w:rPr/>
            </w:pPr>
            <w:r>
              <w:t>DPAAH</w:t>
            </w:r>
          </w:p>
        </w:tc>
      </w:tr>
      <w:tr>
        <w:tblPrEx/>
        <w:trPr/>
        <w:tc>
          <w:tcPr>
            <w:tcW w:w="1812" w:type="dxa"/>
            <w:tcBorders/>
            <w:shd w:val="clear" w:color="auto" w:fill="auto"/>
          </w:tcPr>
          <w:p>
            <w:pPr>
              <w:pStyle w:val="style0"/>
              <w:jc w:val="both"/>
              <w:rPr/>
            </w:pPr>
            <w:r>
              <w:t>07/01/2019</w:t>
            </w:r>
          </w:p>
        </w:tc>
        <w:tc>
          <w:tcPr>
            <w:tcW w:w="1812" w:type="dxa"/>
            <w:tcBorders/>
            <w:shd w:val="clear" w:color="auto" w:fill="auto"/>
          </w:tcPr>
          <w:p>
            <w:pPr>
              <w:pStyle w:val="style0"/>
              <w:jc w:val="both"/>
              <w:rPr/>
            </w:pPr>
            <w:r>
              <w:t>Yako</w:t>
            </w:r>
          </w:p>
        </w:tc>
        <w:tc>
          <w:tcPr>
            <w:tcW w:w="2892" w:type="dxa"/>
            <w:tcBorders/>
            <w:shd w:val="clear" w:color="auto" w:fill="auto"/>
          </w:tcPr>
          <w:p>
            <w:pPr>
              <w:pStyle w:val="style0"/>
              <w:jc w:val="both"/>
              <w:rPr/>
            </w:pPr>
            <w:r>
              <w:t>DPEEVCC</w:t>
            </w:r>
          </w:p>
        </w:tc>
      </w:tr>
      <w:tr>
        <w:tblPrEx/>
        <w:trPr/>
        <w:tc>
          <w:tcPr>
            <w:tcW w:w="1812" w:type="dxa"/>
            <w:vMerge w:val="restart"/>
            <w:tcBorders/>
            <w:shd w:val="clear" w:color="auto" w:fill="auto"/>
            <w:vAlign w:val="center"/>
          </w:tcPr>
          <w:p>
            <w:pPr>
              <w:pStyle w:val="style0"/>
              <w:jc w:val="both"/>
              <w:rPr/>
            </w:pPr>
            <w:r>
              <w:t>08/01/2019</w:t>
            </w:r>
          </w:p>
        </w:tc>
        <w:tc>
          <w:tcPr>
            <w:tcW w:w="1812" w:type="dxa"/>
            <w:tcBorders/>
            <w:shd w:val="clear" w:color="auto" w:fill="auto"/>
          </w:tcPr>
          <w:p>
            <w:pPr>
              <w:pStyle w:val="style0"/>
              <w:jc w:val="both"/>
              <w:rPr/>
            </w:pPr>
            <w:r>
              <w:t>Yako</w:t>
            </w:r>
          </w:p>
        </w:tc>
        <w:tc>
          <w:tcPr>
            <w:tcW w:w="2892" w:type="dxa"/>
            <w:tcBorders/>
            <w:shd w:val="clear" w:color="auto" w:fill="auto"/>
          </w:tcPr>
          <w:p>
            <w:pPr>
              <w:pStyle w:val="style0"/>
              <w:jc w:val="both"/>
              <w:rPr/>
            </w:pPr>
            <w:r>
              <w:t>DPRAH</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Yako</w:t>
            </w:r>
          </w:p>
        </w:tc>
        <w:tc>
          <w:tcPr>
            <w:tcW w:w="2892" w:type="dxa"/>
            <w:tcBorders/>
            <w:shd w:val="clear" w:color="auto" w:fill="auto"/>
          </w:tcPr>
          <w:p>
            <w:pPr>
              <w:pStyle w:val="style0"/>
              <w:jc w:val="both"/>
              <w:rPr/>
            </w:pPr>
            <w:r>
              <w:t>Vendeur agréé</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Yako</w:t>
            </w:r>
          </w:p>
        </w:tc>
        <w:tc>
          <w:tcPr>
            <w:tcW w:w="2892" w:type="dxa"/>
            <w:tcBorders/>
            <w:shd w:val="clear" w:color="auto" w:fill="auto"/>
          </w:tcPr>
          <w:p>
            <w:pPr>
              <w:pStyle w:val="style0"/>
              <w:jc w:val="both"/>
              <w:rPr/>
            </w:pPr>
            <w:r>
              <w:t>Vendeur non agréé</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Responsable de centre de santé</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Chef coutumier</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Agent UAT</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CVD</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Conseill</w:t>
            </w:r>
            <w:r>
              <w:t>er</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Dourou</w:t>
            </w:r>
          </w:p>
        </w:tc>
        <w:tc>
          <w:tcPr>
            <w:tcW w:w="2892" w:type="dxa"/>
            <w:tcBorders/>
            <w:shd w:val="clear" w:color="auto" w:fill="auto"/>
          </w:tcPr>
          <w:p>
            <w:pPr>
              <w:pStyle w:val="style0"/>
              <w:jc w:val="both"/>
              <w:rPr/>
            </w:pPr>
            <w:r>
              <w:t>Producteurs (2 groupes)</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Kirsi</w:t>
            </w:r>
          </w:p>
        </w:tc>
        <w:tc>
          <w:tcPr>
            <w:tcW w:w="2892" w:type="dxa"/>
            <w:tcBorders/>
            <w:shd w:val="clear" w:color="auto" w:fill="auto"/>
          </w:tcPr>
          <w:p>
            <w:pPr>
              <w:pStyle w:val="style0"/>
              <w:jc w:val="both"/>
              <w:rPr/>
            </w:pPr>
            <w:r>
              <w:t>Maire de la commune</w:t>
            </w:r>
          </w:p>
        </w:tc>
      </w:tr>
      <w:tr>
        <w:tblPrEx/>
        <w:trPr/>
        <w:tc>
          <w:tcPr>
            <w:tcW w:w="1812" w:type="dxa"/>
            <w:vMerge w:val="continue"/>
            <w:tcBorders/>
            <w:shd w:val="clear" w:color="auto" w:fill="auto"/>
          </w:tcPr>
          <w:p>
            <w:pPr>
              <w:pStyle w:val="style0"/>
              <w:jc w:val="both"/>
              <w:rPr/>
            </w:pPr>
          </w:p>
        </w:tc>
        <w:tc>
          <w:tcPr>
            <w:tcW w:w="1812" w:type="dxa"/>
            <w:tcBorders/>
            <w:shd w:val="clear" w:color="auto" w:fill="auto"/>
          </w:tcPr>
          <w:p>
            <w:pPr>
              <w:pStyle w:val="style0"/>
              <w:jc w:val="both"/>
              <w:rPr/>
            </w:pPr>
            <w:r>
              <w:t>Kirsi</w:t>
            </w:r>
          </w:p>
        </w:tc>
        <w:tc>
          <w:tcPr>
            <w:tcW w:w="2892" w:type="dxa"/>
            <w:tcBorders/>
            <w:shd w:val="clear" w:color="auto" w:fill="auto"/>
          </w:tcPr>
          <w:p>
            <w:pPr>
              <w:pStyle w:val="style0"/>
              <w:jc w:val="both"/>
              <w:rPr/>
            </w:pPr>
            <w:r>
              <w:t>Préfet</w:t>
            </w:r>
          </w:p>
        </w:tc>
      </w:tr>
    </w:tbl>
    <w:p>
      <w:pPr>
        <w:pStyle w:val="style0"/>
        <w:jc w:val="both"/>
        <w:rPr/>
      </w:pPr>
    </w:p>
    <w:p>
      <w:pPr>
        <w:pStyle w:val="style0"/>
        <w:rPr/>
      </w:pPr>
    </w:p>
    <w:p>
      <w:pPr>
        <w:pStyle w:val="style0"/>
        <w:spacing w:lineRule="auto" w:line="360"/>
        <w:rPr>
          <w:b/>
        </w:rPr>
      </w:pPr>
    </w:p>
    <w:p>
      <w:pPr>
        <w:pStyle w:val="style0"/>
        <w:spacing w:lineRule="auto" w:line="360"/>
        <w:rPr>
          <w:b/>
        </w:rPr>
      </w:pPr>
    </w:p>
    <w:p>
      <w:pPr>
        <w:pStyle w:val="style0"/>
        <w:spacing w:lineRule="auto" w:line="360"/>
        <w:rPr>
          <w:b/>
        </w:rPr>
      </w:pPr>
      <w:r>
        <w:rPr>
          <w:b/>
        </w:rPr>
        <w:t>RÉGION DES CASCADES</w:t>
      </w:r>
    </w:p>
    <w:p>
      <w:pPr>
        <w:pStyle w:val="style0"/>
        <w:spacing w:lineRule="auto" w:line="360"/>
        <w:rPr>
          <w:b/>
        </w:rPr>
      </w:pPr>
      <w:r>
        <w:rPr>
          <w:b/>
        </w:rPr>
        <w:t>Province de la Léraba</w:t>
      </w:r>
    </w:p>
    <w:p>
      <w:pPr>
        <w:pStyle w:val="style0"/>
        <w:spacing w:lineRule="auto" w:line="360"/>
        <w:rPr>
          <w:b/>
        </w:rPr>
      </w:pPr>
      <w:r>
        <w:rPr>
          <w:b/>
        </w:rPr>
        <w:t>Commune de Douna</w:t>
      </w:r>
    </w:p>
    <w:p>
      <w:pPr>
        <w:pStyle w:val="style0"/>
        <w:spacing w:lineRule="auto" w:line="360"/>
        <w:rPr>
          <w:b/>
        </w:rPr>
      </w:pPr>
      <w:r>
        <w:rPr>
          <w:b/>
        </w:rPr>
        <w:t>Village de Douna</w:t>
      </w:r>
    </w:p>
    <w:p>
      <w:pPr>
        <w:pStyle w:val="style0"/>
        <w:jc w:val="center"/>
        <w:rPr>
          <w:b/>
        </w:rPr>
      </w:pPr>
    </w:p>
    <w:p>
      <w:pPr>
        <w:pStyle w:val="style0"/>
        <w:jc w:val="center"/>
        <w:rPr>
          <w:b/>
        </w:rPr>
      </w:pPr>
      <w:r>
        <w:rPr>
          <w:b/>
        </w:rPr>
        <w:t>Procès-verbal de consultation du public</w:t>
      </w:r>
    </w:p>
    <w:p>
      <w:pPr>
        <w:pStyle w:val="style0"/>
        <w:spacing w:lineRule="auto" w:line="360"/>
        <w:jc w:val="both"/>
        <w:rPr/>
      </w:pPr>
      <w:r>
        <w:rPr>
          <w:b/>
        </w:rPr>
        <w:t>Le 07 janvier 2019</w:t>
      </w:r>
      <w:r>
        <w:t>, s’est tenue à l’union des coopératives de Douna une consultation du public sur le Projet inclusion financière au Burkina en vue de recueillir le point de vue des populations bénéficiaires.</w:t>
      </w:r>
    </w:p>
    <w:p>
      <w:pPr>
        <w:pStyle w:val="style0"/>
        <w:spacing w:lineRule="auto" w:line="360"/>
        <w:jc w:val="both"/>
        <w:rPr/>
      </w:pPr>
      <w:r>
        <w:t xml:space="preserve">La rencontre a connu la participation de </w:t>
      </w:r>
      <w:r>
        <w:rPr>
          <w:b/>
        </w:rPr>
        <w:t>59 personnes (35 hommes et 14 femmes)</w:t>
      </w:r>
      <w:r>
        <w:t xml:space="preserve"> des villages de Nofila et Douna.</w:t>
      </w:r>
    </w:p>
    <w:p>
      <w:pPr>
        <w:pStyle w:val="style0"/>
        <w:spacing w:lineRule="auto" w:line="360"/>
        <w:jc w:val="both"/>
        <w:rPr/>
      </w:pPr>
    </w:p>
    <w:p>
      <w:pPr>
        <w:pStyle w:val="style0"/>
        <w:spacing w:lineRule="auto" w:line="360"/>
        <w:jc w:val="both"/>
        <w:rPr/>
      </w:pPr>
      <w:r>
        <w:t>A la question de savoir si le Projet est connu des populations, la réponse a été non, mais elles disent avoir déjà reçu une mission d’exploration de la Banque mondiale pour l’aménagement de la plaine. Ce projet en question interviendra pour l’extension de la plaine rizicole par l’aménagement de 4800ha de terre.</w:t>
      </w:r>
    </w:p>
    <w:p>
      <w:pPr>
        <w:pStyle w:val="style0"/>
        <w:rPr/>
      </w:pPr>
    </w:p>
    <w:p>
      <w:pPr>
        <w:pStyle w:val="style0"/>
        <w:spacing w:lineRule="auto" w:line="360"/>
        <w:jc w:val="both"/>
        <w:rPr/>
      </w:pPr>
      <w:r>
        <w:t>Après les explications fournies par la mission dans la commune de Douna, on note une satisfaction et une adhésion de la population qui attend impatiemment le démarrage du projet.</w:t>
      </w:r>
    </w:p>
    <w:p>
      <w:pPr>
        <w:pStyle w:val="style0"/>
        <w:rPr/>
      </w:pPr>
    </w:p>
    <w:p>
      <w:pPr>
        <w:pStyle w:val="style0"/>
        <w:spacing w:lineRule="auto" w:line="360"/>
        <w:jc w:val="both"/>
        <w:rPr/>
      </w:pPr>
      <w:r>
        <w:t>Souhaits/idées à prendre en compte :</w:t>
      </w:r>
    </w:p>
    <w:p>
      <w:pPr>
        <w:pStyle w:val="style179"/>
        <w:numPr>
          <w:ilvl w:val="0"/>
          <w:numId w:val="23"/>
        </w:numPr>
        <w:spacing w:lineRule="auto" w:line="360"/>
        <w:jc w:val="both"/>
        <w:contextualSpacing/>
        <w:rPr/>
      </w:pPr>
      <w:r>
        <w:t>Tenir compte des propriétaires terriens dans les attributions de parcelles ;</w:t>
      </w:r>
    </w:p>
    <w:p>
      <w:pPr>
        <w:pStyle w:val="style179"/>
        <w:numPr>
          <w:ilvl w:val="0"/>
          <w:numId w:val="23"/>
        </w:numPr>
        <w:spacing w:lineRule="auto" w:line="360"/>
        <w:jc w:val="both"/>
        <w:contextualSpacing/>
        <w:rPr/>
      </w:pPr>
      <w:r>
        <w:t>Donner la priorité aux populations résidentes dans les attributions de parcelles ;</w:t>
      </w:r>
    </w:p>
    <w:p>
      <w:pPr>
        <w:pStyle w:val="style179"/>
        <w:numPr>
          <w:ilvl w:val="0"/>
          <w:numId w:val="23"/>
        </w:numPr>
        <w:spacing w:lineRule="auto" w:line="360"/>
        <w:jc w:val="both"/>
        <w:contextualSpacing/>
        <w:rPr/>
      </w:pPr>
      <w:r>
        <w:t>Tenir compte de la main d’œuvre non qualifiée locale pendant les travaux d’aménagement de la plaine ;</w:t>
      </w:r>
    </w:p>
    <w:p>
      <w:pPr>
        <w:pStyle w:val="style179"/>
        <w:numPr>
          <w:ilvl w:val="0"/>
          <w:numId w:val="23"/>
        </w:numPr>
        <w:spacing w:lineRule="auto" w:line="360"/>
        <w:jc w:val="both"/>
        <w:contextualSpacing/>
        <w:rPr/>
      </w:pPr>
      <w:r>
        <w:t xml:space="preserve">Former les producteurs sur les bonnes pratiques phytosanitaires </w:t>
      </w:r>
    </w:p>
    <w:p>
      <w:pPr>
        <w:pStyle w:val="style0"/>
        <w:spacing w:lineRule="auto" w:line="360"/>
        <w:jc w:val="both"/>
        <w:rPr/>
      </w:pPr>
    </w:p>
    <w:p>
      <w:pPr>
        <w:pStyle w:val="style0"/>
        <w:spacing w:lineRule="auto" w:line="360"/>
        <w:jc w:val="both"/>
        <w:rPr/>
      </w:pPr>
      <w:r>
        <w:t>La mission a rappelé les objectifs du projet qui ne consistent pas à réaliser des infrastructures de type communautaire comme les pistes rurales, mais à accroître l’accès au crédit au profit des promoteurs privés intervenant dans les secteurs de la production agricole et agroalimentaire.</w:t>
      </w:r>
    </w:p>
    <w:p>
      <w:pPr>
        <w:pStyle w:val="style0"/>
        <w:spacing w:lineRule="auto" w:line="360"/>
        <w:jc w:val="both"/>
        <w:rPr/>
      </w:pPr>
    </w:p>
    <w:p>
      <w:pPr>
        <w:pStyle w:val="style0"/>
        <w:rPr>
          <w:b/>
        </w:rPr>
      </w:pPr>
    </w:p>
    <w:p>
      <w:pPr>
        <w:pStyle w:val="style0"/>
        <w:spacing w:lineRule="auto" w:line="360"/>
        <w:rPr>
          <w:b/>
          <w:sz w:val="22"/>
          <w:szCs w:val="22"/>
        </w:rPr>
      </w:pPr>
      <w:r>
        <w:rPr>
          <w:b/>
          <w:sz w:val="22"/>
          <w:szCs w:val="22"/>
        </w:rPr>
        <w:t>Région des Hauts-Bassins</w:t>
      </w:r>
    </w:p>
    <w:p>
      <w:pPr>
        <w:pStyle w:val="style0"/>
        <w:spacing w:lineRule="auto" w:line="360"/>
        <w:rPr>
          <w:b/>
          <w:sz w:val="22"/>
          <w:szCs w:val="22"/>
        </w:rPr>
      </w:pPr>
      <w:r>
        <w:rPr>
          <w:b/>
          <w:sz w:val="22"/>
          <w:szCs w:val="22"/>
        </w:rPr>
        <w:t>Province du Kénédougou</w:t>
      </w:r>
    </w:p>
    <w:p>
      <w:pPr>
        <w:pStyle w:val="style0"/>
        <w:spacing w:lineRule="auto" w:line="360"/>
        <w:rPr>
          <w:b/>
          <w:sz w:val="22"/>
          <w:szCs w:val="22"/>
        </w:rPr>
      </w:pPr>
      <w:r>
        <w:rPr>
          <w:b/>
          <w:sz w:val="22"/>
          <w:szCs w:val="22"/>
        </w:rPr>
        <w:t>Commune de Banzon</w:t>
      </w:r>
    </w:p>
    <w:p>
      <w:pPr>
        <w:pStyle w:val="style0"/>
        <w:spacing w:lineRule="auto" w:line="360"/>
        <w:rPr>
          <w:b/>
          <w:sz w:val="22"/>
          <w:szCs w:val="22"/>
        </w:rPr>
      </w:pPr>
      <w:r>
        <w:rPr>
          <w:b/>
          <w:sz w:val="22"/>
          <w:szCs w:val="22"/>
        </w:rPr>
        <w:t>Village de Banzon</w:t>
      </w:r>
    </w:p>
    <w:p>
      <w:pPr>
        <w:pStyle w:val="style0"/>
        <w:jc w:val="center"/>
        <w:rPr>
          <w:b/>
          <w:sz w:val="22"/>
          <w:szCs w:val="22"/>
        </w:rPr>
      </w:pPr>
    </w:p>
    <w:p>
      <w:pPr>
        <w:pStyle w:val="style0"/>
        <w:jc w:val="center"/>
        <w:rPr>
          <w:b/>
          <w:sz w:val="22"/>
          <w:szCs w:val="22"/>
        </w:rPr>
      </w:pPr>
      <w:r>
        <w:rPr>
          <w:b/>
          <w:sz w:val="22"/>
          <w:szCs w:val="22"/>
        </w:rPr>
        <w:t>Procès-verbal de consultation du public</w:t>
      </w:r>
    </w:p>
    <w:p>
      <w:pPr>
        <w:pStyle w:val="style0"/>
        <w:spacing w:lineRule="auto" w:line="360"/>
        <w:jc w:val="both"/>
        <w:rPr>
          <w:sz w:val="22"/>
          <w:szCs w:val="22"/>
        </w:rPr>
      </w:pPr>
      <w:r>
        <w:rPr>
          <w:b/>
          <w:sz w:val="22"/>
          <w:szCs w:val="22"/>
        </w:rPr>
        <w:t>Le 10 janvier 2019</w:t>
      </w:r>
      <w:r>
        <w:rPr>
          <w:sz w:val="22"/>
          <w:szCs w:val="22"/>
        </w:rPr>
        <w:t>, s’est tenue dans la cour de la coopérative de Banzon, une consultation du public pour élucider toutes les contraintes et suggestions qui pourraient limiter ou améliorer l’installation du Projet inclusion financière au Burkina.</w:t>
      </w:r>
    </w:p>
    <w:p>
      <w:pPr>
        <w:pStyle w:val="style0"/>
        <w:spacing w:lineRule="auto" w:line="360"/>
        <w:jc w:val="both"/>
        <w:rPr>
          <w:sz w:val="22"/>
          <w:szCs w:val="22"/>
        </w:rPr>
      </w:pPr>
    </w:p>
    <w:p>
      <w:pPr>
        <w:pStyle w:val="style0"/>
        <w:spacing w:lineRule="auto" w:line="360"/>
        <w:jc w:val="both"/>
        <w:rPr>
          <w:sz w:val="22"/>
          <w:szCs w:val="22"/>
        </w:rPr>
      </w:pPr>
      <w:r>
        <w:rPr>
          <w:sz w:val="22"/>
          <w:szCs w:val="22"/>
        </w:rPr>
        <w:t xml:space="preserve">Les participants composés de 78 personnes essentiellement des hommes </w:t>
      </w:r>
      <w:r>
        <w:rPr>
          <w:sz w:val="22"/>
          <w:szCs w:val="22"/>
        </w:rPr>
        <w:t xml:space="preserve">ont pris part </w:t>
      </w:r>
      <w:r>
        <w:rPr>
          <w:sz w:val="22"/>
          <w:szCs w:val="22"/>
        </w:rPr>
        <w:t>à ladite rencontre.</w:t>
      </w:r>
    </w:p>
    <w:p>
      <w:pPr>
        <w:pStyle w:val="style0"/>
        <w:spacing w:lineRule="auto" w:line="360"/>
        <w:jc w:val="both"/>
        <w:rPr>
          <w:sz w:val="22"/>
          <w:szCs w:val="22"/>
        </w:rPr>
      </w:pPr>
    </w:p>
    <w:p>
      <w:pPr>
        <w:pStyle w:val="style0"/>
        <w:spacing w:lineRule="auto" w:line="360"/>
        <w:jc w:val="both"/>
        <w:rPr>
          <w:sz w:val="22"/>
          <w:szCs w:val="22"/>
        </w:rPr>
      </w:pPr>
      <w:r>
        <w:rPr>
          <w:sz w:val="22"/>
          <w:szCs w:val="22"/>
        </w:rPr>
        <w:t>De la présentation du projet, il ressort que le projet n’est pas bien connu des populations, mais elles se souviennent avoir reçu une mission de la Banque mondiale venue explorer le site d’implantation dudit projet.</w:t>
      </w:r>
    </w:p>
    <w:p>
      <w:pPr>
        <w:pStyle w:val="style0"/>
        <w:spacing w:lineRule="auto" w:line="360"/>
        <w:jc w:val="both"/>
        <w:rPr>
          <w:sz w:val="22"/>
          <w:szCs w:val="22"/>
        </w:rPr>
      </w:pPr>
    </w:p>
    <w:p>
      <w:pPr>
        <w:pStyle w:val="style0"/>
        <w:spacing w:lineRule="auto" w:line="360"/>
        <w:jc w:val="both"/>
        <w:rPr>
          <w:sz w:val="22"/>
          <w:szCs w:val="22"/>
        </w:rPr>
      </w:pPr>
      <w:r>
        <w:rPr>
          <w:sz w:val="22"/>
          <w:szCs w:val="22"/>
        </w:rPr>
        <w:t xml:space="preserve">Au cours de l’entretien avec les producteurs, ils ont exprimé leur volonté à accueillir le Projet inclusion financière et à l’accompagner pour l’atteinte des objectifs poursuivis. </w:t>
      </w:r>
    </w:p>
    <w:p>
      <w:pPr>
        <w:pStyle w:val="style0"/>
        <w:jc w:val="both"/>
        <w:rPr>
          <w:sz w:val="22"/>
          <w:szCs w:val="22"/>
        </w:rPr>
      </w:pPr>
    </w:p>
    <w:p>
      <w:pPr>
        <w:pStyle w:val="style0"/>
        <w:spacing w:lineRule="auto" w:line="360"/>
        <w:jc w:val="both"/>
        <w:rPr>
          <w:sz w:val="22"/>
          <w:szCs w:val="22"/>
        </w:rPr>
      </w:pPr>
      <w:r>
        <w:rPr>
          <w:sz w:val="22"/>
          <w:szCs w:val="22"/>
        </w:rPr>
        <w:t>Souhaits/idées à prendre en compte dans la mise en œuvre du Projet :</w:t>
      </w:r>
    </w:p>
    <w:p>
      <w:pPr>
        <w:pStyle w:val="style179"/>
        <w:numPr>
          <w:ilvl w:val="0"/>
          <w:numId w:val="23"/>
        </w:numPr>
        <w:spacing w:lineRule="auto" w:line="360"/>
        <w:jc w:val="both"/>
        <w:contextualSpacing/>
        <w:rPr>
          <w:sz w:val="22"/>
          <w:szCs w:val="22"/>
        </w:rPr>
      </w:pPr>
      <w:r>
        <w:rPr>
          <w:sz w:val="22"/>
          <w:szCs w:val="22"/>
        </w:rPr>
        <w:t>Mettre en place le projet dans de meilleurs délais ;</w:t>
      </w:r>
    </w:p>
    <w:p>
      <w:pPr>
        <w:pStyle w:val="style179"/>
        <w:numPr>
          <w:ilvl w:val="0"/>
          <w:numId w:val="23"/>
        </w:numPr>
        <w:spacing w:lineRule="auto" w:line="360"/>
        <w:jc w:val="both"/>
        <w:contextualSpacing/>
        <w:rPr>
          <w:sz w:val="22"/>
          <w:szCs w:val="22"/>
        </w:rPr>
      </w:pPr>
      <w:r>
        <w:rPr>
          <w:sz w:val="22"/>
          <w:szCs w:val="22"/>
        </w:rPr>
        <w:t>Sécuriser les exploitants du périmètre à travers une immatriculation des parcelles </w:t>
      </w:r>
    </w:p>
    <w:p>
      <w:pPr>
        <w:pStyle w:val="style179"/>
        <w:numPr>
          <w:ilvl w:val="0"/>
          <w:numId w:val="23"/>
        </w:numPr>
        <w:spacing w:lineRule="auto" w:line="360"/>
        <w:jc w:val="both"/>
        <w:contextualSpacing/>
        <w:rPr>
          <w:sz w:val="22"/>
          <w:szCs w:val="22"/>
        </w:rPr>
      </w:pPr>
      <w:r>
        <w:rPr>
          <w:sz w:val="22"/>
          <w:szCs w:val="22"/>
        </w:rPr>
        <w:t>Accélérer la réhabilitation du tronçon Dinderesso-Banzon-Samorogouan afin de désenclaver la zone du projet ;</w:t>
      </w:r>
    </w:p>
    <w:p>
      <w:pPr>
        <w:pStyle w:val="style179"/>
        <w:numPr>
          <w:ilvl w:val="0"/>
          <w:numId w:val="23"/>
        </w:numPr>
        <w:spacing w:after="200" w:lineRule="auto" w:line="276"/>
        <w:contextualSpacing/>
        <w:rPr>
          <w:sz w:val="22"/>
          <w:szCs w:val="22"/>
        </w:rPr>
      </w:pPr>
      <w:r>
        <w:rPr>
          <w:sz w:val="22"/>
          <w:szCs w:val="22"/>
        </w:rPr>
        <w:t xml:space="preserve">Augmenter les capacités de production et de transformation du riz dans la commune de Banzon ; </w:t>
      </w:r>
    </w:p>
    <w:p>
      <w:pPr>
        <w:pStyle w:val="style179"/>
        <w:numPr>
          <w:ilvl w:val="0"/>
          <w:numId w:val="23"/>
        </w:numPr>
        <w:spacing w:lineRule="auto" w:line="360"/>
        <w:jc w:val="both"/>
        <w:contextualSpacing/>
        <w:rPr>
          <w:sz w:val="22"/>
          <w:szCs w:val="22"/>
        </w:rPr>
      </w:pPr>
      <w:r>
        <w:rPr>
          <w:sz w:val="22"/>
          <w:szCs w:val="22"/>
        </w:rPr>
        <w:t>Tenir compte de la main d’œuvre locale non qualifiée lors de l’exécution des travaux de réhabilitation de la plaine ;</w:t>
      </w:r>
    </w:p>
    <w:p>
      <w:pPr>
        <w:pStyle w:val="style179"/>
        <w:numPr>
          <w:ilvl w:val="0"/>
          <w:numId w:val="23"/>
        </w:numPr>
        <w:spacing w:lineRule="auto" w:line="360"/>
        <w:jc w:val="both"/>
        <w:contextualSpacing/>
        <w:rPr>
          <w:sz w:val="22"/>
          <w:szCs w:val="22"/>
        </w:rPr>
      </w:pPr>
      <w:r>
        <w:rPr>
          <w:sz w:val="22"/>
          <w:szCs w:val="22"/>
        </w:rPr>
        <w:t>Aider les exploitants de la plaine à trouver des solutions de lutte contre les agressions des hippopotames.</w:t>
      </w:r>
    </w:p>
    <w:p>
      <w:pPr>
        <w:pStyle w:val="style0"/>
        <w:spacing w:lineRule="auto" w:line="360"/>
        <w:jc w:val="both"/>
        <w:rPr>
          <w:sz w:val="22"/>
          <w:szCs w:val="22"/>
        </w:rPr>
      </w:pPr>
    </w:p>
    <w:p>
      <w:pPr>
        <w:pStyle w:val="style0"/>
        <w:spacing w:lineRule="auto" w:line="360"/>
        <w:jc w:val="both"/>
        <w:rPr>
          <w:sz w:val="22"/>
          <w:szCs w:val="22"/>
        </w:rPr>
      </w:pPr>
      <w:r>
        <w:rPr>
          <w:sz w:val="22"/>
          <w:szCs w:val="22"/>
        </w:rPr>
        <w:t>La mission a rappelé les objectifs du projet qui ne consistent pas à réaliser des infrastructures de type communautaire comme les pistes rurales, mais à accroître l’accès au crédit au profit des promoteurs privés intervenant dans les secteurs de la production agricole et agroalimentaire.</w:t>
      </w:r>
    </w:p>
    <w:p>
      <w:pPr>
        <w:pStyle w:val="style0"/>
        <w:spacing w:lineRule="auto" w:line="360"/>
        <w:jc w:val="both"/>
        <w:rPr/>
      </w:pPr>
    </w:p>
    <w:p>
      <w:pPr>
        <w:pStyle w:val="style0"/>
        <w:jc w:val="both"/>
        <w:rPr/>
      </w:pPr>
    </w:p>
    <w:p>
      <w:pPr>
        <w:pStyle w:val="style0"/>
        <w:spacing w:lineRule="auto" w:line="360"/>
        <w:rPr>
          <w:b/>
        </w:rPr>
      </w:pPr>
    </w:p>
    <w:p>
      <w:pPr>
        <w:pStyle w:val="style0"/>
        <w:spacing w:lineRule="auto" w:line="360"/>
        <w:rPr>
          <w:b/>
          <w:sz w:val="22"/>
          <w:szCs w:val="22"/>
        </w:rPr>
      </w:pPr>
      <w:r>
        <w:rPr>
          <w:b/>
          <w:sz w:val="22"/>
          <w:szCs w:val="22"/>
        </w:rPr>
        <w:t>Région de la Boucle du Mouhoun</w:t>
      </w:r>
    </w:p>
    <w:p>
      <w:pPr>
        <w:pStyle w:val="style0"/>
        <w:spacing w:lineRule="auto" w:line="360"/>
        <w:rPr>
          <w:b/>
          <w:sz w:val="22"/>
          <w:szCs w:val="22"/>
        </w:rPr>
      </w:pPr>
      <w:r>
        <w:rPr>
          <w:b/>
          <w:sz w:val="22"/>
          <w:szCs w:val="22"/>
        </w:rPr>
        <w:t>Province de la Kossi</w:t>
      </w:r>
    </w:p>
    <w:p>
      <w:pPr>
        <w:pStyle w:val="style0"/>
        <w:spacing w:lineRule="auto" w:line="360"/>
        <w:rPr>
          <w:b/>
          <w:sz w:val="22"/>
          <w:szCs w:val="22"/>
        </w:rPr>
      </w:pPr>
      <w:r>
        <w:rPr>
          <w:b/>
          <w:sz w:val="22"/>
          <w:szCs w:val="22"/>
        </w:rPr>
        <w:t>Commune de Sono</w:t>
      </w:r>
    </w:p>
    <w:p>
      <w:pPr>
        <w:pStyle w:val="style0"/>
        <w:spacing w:lineRule="auto" w:line="360"/>
        <w:rPr>
          <w:b/>
          <w:sz w:val="22"/>
          <w:szCs w:val="22"/>
        </w:rPr>
      </w:pPr>
      <w:r>
        <w:rPr>
          <w:b/>
          <w:sz w:val="22"/>
          <w:szCs w:val="22"/>
        </w:rPr>
        <w:t>Village de Dankoumana</w:t>
      </w:r>
    </w:p>
    <w:p>
      <w:pPr>
        <w:pStyle w:val="style0"/>
        <w:jc w:val="center"/>
        <w:rPr>
          <w:b/>
          <w:sz w:val="22"/>
          <w:szCs w:val="22"/>
        </w:rPr>
      </w:pPr>
    </w:p>
    <w:p>
      <w:pPr>
        <w:pStyle w:val="style0"/>
        <w:jc w:val="center"/>
        <w:rPr>
          <w:b/>
          <w:sz w:val="22"/>
          <w:szCs w:val="22"/>
        </w:rPr>
      </w:pPr>
      <w:r>
        <w:rPr>
          <w:b/>
          <w:sz w:val="22"/>
          <w:szCs w:val="22"/>
        </w:rPr>
        <w:t>Procès-verbal de consultation du public</w:t>
      </w:r>
    </w:p>
    <w:p>
      <w:pPr>
        <w:pStyle w:val="style0"/>
        <w:spacing w:lineRule="auto" w:line="360"/>
        <w:jc w:val="both"/>
        <w:rPr>
          <w:sz w:val="22"/>
          <w:szCs w:val="22"/>
        </w:rPr>
      </w:pPr>
      <w:r>
        <w:rPr>
          <w:b/>
          <w:sz w:val="22"/>
          <w:szCs w:val="22"/>
        </w:rPr>
        <w:t>Le 12 janvier 2019</w:t>
      </w:r>
      <w:r>
        <w:rPr>
          <w:sz w:val="22"/>
          <w:szCs w:val="22"/>
        </w:rPr>
        <w:t xml:space="preserve">, s’est tenue à Dankoumana une consultation du public sur le Projet inclusion financière au Burkina en vue de recueillir le point de vue des populations bénéficiaires dudit projet. </w:t>
      </w:r>
    </w:p>
    <w:p>
      <w:pPr>
        <w:pStyle w:val="style0"/>
        <w:spacing w:lineRule="auto" w:line="360"/>
        <w:jc w:val="both"/>
        <w:rPr>
          <w:sz w:val="22"/>
          <w:szCs w:val="22"/>
        </w:rPr>
      </w:pPr>
      <w:r>
        <w:rPr>
          <w:sz w:val="22"/>
          <w:szCs w:val="22"/>
        </w:rPr>
        <w:t xml:space="preserve">A cette rencontre, étaient présents, </w:t>
      </w:r>
      <w:r>
        <w:rPr>
          <w:rFonts w:eastAsia="Calibri"/>
          <w:sz w:val="22"/>
          <w:szCs w:val="22"/>
        </w:rPr>
        <w:t xml:space="preserve">Outre le chef de la Zone d’appui technique de Sono, 70 </w:t>
      </w:r>
      <w:r>
        <w:rPr>
          <w:sz w:val="22"/>
          <w:szCs w:val="22"/>
        </w:rPr>
        <w:t xml:space="preserve">personnes (54 hommes et 16 femmes) de ce village en vue de marquer leur adhésion au Projet. Elles disent avoir un intérêt pour le projet, mais n’étaient pas bien informés de l’intervention dudit projet dans leur zone. </w:t>
      </w:r>
    </w:p>
    <w:p>
      <w:pPr>
        <w:pStyle w:val="style0"/>
        <w:spacing w:lineRule="auto" w:line="360"/>
        <w:jc w:val="both"/>
        <w:rPr>
          <w:sz w:val="22"/>
          <w:szCs w:val="22"/>
        </w:rPr>
      </w:pPr>
    </w:p>
    <w:p>
      <w:pPr>
        <w:pStyle w:val="style0"/>
        <w:spacing w:lineRule="auto" w:line="360"/>
        <w:jc w:val="both"/>
        <w:rPr>
          <w:sz w:val="22"/>
          <w:szCs w:val="22"/>
        </w:rPr>
      </w:pPr>
      <w:r>
        <w:rPr>
          <w:sz w:val="22"/>
          <w:szCs w:val="22"/>
        </w:rPr>
        <w:t xml:space="preserve">Dans cette localité, l’adhésion de la population au Projet est effective et les bénéficiaires attendent avec impatience le démarrage des travaux d’aménagement de la plaine. </w:t>
      </w:r>
    </w:p>
    <w:p>
      <w:pPr>
        <w:pStyle w:val="style0"/>
        <w:spacing w:lineRule="auto" w:line="360"/>
        <w:jc w:val="both"/>
        <w:rPr>
          <w:sz w:val="22"/>
          <w:szCs w:val="22"/>
        </w:rPr>
      </w:pPr>
    </w:p>
    <w:p>
      <w:pPr>
        <w:pStyle w:val="style0"/>
        <w:spacing w:lineRule="auto" w:line="360"/>
        <w:jc w:val="both"/>
        <w:rPr>
          <w:sz w:val="22"/>
          <w:szCs w:val="22"/>
        </w:rPr>
      </w:pPr>
      <w:r>
        <w:rPr>
          <w:sz w:val="22"/>
          <w:szCs w:val="22"/>
        </w:rPr>
        <w:t>Souhaits/idées à prendre en compte dans la mise en œuvre du Projet :</w:t>
      </w:r>
    </w:p>
    <w:p>
      <w:pPr>
        <w:pStyle w:val="style179"/>
        <w:numPr>
          <w:ilvl w:val="0"/>
          <w:numId w:val="23"/>
        </w:numPr>
        <w:spacing w:lineRule="auto" w:line="360"/>
        <w:jc w:val="both"/>
        <w:contextualSpacing/>
        <w:rPr>
          <w:sz w:val="22"/>
          <w:szCs w:val="22"/>
        </w:rPr>
      </w:pPr>
      <w:r>
        <w:rPr>
          <w:sz w:val="22"/>
          <w:szCs w:val="22"/>
        </w:rPr>
        <w:t>Prendre en compte comme bénéficiaires du projet les promoteurs privés individuels ou organisés intervenant déjà dans la localité ;</w:t>
      </w:r>
    </w:p>
    <w:p>
      <w:pPr>
        <w:pStyle w:val="style179"/>
        <w:numPr>
          <w:ilvl w:val="0"/>
          <w:numId w:val="23"/>
        </w:numPr>
        <w:spacing w:lineRule="auto" w:line="360"/>
        <w:jc w:val="both"/>
        <w:contextualSpacing/>
        <w:rPr>
          <w:sz w:val="22"/>
          <w:szCs w:val="22"/>
        </w:rPr>
      </w:pPr>
      <w:r>
        <w:rPr>
          <w:sz w:val="22"/>
          <w:szCs w:val="22"/>
        </w:rPr>
        <w:t>Tenir compte des exploitants organisés en groupements qui sont sur le site actuellement lors des attributions de parcelles après aménagement ;</w:t>
      </w:r>
    </w:p>
    <w:p>
      <w:pPr>
        <w:pStyle w:val="style179"/>
        <w:numPr>
          <w:ilvl w:val="0"/>
          <w:numId w:val="23"/>
        </w:numPr>
        <w:spacing w:lineRule="auto" w:line="360"/>
        <w:jc w:val="both"/>
        <w:contextualSpacing/>
        <w:rPr>
          <w:sz w:val="22"/>
          <w:szCs w:val="22"/>
        </w:rPr>
      </w:pPr>
      <w:r>
        <w:rPr>
          <w:sz w:val="22"/>
          <w:szCs w:val="22"/>
        </w:rPr>
        <w:t>Prévoir des pistes à bétail pour éviter d’éventuels conflits ;</w:t>
      </w:r>
    </w:p>
    <w:p>
      <w:pPr>
        <w:pStyle w:val="style179"/>
        <w:numPr>
          <w:ilvl w:val="0"/>
          <w:numId w:val="50"/>
        </w:numPr>
        <w:spacing w:before="120" w:after="120"/>
        <w:jc w:val="both"/>
        <w:contextualSpacing/>
        <w:rPr>
          <w:sz w:val="22"/>
          <w:szCs w:val="22"/>
        </w:rPr>
      </w:pPr>
      <w:r>
        <w:rPr>
          <w:sz w:val="22"/>
          <w:szCs w:val="22"/>
        </w:rPr>
        <w:t>Tenir compte de la main d’œuvre locale non qualifiée lors des travaux de l’aménagement de la plaine  et lutter contre l’exode des jeunes</w:t>
      </w:r>
    </w:p>
    <w:p>
      <w:pPr>
        <w:pStyle w:val="style179"/>
        <w:numPr>
          <w:ilvl w:val="0"/>
          <w:numId w:val="23"/>
        </w:numPr>
        <w:spacing w:lineRule="auto" w:line="360"/>
        <w:jc w:val="both"/>
        <w:contextualSpacing/>
        <w:rPr>
          <w:sz w:val="22"/>
          <w:szCs w:val="22"/>
        </w:rPr>
      </w:pPr>
      <w:r>
        <w:rPr>
          <w:sz w:val="22"/>
          <w:szCs w:val="22"/>
        </w:rPr>
        <w:t>Augmenter la production rizicole et les revenus dans la commune ;</w:t>
      </w:r>
    </w:p>
    <w:p>
      <w:pPr>
        <w:pStyle w:val="style179"/>
        <w:numPr>
          <w:ilvl w:val="0"/>
          <w:numId w:val="23"/>
        </w:numPr>
        <w:spacing w:lineRule="auto" w:line="360"/>
        <w:jc w:val="both"/>
        <w:contextualSpacing/>
        <w:rPr>
          <w:sz w:val="22"/>
          <w:szCs w:val="22"/>
        </w:rPr>
      </w:pPr>
      <w:r>
        <w:rPr>
          <w:sz w:val="22"/>
          <w:szCs w:val="22"/>
        </w:rPr>
        <w:t>Former les producteurs sur les bonnes pratiques phytosanitaires ;</w:t>
      </w:r>
    </w:p>
    <w:p>
      <w:pPr>
        <w:pStyle w:val="style179"/>
        <w:numPr>
          <w:ilvl w:val="0"/>
          <w:numId w:val="23"/>
        </w:numPr>
        <w:spacing w:before="120" w:after="120"/>
        <w:jc w:val="both"/>
        <w:contextualSpacing/>
        <w:rPr>
          <w:szCs w:val="22"/>
        </w:rPr>
      </w:pPr>
      <w:r>
        <w:rPr>
          <w:szCs w:val="22"/>
        </w:rPr>
        <w:t>Apporter un accompagnement dans la sécurisation des terres sur le périmètre ;</w:t>
      </w:r>
    </w:p>
    <w:p>
      <w:pPr>
        <w:pStyle w:val="style179"/>
        <w:numPr>
          <w:ilvl w:val="0"/>
          <w:numId w:val="23"/>
        </w:numPr>
        <w:spacing w:before="120" w:after="120"/>
        <w:jc w:val="both"/>
        <w:contextualSpacing/>
        <w:rPr>
          <w:szCs w:val="22"/>
        </w:rPr>
      </w:pPr>
      <w:r>
        <w:rPr>
          <w:szCs w:val="22"/>
        </w:rPr>
        <w:t>Encadrer les producteurs sur le périmètre ;</w:t>
      </w:r>
    </w:p>
    <w:p>
      <w:pPr>
        <w:pStyle w:val="style179"/>
        <w:numPr>
          <w:ilvl w:val="0"/>
          <w:numId w:val="23"/>
        </w:numPr>
        <w:spacing w:lineRule="auto" w:line="360"/>
        <w:jc w:val="both"/>
        <w:contextualSpacing/>
        <w:rPr>
          <w:sz w:val="22"/>
          <w:szCs w:val="22"/>
        </w:rPr>
      </w:pPr>
      <w:r>
        <w:rPr>
          <w:sz w:val="22"/>
          <w:szCs w:val="22"/>
        </w:rPr>
        <w:t>Former les femmes sur la transformation du riz (étuvage).</w:t>
      </w:r>
    </w:p>
    <w:p>
      <w:pPr>
        <w:pStyle w:val="style0"/>
        <w:spacing w:lineRule="auto" w:line="360"/>
        <w:jc w:val="both"/>
        <w:rPr>
          <w:sz w:val="22"/>
          <w:szCs w:val="22"/>
        </w:rPr>
      </w:pPr>
    </w:p>
    <w:p>
      <w:pPr>
        <w:pStyle w:val="style0"/>
        <w:spacing w:lineRule="auto" w:line="360"/>
        <w:jc w:val="both"/>
        <w:rPr>
          <w:sz w:val="22"/>
          <w:szCs w:val="22"/>
        </w:rPr>
      </w:pPr>
      <w:r>
        <w:rPr>
          <w:sz w:val="22"/>
          <w:szCs w:val="22"/>
        </w:rPr>
        <w:t>La mission a rappelé les objectifs du projet qui ne consistent pas à réaliser des infrastructures de type communautaire comme les pistes rurales, mais à accroître l’accès au crédit au profit des promoteurs privés intervenant dans les secteurs de la production agricole et agroalimentaire.</w:t>
      </w: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rPr>
          <w:b/>
          <w:sz w:val="22"/>
          <w:szCs w:val="22"/>
        </w:rPr>
      </w:pPr>
      <w:r>
        <w:rPr>
          <w:b/>
        </w:rPr>
        <w:br w:type="page"/>
      </w:r>
      <w:r>
        <w:rPr>
          <w:b/>
          <w:sz w:val="22"/>
          <w:szCs w:val="22"/>
        </w:rPr>
        <w:t>Région de la Boucle du Mouhoun</w:t>
      </w:r>
    </w:p>
    <w:p>
      <w:pPr>
        <w:pStyle w:val="style0"/>
        <w:spacing w:lineRule="auto" w:line="360"/>
        <w:rPr>
          <w:b/>
          <w:sz w:val="22"/>
          <w:szCs w:val="22"/>
        </w:rPr>
      </w:pPr>
      <w:r>
        <w:rPr>
          <w:b/>
          <w:sz w:val="22"/>
          <w:szCs w:val="22"/>
        </w:rPr>
        <w:t>Province du Souro</w:t>
      </w:r>
    </w:p>
    <w:p>
      <w:pPr>
        <w:pStyle w:val="style0"/>
        <w:spacing w:lineRule="auto" w:line="360"/>
        <w:rPr>
          <w:b/>
          <w:sz w:val="22"/>
          <w:szCs w:val="22"/>
        </w:rPr>
      </w:pPr>
      <w:r>
        <w:rPr>
          <w:b/>
          <w:sz w:val="22"/>
          <w:szCs w:val="22"/>
        </w:rPr>
        <w:t>Commune de Gassan</w:t>
      </w:r>
    </w:p>
    <w:p>
      <w:pPr>
        <w:pStyle w:val="style0"/>
        <w:spacing w:lineRule="auto" w:line="360"/>
        <w:jc w:val="both"/>
        <w:rPr>
          <w:b/>
          <w:sz w:val="22"/>
          <w:szCs w:val="22"/>
        </w:rPr>
      </w:pPr>
      <w:r>
        <w:rPr>
          <w:b/>
          <w:sz w:val="22"/>
          <w:szCs w:val="22"/>
        </w:rPr>
        <w:t>Village de Bissan</w:t>
      </w:r>
    </w:p>
    <w:p>
      <w:pPr>
        <w:pStyle w:val="style0"/>
        <w:jc w:val="center"/>
        <w:rPr>
          <w:b/>
          <w:sz w:val="22"/>
          <w:szCs w:val="22"/>
        </w:rPr>
      </w:pPr>
    </w:p>
    <w:p>
      <w:pPr>
        <w:pStyle w:val="style0"/>
        <w:jc w:val="center"/>
        <w:rPr>
          <w:b/>
          <w:sz w:val="22"/>
          <w:szCs w:val="22"/>
        </w:rPr>
      </w:pPr>
      <w:r>
        <w:rPr>
          <w:b/>
          <w:sz w:val="22"/>
          <w:szCs w:val="22"/>
        </w:rPr>
        <w:t>Procès-verbal de consultation du public</w:t>
      </w:r>
    </w:p>
    <w:p>
      <w:pPr>
        <w:pStyle w:val="style0"/>
        <w:spacing w:lineRule="auto" w:line="360"/>
        <w:jc w:val="both"/>
        <w:rPr>
          <w:sz w:val="22"/>
          <w:szCs w:val="22"/>
        </w:rPr>
      </w:pPr>
      <w:r>
        <w:rPr>
          <w:b/>
          <w:sz w:val="22"/>
          <w:szCs w:val="22"/>
        </w:rPr>
        <w:t>Le 12 janvier 2019</w:t>
      </w:r>
      <w:r>
        <w:rPr>
          <w:sz w:val="22"/>
          <w:szCs w:val="22"/>
        </w:rPr>
        <w:t xml:space="preserve">, une consultation du public s’est tenue dans le village de Bissan avec pour objectif de s’entretenir avec les populations sur la mise en œuvre du Projet inclusion financière au Burkina. Parmi les participants au nombre de 5 personnes, on n’a pas noté la présence de femmes (liste présence). </w:t>
      </w:r>
    </w:p>
    <w:p>
      <w:pPr>
        <w:pStyle w:val="style0"/>
        <w:spacing w:lineRule="auto" w:line="360"/>
        <w:jc w:val="both"/>
        <w:rPr>
          <w:sz w:val="22"/>
          <w:szCs w:val="22"/>
        </w:rPr>
      </w:pPr>
    </w:p>
    <w:p>
      <w:pPr>
        <w:pStyle w:val="style0"/>
        <w:spacing w:lineRule="auto" w:line="360"/>
        <w:jc w:val="both"/>
        <w:rPr>
          <w:sz w:val="22"/>
          <w:szCs w:val="22"/>
        </w:rPr>
      </w:pPr>
      <w:r>
        <w:rPr>
          <w:sz w:val="22"/>
          <w:szCs w:val="22"/>
        </w:rPr>
        <w:t>Dans cette localité, l’intervention du Projet est apprécié tel que présenté. Les populations n’attendent que le démarrage des travaux d’aménagement de la plaine. De l’entretien avec les participants, aucune contrainte majeure n’a été dégagée quant à la mise en œuvre du Projet. Toute la population adhère à l’avènement du projet inclusion financière qui les aidera à mieux investir dans les activités de production agricole ; toute chose qui contribuera à l’amélioration de leurs conditions de vie économique et sociale.</w:t>
      </w:r>
    </w:p>
    <w:p>
      <w:pPr>
        <w:pStyle w:val="style0"/>
        <w:spacing w:lineRule="auto" w:line="360"/>
        <w:jc w:val="both"/>
        <w:rPr>
          <w:sz w:val="22"/>
          <w:szCs w:val="22"/>
        </w:rPr>
      </w:pPr>
    </w:p>
    <w:p>
      <w:pPr>
        <w:pStyle w:val="style0"/>
        <w:spacing w:lineRule="auto" w:line="360"/>
        <w:jc w:val="both"/>
        <w:rPr>
          <w:sz w:val="22"/>
          <w:szCs w:val="22"/>
        </w:rPr>
      </w:pPr>
      <w:r>
        <w:rPr>
          <w:sz w:val="22"/>
          <w:szCs w:val="22"/>
        </w:rPr>
        <w:t>Souhaits/idées à prendre en compte dans la mise en œuvre du Projet :</w:t>
      </w:r>
    </w:p>
    <w:p>
      <w:pPr>
        <w:pStyle w:val="style179"/>
        <w:numPr>
          <w:ilvl w:val="0"/>
          <w:numId w:val="23"/>
        </w:numPr>
        <w:spacing w:lineRule="auto" w:line="360"/>
        <w:jc w:val="both"/>
        <w:contextualSpacing/>
        <w:rPr>
          <w:sz w:val="22"/>
          <w:szCs w:val="22"/>
        </w:rPr>
      </w:pPr>
      <w:r>
        <w:rPr>
          <w:sz w:val="22"/>
          <w:szCs w:val="22"/>
        </w:rPr>
        <w:t>Tenir compte des exploitants qui travaillent déjà dans le site lors des attributions de parcelles après aménagement du site ;</w:t>
      </w:r>
    </w:p>
    <w:p>
      <w:pPr>
        <w:pStyle w:val="style179"/>
        <w:numPr>
          <w:ilvl w:val="0"/>
          <w:numId w:val="23"/>
        </w:numPr>
        <w:spacing w:before="120" w:after="120"/>
        <w:jc w:val="both"/>
        <w:contextualSpacing/>
        <w:rPr>
          <w:sz w:val="22"/>
          <w:szCs w:val="22"/>
        </w:rPr>
      </w:pPr>
      <w:r>
        <w:rPr>
          <w:sz w:val="22"/>
          <w:szCs w:val="22"/>
        </w:rPr>
        <w:t xml:space="preserve">Acquérir des terres sur les périmètres irrigués qui leur permettront de faire deux campagnes dans l’année ; </w:t>
      </w:r>
    </w:p>
    <w:p>
      <w:pPr>
        <w:pStyle w:val="style179"/>
        <w:numPr>
          <w:ilvl w:val="0"/>
          <w:numId w:val="23"/>
        </w:numPr>
        <w:spacing w:before="120" w:after="120"/>
        <w:jc w:val="both"/>
        <w:contextualSpacing/>
        <w:rPr>
          <w:sz w:val="22"/>
          <w:szCs w:val="22"/>
        </w:rPr>
      </w:pPr>
      <w:r>
        <w:rPr>
          <w:sz w:val="22"/>
          <w:szCs w:val="22"/>
        </w:rPr>
        <w:t>Atténuer l’exode rurale des jeunes</w:t>
      </w:r>
    </w:p>
    <w:p>
      <w:pPr>
        <w:pStyle w:val="style179"/>
        <w:numPr>
          <w:ilvl w:val="0"/>
          <w:numId w:val="23"/>
        </w:numPr>
        <w:spacing w:before="120" w:after="120"/>
        <w:jc w:val="both"/>
        <w:contextualSpacing/>
        <w:rPr>
          <w:sz w:val="22"/>
          <w:szCs w:val="22"/>
        </w:rPr>
      </w:pPr>
      <w:r>
        <w:rPr>
          <w:sz w:val="22"/>
          <w:szCs w:val="22"/>
        </w:rPr>
        <w:t>Augmenter la production rizicole dans la commune ;</w:t>
      </w:r>
    </w:p>
    <w:p>
      <w:pPr>
        <w:pStyle w:val="style179"/>
        <w:numPr>
          <w:ilvl w:val="0"/>
          <w:numId w:val="23"/>
        </w:numPr>
        <w:spacing w:lineRule="auto" w:line="360"/>
        <w:jc w:val="both"/>
        <w:contextualSpacing/>
        <w:rPr>
          <w:sz w:val="22"/>
          <w:szCs w:val="22"/>
        </w:rPr>
      </w:pPr>
      <w:r>
        <w:rPr>
          <w:sz w:val="22"/>
          <w:szCs w:val="22"/>
        </w:rPr>
        <w:t>Accompagner les femmes dans la transformation et la commercialisation du riz </w:t>
      </w:r>
    </w:p>
    <w:p>
      <w:pPr>
        <w:pStyle w:val="style179"/>
        <w:numPr>
          <w:ilvl w:val="0"/>
          <w:numId w:val="23"/>
        </w:numPr>
        <w:spacing w:lineRule="auto" w:line="360"/>
        <w:jc w:val="both"/>
        <w:contextualSpacing/>
        <w:rPr>
          <w:sz w:val="22"/>
          <w:szCs w:val="22"/>
        </w:rPr>
      </w:pPr>
      <w:r>
        <w:rPr>
          <w:sz w:val="22"/>
          <w:szCs w:val="22"/>
        </w:rPr>
        <w:t>Tenir compte également des propriétaires terriens dans les attributions de parcelles ;</w:t>
      </w:r>
    </w:p>
    <w:p>
      <w:pPr>
        <w:pStyle w:val="style179"/>
        <w:numPr>
          <w:ilvl w:val="0"/>
          <w:numId w:val="23"/>
        </w:numPr>
        <w:spacing w:lineRule="auto" w:line="360"/>
        <w:jc w:val="both"/>
        <w:contextualSpacing/>
        <w:rPr>
          <w:sz w:val="22"/>
          <w:szCs w:val="22"/>
        </w:rPr>
      </w:pPr>
      <w:r>
        <w:rPr>
          <w:sz w:val="22"/>
          <w:szCs w:val="22"/>
        </w:rPr>
        <w:t>Privilégier la main d’œuvre locale non qualifiée dans les travaux d’aménagement de la plaine ;</w:t>
      </w:r>
    </w:p>
    <w:p>
      <w:pPr>
        <w:pStyle w:val="style179"/>
        <w:numPr>
          <w:ilvl w:val="0"/>
          <w:numId w:val="23"/>
        </w:numPr>
        <w:spacing w:lineRule="auto" w:line="360"/>
        <w:jc w:val="both"/>
        <w:contextualSpacing/>
        <w:rPr>
          <w:sz w:val="22"/>
          <w:szCs w:val="22"/>
        </w:rPr>
      </w:pPr>
      <w:r>
        <w:rPr>
          <w:sz w:val="22"/>
          <w:szCs w:val="22"/>
        </w:rPr>
        <w:t xml:space="preserve">Former les producteurs dans la gestion phytosanitaire des cultures. </w:t>
      </w:r>
    </w:p>
    <w:p>
      <w:pPr>
        <w:pStyle w:val="style0"/>
        <w:spacing w:lineRule="auto" w:line="360"/>
        <w:jc w:val="both"/>
        <w:rPr>
          <w:sz w:val="22"/>
          <w:szCs w:val="22"/>
        </w:rPr>
      </w:pPr>
    </w:p>
    <w:p>
      <w:pPr>
        <w:pStyle w:val="style0"/>
        <w:spacing w:lineRule="auto" w:line="360"/>
        <w:jc w:val="both"/>
        <w:rPr>
          <w:sz w:val="22"/>
          <w:szCs w:val="22"/>
        </w:rPr>
      </w:pPr>
      <w:r>
        <w:rPr>
          <w:sz w:val="22"/>
          <w:szCs w:val="22"/>
        </w:rPr>
        <w:t>La mission a rappelé les objectifs du projet qui ne consistent pas à réaliser des infrastructures de type communautaire comme les pistes rurales, mais à accroître l’accès au crédit au profit des promoteurs privés intervenant dans les secteurs de la production agricole et agroalimentaire.</w:t>
      </w:r>
    </w:p>
    <w:p>
      <w:pPr>
        <w:pStyle w:val="style0"/>
        <w:spacing w:lineRule="auto" w:line="360"/>
        <w:jc w:val="both"/>
        <w:rPr/>
      </w:pPr>
    </w:p>
    <w:p>
      <w:pPr>
        <w:pStyle w:val="style1"/>
        <w:rPr>
          <w:rFonts w:ascii="Times New Roman Gras" w:hAnsi="Times New Roman Gras"/>
          <w:caps/>
        </w:rPr>
      </w:pPr>
      <w:r>
        <w:rPr>
          <w:b w:val="false"/>
        </w:rPr>
        <w:br w:type="page"/>
      </w:r>
      <w:bookmarkStart w:id="1583" w:name="_Toc686153"/>
      <w:bookmarkStart w:id="1584" w:name="_Toc2780532"/>
      <w:r>
        <w:t xml:space="preserve">ANNEXE </w:t>
      </w:r>
      <w:r>
        <w:t>4</w:t>
      </w:r>
      <w:r>
        <w:t xml:space="preserve"> : </w:t>
      </w:r>
      <w:r>
        <w:rPr>
          <w:rFonts w:ascii="Times New Roman Gras" w:hAnsi="Times New Roman Gras"/>
        </w:rPr>
        <w:t>TDR DE L’ETUDE</w:t>
      </w:r>
      <w:bookmarkEnd w:id="1583"/>
      <w:bookmarkEnd w:id="1584"/>
    </w:p>
    <w:p>
      <w:pPr>
        <w:pStyle w:val="style157"/>
        <w:jc w:val="center"/>
        <w:rPr>
          <w:rFonts w:cs="Calibri"/>
          <w:b/>
          <w:sz w:val="24"/>
          <w:szCs w:val="24"/>
          <w:lang w:val="fr-FR"/>
        </w:rPr>
      </w:pPr>
      <w:r>
        <w:rPr>
          <w:rFonts w:cs="Calibri"/>
          <w:b/>
          <w:sz w:val="24"/>
          <w:szCs w:val="24"/>
          <w:lang w:val="fr-FR"/>
        </w:rPr>
        <w:t>BURKINA FASO</w:t>
      </w:r>
    </w:p>
    <w:p>
      <w:pPr>
        <w:pStyle w:val="style157"/>
        <w:jc w:val="center"/>
        <w:rPr>
          <w:rFonts w:cs="Calibri"/>
          <w:sz w:val="24"/>
          <w:szCs w:val="24"/>
          <w:lang w:val="fr-CA"/>
        </w:rPr>
      </w:pPr>
      <w:r>
        <w:rPr>
          <w:rFonts w:cs="Calibri"/>
          <w:sz w:val="24"/>
          <w:szCs w:val="24"/>
          <w:lang w:val="fr-CA"/>
        </w:rPr>
        <w:t>-------</w:t>
      </w:r>
    </w:p>
    <w:p>
      <w:pPr>
        <w:pStyle w:val="style157"/>
        <w:jc w:val="center"/>
        <w:rPr>
          <w:rFonts w:cs="Calibri"/>
          <w:b/>
          <w:sz w:val="24"/>
          <w:szCs w:val="24"/>
          <w:lang w:val="fr-CA"/>
        </w:rPr>
      </w:pPr>
      <w:r>
        <w:rPr>
          <w:rFonts w:cs="Calibri"/>
          <w:b/>
          <w:sz w:val="24"/>
          <w:szCs w:val="24"/>
          <w:lang w:val="fr-CA"/>
        </w:rPr>
        <w:t>Unité - Progrès - Justice</w:t>
      </w:r>
    </w:p>
    <w:p>
      <w:pPr>
        <w:pStyle w:val="style0"/>
        <w:jc w:val="center"/>
        <w:rPr>
          <w:rFonts w:ascii="Calibri" w:cs="Calibri" w:hAnsi="Calibri"/>
        </w:rPr>
      </w:pPr>
    </w:p>
    <w:p>
      <w:pPr>
        <w:pStyle w:val="style0"/>
        <w:jc w:val="center"/>
        <w:rPr>
          <w:rFonts w:ascii="Calibri" w:cs="Calibri" w:hAnsi="Calibri"/>
        </w:rPr>
      </w:pPr>
      <w:r>
        <w:rPr>
          <w:rFonts w:ascii="Calibri" w:cs="Calibri" w:eastAsia="Microsoft JhengHei" w:hAnsi="Calibri"/>
          <w:b/>
          <w:noProof/>
        </w:rPr>
        <w:drawing>
          <wp:inline distT="0" distR="0" distL="0" distB="0">
            <wp:extent cx="962025" cy="1019175"/>
            <wp:effectExtent l="0" t="0" r="9525" b="9525"/>
            <wp:docPr id="1094"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6" cstate="print"/>
                    <a:srcRect l="0" t="0" r="0" b="0"/>
                    <a:stretch/>
                  </pic:blipFill>
                  <pic:spPr>
                    <a:xfrm rot="0">
                      <a:off x="0" y="0"/>
                      <a:ext cx="962025" cy="1019175"/>
                    </a:xfrm>
                    <a:prstGeom prst="rect"/>
                    <a:ln>
                      <a:noFill/>
                    </a:ln>
                  </pic:spPr>
                </pic:pic>
              </a:graphicData>
            </a:graphic>
          </wp:inline>
        </w:drawing>
      </w:r>
    </w:p>
    <w:p>
      <w:pPr>
        <w:pStyle w:val="style0"/>
        <w:spacing w:after="179"/>
        <w:ind w:left="67"/>
        <w:jc w:val="center"/>
        <w:rPr>
          <w:rFonts w:ascii="Calibri" w:cs="Calibri" w:hAnsi="Calibri"/>
          <w:b/>
        </w:rPr>
      </w:pPr>
    </w:p>
    <w:p>
      <w:pPr>
        <w:pStyle w:val="style0"/>
        <w:spacing w:after="44"/>
        <w:ind w:left="10"/>
        <w:jc w:val="right"/>
        <w:rPr>
          <w:rFonts w:ascii="Calibri" w:cs="Calibri" w:hAnsi="Calibri"/>
        </w:rPr>
      </w:pPr>
      <w:r>
        <w:rPr>
          <w:rFonts w:ascii="Calibri" w:cs="Calibri" w:hAnsi="Calibri"/>
          <w:b/>
        </w:rPr>
        <w:tab/>
      </w:r>
      <w:r>
        <w:rPr>
          <w:rFonts w:ascii="Calibri" w:cs="Calibri" w:hAnsi="Calibri"/>
          <w:b/>
          <w:i/>
        </w:rPr>
        <w:t xml:space="preserve"> </w:t>
      </w:r>
    </w:p>
    <w:p>
      <w:pPr>
        <w:pStyle w:val="style0"/>
        <w:spacing w:after="43"/>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53"/>
        <w:jc w:val="center"/>
        <w:rPr>
          <w:rFonts w:ascii="Calibri" w:cs="Calibri" w:hAnsi="Calibri"/>
        </w:rPr>
      </w:pPr>
      <w:r>
        <w:rPr>
          <w:rFonts w:ascii="Calibri" w:cs="Calibri" w:hAnsi="Calibri"/>
          <w:b/>
        </w:rPr>
        <w:t xml:space="preserve"> </w:t>
      </w:r>
    </w:p>
    <w:p>
      <w:pPr>
        <w:pStyle w:val="style0"/>
        <w:spacing w:after="52"/>
        <w:jc w:val="center"/>
        <w:rPr>
          <w:rFonts w:ascii="Calibri" w:cs="Calibri" w:hAnsi="Calibri"/>
        </w:rPr>
      </w:pPr>
      <w:r>
        <w:rPr>
          <w:rFonts w:ascii="Calibri" w:cs="Calibri" w:hAnsi="Calibri"/>
          <w:b/>
        </w:rPr>
        <w:t xml:space="preserve"> </w:t>
      </w:r>
    </w:p>
    <w:p>
      <w:pPr>
        <w:pStyle w:val="style0"/>
        <w:spacing w:after="52"/>
        <w:jc w:val="center"/>
        <w:rPr>
          <w:rFonts w:ascii="Calibri" w:cs="Calibri" w:hAnsi="Calibri"/>
        </w:rPr>
      </w:pPr>
      <w:r>
        <w:rPr>
          <w:rFonts w:ascii="Calibri" w:cs="Calibri" w:hAnsi="Calibri"/>
          <w:b/>
        </w:rPr>
        <w:t>PROGRAMME DE DEVELOPPEMENT ET DE COMPETITIVITE AGRICOLE (PDCA)</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rFonts w:ascii="Calibri" w:cs="Calibri" w:hAnsi="Calibri"/>
          <w:b/>
        </w:rPr>
        <w:t xml:space="preserve"> </w:t>
      </w:r>
    </w:p>
    <w:p>
      <w:pPr>
        <w:pStyle w:val="style0"/>
        <w:spacing w:after="43"/>
        <w:jc w:val="center"/>
        <w:rPr>
          <w:rFonts w:ascii="Calibri" w:cs="Calibri" w:hAnsi="Calibri"/>
        </w:rPr>
      </w:pPr>
      <w:r>
        <w:rPr>
          <w:noProof/>
        </w:rPr>
        <mc:AlternateContent>
          <mc:Choice Requires="wps">
            <w:drawing>
              <wp:anchor distT="0" distB="0" distL="0" distR="0" simplePos="false" relativeHeight="5" behindDoc="true" locked="false" layoutInCell="true" allowOverlap="true">
                <wp:simplePos x="0" y="0"/>
                <wp:positionH relativeFrom="column">
                  <wp:posOffset>-818515</wp:posOffset>
                </wp:positionH>
                <wp:positionV relativeFrom="paragraph">
                  <wp:posOffset>131445</wp:posOffset>
                </wp:positionV>
                <wp:extent cx="7505699" cy="1569720"/>
                <wp:effectExtent l="0" t="0" r="19050" b="11430"/>
                <wp:wrapNone/>
                <wp:docPr id="1095" name="Rectangle: Diagonal Corners Rounded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05699" cy="1569720"/>
                        </a:xfrm>
                        <a:prstGeom prst="round2DiagRect"/>
                        <a:solidFill>
                          <a:srgbClr val="92d050"/>
                        </a:solidFill>
                        <a:ln cmpd="sng" cap="flat" w="12700">
                          <a:solidFill>
                            <a:srgbClr val="ff0000"/>
                          </a:solidFill>
                          <a:prstDash val="solid"/>
                          <a:miter/>
                          <a:headEnd/>
                          <a:tailEn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5" coordsize="7505699,1569720" path="m261625,0l7505700,0c7505700,0,7505700,0,7505700,0l7505700,1308095c7505700,1452586,7388566,1569720,7244074,1569720l0,1569720c0,1569720,0,1569720,0,1569720l0,261625c0,117134,117134,0,261625,0xe" adj="3600,0," fillcolor="#92d050" stroked="t" style="position:absolute;margin-left:-64.45pt;margin-top:10.35pt;width:591.0pt;height:123.6pt;z-index:-2147483642;mso-position-horizontal-relative:text;mso-position-vertical-relative:text;mso-width-percent:0;mso-height-percent:0;mso-width-relative:page;mso-height-relative:page;mso-wrap-distance-left:0.0pt;mso-wrap-distance-right:0.0pt;visibility:visible;">
                <v:stroke joinstyle="miter" color="red" weight="1.0pt"/>
                <v:fill/>
                <v:path textboxrect="76627,76627,7429072,1493092" o:connecttype="custom"/>
              </v:shape>
            </w:pict>
          </mc:Fallback>
        </mc:AlternateContent>
      </w:r>
    </w:p>
    <w:p>
      <w:pPr>
        <w:pStyle w:val="style0"/>
        <w:spacing w:after="43"/>
        <w:jc w:val="center"/>
        <w:rPr>
          <w:rFonts w:ascii="Calibri" w:cs="Calibri" w:hAnsi="Calibri"/>
        </w:rPr>
      </w:pPr>
      <w:r>
        <w:rPr>
          <w:rFonts w:ascii="Calibri" w:cs="Calibri" w:hAnsi="Calibri"/>
          <w:b/>
        </w:rPr>
        <w:t xml:space="preserve"> </w:t>
      </w:r>
    </w:p>
    <w:p>
      <w:pPr>
        <w:pStyle w:val="style0"/>
        <w:spacing w:after="43" w:lineRule="auto" w:line="243"/>
        <w:ind w:right="-15"/>
        <w:rPr>
          <w:rFonts w:ascii="Calibri" w:cs="Calibri" w:hAnsi="Calibri"/>
          <w:color w:val="ffffff"/>
        </w:rPr>
      </w:pPr>
      <w:r>
        <w:rPr>
          <w:rFonts w:ascii="Calibri" w:cs="Calibri" w:hAnsi="Calibri"/>
          <w:b/>
          <w:color w:val="ffffff"/>
        </w:rPr>
        <w:t>TERMES DE REFERENCE POUR LE RECRUTEMENT D’UN SPECIALISTE EN SAUVEGARDES ENVIRONNEMENTALES ET SOCIALES POUR LA PREPARATION DU CADRE DE GESTION ENVIRONNEMENTALE ET SOCIALE DU PROGRAMME</w:t>
      </w:r>
    </w:p>
    <w:p>
      <w:pPr>
        <w:pStyle w:val="style0"/>
        <w:spacing w:after="43"/>
        <w:jc w:val="center"/>
        <w:rPr>
          <w:rFonts w:ascii="Calibri" w:cs="Calibri" w:hAnsi="Calibri"/>
          <w:sz w:val="22"/>
        </w:rPr>
      </w:pPr>
      <w:r>
        <w:rPr>
          <w:rFonts w:ascii="Calibri" w:cs="Calibri" w:hAnsi="Calibri"/>
          <w:b/>
          <w:sz w:val="22"/>
        </w:rPr>
        <w:t xml:space="preserve">  </w:t>
      </w:r>
    </w:p>
    <w:p>
      <w:pPr>
        <w:pStyle w:val="style0"/>
        <w:spacing w:after="43"/>
        <w:jc w:val="center"/>
        <w:rPr>
          <w:rFonts w:ascii="Calibri" w:cs="Calibri" w:hAnsi="Calibri"/>
          <w:sz w:val="22"/>
        </w:rPr>
      </w:pPr>
      <w:r>
        <w:rPr>
          <w:rFonts w:ascii="Calibri" w:cs="Calibri" w:hAnsi="Calibri"/>
          <w:b/>
          <w:sz w:val="22"/>
        </w:rPr>
        <w:t xml:space="preserve"> </w:t>
      </w: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b/>
          <w:sz w:val="22"/>
        </w:rPr>
      </w:pPr>
    </w:p>
    <w:p>
      <w:pPr>
        <w:pStyle w:val="style0"/>
        <w:spacing w:after="43"/>
        <w:jc w:val="center"/>
        <w:rPr>
          <w:rFonts w:ascii="Calibri" w:cs="Calibri" w:hAnsi="Calibri"/>
          <w:sz w:val="22"/>
        </w:rPr>
      </w:pPr>
      <w:r>
        <w:rPr>
          <w:rFonts w:ascii="Calibri" w:cs="Calibri" w:hAnsi="Calibri"/>
          <w:b/>
          <w:sz w:val="22"/>
        </w:rPr>
        <w:t xml:space="preserve"> </w:t>
      </w:r>
    </w:p>
    <w:p>
      <w:pPr>
        <w:pStyle w:val="style0"/>
        <w:pBdr>
          <w:top w:val="single" w:sz="4" w:space="1" w:color="auto"/>
        </w:pBdr>
        <w:spacing w:after="43"/>
        <w:jc w:val="center"/>
        <w:rPr>
          <w:rFonts w:ascii="Calibri" w:cs="Calibri" w:hAnsi="Calibri"/>
          <w:b/>
          <w:sz w:val="22"/>
        </w:rPr>
        <w:sectPr>
          <w:pgSz w:w="11906" w:h="16838" w:orient="portrait"/>
          <w:pgMar w:top="1418" w:right="1418" w:bottom="1418" w:left="1418" w:header="720" w:footer="720" w:gutter="0"/>
          <w:cols w:space="720"/>
          <w:titlePg/>
        </w:sectPr>
      </w:pPr>
      <w:r>
        <w:rPr>
          <w:rFonts w:ascii="Calibri" w:cs="Calibri" w:hAnsi="Calibri"/>
          <w:b/>
          <w:sz w:val="22"/>
        </w:rPr>
        <w:t>Novembre 2018</w:t>
      </w:r>
    </w:p>
    <w:p>
      <w:pPr>
        <w:pStyle w:val="style179"/>
        <w:numPr>
          <w:ilvl w:val="0"/>
          <w:numId w:val="117"/>
        </w:numPr>
        <w:ind w:left="360"/>
        <w:rPr>
          <w:rFonts w:cs="Calibri"/>
          <w:b/>
        </w:rPr>
      </w:pPr>
      <w:r>
        <w:rPr>
          <w:rFonts w:cs="Calibri"/>
          <w:b/>
        </w:rPr>
        <w:t>CONTEXTE ET JUSTIFICATION</w:t>
      </w:r>
    </w:p>
    <w:p>
      <w:pPr>
        <w:pStyle w:val="style0"/>
        <w:ind w:hanging="11"/>
        <w:rPr>
          <w:rFonts w:ascii="Calibri" w:cs="Calibri" w:hAnsi="Calibri"/>
          <w:sz w:val="22"/>
        </w:rPr>
      </w:pPr>
    </w:p>
    <w:p>
      <w:pPr>
        <w:pStyle w:val="style0"/>
        <w:ind w:hanging="11"/>
        <w:jc w:val="both"/>
        <w:rPr>
          <w:rFonts w:ascii="Calibri" w:cs="Calibri" w:hAnsi="Calibri"/>
          <w:sz w:val="22"/>
        </w:rPr>
      </w:pPr>
      <w:r>
        <w:rPr>
          <w:rFonts w:ascii="Calibri" w:cs="Calibri" w:hAnsi="Calibri"/>
          <w:sz w:val="22"/>
        </w:rPr>
        <w:t>Aux termes de la conférence internationale sur le financement du Plan national de développement économique et social (PNDES), tenue en décembre 2016 à Paris, la Banque Mondiale a affirmé son intention d’accompagner le Burkina Faso dans la mise en œuvre du PNDES avec une enveloppe globale de 3,8 milliards de dollars sur la période 2016-2020. Cette enveloppe financière est destinée à financer la mise en œuvre des d’un ensemble d’actions dans les secteurs prioritaires du pays dont celui de l’agriculture. L’agriculture au Burkina Faso emploie plus de 80% de la main d’œuvre et la plupart de ceux qui y travaillent vivent en milieu rural.</w:t>
      </w:r>
    </w:p>
    <w:p>
      <w:pPr>
        <w:pStyle w:val="style0"/>
        <w:ind w:hanging="11"/>
        <w:jc w:val="both"/>
        <w:rPr>
          <w:rFonts w:ascii="Calibri" w:cs="Calibri" w:hAnsi="Calibri"/>
          <w:sz w:val="22"/>
        </w:rPr>
      </w:pPr>
    </w:p>
    <w:p>
      <w:pPr>
        <w:pStyle w:val="style0"/>
        <w:ind w:hanging="11"/>
        <w:jc w:val="both"/>
        <w:rPr>
          <w:rFonts w:ascii="Calibri" w:cs="Calibri" w:hAnsi="Calibri"/>
          <w:sz w:val="22"/>
        </w:rPr>
      </w:pPr>
      <w:r>
        <w:rPr>
          <w:rFonts w:ascii="Calibri" w:cs="Calibri" w:hAnsi="Calibri"/>
          <w:sz w:val="22"/>
        </w:rPr>
        <w:t xml:space="preserve">L’analyse des indicateurs de la pauvreté selon la branche d’activité du chef de ménage révèle que c’est dans les ménages dirigés par des agriculteurs vivriers que l’incidence de la pauvreté est la plus élevée. Il en est de même pour la profondeur et la sévérité de la pauvreté. En effet, dans ce groupe de ménages, l’incidence de pauvreté est de 50,1% (une personne sur deux est pauvre), soit dix points de pourcentage au-dessus du taux national. La profondeur et la sévérité de la pauvreté sont respectivement de 12,1% et de 4,1% pour ce même groupe. Près de huit pauvres sur dix (78%) vivent dans des ménages dont les chefs sont des agriculteurs vivriers. </w:t>
      </w:r>
    </w:p>
    <w:p>
      <w:pPr>
        <w:pStyle w:val="style0"/>
        <w:ind w:hanging="11"/>
        <w:jc w:val="both"/>
        <w:rPr>
          <w:rFonts w:ascii="Calibri" w:cs="Calibri" w:hAnsi="Calibri"/>
          <w:sz w:val="22"/>
        </w:rPr>
      </w:pPr>
    </w:p>
    <w:p>
      <w:pPr>
        <w:pStyle w:val="style0"/>
        <w:ind w:hanging="11"/>
        <w:jc w:val="both"/>
        <w:rPr>
          <w:rFonts w:ascii="Calibri" w:cs="Calibri" w:hAnsi="Calibri"/>
          <w:sz w:val="22"/>
        </w:rPr>
      </w:pPr>
      <w:r>
        <w:rPr>
          <w:rFonts w:ascii="Calibri" w:cs="Calibri" w:hAnsi="Calibri"/>
          <w:sz w:val="22"/>
        </w:rPr>
        <w:t>Cependant, le pays regorge d’énormes potentialités et offre d’énormes potentialités atouts pour l’amélioration de la performance de l’agriculture afin qu’elle soit un levier pour la croissance économique et un moyen de réduction de la pauvreté. En effet, le potentiel en terres cultivables est estimé à environ 233 500 ha de terres irrigables et 500 000 ha de bas-fonds. En plus de cela, le pays dispose d’environ 1200 plans d’eau d’une capacité cumulée de 5 milliards de m3 par an pour le développement de l’irrigation et d’une demande en produits alimentaires non satisfaite. La valorisation de ces potentialités contribuera sans doute à la transformation structurelle de l’agriculture burkinabé telle que déclinée dans le PNDES.</w:t>
      </w:r>
    </w:p>
    <w:p>
      <w:pPr>
        <w:pStyle w:val="style0"/>
        <w:ind w:hanging="11"/>
        <w:jc w:val="both"/>
        <w:rPr>
          <w:rFonts w:ascii="Calibri" w:cs="Calibri" w:hAnsi="Calibri"/>
          <w:sz w:val="22"/>
        </w:rPr>
      </w:pPr>
    </w:p>
    <w:p>
      <w:pPr>
        <w:pStyle w:val="style0"/>
        <w:ind w:hanging="11"/>
        <w:jc w:val="both"/>
        <w:rPr>
          <w:rFonts w:ascii="Calibri" w:cs="Calibri" w:hAnsi="Calibri"/>
          <w:sz w:val="22"/>
        </w:rPr>
      </w:pPr>
      <w:r>
        <w:rPr>
          <w:rFonts w:ascii="Calibri" w:cs="Calibri" w:hAnsi="Calibri"/>
          <w:sz w:val="22"/>
        </w:rPr>
        <w:t>C’est dans ce contexte et afin de mobiliser les ressources financières annoncées, que des échanges ont été enclenchés entre la Banque Mondiale et le Gouvernement sur les priorités du secteur agricole, afin d’orienter les choix possibles pour la définition d’un nouveau programme intégré de soutien à la production agricole.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pPr>
        <w:pStyle w:val="style0"/>
        <w:jc w:val="both"/>
        <w:rPr>
          <w:rFonts w:ascii="Calibri" w:cs="Calibri" w:hAnsi="Calibri"/>
          <w:sz w:val="22"/>
        </w:rPr>
      </w:pPr>
    </w:p>
    <w:p>
      <w:pPr>
        <w:pStyle w:val="style179"/>
        <w:numPr>
          <w:ilvl w:val="0"/>
          <w:numId w:val="117"/>
        </w:numPr>
        <w:ind w:left="360"/>
        <w:jc w:val="both"/>
        <w:rPr>
          <w:rFonts w:cs="Calibri"/>
          <w:b/>
        </w:rPr>
      </w:pPr>
      <w:r>
        <w:rPr>
          <w:rFonts w:cs="Calibri"/>
          <w:b/>
        </w:rPr>
        <w:t>PRESENTATION DU PROGRAMME</w:t>
      </w:r>
    </w:p>
    <w:p>
      <w:pPr>
        <w:pStyle w:val="style0"/>
        <w:jc w:val="both"/>
        <w:rPr>
          <w:rFonts w:ascii="Calibri" w:cs="Calibri" w:hAnsi="Calibri"/>
          <w:b/>
          <w:sz w:val="22"/>
        </w:rPr>
      </w:pPr>
    </w:p>
    <w:p>
      <w:pPr>
        <w:pStyle w:val="style179"/>
        <w:numPr>
          <w:ilvl w:val="0"/>
          <w:numId w:val="33"/>
        </w:numPr>
        <w:ind w:left="360"/>
        <w:jc w:val="both"/>
        <w:contextualSpacing/>
        <w:rPr>
          <w:rFonts w:cs="Calibri"/>
        </w:rPr>
      </w:pPr>
      <w:r>
        <w:rPr>
          <w:rFonts w:cs="Calibri"/>
          <w:b/>
        </w:rPr>
        <w:t xml:space="preserve">Objectif global : </w:t>
      </w:r>
      <w:r>
        <w:rPr>
          <w:rFonts w:cs="Calibri"/>
        </w:rPr>
        <w:t>contribuer à la transformation structurelle du secteur agricole pour booster la croissance économique, améliorer la compétitivité des filières porteuses et assurer de façon durable la sécurité alimentaire et nutritionnelle.</w:t>
      </w:r>
    </w:p>
    <w:p>
      <w:pPr>
        <w:pStyle w:val="style0"/>
        <w:jc w:val="both"/>
        <w:rPr>
          <w:rFonts w:ascii="Calibri" w:cs="Calibri" w:hAnsi="Calibri"/>
          <w:b/>
          <w:sz w:val="22"/>
        </w:rPr>
      </w:pPr>
    </w:p>
    <w:p>
      <w:pPr>
        <w:pStyle w:val="style179"/>
        <w:numPr>
          <w:ilvl w:val="0"/>
          <w:numId w:val="33"/>
        </w:numPr>
        <w:ind w:left="360"/>
        <w:jc w:val="both"/>
        <w:contextualSpacing/>
        <w:rPr>
          <w:rFonts w:cs="Calibri"/>
        </w:rPr>
      </w:pPr>
      <w:r>
        <w:rPr>
          <w:rFonts w:cs="Calibri"/>
          <w:b/>
        </w:rPr>
        <w:t xml:space="preserve">Objectif de développement : </w:t>
      </w:r>
      <w:r>
        <w:rPr>
          <w:rFonts w:cs="Calibri"/>
        </w:rPr>
        <w:t>améliorer la production et l’accès au marché pour les producteurs et les petites et moyennes entreprises agricoles dans les chaines de valeur ciblées dans la zone d’intervention du Programme.</w:t>
      </w:r>
    </w:p>
    <w:p>
      <w:pPr>
        <w:pStyle w:val="style0"/>
        <w:jc w:val="both"/>
        <w:rPr>
          <w:rFonts w:ascii="Calibri" w:cs="Calibri" w:hAnsi="Calibri"/>
          <w:b/>
          <w:sz w:val="22"/>
        </w:rPr>
      </w:pPr>
    </w:p>
    <w:p>
      <w:pPr>
        <w:pStyle w:val="style0"/>
        <w:jc w:val="both"/>
        <w:rPr>
          <w:rFonts w:ascii="Calibri" w:cs="Calibri" w:hAnsi="Calibri"/>
          <w:b/>
          <w:sz w:val="22"/>
        </w:rPr>
      </w:pPr>
    </w:p>
    <w:p>
      <w:pPr>
        <w:pStyle w:val="style0"/>
        <w:jc w:val="both"/>
        <w:rPr>
          <w:rFonts w:ascii="Calibri" w:cs="Calibri" w:hAnsi="Calibri"/>
          <w:b/>
          <w:sz w:val="22"/>
        </w:rPr>
      </w:pPr>
      <w:r>
        <w:rPr>
          <w:rFonts w:ascii="Calibri" w:cs="Calibri" w:hAnsi="Calibri"/>
          <w:b/>
          <w:sz w:val="22"/>
        </w:rPr>
        <w:t xml:space="preserve">COMPOSANTES </w:t>
      </w:r>
    </w:p>
    <w:p>
      <w:pPr>
        <w:pStyle w:val="style0"/>
        <w:jc w:val="both"/>
        <w:rPr>
          <w:rFonts w:ascii="Calibri" w:cs="Calibri" w:hAnsi="Calibri"/>
          <w:sz w:val="22"/>
        </w:rPr>
      </w:pPr>
      <w:r>
        <w:rPr>
          <w:rFonts w:ascii="Calibri" w:cs="Calibri" w:hAnsi="Calibri"/>
          <w:sz w:val="22"/>
        </w:rPr>
        <w:t xml:space="preserve">Le programme est structuré en trois grandes (03) composantes : (i) amélioration de la productivité, (ii) amélioration </w:t>
      </w:r>
      <w:r>
        <w:rPr>
          <w:rFonts w:ascii="Calibri" w:cs="Calibri" w:hAnsi="Calibri"/>
          <w:iCs/>
          <w:sz w:val="22"/>
        </w:rPr>
        <w:t xml:space="preserve">de l’accès au marché et appui aux investissements privés </w:t>
      </w:r>
      <w:r>
        <w:rPr>
          <w:rFonts w:ascii="Calibri" w:cs="Calibri" w:hAnsi="Calibri"/>
          <w:sz w:val="22"/>
        </w:rPr>
        <w:t xml:space="preserve">et (iii) </w:t>
      </w:r>
      <w:r>
        <w:rPr>
          <w:rFonts w:ascii="Calibri" w:cs="Calibri" w:hAnsi="Calibri"/>
          <w:iCs/>
          <w:sz w:val="22"/>
        </w:rPr>
        <w:t>prévention et gestion des crises et coordination du Projet</w:t>
      </w:r>
      <w:r>
        <w:rPr>
          <w:rFonts w:ascii="Calibri" w:cs="Calibri" w:hAnsi="Calibri"/>
          <w:sz w:val="22"/>
        </w:rPr>
        <w:t>.</w:t>
      </w:r>
    </w:p>
    <w:p>
      <w:pPr>
        <w:pStyle w:val="style0"/>
        <w:jc w:val="both"/>
        <w:rPr>
          <w:rFonts w:ascii="Calibri" w:cs="Calibri" w:hAnsi="Calibri"/>
          <w:sz w:val="22"/>
        </w:rPr>
      </w:pPr>
    </w:p>
    <w:p>
      <w:pPr>
        <w:pStyle w:val="style179"/>
        <w:numPr>
          <w:ilvl w:val="0"/>
          <w:numId w:val="22"/>
        </w:numPr>
        <w:ind w:left="360"/>
        <w:jc w:val="both"/>
        <w:rPr>
          <w:rFonts w:cs="Calibri"/>
          <w:b/>
        </w:rPr>
      </w:pPr>
      <w:r>
        <w:rPr>
          <w:rFonts w:cs="Calibri"/>
          <w:b/>
        </w:rPr>
        <w:t>Composante A : amélioration de la productivité et de la production agricole</w:t>
      </w:r>
    </w:p>
    <w:p>
      <w:pPr>
        <w:pStyle w:val="style0"/>
        <w:jc w:val="both"/>
        <w:rPr>
          <w:rFonts w:ascii="Calibri" w:cs="Calibri" w:hAnsi="Calibri"/>
          <w:sz w:val="22"/>
        </w:rPr>
      </w:pPr>
    </w:p>
    <w:p>
      <w:pPr>
        <w:pStyle w:val="style0"/>
        <w:jc w:val="both"/>
        <w:rPr>
          <w:rFonts w:ascii="Calibri" w:cs="Calibri" w:hAnsi="Calibri"/>
          <w:iCs/>
          <w:sz w:val="22"/>
        </w:rPr>
      </w:pPr>
      <w:r>
        <w:rPr>
          <w:rFonts w:ascii="Calibri" w:cs="Calibri" w:hAnsi="Calibri"/>
          <w:sz w:val="22"/>
        </w:rPr>
        <w:t xml:space="preserve">Cette composante vise à créer les conditions pour améliorer la productivité et augmenter la production agricole. </w:t>
      </w:r>
      <w:r>
        <w:rPr>
          <w:rFonts w:ascii="Calibri" w:cs="Calibri" w:hAnsi="Calibri"/>
          <w:iCs/>
          <w:sz w:val="22"/>
        </w:rPr>
        <w:t>Elle est subdivisée en trois sous-composantes :</w:t>
      </w:r>
    </w:p>
    <w:p>
      <w:pPr>
        <w:pStyle w:val="style0"/>
        <w:jc w:val="both"/>
        <w:rPr>
          <w:rFonts w:ascii="Calibri" w:cs="Calibri" w:hAnsi="Calibri"/>
          <w:sz w:val="22"/>
        </w:rPr>
      </w:pPr>
      <w:r>
        <w:rPr>
          <w:rFonts w:ascii="Calibri" w:cs="Calibri" w:hAnsi="Calibri"/>
          <w:sz w:val="22"/>
        </w:rPr>
        <w:t xml:space="preserve"> </w:t>
      </w:r>
    </w:p>
    <w:p>
      <w:pPr>
        <w:pStyle w:val="style4310"/>
        <w:numPr>
          <w:ilvl w:val="0"/>
          <w:numId w:val="13"/>
        </w:numPr>
        <w:tabs>
          <w:tab w:val="clear" w:pos="1134"/>
        </w:tabs>
        <w:autoSpaceDN w:val="false"/>
        <w:spacing w:after="0" w:lineRule="auto" w:line="240"/>
        <w:ind w:left="450"/>
        <w:jc w:val="both"/>
        <w:textAlignment w:val="baseline"/>
        <w:rPr>
          <w:rFonts w:ascii="Calibri" w:cs="Calibri" w:hAnsi="Calibri"/>
          <w:iCs/>
          <w:sz w:val="22"/>
          <w:szCs w:val="22"/>
        </w:rPr>
      </w:pPr>
      <w:r>
        <w:rPr>
          <w:rFonts w:ascii="Calibri" w:cs="Calibri" w:hAnsi="Calibri"/>
          <w:b/>
          <w:iCs/>
          <w:sz w:val="22"/>
          <w:szCs w:val="22"/>
        </w:rPr>
        <w:t xml:space="preserve">SC1.1- </w:t>
      </w:r>
      <w:r>
        <w:rPr>
          <w:rFonts w:ascii="Calibri" w:cs="Calibri" w:hAnsi="Calibri"/>
          <w:b/>
          <w:i/>
          <w:iCs/>
          <w:sz w:val="22"/>
          <w:szCs w:val="22"/>
        </w:rPr>
        <w:t>Appui aux services agricoles</w:t>
      </w:r>
      <w:r>
        <w:rPr>
          <w:rFonts w:ascii="Calibri" w:cs="Calibri" w:hAnsi="Calibri"/>
          <w:b/>
          <w:iCs/>
          <w:sz w:val="22"/>
          <w:szCs w:val="22"/>
        </w:rPr>
        <w:t>,</w:t>
      </w:r>
      <w:r>
        <w:rPr>
          <w:rFonts w:ascii="Calibri" w:cs="Calibri" w:hAnsi="Calibri"/>
          <w:iCs/>
          <w:sz w:val="22"/>
          <w:szCs w:val="22"/>
        </w:rPr>
        <w:t xml:space="preserve"> soutiendrait les activités et services agricoles, contribuant à l’intensification pour l’augmentation de la productivité agricole. Il s’agirait de renforcer les services conseils et de vulgarisation des techniques améliorées de production, de conservation et de gestion des stocks post-récoltes des produits agricoles. Le Projet apporterait un appui à la multiplication des semences en aidant à la professionnalisation des producteurs semenciers, alors que le WAATP supportera la production des semences de prébase et de base à travers les structures de la recherche. SC1 comprendrait également les activités de sécurisation foncière des terres aménagées ;</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r>
        <w:rPr>
          <w:rFonts w:ascii="Calibri" w:cs="Calibri" w:hAnsi="Calibri"/>
          <w:iCs/>
          <w:sz w:val="22"/>
          <w:szCs w:val="22"/>
        </w:rPr>
        <w:t xml:space="preserve"> </w:t>
      </w:r>
    </w:p>
    <w:p>
      <w:pPr>
        <w:pStyle w:val="style4310"/>
        <w:numPr>
          <w:ilvl w:val="0"/>
          <w:numId w:val="13"/>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SC1.2-</w:t>
      </w:r>
      <w:r>
        <w:rPr>
          <w:rFonts w:ascii="Calibri" w:cs="Calibri" w:hAnsi="Calibri"/>
          <w:b/>
          <w:i/>
          <w:iCs/>
          <w:sz w:val="22"/>
          <w:szCs w:val="22"/>
        </w:rPr>
        <w:t>Développement des ressources en eau – aménagements hydroagricoles</w:t>
      </w:r>
      <w:r>
        <w:rPr>
          <w:rFonts w:ascii="Calibri" w:cs="Calibri" w:hAnsi="Calibri"/>
          <w:b/>
          <w:iCs/>
          <w:sz w:val="22"/>
          <w:szCs w:val="22"/>
        </w:rPr>
        <w:t>.</w:t>
      </w:r>
      <w:r>
        <w:rPr>
          <w:rFonts w:ascii="Calibri" w:cs="Calibri" w:hAnsi="Calibri"/>
          <w:iCs/>
          <w:sz w:val="22"/>
          <w:szCs w:val="22"/>
        </w:rPr>
        <w:t xml:space="preserve">  Les aménagements hydroagricoles porteraient sur environ 4850 ha. Les aménagements par irrigation goutte à goutte porteraient sur environ 1000 ha de vergers pour la production de fruits. Le soutien aux vergers se ferait par une facilitation de financement des opérateurs privés selon leur demande. Le Projet appuierait la mise en valeur des terres aménagées. Cette sous-composante comprendrait également les activités de réfection des retenues d’eau de Banzon et de Toecé.</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p>
    <w:p>
      <w:pPr>
        <w:pStyle w:val="style4310"/>
        <w:numPr>
          <w:ilvl w:val="0"/>
          <w:numId w:val="13"/>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 xml:space="preserve">SC1.3- </w:t>
      </w:r>
      <w:r>
        <w:rPr>
          <w:rFonts w:ascii="Calibri" w:cs="Calibri" w:hAnsi="Calibri"/>
          <w:b/>
          <w:i/>
          <w:iCs/>
          <w:sz w:val="22"/>
          <w:szCs w:val="22"/>
        </w:rPr>
        <w:t>Renforcement du réseau routier</w:t>
      </w:r>
      <w:r>
        <w:rPr>
          <w:rFonts w:ascii="Calibri" w:cs="Calibri" w:hAnsi="Calibri"/>
          <w:b/>
          <w:iCs/>
          <w:sz w:val="22"/>
          <w:szCs w:val="22"/>
        </w:rPr>
        <w:t>.</w:t>
      </w:r>
      <w:r>
        <w:rPr>
          <w:rFonts w:ascii="Calibri" w:cs="Calibri" w:hAnsi="Calibri"/>
          <w:iCs/>
          <w:sz w:val="22"/>
          <w:szCs w:val="22"/>
        </w:rPr>
        <w:t xml:space="preserve"> L’objectif serait de connecter les zones de production au réseau routier national. </w:t>
      </w:r>
      <w:r>
        <w:rPr>
          <w:rFonts w:ascii="Calibri" w:cs="Calibri" w:hAnsi="Calibri"/>
          <w:iCs/>
          <w:sz w:val="22"/>
          <w:szCs w:val="22"/>
          <w:lang w:val="fr-CA"/>
        </w:rPr>
        <w:t xml:space="preserve">La facilitation de l’accès au marché porterait sur la construction et/ou réhabilitation d’environ 300 km de pistes rurales dans la zone du projet. Cette activité serait menée sous la responsabilité du Ministère des Infrastructures </w:t>
      </w:r>
      <w:r>
        <w:rPr>
          <w:rFonts w:ascii="Calibri" w:cs="Calibri" w:hAnsi="Calibri"/>
          <w:iCs/>
          <w:sz w:val="22"/>
          <w:szCs w:val="22"/>
        </w:rPr>
        <w:t>et du Transport.</w:t>
      </w:r>
    </w:p>
    <w:p>
      <w:pPr>
        <w:pStyle w:val="style0"/>
        <w:jc w:val="both"/>
        <w:rPr>
          <w:rFonts w:ascii="Calibri" w:cs="Calibri" w:hAnsi="Calibri"/>
          <w:sz w:val="22"/>
        </w:rPr>
      </w:pPr>
    </w:p>
    <w:p>
      <w:pPr>
        <w:pStyle w:val="style179"/>
        <w:numPr>
          <w:ilvl w:val="0"/>
          <w:numId w:val="22"/>
        </w:numPr>
        <w:ind w:left="360"/>
        <w:jc w:val="both"/>
        <w:rPr>
          <w:rFonts w:cs="Calibri"/>
          <w:b/>
        </w:rPr>
      </w:pPr>
      <w:r>
        <w:rPr>
          <w:rFonts w:cs="Calibri"/>
          <w:b/>
        </w:rPr>
        <w:t xml:space="preserve">Composante B : amélioration </w:t>
      </w:r>
      <w:r>
        <w:rPr>
          <w:rFonts w:cs="Calibri"/>
          <w:b/>
          <w:iCs/>
        </w:rPr>
        <w:t xml:space="preserve">de l’accès au marché et appui aux investissements privés </w:t>
      </w:r>
    </w:p>
    <w:p>
      <w:pPr>
        <w:pStyle w:val="style0"/>
        <w:jc w:val="both"/>
        <w:rPr>
          <w:rFonts w:ascii="Calibri" w:cs="Calibri" w:hAnsi="Calibri"/>
          <w:sz w:val="22"/>
        </w:rPr>
      </w:pPr>
    </w:p>
    <w:p>
      <w:pPr>
        <w:pStyle w:val="style0"/>
        <w:jc w:val="both"/>
        <w:rPr>
          <w:rFonts w:ascii="Calibri" w:cs="Calibri" w:hAnsi="Calibri"/>
          <w:iCs/>
          <w:sz w:val="22"/>
        </w:rPr>
      </w:pPr>
      <w:r>
        <w:rPr>
          <w:rFonts w:ascii="Calibri" w:cs="Calibri" w:hAnsi="Calibri"/>
          <w:sz w:val="22"/>
        </w:rPr>
        <w:t xml:space="preserve">Cette composante </w:t>
      </w:r>
      <w:r>
        <w:rPr>
          <w:rFonts w:ascii="Calibri" w:cs="Calibri" w:hAnsi="Calibri"/>
          <w:bCs/>
          <w:sz w:val="22"/>
        </w:rPr>
        <w:t xml:space="preserve">a pour </w:t>
      </w:r>
      <w:r>
        <w:rPr>
          <w:rFonts w:ascii="Calibri" w:cs="Calibri" w:hAnsi="Calibri"/>
          <w:iCs/>
          <w:sz w:val="22"/>
        </w:rPr>
        <w:t>objectif majeur de promouvoir la compétitivité du secteur agro-industriel aussi bien sur le marché domestique que régional ou international. Il s’agirait d’appuyer l’investissement privé pour un meilleur accès aux marchés. Elle comprendrait aussi trois sous-composantes.</w:t>
      </w:r>
    </w:p>
    <w:p>
      <w:pPr>
        <w:pStyle w:val="style0"/>
        <w:jc w:val="both"/>
        <w:rPr>
          <w:rFonts w:ascii="Calibri" w:cs="Calibri" w:hAnsi="Calibri"/>
          <w:iCs/>
          <w:sz w:val="22"/>
        </w:rPr>
      </w:pPr>
    </w:p>
    <w:p>
      <w:pPr>
        <w:pStyle w:val="style4310"/>
        <w:numPr>
          <w:ilvl w:val="0"/>
          <w:numId w:val="133"/>
        </w:numPr>
        <w:tabs>
          <w:tab w:val="clear" w:pos="1134"/>
        </w:tabs>
        <w:autoSpaceDN w:val="false"/>
        <w:spacing w:after="0" w:lineRule="auto" w:line="240"/>
        <w:ind w:left="360"/>
        <w:jc w:val="both"/>
        <w:textAlignment w:val="baseline"/>
        <w:rPr>
          <w:rFonts w:ascii="Calibri" w:cs="Calibri" w:hAnsi="Calibri"/>
          <w:iCs/>
          <w:color w:val="ffc000"/>
          <w:sz w:val="22"/>
          <w:szCs w:val="22"/>
        </w:rPr>
      </w:pPr>
      <w:r>
        <w:rPr>
          <w:rFonts w:ascii="Calibri" w:cs="Calibri" w:hAnsi="Calibri"/>
          <w:b/>
          <w:iCs/>
          <w:sz w:val="22"/>
          <w:szCs w:val="22"/>
        </w:rPr>
        <w:t xml:space="preserve">SC2.1- </w:t>
      </w:r>
      <w:r>
        <w:rPr>
          <w:rFonts w:ascii="Calibri" w:cs="Calibri" w:hAnsi="Calibri"/>
          <w:b/>
          <w:i/>
          <w:iCs/>
          <w:sz w:val="22"/>
          <w:szCs w:val="22"/>
        </w:rPr>
        <w:t>Renforcement du cadre réglementaire</w:t>
      </w:r>
      <w:r>
        <w:rPr>
          <w:rFonts w:ascii="Calibri" w:cs="Calibri" w:hAnsi="Calibri"/>
          <w:iCs/>
          <w:sz w:val="22"/>
          <w:szCs w:val="22"/>
        </w:rPr>
        <w:t>. En collaboration avec les autres projets, le Projet de contribuerait au renforcement du cadre réglementaire pour encourager l’éclosion du secteur privé dans les filières ciblées. La sous-composante financerait la création et/ou le renforcement des Services de Développement de Business (BDS) pour leur permettre de mieux assister les investisseurs potentiels dans les filières ciblées dans l’élaboration de leurs plans d’affaires et le renforcement de leurs capacités en gestion. Par ailleurs, elle appuierait les institutions de financement pour le développement des services adaptés au développement du secteur agro-alimentaire.</w:t>
      </w:r>
      <w:r>
        <w:rPr>
          <w:rFonts w:ascii="Calibri" w:cs="Calibri" w:hAnsi="Calibri"/>
          <w:iCs/>
          <w:color w:val="ffc000"/>
          <w:sz w:val="22"/>
          <w:szCs w:val="22"/>
        </w:rPr>
        <w:t xml:space="preserve"> </w:t>
      </w:r>
    </w:p>
    <w:p>
      <w:pPr>
        <w:pStyle w:val="style4310"/>
        <w:numPr>
          <w:ilvl w:val="0"/>
          <w:numId w:val="0"/>
        </w:numPr>
        <w:tabs>
          <w:tab w:val="clear" w:pos="1134"/>
        </w:tabs>
        <w:autoSpaceDN w:val="false"/>
        <w:spacing w:after="0" w:lineRule="auto" w:line="240"/>
        <w:jc w:val="both"/>
        <w:textAlignment w:val="baseline"/>
        <w:rPr>
          <w:rFonts w:ascii="Calibri" w:cs="Calibri" w:hAnsi="Calibri"/>
          <w:iCs/>
          <w:color w:val="ffc000"/>
          <w:sz w:val="22"/>
          <w:szCs w:val="22"/>
        </w:rPr>
      </w:pPr>
    </w:p>
    <w:p>
      <w:pPr>
        <w:pStyle w:val="style4310"/>
        <w:numPr>
          <w:ilvl w:val="0"/>
          <w:numId w:val="133"/>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SC2.2-</w:t>
      </w:r>
      <w:r>
        <w:rPr>
          <w:rFonts w:ascii="Calibri" w:cs="Calibri" w:hAnsi="Calibri"/>
          <w:b/>
          <w:i/>
          <w:iCs/>
          <w:sz w:val="22"/>
          <w:szCs w:val="22"/>
        </w:rPr>
        <w:t>Développement des infrastructures de mise en marché</w:t>
      </w:r>
      <w:r>
        <w:rPr>
          <w:rFonts w:ascii="Calibri" w:cs="Calibri" w:hAnsi="Calibri"/>
          <w:b/>
          <w:iCs/>
          <w:sz w:val="22"/>
          <w:szCs w:val="22"/>
        </w:rPr>
        <w:t>.</w:t>
      </w:r>
      <w:r>
        <w:rPr>
          <w:rFonts w:ascii="Calibri" w:cs="Calibri" w:hAnsi="Calibri"/>
          <w:iCs/>
          <w:sz w:val="22"/>
          <w:szCs w:val="22"/>
        </w:rPr>
        <w:t xml:space="preserve"> Les infrastructures à réaliser comprendraient des plateformes de conditionnement et de séchage, des magasins de warrantage, de stockage et de conservation des produits agricoles, des boutiques d’intrants, ainsi que des comptoirs de vente. </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p>
    <w:p>
      <w:pPr>
        <w:pStyle w:val="style4310"/>
        <w:numPr>
          <w:ilvl w:val="0"/>
          <w:numId w:val="110"/>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 xml:space="preserve">SC2.3 - </w:t>
      </w:r>
      <w:r>
        <w:rPr>
          <w:rFonts w:ascii="Calibri" w:cs="Calibri" w:hAnsi="Calibri"/>
          <w:b/>
          <w:i/>
          <w:iCs/>
          <w:sz w:val="22"/>
          <w:szCs w:val="22"/>
        </w:rPr>
        <w:t>Appui au financement du secteur privé</w:t>
      </w:r>
      <w:r>
        <w:rPr>
          <w:rFonts w:ascii="Calibri" w:cs="Calibri" w:hAnsi="Calibri"/>
          <w:b/>
          <w:iCs/>
          <w:sz w:val="22"/>
          <w:szCs w:val="22"/>
        </w:rPr>
        <w:t>.</w:t>
      </w:r>
      <w:r>
        <w:rPr>
          <w:rFonts w:ascii="Calibri" w:cs="Calibri" w:hAnsi="Calibri"/>
          <w:iCs/>
          <w:sz w:val="22"/>
          <w:szCs w:val="22"/>
        </w:rPr>
        <w:t xml:space="preserve"> Cette sous-composante aurait pour objectif d’améliorer l’accès au financement des promoteurs dans le secteur de l’agro-alimentaire.  Le financement des promoteurs privés s’appuierait sur les institutions financières partenaires à travers les mécanismes de financement à coûts partagés pour le développement des infrastructures de transformation, de commercialisation, de conservation, l’appui aux producteurs semenciers pour la production de semences certifiées ainsi qu’à la promotion de l’agriculture contractuelle. Des guichets spécifiques seraient définis aussi bien pour les partenariats productifs (PP), les subventions directes pour le financement de sous-projets de moyenne taille, que les micro-projets. En ce qui concerne plus particulièrement cette sous-composante un accent particulier serait mis sur l’aspect de la </w:t>
      </w:r>
      <w:r>
        <w:rPr>
          <w:rFonts w:ascii="Calibri" w:cs="Calibri" w:hAnsi="Calibri"/>
          <w:i/>
          <w:iCs/>
          <w:sz w:val="22"/>
          <w:szCs w:val="22"/>
        </w:rPr>
        <w:t>transformation (agro-processing)</w:t>
      </w:r>
      <w:r>
        <w:rPr>
          <w:rFonts w:ascii="Calibri" w:cs="Calibri" w:hAnsi="Calibri"/>
          <w:iCs/>
          <w:sz w:val="22"/>
          <w:szCs w:val="22"/>
        </w:rPr>
        <w:t xml:space="preserve"> qui est un élément capital pour la transformation structurelle du secteur pour plus de valeur ajoutée et surtout pour passer d’une agriculture de subsistance à une agriculture commerciale. La petite transformation (artisanale ou semi-industrielle) qui concerne en général plus les femmes pourrait aussi être prise en compte.</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p>
    <w:p>
      <w:pPr>
        <w:pStyle w:val="style179"/>
        <w:tabs>
          <w:tab w:val="left" w:leader="none" w:pos="0"/>
        </w:tabs>
        <w:autoSpaceDN w:val="false"/>
        <w:ind w:left="0"/>
        <w:jc w:val="both"/>
        <w:textAlignment w:val="baseline"/>
        <w:rPr>
          <w:rFonts w:cs="Calibri"/>
          <w:iCs/>
        </w:rPr>
      </w:pPr>
      <w:r>
        <w:rPr>
          <w:rFonts w:cs="Calibri"/>
          <w:b/>
        </w:rPr>
        <w:t xml:space="preserve">Composante C : </w:t>
      </w:r>
      <w:r>
        <w:rPr>
          <w:rFonts w:cs="Calibri"/>
          <w:b/>
          <w:iCs/>
        </w:rPr>
        <w:t>prévention et gestion des crises et coordination du Projet</w:t>
      </w:r>
      <w:r>
        <w:rPr>
          <w:rFonts w:cs="Calibri"/>
          <w:b/>
        </w:rPr>
        <w:t xml:space="preserve"> </w:t>
      </w:r>
      <w:r>
        <w:rPr>
          <w:rFonts w:cs="Calibri"/>
          <w:b/>
          <w:iCs/>
        </w:rPr>
        <w:t>Cette porterait sur la prévention et gestion des crises ainsi que la coordination du Projet et le suivi et évaluation. Elle serait subdivisée en deux sous-composantes.</w:t>
      </w:r>
    </w:p>
    <w:p>
      <w:pPr>
        <w:pStyle w:val="style179"/>
        <w:tabs>
          <w:tab w:val="left" w:leader="none" w:pos="0"/>
        </w:tabs>
        <w:autoSpaceDN w:val="false"/>
        <w:ind w:left="0"/>
        <w:jc w:val="both"/>
        <w:textAlignment w:val="baseline"/>
        <w:rPr>
          <w:rFonts w:cs="Calibri"/>
          <w:iCs/>
        </w:rPr>
      </w:pPr>
    </w:p>
    <w:p>
      <w:pPr>
        <w:pStyle w:val="style4310"/>
        <w:numPr>
          <w:ilvl w:val="0"/>
          <w:numId w:val="110"/>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 xml:space="preserve">SC3.1 - </w:t>
      </w:r>
      <w:r>
        <w:rPr>
          <w:rFonts w:ascii="Calibri" w:cs="Calibri" w:hAnsi="Calibri"/>
          <w:b/>
          <w:i/>
          <w:iCs/>
          <w:sz w:val="22"/>
          <w:szCs w:val="22"/>
        </w:rPr>
        <w:t>Prévention et gestion des crises</w:t>
      </w:r>
      <w:r>
        <w:rPr>
          <w:rFonts w:ascii="Calibri" w:cs="Calibri" w:hAnsi="Calibri"/>
          <w:b/>
          <w:iCs/>
          <w:sz w:val="22"/>
          <w:szCs w:val="22"/>
        </w:rPr>
        <w:t>.</w:t>
      </w:r>
      <w:r>
        <w:rPr>
          <w:rFonts w:ascii="Calibri" w:cs="Calibri" w:hAnsi="Calibri"/>
          <w:iCs/>
          <w:sz w:val="22"/>
          <w:szCs w:val="22"/>
        </w:rPr>
        <w:t xml:space="preserve"> Il s’agirait de renforcer les capacités du ministère à répondre efficacement aux urgences éligibles en cas de survenance, par la mise en place d’un mécanisme de réponse d’urgence (CERC). Ce mécanisme aurait une dotation initiale de zéro FCFA, mais il permettrait de mobiliser très rapidement du financement pour faire faire à une crise le cas échéant. </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p>
    <w:p>
      <w:pPr>
        <w:pStyle w:val="style4310"/>
        <w:numPr>
          <w:ilvl w:val="0"/>
          <w:numId w:val="110"/>
        </w:numPr>
        <w:tabs>
          <w:tab w:val="clear" w:pos="1134"/>
        </w:tabs>
        <w:autoSpaceDN w:val="false"/>
        <w:spacing w:after="0" w:lineRule="auto" w:line="240"/>
        <w:ind w:left="360"/>
        <w:jc w:val="both"/>
        <w:textAlignment w:val="baseline"/>
        <w:rPr>
          <w:rFonts w:ascii="Calibri" w:cs="Calibri" w:hAnsi="Calibri"/>
          <w:iCs/>
          <w:sz w:val="22"/>
          <w:szCs w:val="22"/>
        </w:rPr>
      </w:pPr>
      <w:r>
        <w:rPr>
          <w:rFonts w:ascii="Calibri" w:cs="Calibri" w:hAnsi="Calibri"/>
          <w:b/>
          <w:iCs/>
          <w:sz w:val="22"/>
          <w:szCs w:val="22"/>
        </w:rPr>
        <w:t>SC3.2-</w:t>
      </w:r>
      <w:r>
        <w:rPr>
          <w:rFonts w:ascii="Calibri" w:cs="Calibri" w:hAnsi="Calibri"/>
          <w:b/>
          <w:i/>
          <w:iCs/>
          <w:sz w:val="22"/>
          <w:szCs w:val="22"/>
        </w:rPr>
        <w:t>Coordination du Projet et suivi évaluation</w:t>
      </w:r>
      <w:r>
        <w:rPr>
          <w:rFonts w:ascii="Calibri" w:cs="Calibri" w:hAnsi="Calibri"/>
          <w:b/>
          <w:iCs/>
          <w:sz w:val="22"/>
          <w:szCs w:val="22"/>
        </w:rPr>
        <w:t>.</w:t>
      </w:r>
      <w:r>
        <w:rPr>
          <w:rFonts w:ascii="Calibri" w:cs="Calibri" w:hAnsi="Calibri"/>
          <w:iCs/>
          <w:sz w:val="22"/>
          <w:szCs w:val="22"/>
        </w:rPr>
        <w:t xml:space="preserve"> La SC3.2 prendrait en compte la coordination et le suivi évaluation, le renforcement des capacités, l’organisation des acteurs, l’appui institutionnel ainsi que les questions de sauvegardes environnementales et sociales.  </w:t>
      </w:r>
    </w:p>
    <w:p>
      <w:pPr>
        <w:pStyle w:val="style4310"/>
        <w:numPr>
          <w:ilvl w:val="0"/>
          <w:numId w:val="0"/>
        </w:numPr>
        <w:tabs>
          <w:tab w:val="clear" w:pos="1134"/>
        </w:tabs>
        <w:autoSpaceDN w:val="false"/>
        <w:spacing w:after="0" w:lineRule="auto" w:line="240"/>
        <w:jc w:val="both"/>
        <w:textAlignment w:val="baseline"/>
        <w:rPr>
          <w:rFonts w:ascii="Calibri" w:cs="Calibri" w:hAnsi="Calibri"/>
          <w:iCs/>
          <w:sz w:val="22"/>
          <w:szCs w:val="22"/>
        </w:rPr>
      </w:pPr>
    </w:p>
    <w:p>
      <w:pPr>
        <w:pStyle w:val="style0"/>
        <w:spacing w:after="52"/>
        <w:jc w:val="both"/>
        <w:rPr>
          <w:rFonts w:ascii="Calibri" w:cs="Calibri" w:hAnsi="Calibri"/>
          <w:sz w:val="22"/>
        </w:rPr>
      </w:pPr>
      <w:r>
        <w:rPr>
          <w:rFonts w:ascii="Calibri" w:cs="Calibri" w:hAnsi="Calibri"/>
          <w:sz w:val="22"/>
        </w:rPr>
        <w:t xml:space="preserve">Par la nature, les caractéristiques et l’envergure des travaux envisagés dans le cadre de l’exécution du Programme de Développement et de Compétitivité Agricole (PDCA), </w:t>
      </w:r>
    </w:p>
    <w:p>
      <w:pPr>
        <w:pStyle w:val="style0"/>
        <w:widowControl w:val="false"/>
        <w:shd w:val="clear" w:color="auto" w:fill="ffffff"/>
        <w:autoSpaceDE w:val="false"/>
        <w:autoSpaceDN w:val="false"/>
        <w:adjustRightInd w:val="false"/>
        <w:spacing w:before="5" w:lineRule="exact" w:line="274"/>
        <w:jc w:val="both"/>
        <w:rPr>
          <w:rFonts w:ascii="Calibri" w:cs="Calibri" w:hAnsi="Calibri"/>
          <w:sz w:val="22"/>
        </w:rPr>
      </w:pPr>
      <w:r>
        <w:rPr>
          <w:rFonts w:ascii="Calibri" w:cs="Calibri" w:hAnsi="Calibri"/>
          <w:sz w:val="22"/>
        </w:rPr>
        <w:t xml:space="preserve">le programme s’est vu classé en catégorie « A » selon les critères de catégorisation environnementale et sociale de la Banque mondiale et sept (7) politiques opérationnelles de sauvegardes environnementales et sociales sont déclenchées à savoir : (i) PO 4.01« Evaluation Environnementale »; (ii)PO 4.09« Gestion des pestes » ; (iii) PO 4.04« Habitats Naturels »; (iv) PO 4.11 « Ressources culturelles physiques », (v) PO 4.37 « Sécurité des barrages » ,(vi) PO 4.12 « Réinstallation Involontaire » et (vii) OP 7.50« Projets sur les voies d’eaux internationales ». </w:t>
      </w:r>
    </w:p>
    <w:p>
      <w:pPr>
        <w:pStyle w:val="style0"/>
        <w:widowControl w:val="false"/>
        <w:shd w:val="clear" w:color="auto" w:fill="ffffff"/>
        <w:autoSpaceDE w:val="false"/>
        <w:autoSpaceDN w:val="false"/>
        <w:adjustRightInd w:val="false"/>
        <w:spacing w:before="5" w:lineRule="exact" w:line="274"/>
        <w:jc w:val="both"/>
        <w:rPr>
          <w:rFonts w:ascii="Calibri" w:cs="Calibri" w:hAnsi="Calibri"/>
          <w:sz w:val="22"/>
        </w:rPr>
      </w:pPr>
      <w:r>
        <w:rPr>
          <w:rFonts w:ascii="Calibri" w:cs="Calibri" w:hAnsi="Calibri"/>
          <w:sz w:val="22"/>
        </w:rPr>
        <w:t xml:space="preserve">En conséquence, le Gouvernement se doit de préparer les instruments de sauvegardes suivants : (i) un Cadre de Gestion Environnementale et Sociale (CGES), (ii) un Plan de Gestion des Pestes (PGP), (iii) un Cadre de Politique de Réinstallation (CPR), (iv)deux Etudes d’Impact Environnemental Sociale(EIES) et deux Plans d’Action de Réinstallation(PAR). </w:t>
      </w:r>
    </w:p>
    <w:p>
      <w:pPr>
        <w:pStyle w:val="style0"/>
        <w:spacing w:lineRule="auto" w:line="276"/>
        <w:jc w:val="both"/>
        <w:rPr>
          <w:rFonts w:ascii="Calibri" w:cs="Calibri" w:eastAsia="MS Mincho" w:hAnsi="Calibri"/>
          <w:iCs/>
          <w:kern w:val="2"/>
          <w:sz w:val="22"/>
          <w:lang w:eastAsia="en-GB"/>
        </w:rPr>
      </w:pPr>
    </w:p>
    <w:p>
      <w:pPr>
        <w:pStyle w:val="style0"/>
        <w:spacing w:lineRule="auto" w:line="276"/>
        <w:jc w:val="both"/>
        <w:rPr>
          <w:rFonts w:ascii="Calibri" w:cs="Calibri" w:eastAsia="MS Mincho" w:hAnsi="Calibri"/>
          <w:iCs/>
          <w:kern w:val="2"/>
          <w:sz w:val="22"/>
          <w:lang w:eastAsia="en-GB"/>
        </w:rPr>
      </w:pPr>
      <w:r>
        <w:rPr>
          <w:rFonts w:ascii="Calibri" w:cs="Calibri" w:eastAsia="MS Mincho" w:hAnsi="Calibri"/>
          <w:iCs/>
          <w:kern w:val="2"/>
          <w:sz w:val="22"/>
          <w:lang w:eastAsia="en-GB"/>
        </w:rPr>
        <w:t>Dans l'optique de prévenir et d'atténuer les éventuelles incidences négatives qui pourraient découler de la mise en œuvre du Programme sur les matrices de l’environnement et les communautés, il s’avère opportun de conduire des évaluations environnementales et sociales en vue de l’élaboration d’un Cadre de Gestion Environnementale et Sociale (CGES) pour les investissements dont les sites ne sont connus à ce jour  et ce, conformément à la législation burkinabè en matière de protection de l’environnement et à la politique opérationnelle PO 4.01 de la Banque mondiale, relative à l’Evaluation Environnementale. C’est dans ce contexte et en vue de satisfaire à ce préalable que les présents termes de référence (TDR) sont élaborés.</w:t>
      </w:r>
    </w:p>
    <w:p>
      <w:pPr>
        <w:pStyle w:val="style0"/>
        <w:jc w:val="both"/>
        <w:rPr>
          <w:rFonts w:ascii="Calibri" w:cs="Calibri" w:hAnsi="Calibri"/>
          <w:sz w:val="22"/>
        </w:rPr>
      </w:pPr>
    </w:p>
    <w:p>
      <w:pPr>
        <w:pStyle w:val="style179"/>
        <w:numPr>
          <w:ilvl w:val="0"/>
          <w:numId w:val="117"/>
        </w:numPr>
        <w:ind w:left="360"/>
        <w:jc w:val="both"/>
        <w:rPr>
          <w:rFonts w:cs="Calibri"/>
          <w:b/>
        </w:rPr>
      </w:pPr>
      <w:r>
        <w:rPr>
          <w:rFonts w:cs="Calibri"/>
          <w:b/>
        </w:rPr>
        <w:t>OBJECTIF DE LA MISSION</w:t>
      </w:r>
    </w:p>
    <w:p>
      <w:pPr>
        <w:pStyle w:val="style179"/>
        <w:ind w:left="360"/>
        <w:jc w:val="both"/>
        <w:rPr>
          <w:rFonts w:cs="Calibri"/>
          <w:b/>
        </w:rPr>
      </w:pPr>
    </w:p>
    <w:p>
      <w:pPr>
        <w:pStyle w:val="style0"/>
        <w:autoSpaceDE w:val="false"/>
        <w:spacing w:lineRule="auto" w:line="276"/>
        <w:jc w:val="both"/>
        <w:rPr>
          <w:rFonts w:ascii="Calibri" w:cs="Calibri" w:eastAsia="MS Mincho" w:hAnsi="Calibri"/>
          <w:iCs/>
          <w:kern w:val="2"/>
          <w:sz w:val="22"/>
          <w:lang w:eastAsia="en-GB"/>
        </w:rPr>
      </w:pPr>
      <w:r>
        <w:rPr>
          <w:rFonts w:ascii="Calibri" w:cs="Calibri" w:eastAsia="MS Mincho" w:hAnsi="Calibri"/>
          <w:iCs/>
          <w:kern w:val="2"/>
          <w:sz w:val="22"/>
          <w:lang w:eastAsia="en-GB"/>
        </w:rPr>
        <w:t>L’objectif général de la présente mission est d’élaborer le Cadre de Gestion Environnementale et Sociale dans le cadre de la préparation du Programme en fournissant un ensemble de mesures techniques, opérationnelles, organisationnelles, etc. permettant de prévenir et gérer les risques et impacts environnementaux et sociaux potentiels du Programme. De façon spécifique, il s’agit au titre de la présente mission de :</w:t>
      </w:r>
    </w:p>
    <w:p>
      <w:pPr>
        <w:pStyle w:val="style179"/>
        <w:numPr>
          <w:ilvl w:val="0"/>
          <w:numId w:val="35"/>
        </w:numPr>
        <w:autoSpaceDE w:val="false"/>
        <w:spacing w:after="160" w:lineRule="auto" w:line="276"/>
        <w:jc w:val="both"/>
        <w:contextualSpacing/>
        <w:rPr>
          <w:rFonts w:cs="Calibri" w:eastAsia="MS Mincho"/>
          <w:iCs/>
          <w:kern w:val="2"/>
          <w:lang w:eastAsia="en-GB"/>
        </w:rPr>
      </w:pPr>
      <w:r>
        <w:rPr>
          <w:rFonts w:cs="Calibri" w:eastAsia="MS Mincho"/>
          <w:iCs/>
          <w:kern w:val="2"/>
          <w:lang w:eastAsia="en-GB"/>
        </w:rPr>
        <w:t>identifier les enjeux environnementaux et sociaux majeurs dans les zones d’intervention du Programme ;</w:t>
      </w:r>
    </w:p>
    <w:p>
      <w:pPr>
        <w:pStyle w:val="style179"/>
        <w:numPr>
          <w:ilvl w:val="0"/>
          <w:numId w:val="35"/>
        </w:numPr>
        <w:autoSpaceDE w:val="false"/>
        <w:spacing w:after="160" w:lineRule="auto" w:line="276"/>
        <w:jc w:val="both"/>
        <w:contextualSpacing/>
        <w:rPr>
          <w:rFonts w:cs="Calibri" w:eastAsia="MS Mincho"/>
          <w:iCs/>
          <w:kern w:val="2"/>
          <w:lang w:eastAsia="en-GB"/>
        </w:rPr>
      </w:pPr>
      <w:r>
        <w:rPr>
          <w:rFonts w:cs="Calibri" w:eastAsia="MS Mincho"/>
          <w:iCs/>
          <w:kern w:val="2"/>
          <w:lang w:eastAsia="en-GB"/>
        </w:rPr>
        <w:t xml:space="preserve">identifier les risques environnementaux et sociaux liés aux différentes interventions du Programme (zones d’influences directes et indirectes du Programme) ; </w:t>
      </w:r>
    </w:p>
    <w:p>
      <w:pPr>
        <w:pStyle w:val="style179"/>
        <w:numPr>
          <w:ilvl w:val="0"/>
          <w:numId w:val="35"/>
        </w:numPr>
        <w:autoSpaceDE w:val="false"/>
        <w:spacing w:after="160" w:lineRule="auto" w:line="276"/>
        <w:jc w:val="both"/>
        <w:contextualSpacing/>
        <w:rPr>
          <w:rFonts w:cs="Calibri" w:eastAsia="MS Mincho"/>
          <w:iCs/>
          <w:kern w:val="2"/>
          <w:lang w:eastAsia="en-GB"/>
        </w:rPr>
      </w:pPr>
      <w:r>
        <w:rPr>
          <w:rFonts w:cs="Calibri" w:eastAsia="MS Mincho"/>
          <w:iCs/>
          <w:kern w:val="2"/>
          <w:lang w:eastAsia="en-GB"/>
        </w:rPr>
        <w:t>identifier les forces et faiblesses du cadre politique, juridique et institutionnel  en matière d’environnement, chez les principaux acteurs de mise en œuvre du Programme ;</w:t>
      </w:r>
    </w:p>
    <w:p>
      <w:pPr>
        <w:pStyle w:val="style179"/>
        <w:numPr>
          <w:ilvl w:val="0"/>
          <w:numId w:val="35"/>
        </w:numPr>
        <w:autoSpaceDE w:val="false"/>
        <w:spacing w:after="160" w:lineRule="auto" w:line="276"/>
        <w:jc w:val="both"/>
        <w:contextualSpacing/>
        <w:rPr>
          <w:rFonts w:cs="Calibri" w:eastAsia="MS Mincho"/>
          <w:iCs/>
          <w:kern w:val="2"/>
          <w:lang w:eastAsia="en-GB"/>
        </w:rPr>
      </w:pPr>
      <w:r>
        <w:rPr>
          <w:rFonts w:cs="Calibri" w:eastAsia="MS Mincho"/>
          <w:iCs/>
          <w:kern w:val="2"/>
          <w:lang w:eastAsia="en-GB"/>
        </w:rPr>
        <w:t>Décrire la procédure de gestion environnementale et sociale des sous-projets dont les localisations seront décidées plus tard, et proposer des clauses environnementales et sociales pertinentes pour certains risques associés aux types de sous-projets. ;</w:t>
      </w:r>
    </w:p>
    <w:p>
      <w:pPr>
        <w:pStyle w:val="style179"/>
        <w:numPr>
          <w:ilvl w:val="0"/>
          <w:numId w:val="35"/>
        </w:numPr>
        <w:autoSpaceDE w:val="false"/>
        <w:spacing w:after="160" w:lineRule="auto" w:line="276"/>
        <w:jc w:val="both"/>
        <w:contextualSpacing/>
        <w:rPr>
          <w:rFonts w:cs="Calibri" w:eastAsia="MS Mincho"/>
          <w:iCs/>
          <w:kern w:val="2"/>
          <w:lang w:eastAsia="en-GB"/>
        </w:rPr>
      </w:pPr>
      <w:r>
        <w:rPr>
          <w:rFonts w:cs="Calibri" w:eastAsia="MS Mincho"/>
          <w:iCs/>
          <w:kern w:val="2"/>
          <w:lang w:eastAsia="en-GB"/>
        </w:rPr>
        <w:t>décrire les arrangements institutionnels de mise en œuvre du CGES en clarifiant les rôles et responsabilités de toutes les parties prenantes impliquées dans la mise en œuvre du Programme. Il s’agit en l’occurrence, d’identifier les acteurs et entités impliqués dans chacune des étapes : tri, sélection, catégorisation environnementale (et sociale) du sous-Programme, préparation et approbation des TdRs et des rapports d’EIES et de NIES, mise en œuvre, suivi et évaluation des PGES.</w:t>
      </w:r>
    </w:p>
    <w:p>
      <w:pPr>
        <w:pStyle w:val="style179"/>
        <w:autoSpaceDE w:val="false"/>
        <w:spacing w:after="160"/>
        <w:jc w:val="both"/>
        <w:rPr>
          <w:rFonts w:cs="Calibri" w:eastAsia="MS Mincho"/>
          <w:iCs/>
          <w:kern w:val="2"/>
          <w:lang w:eastAsia="en-GB"/>
        </w:rPr>
      </w:pPr>
    </w:p>
    <w:p>
      <w:pPr>
        <w:pStyle w:val="style179"/>
        <w:numPr>
          <w:ilvl w:val="0"/>
          <w:numId w:val="117"/>
        </w:numPr>
        <w:ind w:left="360"/>
        <w:jc w:val="both"/>
        <w:rPr>
          <w:rFonts w:cs="Calibri"/>
          <w:b/>
        </w:rPr>
      </w:pPr>
      <w:r>
        <w:rPr>
          <w:rFonts w:cs="Calibri"/>
          <w:b/>
        </w:rPr>
        <w:t xml:space="preserve">RESULTATS ATTENDUS DE LA MISSION </w:t>
      </w:r>
    </w:p>
    <w:p>
      <w:pPr>
        <w:pStyle w:val="style0"/>
        <w:jc w:val="both"/>
        <w:rPr>
          <w:rFonts w:ascii="Calibri" w:cs="Calibri" w:hAnsi="Calibri"/>
          <w:sz w:val="22"/>
        </w:rPr>
      </w:pPr>
    </w:p>
    <w:p>
      <w:pPr>
        <w:pStyle w:val="style0"/>
        <w:spacing w:lineRule="auto" w:line="276"/>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Aux termes de cette mission : </w:t>
      </w:r>
    </w:p>
    <w:p>
      <w:pPr>
        <w:pStyle w:val="style179"/>
        <w:numPr>
          <w:ilvl w:val="0"/>
          <w:numId w:val="98"/>
        </w:numPr>
        <w:suppressAutoHyphens/>
        <w:spacing w:lineRule="auto" w:line="276"/>
        <w:ind w:left="851"/>
        <w:jc w:val="both"/>
        <w:rPr>
          <w:rFonts w:cs="Calibri" w:eastAsia="MS Mincho"/>
          <w:iCs/>
          <w:kern w:val="2"/>
          <w:lang w:eastAsia="en-GB"/>
        </w:rPr>
      </w:pPr>
      <w:r>
        <w:rPr>
          <w:rFonts w:cs="Calibri" w:eastAsia="MS Mincho"/>
          <w:iCs/>
          <w:kern w:val="2"/>
          <w:lang w:eastAsia="en-GB"/>
        </w:rPr>
        <w:t xml:space="preserve">les enjeux environnementaux et sociaux de la mise en œuvre du Programme seront mis en exergue, analysés et caractérisés ; </w:t>
      </w:r>
    </w:p>
    <w:p>
      <w:pPr>
        <w:pStyle w:val="style179"/>
        <w:numPr>
          <w:ilvl w:val="0"/>
          <w:numId w:val="98"/>
        </w:numPr>
        <w:spacing w:after="160" w:lineRule="auto" w:line="276"/>
        <w:ind w:left="851"/>
        <w:jc w:val="both"/>
        <w:contextualSpacing/>
        <w:rPr>
          <w:rFonts w:cs="Calibri" w:eastAsia="MS Mincho"/>
          <w:iCs/>
          <w:kern w:val="2"/>
          <w:lang w:eastAsia="en-GB"/>
        </w:rPr>
      </w:pPr>
      <w:r>
        <w:rPr>
          <w:rFonts w:cs="Calibri" w:eastAsia="MS Mincho"/>
          <w:iCs/>
          <w:kern w:val="2"/>
          <w:lang w:eastAsia="en-GB"/>
        </w:rPr>
        <w:t>les forces et faiblesses du cadre politique et juridique de gestion environnementale et sociale pour leur prise en compte dans la formulation des recommandations du CGES seront mises en exergue ;</w:t>
      </w:r>
    </w:p>
    <w:p>
      <w:pPr>
        <w:pStyle w:val="style179"/>
        <w:numPr>
          <w:ilvl w:val="0"/>
          <w:numId w:val="98"/>
        </w:numPr>
        <w:spacing w:after="160" w:lineRule="auto" w:line="276"/>
        <w:ind w:left="851"/>
        <w:jc w:val="both"/>
        <w:contextualSpacing/>
        <w:rPr>
          <w:rFonts w:cs="Calibri" w:eastAsia="MS Mincho"/>
          <w:iCs/>
          <w:kern w:val="2"/>
          <w:lang w:eastAsia="en-GB"/>
        </w:rPr>
      </w:pPr>
      <w:r>
        <w:rPr>
          <w:rFonts w:cs="Calibri" w:eastAsia="MS Mincho"/>
          <w:iCs/>
          <w:kern w:val="2"/>
          <w:lang w:eastAsia="en-GB"/>
        </w:rPr>
        <w:t>les différents types de risques et d’impacts environnementaux et sociaux liés aux interventions du Programme  seront identifiées et analysées par composante ;</w:t>
      </w:r>
    </w:p>
    <w:p>
      <w:pPr>
        <w:pStyle w:val="style179"/>
        <w:numPr>
          <w:ilvl w:val="0"/>
          <w:numId w:val="98"/>
        </w:numPr>
        <w:spacing w:after="160" w:lineRule="auto" w:line="276"/>
        <w:ind w:left="851"/>
        <w:jc w:val="both"/>
        <w:contextualSpacing/>
        <w:rPr>
          <w:rFonts w:cs="Calibri" w:eastAsia="MS Mincho"/>
          <w:iCs/>
          <w:kern w:val="2"/>
          <w:lang w:eastAsia="en-GB"/>
        </w:rPr>
      </w:pPr>
      <w:r>
        <w:rPr>
          <w:rFonts w:cs="Calibri" w:eastAsia="MS Mincho"/>
          <w:iCs/>
          <w:kern w:val="2"/>
          <w:lang w:eastAsia="en-GB"/>
        </w:rPr>
        <w:t>le Plan Cadre de Gestion Environnementale et Sociale (PCGES) du Programme sera élaboré, y compris les coûts estimés. Le PCGES comprendra :</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les mesures de gestion (prévention, atténuation, compensation, bonification) des risques et impacts, l’estimation du coût de mise en œuvre de chacune des mesures prescrites (distinction faite des mesures techniques, institutionnelles, organisationnelles, règlementaires, économiques, etc.),</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les rôles et responsabilités des différents acteurs pour la mise en œuvre de ces mesures, au regard de la législation  nationale et du cadre institutionnel en la matière et des exigences de la Banque mondiale dans ce domaine ainsi qu’une évaluation de leurs capacités techniques et organisationnelles,</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un mécanisme de surveillance environnementale avec les modalités de suivi et de rapportage de la mise en œuvre des mesures du PCGES,</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un mécanisme de gestion des plaintes,</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les besoins de renforcement des capacités de l’entité centrale responsable du Programme, de l’unité de mise en œuvre du Programme et des principaux acteurs impliqués dans la bonne exécution du PCGES,</w:t>
      </w:r>
    </w:p>
    <w:p>
      <w:pPr>
        <w:pStyle w:val="style0"/>
        <w:numPr>
          <w:ilvl w:val="1"/>
          <w:numId w:val="132"/>
        </w:numPr>
        <w:suppressAutoHyphens/>
        <w:spacing w:lineRule="auto" w:line="276"/>
        <w:ind w:left="993"/>
        <w:jc w:val="both"/>
        <w:rPr>
          <w:rFonts w:ascii="Calibri" w:cs="Calibri" w:eastAsia="MS Mincho" w:hAnsi="Calibri"/>
          <w:iCs/>
          <w:kern w:val="2"/>
          <w:sz w:val="22"/>
          <w:lang w:eastAsia="en-GB"/>
        </w:rPr>
      </w:pPr>
      <w:r>
        <w:rPr>
          <w:rFonts w:ascii="Calibri" w:cs="Calibri" w:eastAsia="MS Mincho" w:hAnsi="Calibri"/>
          <w:iCs/>
          <w:kern w:val="2"/>
          <w:sz w:val="22"/>
          <w:lang w:eastAsia="en-GB"/>
        </w:rPr>
        <w:t>un budget de mise en œuvre du PCGES.</w:t>
      </w:r>
    </w:p>
    <w:p>
      <w:pPr>
        <w:pStyle w:val="style0"/>
        <w:spacing w:lineRule="auto" w:line="276"/>
        <w:jc w:val="both"/>
        <w:rPr>
          <w:rFonts w:ascii="Calibri" w:cs="Calibri" w:eastAsia="MS Mincho" w:hAnsi="Calibri"/>
          <w:iCs/>
          <w:kern w:val="2"/>
          <w:sz w:val="22"/>
          <w:lang w:eastAsia="en-GB"/>
        </w:rPr>
      </w:pPr>
    </w:p>
    <w:p>
      <w:pPr>
        <w:pStyle w:val="style0"/>
        <w:spacing w:lineRule="auto" w:line="276"/>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Le CGES devra inclure une procédure d’analyse et de tri qui déterminera, pour chaque sous-Programme proposé : les niveaux/types d’analyses environnementales qui sont requises (par exemple une Étude d’Impact Environnemental et Social(EIES), une Notice d’Impact Environnemental et social (NIES) ou une simple application de bonnes pratiques environnementales et d’opérations. Le CGES définira également le contenu type d’une Étude d’Impact Environnemental et Social(EIES) et celui d’une Notice d’Impact Environnemental et social (NIES) et décrira les modalités de sa préparation, sa revue, son approbation, et le suivi de sa mise en œuvre. </w:t>
      </w:r>
    </w:p>
    <w:p>
      <w:pPr>
        <w:pStyle w:val="style0"/>
        <w:jc w:val="both"/>
        <w:rPr>
          <w:rFonts w:ascii="Calibri" w:cs="Calibri" w:hAnsi="Calibri"/>
          <w:sz w:val="22"/>
        </w:rPr>
      </w:pPr>
    </w:p>
    <w:p>
      <w:pPr>
        <w:pStyle w:val="style179"/>
        <w:numPr>
          <w:ilvl w:val="0"/>
          <w:numId w:val="117"/>
        </w:numPr>
        <w:ind w:left="360"/>
        <w:jc w:val="both"/>
        <w:rPr>
          <w:rFonts w:cs="Calibri"/>
          <w:b/>
        </w:rPr>
      </w:pPr>
      <w:r>
        <w:rPr>
          <w:rFonts w:cs="Calibri"/>
          <w:b/>
        </w:rPr>
        <w:t>DEMARCHE METHODOLOGIQUE</w:t>
      </w:r>
    </w:p>
    <w:p>
      <w:pPr>
        <w:pStyle w:val="style0"/>
        <w:jc w:val="both"/>
        <w:rPr>
          <w:rFonts w:ascii="Calibri" w:cs="Calibri" w:eastAsia="MS Mincho" w:hAnsi="Calibri"/>
          <w:iCs/>
          <w:kern w:val="2"/>
          <w:sz w:val="2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Le consultant devra présenter une démarche méthodologique claire notamment la recherche documentaire, effectuer des visites de terrain et organiser des rencontres avec les principaux acteurs concernés.</w:t>
      </w:r>
    </w:p>
    <w:p>
      <w:pPr>
        <w:pStyle w:val="style0"/>
        <w:spacing w:after="12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Pendant l’exécution de la mission, le consultant adoptera également une démarche de consultation et d’entretien qui garantira le dialogue et la participation de tous les acteurs concernés. Pour ce faire, des consultations publiques avec les parties prenantes et les populations susceptibles d’être affectées, ainsi que l'information fournie à ces populations et autres pouvant avoir droit devront être organisées par le consultant et être reflétées dans le rapport du CGES. Il prendra aussi attache avec les instances de pilotage du Programme pour des entretiens. Le rapport du CGES devra également comprendre un plan de consultation et de participation du public sur les activités au cours de l’exécution du Programme.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En préparant le CGES, le consultant suggèrera également des actions pour améliorer les conditions environnementales et sociales dans la zone d’intervention du Programme, surtout en direction des groupes pauvres et vulnérables. </w:t>
      </w:r>
    </w:p>
    <w:p>
      <w:pPr>
        <w:pStyle w:val="style179"/>
        <w:ind w:left="360"/>
        <w:jc w:val="both"/>
        <w:rPr>
          <w:rFonts w:cs="Calibri"/>
          <w:b/>
        </w:rPr>
      </w:pPr>
    </w:p>
    <w:p>
      <w:pPr>
        <w:pStyle w:val="style179"/>
        <w:numPr>
          <w:ilvl w:val="0"/>
          <w:numId w:val="117"/>
        </w:numPr>
        <w:ind w:left="360"/>
        <w:jc w:val="both"/>
        <w:rPr>
          <w:rFonts w:cs="Calibri"/>
          <w:b/>
        </w:rPr>
      </w:pPr>
      <w:r>
        <w:rPr>
          <w:rFonts w:cs="Calibri"/>
          <w:b/>
        </w:rPr>
        <w:t>ETENDUE DE LA MISSION DU CONSULTANT</w:t>
      </w:r>
    </w:p>
    <w:p>
      <w:pPr>
        <w:pStyle w:val="style0"/>
        <w:jc w:val="both"/>
        <w:rPr>
          <w:rFonts w:ascii="Calibri" w:cs="Calibri" w:hAnsi="Calibri"/>
          <w:b/>
          <w:sz w:val="22"/>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Le consultant devra :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-décrire brièvement mais de façon précise les composantes et leurs contenus (nature et taille potentielle des micro-projets et investissements physiques);</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-décrire les milieux récepteurs du Programme en mettant l’accent sur les enjeux environnementaux et sociaux majeurs connus (type de pollution, nuisance ou dégradation critique, services éco systémiques menacés, espèces en danger, etc.) et dont le Programme pourrait augmenter la criticité ;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-décrire le cadre institutionnel et juridique de gestion environnementale du Programme (niveau étatique, niveau décentralisé)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-identifier les risques environnementaux et sociaux potentiels dans les zones d’accueil des différentes activités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-proposer une procédure d’analyse et de tri qui déterminera, pour chaque sous-programme proposé : les niveaux/types d’analyses environnementales qui sont requises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-proposer une liste indicative de référence (check-list) des impacts types et des mesures correctives correspondantes à chaque impact ; par type d’investissement prévu dans le Programme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-décrire l’arrangement institutionnel de mise en œuvre du PCGES en clarifiant les rôles et responsabilités de toutes les parties prenantes impliquées dans sa mise en œuvre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-décrire un mécanisme de gestion des plaintes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-évaluer la capacité des institutions nationales responsables et impliquées dans la mise en œuvre du PCGES, et proposer des mesures pour le renforcement de leurs capacités si besoin est ;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-déterminer les besoins en renforcement des capacités et autre assistance technique pour la mise en œuvre adéquate des mesures environnementales et sociales tant au niveau national (cadres impliqués) que local (les municipalités)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-conduire les consultations publiques sur la base des risques E&amp;S préliminaires et en faire le résumé;</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-préparer un budget de mise en œuvre de toutes les activités proposées dans le PCGES. Le consultant s’efforcera d’évaluer et d’internaliser les coûts des EIES et NIES des sous-Programmes et ceux de la mise en œuvre des mesures d’atténuation et de compensation proposées sur la base d’expériences comparables (Programmes similaires dans des zones voisines) etc.</w:t>
      </w:r>
    </w:p>
    <w:p>
      <w:pPr>
        <w:pStyle w:val="style0"/>
        <w:jc w:val="both"/>
        <w:rPr>
          <w:rFonts w:ascii="Calibri" w:cs="Calibri" w:eastAsia="MS Mincho" w:hAnsi="Calibri"/>
          <w:iCs/>
          <w:kern w:val="2"/>
          <w:sz w:val="2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NB : Pendant l’exécution de la mission, le consultant adoptera également une démarche de consultation et d’entretien qui garantira le dialogue et la participation de tous les acteurs concernés par le Programme.</w:t>
      </w:r>
    </w:p>
    <w:p>
      <w:pPr>
        <w:pStyle w:val="style179"/>
        <w:ind w:left="360"/>
        <w:jc w:val="both"/>
        <w:rPr>
          <w:rFonts w:cs="Calibri"/>
          <w:b/>
        </w:rPr>
      </w:pPr>
    </w:p>
    <w:p>
      <w:pPr>
        <w:pStyle w:val="style179"/>
        <w:numPr>
          <w:ilvl w:val="0"/>
          <w:numId w:val="117"/>
        </w:numPr>
        <w:ind w:left="360"/>
        <w:jc w:val="both"/>
        <w:rPr>
          <w:rFonts w:cs="Calibri"/>
          <w:b/>
        </w:rPr>
      </w:pPr>
      <w:r>
        <w:rPr>
          <w:rFonts w:cs="Calibri"/>
          <w:b/>
        </w:rPr>
        <w:t>DOCUMENT A PRODUIRE</w:t>
      </w:r>
    </w:p>
    <w:p>
      <w:pPr>
        <w:pStyle w:val="style0"/>
        <w:jc w:val="both"/>
        <w:rPr>
          <w:rFonts w:ascii="Calibri" w:cs="Calibri" w:hAnsi="Calibri"/>
          <w:b/>
          <w:sz w:val="22"/>
        </w:rPr>
      </w:pPr>
    </w:p>
    <w:p>
      <w:pPr>
        <w:pStyle w:val="style0"/>
        <w:spacing w:lineRule="auto" w:line="276"/>
        <w:jc w:val="both"/>
        <w:rPr>
          <w:rFonts w:ascii="Calibri" w:cs="Calibri" w:eastAsia="MS Mincho" w:hAnsi="Calibri"/>
          <w:iCs/>
          <w:kern w:val="2"/>
          <w:sz w:val="22"/>
          <w:lang w:eastAsia="en-GB"/>
        </w:rPr>
      </w:pPr>
      <w:r>
        <w:rPr>
          <w:rFonts w:ascii="Calibri" w:cs="Calibri" w:eastAsia="MS Mincho" w:hAnsi="Calibri"/>
          <w:iCs/>
          <w:kern w:val="2"/>
          <w:sz w:val="22"/>
          <w:lang w:eastAsia="en-GB"/>
        </w:rPr>
        <w:t>Aux termes de sa mission, le consultant produira un rapport de CGES qui sera structuré comme suit :</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Sommaire/Table des matières</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Liste des Sigles et Acronymes</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Résumé exécutif en français</w:t>
      </w: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Résumé exécutif en anglais</w:t>
      </w:r>
    </w:p>
    <w:p>
      <w:pPr>
        <w:pStyle w:val="style0"/>
        <w:jc w:val="both"/>
        <w:rPr>
          <w:rFonts w:ascii="Calibri" w:cs="Calibri" w:eastAsia="MS Mincho" w:hAnsi="Calibri"/>
          <w:iCs/>
          <w:kern w:val="2"/>
          <w:sz w:val="2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Introduction (1 à 2 pages), y compris le rappel des exigences des politiques de sauvegarde E&amp;S de la Banque déclenchées de commun accord après la phase d’identification du projet.</w:t>
      </w:r>
    </w:p>
    <w:p>
      <w:pPr>
        <w:pStyle w:val="style0"/>
        <w:jc w:val="both"/>
        <w:rPr>
          <w:rFonts w:ascii="Calibri" w:cs="Calibri" w:eastAsia="MS Mincho" w:hAnsi="Calibri"/>
          <w:iCs/>
          <w:kern w:val="2"/>
          <w:sz w:val="22"/>
          <w:lang w:eastAsia="en-GB"/>
        </w:rPr>
      </w:pPr>
    </w:p>
    <w:p>
      <w:pPr>
        <w:pStyle w:val="style179"/>
        <w:numPr>
          <w:ilvl w:val="0"/>
          <w:numId w:val="3"/>
        </w:numPr>
        <w:ind w:left="360"/>
        <w:jc w:val="both"/>
        <w:contextualSpacing/>
        <w:rPr>
          <w:rFonts w:cs="Calibri" w:eastAsia="MS Mincho"/>
          <w:iCs/>
          <w:kern w:val="2"/>
          <w:lang w:eastAsia="en-GB"/>
        </w:rPr>
      </w:pPr>
      <w:r>
        <w:rPr>
          <w:rFonts w:cs="Calibri" w:eastAsia="MS Mincho"/>
          <w:iCs/>
          <w:kern w:val="2"/>
          <w:lang w:eastAsia="en-GB"/>
        </w:rPr>
        <w:t>Description du projet (1 à 3 pages)</w:t>
      </w:r>
    </w:p>
    <w:p>
      <w:pPr>
        <w:pStyle w:val="style179"/>
        <w:ind w:left="360"/>
        <w:jc w:val="both"/>
        <w:rPr>
          <w:rFonts w:cs="Calibri" w:eastAsia="MS Mincho"/>
          <w:iCs/>
          <w:kern w:val="2"/>
          <w:lang w:eastAsia="en-GB"/>
        </w:rPr>
      </w:pPr>
    </w:p>
    <w:p>
      <w:pPr>
        <w:pStyle w:val="style179"/>
        <w:numPr>
          <w:ilvl w:val="0"/>
          <w:numId w:val="3"/>
        </w:numPr>
        <w:ind w:left="360"/>
        <w:jc w:val="both"/>
        <w:contextualSpacing/>
        <w:rPr>
          <w:rFonts w:cs="Calibri" w:eastAsia="MS Mincho"/>
          <w:iCs/>
          <w:kern w:val="2"/>
          <w:lang w:eastAsia="en-GB"/>
        </w:rPr>
      </w:pPr>
      <w:r>
        <w:rPr>
          <w:rFonts w:cs="Calibri" w:eastAsia="MS Mincho"/>
          <w:iCs/>
          <w:kern w:val="2"/>
          <w:lang w:eastAsia="en-GB"/>
        </w:rPr>
        <w:t>Résumé des enjeux environnementaux, et de la situation socio-économique des populations affectées dans la zone du projet (variable – Maxi 8-10 pages) – tout détail monographique pourra être en annexe.</w:t>
      </w:r>
    </w:p>
    <w:p>
      <w:pPr>
        <w:pStyle w:val="style179"/>
        <w:numPr>
          <w:ilvl w:val="0"/>
          <w:numId w:val="137"/>
        </w:numPr>
        <w:jc w:val="both"/>
        <w:contextualSpacing/>
        <w:rPr>
          <w:rFonts w:cs="Calibri" w:eastAsia="MS Mincho"/>
          <w:iCs/>
          <w:kern w:val="2"/>
          <w:lang w:eastAsia="en-GB"/>
        </w:rPr>
      </w:pPr>
      <w:r>
        <w:rPr>
          <w:rFonts w:cs="Calibri" w:eastAsia="MS Mincho"/>
          <w:iCs/>
          <w:kern w:val="2"/>
          <w:lang w:eastAsia="en-GB"/>
        </w:rPr>
        <w:t>Enjeux biophysiques majeurs par région ou écosystème ;</w:t>
      </w:r>
    </w:p>
    <w:p>
      <w:pPr>
        <w:pStyle w:val="style179"/>
        <w:numPr>
          <w:ilvl w:val="0"/>
          <w:numId w:val="137"/>
        </w:numPr>
        <w:jc w:val="both"/>
        <w:contextualSpacing/>
        <w:rPr>
          <w:rFonts w:cs="Calibri" w:eastAsia="MS Mincho"/>
          <w:iCs/>
          <w:kern w:val="2"/>
          <w:lang w:eastAsia="en-GB"/>
        </w:rPr>
      </w:pPr>
      <w:r>
        <w:rPr>
          <w:rFonts w:cs="Calibri" w:eastAsia="MS Mincho"/>
          <w:iCs/>
          <w:kern w:val="2"/>
          <w:lang w:eastAsia="en-GB"/>
        </w:rPr>
        <w:t>Traits démographiques et socio-culturels majeurs (relations, conflits, aspects genre, etc.) ;</w:t>
      </w:r>
    </w:p>
    <w:p>
      <w:pPr>
        <w:pStyle w:val="style179"/>
        <w:numPr>
          <w:ilvl w:val="0"/>
          <w:numId w:val="137"/>
        </w:numPr>
        <w:jc w:val="both"/>
        <w:contextualSpacing/>
        <w:rPr>
          <w:rFonts w:cs="Calibri" w:eastAsia="MS Mincho"/>
          <w:iCs/>
          <w:kern w:val="2"/>
          <w:lang w:eastAsia="en-GB"/>
        </w:rPr>
      </w:pPr>
      <w:r>
        <w:rPr>
          <w:rFonts w:cs="Calibri" w:eastAsia="MS Mincho"/>
          <w:iCs/>
          <w:kern w:val="2"/>
          <w:lang w:eastAsia="en-GB"/>
        </w:rPr>
        <w:t>Principales activités et opportunités économiques, et tendance de la pauvreté.</w:t>
      </w:r>
    </w:p>
    <w:p>
      <w:pPr>
        <w:pStyle w:val="style179"/>
        <w:ind w:left="360"/>
        <w:jc w:val="both"/>
        <w:rPr>
          <w:rFonts w:cs="Calibri" w:eastAsia="MS Mincho"/>
          <w:iCs/>
          <w:kern w:val="2"/>
          <w:lang w:eastAsia="en-GB"/>
        </w:rPr>
      </w:pPr>
    </w:p>
    <w:p>
      <w:pPr>
        <w:pStyle w:val="style179"/>
        <w:numPr>
          <w:ilvl w:val="0"/>
          <w:numId w:val="3"/>
        </w:numPr>
        <w:ind w:left="360"/>
        <w:jc w:val="both"/>
        <w:contextualSpacing/>
        <w:rPr>
          <w:rFonts w:cs="Calibri" w:eastAsia="MS Mincho"/>
          <w:iCs/>
          <w:kern w:val="2"/>
          <w:lang w:eastAsia="en-GB"/>
        </w:rPr>
      </w:pPr>
      <w:r>
        <w:rPr>
          <w:rFonts w:cs="Calibri" w:eastAsia="MS Mincho"/>
          <w:iCs/>
          <w:kern w:val="2"/>
          <w:lang w:eastAsia="en-GB"/>
        </w:rPr>
        <w:t>Structure administrative du projet, gestion et mise en œuvre (5 à 10 pages)</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Cadre juridique et institutionnel national en matière d’environnement et du social du projet ;</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Entité de mise en œuvre du projet, administration de tutelle, niveau de décentralisation de la prise de décision (approbation, supervision);</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Processus de revue et d’approbation (prise de décision) spécifique au projet</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Dispositions environnementales et sociales incorporées dans le cycle de sélection des sous-projets</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 xml:space="preserve">Mécanismes/procédures globaux de consultation, de communication et de participation du public </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Résumé des consultations du public sur les aspects de sauvegarde environnementale et sociale du projet.</w:t>
      </w:r>
    </w:p>
    <w:p>
      <w:pPr>
        <w:pStyle w:val="style179"/>
        <w:ind w:left="360"/>
        <w:jc w:val="both"/>
        <w:rPr>
          <w:rFonts w:cs="Calibri" w:eastAsia="MS Mincho"/>
          <w:iCs/>
          <w:kern w:val="2"/>
          <w:lang w:eastAsia="en-GB"/>
        </w:rPr>
      </w:pPr>
    </w:p>
    <w:p>
      <w:pPr>
        <w:pStyle w:val="style179"/>
        <w:numPr>
          <w:ilvl w:val="0"/>
          <w:numId w:val="3"/>
        </w:numPr>
        <w:ind w:left="360"/>
        <w:jc w:val="both"/>
        <w:contextualSpacing/>
        <w:rPr>
          <w:rFonts w:cs="Calibri" w:eastAsia="MS Mincho"/>
          <w:iCs/>
          <w:kern w:val="2"/>
          <w:lang w:eastAsia="en-GB"/>
        </w:rPr>
      </w:pPr>
      <w:r>
        <w:rPr>
          <w:rFonts w:cs="Calibri" w:eastAsia="MS Mincho"/>
          <w:iCs/>
          <w:kern w:val="2"/>
          <w:lang w:eastAsia="en-GB"/>
        </w:rPr>
        <w:t>Approche d’analyse des risques et des impacts (4 à 6 pages)</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Décrire l’approche de tri environnemental et social (analyse non requise, analyse sommaire, analyse complète) synchronisée avec le système de sélection/approbation globale des sous-projets ;</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Décrire le Lien/Renvoi au Cadre de Politique de Réinstallation (CPR), au Cadre de Procédures (CP) en cas de restrictions d’accès à une aire spécifique, ou au Cadre de Développement des Populations Autochtones (CDPA) si applicable ;</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Décrire la cohérence du cadre réglementaire de l’environnement avec le système ;</w:t>
      </w:r>
    </w:p>
    <w:p>
      <w:pPr>
        <w:pStyle w:val="style179"/>
        <w:numPr>
          <w:ilvl w:val="1"/>
          <w:numId w:val="3"/>
        </w:numPr>
        <w:ind w:left="630"/>
        <w:jc w:val="both"/>
        <w:contextualSpacing/>
        <w:rPr>
          <w:rFonts w:cs="Calibri" w:eastAsia="MS Mincho"/>
          <w:iCs/>
          <w:kern w:val="2"/>
          <w:lang w:eastAsia="en-GB"/>
        </w:rPr>
      </w:pPr>
      <w:r>
        <w:rPr>
          <w:rFonts w:cs="Calibri" w:eastAsia="MS Mincho"/>
          <w:iCs/>
          <w:kern w:val="2"/>
          <w:lang w:eastAsia="en-GB"/>
        </w:rPr>
        <w:t>Décrire les différences entre le système national (législation environnementale et sociale) avec les politiques de sauvegarde de la Banque applicables au projet (+ Tableau synthèse).</w:t>
      </w:r>
    </w:p>
    <w:p>
      <w:pPr>
        <w:pStyle w:val="style179"/>
        <w:ind w:left="630"/>
        <w:jc w:val="both"/>
        <w:rPr>
          <w:rFonts w:cs="Calibri" w:eastAsia="MS Mincho"/>
          <w:iCs/>
          <w:kern w:val="2"/>
          <w:lang w:eastAsia="en-GB"/>
        </w:rPr>
      </w:pPr>
    </w:p>
    <w:p>
      <w:pPr>
        <w:pStyle w:val="style179"/>
        <w:numPr>
          <w:ilvl w:val="0"/>
          <w:numId w:val="3"/>
        </w:numPr>
        <w:ind w:left="360"/>
        <w:jc w:val="both"/>
        <w:contextualSpacing/>
        <w:rPr>
          <w:rFonts w:cs="Calibri" w:eastAsia="MS Mincho"/>
          <w:iCs/>
          <w:kern w:val="2"/>
          <w:lang w:eastAsia="en-GB"/>
        </w:rPr>
      </w:pPr>
      <w:r>
        <w:rPr>
          <w:rFonts w:cs="Calibri" w:eastAsia="MS Mincho"/>
          <w:iCs/>
          <w:kern w:val="2"/>
          <w:lang w:eastAsia="en-GB"/>
        </w:rPr>
        <w:t>Plan-cadre de gestion environnementale et sociale (10 à 15 pages)</w:t>
      </w:r>
    </w:p>
    <w:p>
      <w:pPr>
        <w:pStyle w:val="style0"/>
        <w:jc w:val="both"/>
        <w:rPr>
          <w:rFonts w:ascii="Calibri" w:cs="Calibri" w:eastAsia="MS Mincho" w:hAnsi="Calibri"/>
          <w:iCs/>
          <w:kern w:val="2"/>
          <w:sz w:val="2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Les principales sections dans l’ordre sont :</w:t>
      </w:r>
    </w:p>
    <w:p>
      <w:pPr>
        <w:pStyle w:val="style0"/>
        <w:jc w:val="both"/>
        <w:rPr>
          <w:rFonts w:ascii="Calibri" w:cs="Calibri" w:eastAsia="MS Mincho" w:hAnsi="Calibri"/>
          <w:iCs/>
          <w:kern w:val="2"/>
          <w:sz w:val="22"/>
          <w:lang w:eastAsia="en-GB"/>
        </w:rPr>
      </w:pPr>
    </w:p>
    <w:p>
      <w:pPr>
        <w:pStyle w:val="style179"/>
        <w:numPr>
          <w:ilvl w:val="0"/>
          <w:numId w:val="142"/>
        </w:numPr>
        <w:jc w:val="both"/>
        <w:contextualSpacing/>
        <w:rPr>
          <w:rFonts w:cs="Calibri" w:eastAsia="MS Mincho"/>
          <w:iCs/>
          <w:kern w:val="2"/>
          <w:lang w:eastAsia="en-GB"/>
        </w:rPr>
      </w:pPr>
      <w:r>
        <w:rPr>
          <w:rFonts w:cs="Calibri" w:eastAsia="MS Mincho"/>
          <w:iCs/>
          <w:kern w:val="2"/>
          <w:lang w:eastAsia="en-GB"/>
        </w:rPr>
        <w:t>Procédure de gestion environnementale et sociale des sous projets, couvrant du screening au suivi-rapportage du PGES du sous-projet, et (selon le type de projet et le risque) y compris de façon spécifique des critères de (choix de site, exclusion spécifique d’activités, études additionnelles, etc.); (4 à 6 pages)</w:t>
      </w:r>
    </w:p>
    <w:p>
      <w:pPr>
        <w:pStyle w:val="style179"/>
        <w:numPr>
          <w:ilvl w:val="0"/>
          <w:numId w:val="142"/>
        </w:numPr>
        <w:jc w:val="both"/>
        <w:contextualSpacing/>
        <w:rPr>
          <w:rFonts w:cs="Calibri" w:eastAsia="MS Mincho"/>
          <w:iCs/>
          <w:kern w:val="2"/>
          <w:lang w:eastAsia="en-GB"/>
        </w:rPr>
      </w:pPr>
      <w:r>
        <w:rPr>
          <w:rFonts w:cs="Calibri" w:eastAsia="MS Mincho"/>
          <w:iCs/>
          <w:kern w:val="2"/>
          <w:lang w:eastAsia="en-GB"/>
        </w:rPr>
        <w:t xml:space="preserve"> Arrangement institutionnel clair pour l'exécution de la procédure de gestion environnementale et sociale des sous-projets, y compris les rôles et responsabilités au sein de l’entité de mise en œuvre synthétisés dans un tableau de synthèse (cf. modèle ci-dessous) qui permet surtout au Coordonnateur de l’unité de projet de savoir ‘’qui fait quoi, quand, comment’’ et quel partenaire externe collabore/participe/prête service ;</w:t>
      </w:r>
    </w:p>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Tableau xx : Matrice des rôles et responsabilités (au regard de l’arrangement institutionnel de mise en œuvre du CGES)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3046"/>
        <w:gridCol w:w="1710"/>
        <w:gridCol w:w="1811"/>
        <w:gridCol w:w="2779"/>
      </w:tblGrid>
      <w:tr>
        <w:trPr>
          <w:tblHeader/>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No</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Etapes/Activités</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Responsable</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Appui/Collaboration</w:t>
            </w:r>
          </w:p>
        </w:tc>
        <w:tc>
          <w:tcPr>
            <w:tcW w:w="2779"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Prestataire</w:t>
            </w: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1.</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 xml:space="preserve">Identification de la localisation/site et principales caractéristiques techniques du sous-projet (Filtre E&amp;S ???) </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xxxx</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xxxxx</w:t>
            </w:r>
          </w:p>
        </w:tc>
        <w:tc>
          <w:tcPr>
            <w:tcW w:w="2779"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xxxxx</w:t>
            </w:r>
          </w:p>
        </w:tc>
      </w:tr>
      <w:tr>
        <w:tblPrEx/>
        <w:trPr>
          <w:trHeight w:val="1214" w:hRule="atLeast"/>
        </w:trPr>
        <w:tc>
          <w:tcPr>
            <w:tcW w:w="572" w:type="dxa"/>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2.</w:t>
            </w:r>
          </w:p>
        </w:tc>
        <w:tc>
          <w:tcPr>
            <w:tcW w:w="3046" w:type="dxa"/>
            <w:tcBorders/>
            <w:shd w:val="clear" w:color="auto" w:fill="auto"/>
          </w:tcPr>
          <w:p>
            <w:pPr>
              <w:pStyle w:val="style4161"/>
              <w:numPr>
                <w:ilvl w:val="0"/>
                <w:numId w:val="0"/>
              </w:numPr>
              <w:tabs>
                <w:tab w:val="left" w:leader="none" w:pos="0"/>
              </w:tabs>
              <w:spacing w:after="0"/>
              <w:contextualSpacing/>
              <w:rPr>
                <w:rFonts w:ascii="Calibri" w:cs="Calibri" w:eastAsia="MS Mincho" w:hAnsi="Calibri"/>
                <w:iCs/>
                <w:kern w:val="2"/>
                <w:sz w:val="22"/>
                <w:szCs w:val="22"/>
                <w:lang w:val="fr-FR" w:eastAsia="en-GB"/>
              </w:rPr>
            </w:pPr>
            <w:r>
              <w:rPr>
                <w:rFonts w:ascii="Calibri" w:cs="Calibri" w:eastAsia="MS Mincho" w:hAnsi="Calibri"/>
                <w:iCs/>
                <w:kern w:val="2"/>
                <w:sz w:val="22"/>
                <w:szCs w:val="22"/>
                <w:lang w:val="fr-FR" w:eastAsia="en-GB"/>
              </w:rPr>
              <w:t>Sélection environnementale (Screening-remplissage des formulaires),  et détermination du type d’instrument spécifique de sauvegarde</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Spécialiste Sauvegarde Environnementale et Sociale (SSES) de l’UP</w:t>
            </w:r>
          </w:p>
        </w:tc>
        <w:tc>
          <w:tcPr>
            <w:tcW w:w="1811" w:type="dxa"/>
            <w:tcBorders/>
            <w:shd w:val="clear" w:color="auto" w:fill="auto"/>
          </w:tcPr>
          <w:p>
            <w:pPr>
              <w:pStyle w:val="style0"/>
              <w:numPr>
                <w:ilvl w:val="0"/>
                <w:numId w:val="69"/>
              </w:numPr>
              <w:tabs>
                <w:tab w:val="left" w:leader="none" w:pos="186"/>
              </w:tabs>
              <w:ind w:left="95" w:hanging="95"/>
              <w:jc w:val="both"/>
              <w:rPr>
                <w:rFonts w:ascii="Calibri" w:cs="Calibri" w:eastAsia="MS Mincho" w:hAnsi="Calibri"/>
                <w:iCs/>
                <w:kern w:val="2"/>
                <w:sz w:val="22"/>
                <w:lang w:eastAsia="en-GB"/>
              </w:rPr>
            </w:pPr>
            <w:r>
              <w:rPr>
                <w:rFonts w:ascii="Calibri" w:cs="Calibri" w:eastAsia="MS Mincho" w:hAnsi="Calibri"/>
                <w:iCs/>
                <w:kern w:val="2"/>
                <w:sz w:val="22"/>
                <w:lang w:eastAsia="en-GB"/>
              </w:rPr>
              <w:t>Bénéficiaire ;</w:t>
            </w:r>
          </w:p>
          <w:p>
            <w:pPr>
              <w:pStyle w:val="style0"/>
              <w:numPr>
                <w:ilvl w:val="0"/>
                <w:numId w:val="69"/>
              </w:numPr>
              <w:tabs>
                <w:tab w:val="left" w:leader="none" w:pos="186"/>
              </w:tabs>
              <w:ind w:left="95" w:hanging="95"/>
              <w:jc w:val="both"/>
              <w:rPr>
                <w:rFonts w:ascii="Calibri" w:cs="Calibri" w:eastAsia="MS Mincho" w:hAnsi="Calibri"/>
                <w:iCs/>
                <w:kern w:val="2"/>
                <w:sz w:val="22"/>
                <w:lang w:eastAsia="en-GB"/>
              </w:rPr>
            </w:pPr>
            <w:r>
              <w:rPr>
                <w:rFonts w:ascii="Calibri" w:cs="Calibri" w:eastAsia="MS Mincho" w:hAnsi="Calibri"/>
                <w:iCs/>
                <w:kern w:val="2"/>
                <w:sz w:val="22"/>
                <w:lang w:eastAsia="en-GB"/>
              </w:rPr>
              <w:t>Maire</w:t>
            </w:r>
          </w:p>
          <w:p>
            <w:pPr>
              <w:pStyle w:val="style0"/>
              <w:numPr>
                <w:ilvl w:val="0"/>
                <w:numId w:val="69"/>
              </w:numPr>
              <w:tabs>
                <w:tab w:val="left" w:leader="none" w:pos="186"/>
              </w:tabs>
              <w:ind w:left="95" w:hanging="95"/>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SSES/UP </w:t>
            </w:r>
          </w:p>
          <w:p>
            <w:pPr>
              <w:pStyle w:val="style0"/>
              <w:numPr>
                <w:ilvl w:val="0"/>
                <w:numId w:val="69"/>
              </w:numPr>
              <w:tabs>
                <w:tab w:val="left" w:leader="none" w:pos="186"/>
              </w:tabs>
              <w:ind w:left="95" w:hanging="95"/>
              <w:jc w:val="both"/>
              <w:rPr>
                <w:rFonts w:ascii="Calibri" w:cs="Calibri" w:eastAsia="MS Mincho" w:hAnsi="Calibri"/>
                <w:iCs/>
                <w:kern w:val="2"/>
                <w:sz w:val="22"/>
                <w:lang w:eastAsia="en-GB"/>
              </w:rPr>
            </w:pPr>
            <w:r>
              <w:rPr>
                <w:rFonts w:ascii="Calibri" w:cs="Calibri" w:eastAsia="MS Mincho" w:hAnsi="Calibri"/>
                <w:iCs/>
                <w:kern w:val="2"/>
                <w:sz w:val="22"/>
                <w:lang w:eastAsia="en-GB"/>
              </w:rPr>
              <w:t>xxx</w:t>
            </w:r>
          </w:p>
        </w:tc>
        <w:tc>
          <w:tcPr>
            <w:tcW w:w="2779" w:type="dxa"/>
            <w:tcBorders/>
            <w:shd w:val="clear" w:color="auto" w:fill="auto"/>
          </w:tcPr>
          <w:p>
            <w:pPr>
              <w:pStyle w:val="style0"/>
              <w:rPr>
                <w:rFonts w:ascii="Calibri" w:cs="Calibri" w:eastAsia="MS Mincho" w:hAnsi="Calibri"/>
                <w:iCs/>
                <w:kern w:val="2"/>
                <w:sz w:val="22"/>
                <w:lang w:eastAsia="en-GB"/>
              </w:rPr>
            </w:pP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3.</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Approbation de la catégorisation par le BUNEE et la Banque</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Coordonnateur du Projet</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SSES/UP</w:t>
            </w:r>
          </w:p>
        </w:tc>
        <w:tc>
          <w:tcPr>
            <w:tcW w:w="2779" w:type="dxa"/>
            <w:tcBorders/>
            <w:shd w:val="clear" w:color="auto" w:fill="auto"/>
          </w:tcPr>
          <w:p>
            <w:pPr>
              <w:pStyle w:val="style0"/>
              <w:numPr>
                <w:ilvl w:val="0"/>
                <w:numId w:val="69"/>
              </w:numPr>
              <w:tabs>
                <w:tab w:val="left" w:leader="none" w:pos="151"/>
              </w:tabs>
              <w:ind w:left="61" w:hanging="90"/>
              <w:jc w:val="both"/>
              <w:rPr>
                <w:rFonts w:ascii="Calibri" w:cs="Calibri" w:eastAsia="MS Mincho" w:hAnsi="Calibri"/>
                <w:iCs/>
                <w:kern w:val="2"/>
                <w:sz w:val="22"/>
                <w:lang w:eastAsia="en-GB"/>
              </w:rPr>
            </w:pPr>
            <w:r>
              <w:rPr>
                <w:rFonts w:ascii="Calibri" w:cs="Calibri" w:eastAsia="MS Mincho" w:hAnsi="Calibri"/>
                <w:iCs/>
                <w:kern w:val="2"/>
                <w:sz w:val="22"/>
                <w:lang w:eastAsia="en-GB"/>
              </w:rPr>
              <w:t>BUNEE</w:t>
            </w:r>
          </w:p>
          <w:p>
            <w:pPr>
              <w:pStyle w:val="style0"/>
              <w:numPr>
                <w:ilvl w:val="0"/>
                <w:numId w:val="69"/>
              </w:numPr>
              <w:ind w:left="151"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4.1.</w:t>
            </w:r>
          </w:p>
        </w:tc>
        <w:tc>
          <w:tcPr>
            <w:tcW w:w="9346" w:type="dxa"/>
            <w:gridSpan w:val="4"/>
            <w:tcBorders/>
            <w:shd w:val="clear" w:color="auto" w:fill="auto"/>
          </w:tcPr>
          <w:p>
            <w:pPr>
              <w:pStyle w:val="style0"/>
              <w:tabs>
                <w:tab w:val="left" w:leader="none" w:pos="151"/>
              </w:tabs>
              <w:rPr>
                <w:rFonts w:ascii="Calibri" w:cs="Calibri" w:eastAsia="MS Mincho" w:hAnsi="Calibri"/>
                <w:iCs/>
                <w:kern w:val="2"/>
                <w:sz w:val="22"/>
                <w:lang w:eastAsia="en-GB"/>
              </w:rPr>
            </w:pPr>
            <w:r>
              <w:rPr>
                <w:rFonts w:ascii="Calibri" w:cs="Calibri" w:eastAsia="MS Mincho" w:hAnsi="Calibri"/>
                <w:iCs/>
                <w:kern w:val="2"/>
                <w:sz w:val="22"/>
                <w:lang w:eastAsia="en-GB"/>
              </w:rPr>
              <w:t>Préparation de l’instrument spécifique de sauvegarde E&amp;S de sous-projet de catégorie A</w:t>
            </w:r>
          </w:p>
        </w:tc>
      </w:tr>
      <w:tr>
        <w:tblPrEx/>
        <w:trPr>
          <w:trHeight w:val="242" w:hRule="atLeast"/>
        </w:trPr>
        <w:tc>
          <w:tcPr>
            <w:tcW w:w="572" w:type="dxa"/>
            <w:vMerge w:val="restart"/>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Préparation, approbation et publication des TDR</w:t>
            </w:r>
          </w:p>
        </w:tc>
        <w:tc>
          <w:tcPr>
            <w:tcW w:w="1710" w:type="dxa"/>
            <w:vMerge w:val="restart"/>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SSES/UP</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BUNEE</w:t>
            </w:r>
          </w:p>
        </w:tc>
        <w:tc>
          <w:tcPr>
            <w:tcW w:w="2779"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Réalisation de l’étude y compris consultation du publique</w:t>
            </w:r>
          </w:p>
          <w:p>
            <w:pPr>
              <w:pStyle w:val="style0"/>
              <w:rPr>
                <w:rFonts w:ascii="Calibri" w:cs="Calibri" w:eastAsia="MS Mincho" w:hAnsi="Calibri"/>
                <w:iCs/>
                <w:kern w:val="2"/>
                <w:sz w:val="22"/>
                <w:lang w:eastAsia="en-GB"/>
              </w:rPr>
            </w:pP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Spécialiste passation de marché (SPM); BUNEE ; Maire</w:t>
            </w:r>
          </w:p>
        </w:tc>
        <w:tc>
          <w:tcPr>
            <w:tcW w:w="2779"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Consultant</w:t>
            </w:r>
          </w:p>
          <w:p>
            <w:pPr>
              <w:pStyle w:val="style0"/>
              <w:tabs>
                <w:tab w:val="left" w:leader="none" w:pos="162"/>
              </w:tabs>
              <w:rPr>
                <w:rFonts w:ascii="Calibri" w:cs="Calibri" w:eastAsia="MS Mincho" w:hAnsi="Calibri"/>
                <w:iCs/>
                <w:kern w:val="2"/>
                <w:sz w:val="22"/>
                <w:lang w:eastAsia="en-GB"/>
              </w:rPr>
            </w:pP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Validation du document et obtention du certificat environnemental</w:t>
            </w: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SPM, Maire</w:t>
            </w:r>
          </w:p>
          <w:p>
            <w:pPr>
              <w:pStyle w:val="style0"/>
              <w:rPr>
                <w:rFonts w:ascii="Calibri" w:cs="Calibri" w:eastAsia="MS Mincho" w:hAnsi="Calibri"/>
                <w:iCs/>
                <w:kern w:val="2"/>
                <w:sz w:val="22"/>
                <w:lang w:eastAsia="en-GB"/>
              </w:rPr>
            </w:pPr>
          </w:p>
        </w:tc>
        <w:tc>
          <w:tcPr>
            <w:tcW w:w="2779" w:type="dxa"/>
            <w:tcBorders/>
            <w:shd w:val="clear" w:color="auto" w:fill="auto"/>
          </w:tcPr>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BUNEE, </w:t>
            </w: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Publication du document</w:t>
            </w: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Coordonnateur</w:t>
            </w:r>
          </w:p>
        </w:tc>
        <w:tc>
          <w:tcPr>
            <w:tcW w:w="2779" w:type="dxa"/>
            <w:tcBorders/>
            <w:shd w:val="clear" w:color="auto" w:fill="auto"/>
          </w:tcPr>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Media ;</w:t>
            </w: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4.2.</w:t>
            </w:r>
          </w:p>
        </w:tc>
        <w:tc>
          <w:tcPr>
            <w:tcW w:w="9346" w:type="dxa"/>
            <w:gridSpan w:val="4"/>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Préparation de l’instrument spécifique de sauvegarde E&amp;S de sous-projet de catégorie B ou C</w:t>
            </w:r>
          </w:p>
        </w:tc>
      </w:tr>
      <w:tr>
        <w:tblPrEx/>
        <w:trPr>
          <w:trHeight w:val="233" w:hRule="atLeast"/>
        </w:trPr>
        <w:tc>
          <w:tcPr>
            <w:tcW w:w="572" w:type="dxa"/>
            <w:vMerge w:val="restart"/>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Préparation et approbation des TDR</w:t>
            </w:r>
          </w:p>
        </w:tc>
        <w:tc>
          <w:tcPr>
            <w:tcW w:w="1710" w:type="dxa"/>
            <w:vMerge w:val="restart"/>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Spécialistes en sauvegarde environnementales et sociales (SSES) de l’UP</w:t>
            </w:r>
          </w:p>
        </w:tc>
        <w:tc>
          <w:tcPr>
            <w:tcW w:w="1811" w:type="dxa"/>
            <w:tcBorders/>
            <w:shd w:val="clear" w:color="auto" w:fill="auto"/>
          </w:tcPr>
          <w:p>
            <w:pPr>
              <w:pStyle w:val="style0"/>
              <w:rPr>
                <w:rFonts w:ascii="Calibri" w:cs="Calibri" w:eastAsia="MS Mincho" w:hAnsi="Calibri"/>
                <w:iCs/>
                <w:kern w:val="2"/>
                <w:sz w:val="22"/>
                <w:lang w:eastAsia="en-GB"/>
              </w:rPr>
            </w:pPr>
          </w:p>
        </w:tc>
        <w:tc>
          <w:tcPr>
            <w:tcW w:w="2779"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rHeight w:val="566" w:hRule="atLeast"/>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Réalisation de l’étude y compris consultation du publique </w:t>
            </w:r>
          </w:p>
          <w:p>
            <w:pPr>
              <w:pStyle w:val="style0"/>
              <w:rPr>
                <w:rFonts w:ascii="Calibri" w:cs="Calibri" w:eastAsia="MS Mincho" w:hAnsi="Calibri"/>
                <w:iCs/>
                <w:kern w:val="2"/>
                <w:sz w:val="22"/>
                <w:lang w:eastAsia="en-GB"/>
              </w:rPr>
            </w:pP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Spécialiste passation de marché (SPM); BUNEE ; Maire</w:t>
            </w:r>
          </w:p>
        </w:tc>
        <w:tc>
          <w:tcPr>
            <w:tcW w:w="2779"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Consultant</w:t>
            </w:r>
          </w:p>
          <w:p>
            <w:pPr>
              <w:pStyle w:val="style0"/>
              <w:rPr>
                <w:rFonts w:ascii="Calibri" w:cs="Calibri" w:eastAsia="MS Mincho" w:hAnsi="Calibri"/>
                <w:iCs/>
                <w:kern w:val="2"/>
                <w:sz w:val="22"/>
                <w:lang w:eastAsia="en-GB"/>
              </w:rPr>
            </w:pP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Validation du document et obtention du certificat environnemental</w:t>
            </w: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tabs>
                <w:tab w:val="left" w:leader="none" w:pos="0"/>
              </w:tabs>
              <w:rPr>
                <w:rFonts w:ascii="Calibri" w:cs="Calibri" w:eastAsia="MS Mincho" w:hAnsi="Calibri"/>
                <w:iCs/>
                <w:kern w:val="2"/>
                <w:sz w:val="22"/>
                <w:lang w:eastAsia="en-GB"/>
              </w:rPr>
            </w:pPr>
            <w:r>
              <w:rPr>
                <w:rFonts w:ascii="Calibri" w:cs="Calibri" w:eastAsia="MS Mincho" w:hAnsi="Calibri"/>
                <w:iCs/>
                <w:kern w:val="2"/>
                <w:sz w:val="22"/>
                <w:lang w:eastAsia="en-GB"/>
              </w:rPr>
              <w:t>SPM, Maire</w:t>
            </w:r>
          </w:p>
          <w:p>
            <w:pPr>
              <w:pStyle w:val="style0"/>
              <w:rPr>
                <w:rFonts w:ascii="Calibri" w:cs="Calibri" w:eastAsia="MS Mincho" w:hAnsi="Calibri"/>
                <w:iCs/>
                <w:kern w:val="2"/>
                <w:sz w:val="22"/>
                <w:lang w:eastAsia="en-GB"/>
              </w:rPr>
            </w:pPr>
          </w:p>
        </w:tc>
        <w:tc>
          <w:tcPr>
            <w:tcW w:w="2779" w:type="dxa"/>
            <w:tcBorders/>
            <w:shd w:val="clear" w:color="auto" w:fill="auto"/>
          </w:tcPr>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BUNEE, </w:t>
            </w: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Publication du document</w:t>
            </w:r>
          </w:p>
        </w:tc>
        <w:tc>
          <w:tcPr>
            <w:tcW w:w="1710" w:type="dxa"/>
            <w:vMerge w:val="continue"/>
            <w:tcBorders/>
            <w:shd w:val="clear" w:color="auto" w:fill="auto"/>
          </w:tcPr>
          <w:p>
            <w:pPr>
              <w:pStyle w:val="style0"/>
              <w:rPr>
                <w:rFonts w:ascii="Calibri" w:cs="Calibri" w:eastAsia="MS Mincho" w:hAnsi="Calibri"/>
                <w:iCs/>
                <w:kern w:val="2"/>
                <w:sz w:val="22"/>
                <w:lang w:eastAsia="en-GB"/>
              </w:rPr>
            </w:pP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Coordonnateur</w:t>
            </w:r>
          </w:p>
        </w:tc>
        <w:tc>
          <w:tcPr>
            <w:tcW w:w="2779" w:type="dxa"/>
            <w:tcBorders/>
            <w:shd w:val="clear" w:color="auto" w:fill="auto"/>
          </w:tcPr>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Media ;</w:t>
            </w: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Banque mondiale</w:t>
            </w:r>
          </w:p>
        </w:tc>
      </w:tr>
      <w:tr>
        <w:tblPrEx/>
        <w:trPr/>
        <w:tc>
          <w:tcPr>
            <w:tcW w:w="572" w:type="dxa"/>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5.</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Intégration dans le dossier d’appel d’offres (DAO) du sous-projet, de toutes les mesures de la phase des travaux contractualisables avec l’entreprise</w:t>
            </w:r>
          </w:p>
        </w:tc>
        <w:tc>
          <w:tcPr>
            <w:tcW w:w="1710" w:type="dxa"/>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Responsable technique (RT) de l’activité</w:t>
            </w:r>
          </w:p>
        </w:tc>
        <w:tc>
          <w:tcPr>
            <w:tcW w:w="1811" w:type="dxa"/>
            <w:tcBorders/>
            <w:shd w:val="clear" w:color="auto" w:fill="auto"/>
          </w:tcPr>
          <w:p>
            <w:pPr>
              <w:pStyle w:val="style0"/>
              <w:rPr>
                <w:rFonts w:ascii="Calibri" w:cs="Calibri" w:eastAsia="MS Mincho" w:hAnsi="Calibri"/>
                <w:iCs/>
                <w:kern w:val="2"/>
                <w:sz w:val="22"/>
                <w:lang w:eastAsia="en-GB"/>
              </w:rPr>
            </w:pP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SSES</w:t>
            </w:r>
          </w:p>
          <w:p>
            <w:pPr>
              <w:pStyle w:val="style0"/>
              <w:numPr>
                <w:ilvl w:val="0"/>
                <w:numId w:val="30"/>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SPM</w:t>
            </w:r>
          </w:p>
        </w:tc>
        <w:tc>
          <w:tcPr>
            <w:tcW w:w="2779" w:type="dxa"/>
            <w:tcBorders/>
            <w:shd w:val="clear" w:color="auto" w:fill="auto"/>
          </w:tcPr>
          <w:p>
            <w:pPr>
              <w:pStyle w:val="style0"/>
              <w:rPr>
                <w:rFonts w:ascii="Calibri" w:cs="Calibri" w:eastAsia="MS Mincho" w:hAnsi="Calibri"/>
                <w:iCs/>
                <w:kern w:val="2"/>
                <w:sz w:val="22"/>
                <w:lang w:eastAsia="en-GB"/>
              </w:rPr>
            </w:pPr>
          </w:p>
        </w:tc>
      </w:tr>
      <w:tr>
        <w:tblPrEx/>
        <w:trPr/>
        <w:tc>
          <w:tcPr>
            <w:tcW w:w="572" w:type="dxa"/>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6.</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Exécution/Mise en œuvre des mesures non contractualisées avec l’entreprise de construction</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w:t>
            </w:r>
          </w:p>
        </w:tc>
        <w:tc>
          <w:tcPr>
            <w:tcW w:w="1811"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SPM</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RT</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Responsable financier (RF)</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Maire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xxxx</w:t>
            </w:r>
          </w:p>
        </w:tc>
        <w:tc>
          <w:tcPr>
            <w:tcW w:w="2779"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Consultant</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ONG</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Autres </w:t>
            </w:r>
          </w:p>
        </w:tc>
      </w:tr>
      <w:tr>
        <w:tblPrEx/>
        <w:trPr/>
        <w:tc>
          <w:tcPr>
            <w:tcW w:w="572" w:type="dxa"/>
            <w:vMerge w:val="restart"/>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7.</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Surveillance interne de la mise en œuvre des mesures E&amp;S</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w:t>
            </w:r>
          </w:p>
        </w:tc>
        <w:tc>
          <w:tcPr>
            <w:tcW w:w="1811"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Spécialiste en Suivi-Evaluation (S-SE)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RF</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Mairie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xxxx</w:t>
            </w:r>
          </w:p>
        </w:tc>
        <w:tc>
          <w:tcPr>
            <w:tcW w:w="2779"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Bureau de Contrôle</w:t>
            </w: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Diffusion du rapport de surveillance interne</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Coordonnateur</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w:t>
            </w:r>
          </w:p>
        </w:tc>
        <w:tc>
          <w:tcPr>
            <w:tcW w:w="2779" w:type="dxa"/>
            <w:tcBorders/>
            <w:shd w:val="clear" w:color="auto" w:fill="auto"/>
          </w:tcPr>
          <w:p>
            <w:pPr>
              <w:pStyle w:val="style0"/>
              <w:rPr>
                <w:rFonts w:ascii="Calibri" w:cs="Calibri" w:eastAsia="MS Mincho" w:hAnsi="Calibri"/>
                <w:iCs/>
                <w:kern w:val="2"/>
                <w:sz w:val="22"/>
                <w:lang w:eastAsia="en-GB"/>
              </w:rPr>
            </w:pPr>
          </w:p>
        </w:tc>
      </w:tr>
      <w:tr>
        <w:tblPrEx/>
        <w:trPr/>
        <w:tc>
          <w:tcPr>
            <w:tcW w:w="572" w:type="dxa"/>
            <w:vMerge w:val="continue"/>
            <w:tcBorders/>
            <w:shd w:val="clear" w:color="auto" w:fill="auto"/>
          </w:tcPr>
          <w:p>
            <w:pPr>
              <w:pStyle w:val="style0"/>
              <w:rPr>
                <w:rFonts w:ascii="Calibri" w:cs="Calibri" w:eastAsia="MS Mincho" w:hAnsi="Calibri"/>
                <w:iCs/>
                <w:kern w:val="2"/>
                <w:sz w:val="22"/>
                <w:lang w:eastAsia="en-GB"/>
              </w:rPr>
            </w:pP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Surveillance externe de la mise en œuvre des mesures E&amp;S</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BUNEE</w:t>
            </w:r>
          </w:p>
        </w:tc>
        <w:tc>
          <w:tcPr>
            <w:tcW w:w="1811"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w:t>
            </w:r>
          </w:p>
        </w:tc>
        <w:tc>
          <w:tcPr>
            <w:tcW w:w="2779" w:type="dxa"/>
            <w:tcBorders/>
            <w:shd w:val="clear" w:color="auto" w:fill="auto"/>
          </w:tcPr>
          <w:p>
            <w:pPr>
              <w:pStyle w:val="style0"/>
              <w:rPr>
                <w:rFonts w:ascii="Calibri" w:cs="Calibri" w:eastAsia="MS Mincho" w:hAnsi="Calibri"/>
                <w:iCs/>
                <w:kern w:val="2"/>
                <w:sz w:val="22"/>
                <w:lang w:eastAsia="en-GB"/>
              </w:rPr>
            </w:pP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8.</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Suivi environnemental et social</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SSES/UP</w:t>
            </w:r>
          </w:p>
        </w:tc>
        <w:tc>
          <w:tcPr>
            <w:tcW w:w="1811"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Autres SSES</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S-SE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xxxxx</w:t>
            </w:r>
          </w:p>
        </w:tc>
        <w:tc>
          <w:tcPr>
            <w:tcW w:w="2779"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Laboratoires /centres spécialisés</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ONG</w:t>
            </w:r>
          </w:p>
        </w:tc>
      </w:tr>
      <w:tr>
        <w:tblPrEx/>
        <w:trPr/>
        <w:tc>
          <w:tcPr>
            <w:tcW w:w="572"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9.</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Renforcement des capacités des acteurs en mise en œuvre E&amp;S</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SSES/UP</w:t>
            </w:r>
          </w:p>
        </w:tc>
        <w:tc>
          <w:tcPr>
            <w:tcW w:w="1811"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Autres SSES</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SPM</w:t>
            </w:r>
          </w:p>
        </w:tc>
        <w:tc>
          <w:tcPr>
            <w:tcW w:w="2779"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Consultants</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Structures publiques compétentes</w:t>
            </w:r>
          </w:p>
          <w:p>
            <w:pPr>
              <w:pStyle w:val="style0"/>
              <w:rPr>
                <w:rFonts w:ascii="Calibri" w:cs="Calibri" w:eastAsia="MS Mincho" w:hAnsi="Calibri"/>
                <w:iCs/>
                <w:kern w:val="2"/>
                <w:sz w:val="22"/>
                <w:lang w:eastAsia="en-GB"/>
              </w:rPr>
            </w:pPr>
          </w:p>
        </w:tc>
      </w:tr>
      <w:tr>
        <w:tblPrEx/>
        <w:trPr/>
        <w:tc>
          <w:tcPr>
            <w:tcW w:w="572" w:type="dxa"/>
            <w:tcBorders/>
            <w:shd w:val="clear" w:color="auto" w:fill="auto"/>
          </w:tcPr>
          <w:p>
            <w:pPr>
              <w:pStyle w:val="style0"/>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11.</w:t>
            </w:r>
          </w:p>
        </w:tc>
        <w:tc>
          <w:tcPr>
            <w:tcW w:w="3046"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Audit de mise en œuvre des mesures E&amp;S</w:t>
            </w:r>
          </w:p>
        </w:tc>
        <w:tc>
          <w:tcPr>
            <w:tcW w:w="1710" w:type="dxa"/>
            <w:tcBorders/>
            <w:shd w:val="clear" w:color="auto" w:fill="auto"/>
          </w:tcPr>
          <w:p>
            <w:pPr>
              <w:pStyle w:val="style0"/>
              <w:rPr>
                <w:rFonts w:ascii="Calibri" w:cs="Calibri" w:eastAsia="MS Mincho" w:hAnsi="Calibri"/>
                <w:iCs/>
                <w:kern w:val="2"/>
                <w:sz w:val="22"/>
                <w:lang w:eastAsia="en-GB"/>
              </w:rPr>
            </w:pPr>
            <w:r>
              <w:rPr>
                <w:rFonts w:ascii="Calibri" w:cs="Calibri" w:eastAsia="MS Mincho" w:hAnsi="Calibri"/>
                <w:iCs/>
                <w:kern w:val="2"/>
                <w:sz w:val="22"/>
                <w:lang w:eastAsia="en-GB"/>
              </w:rPr>
              <w:t>SSES/UP</w:t>
            </w:r>
          </w:p>
        </w:tc>
        <w:tc>
          <w:tcPr>
            <w:tcW w:w="1811"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Autres SSES</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SPM</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S-SE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BUNEE</w:t>
            </w:r>
          </w:p>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Maire</w:t>
            </w:r>
          </w:p>
        </w:tc>
        <w:tc>
          <w:tcPr>
            <w:tcW w:w="2779" w:type="dxa"/>
            <w:tcBorders/>
            <w:shd w:val="clear" w:color="auto" w:fill="auto"/>
          </w:tcPr>
          <w:p>
            <w:pPr>
              <w:pStyle w:val="style0"/>
              <w:numPr>
                <w:ilvl w:val="0"/>
                <w:numId w:val="48"/>
              </w:numPr>
              <w:ind w:left="72" w:hanging="180"/>
              <w:jc w:val="both"/>
              <w:rPr>
                <w:rFonts w:ascii="Calibri" w:cs="Calibri" w:eastAsia="MS Mincho" w:hAnsi="Calibri"/>
                <w:iCs/>
                <w:kern w:val="2"/>
                <w:sz w:val="22"/>
                <w:lang w:eastAsia="en-GB"/>
              </w:rPr>
            </w:pPr>
            <w:r>
              <w:rPr>
                <w:rFonts w:ascii="Calibri" w:cs="Calibri" w:eastAsia="MS Mincho" w:hAnsi="Calibri"/>
                <w:iCs/>
                <w:kern w:val="2"/>
                <w:sz w:val="22"/>
                <w:lang w:eastAsia="en-GB"/>
              </w:rPr>
              <w:t xml:space="preserve"> Consultants</w:t>
            </w:r>
          </w:p>
          <w:p>
            <w:pPr>
              <w:pStyle w:val="style0"/>
              <w:ind w:left="72"/>
              <w:rPr>
                <w:rFonts w:ascii="Calibri" w:cs="Calibri" w:eastAsia="MS Mincho" w:hAnsi="Calibri"/>
                <w:iCs/>
                <w:kern w:val="2"/>
                <w:sz w:val="22"/>
                <w:lang w:eastAsia="en-GB"/>
              </w:rPr>
            </w:pPr>
          </w:p>
          <w:p>
            <w:pPr>
              <w:pStyle w:val="style0"/>
              <w:rPr>
                <w:rFonts w:ascii="Calibri" w:cs="Calibri" w:eastAsia="MS Mincho" w:hAnsi="Calibri"/>
                <w:iCs/>
                <w:kern w:val="2"/>
                <w:sz w:val="22"/>
                <w:lang w:eastAsia="en-GB"/>
              </w:rPr>
            </w:pPr>
          </w:p>
        </w:tc>
      </w:tr>
    </w:tbl>
    <w:p>
      <w:pPr>
        <w:pStyle w:val="style179"/>
        <w:ind w:left="1080"/>
        <w:rPr>
          <w:rFonts w:cs="Calibri" w:eastAsia="MS Mincho"/>
          <w:iCs/>
          <w:kern w:val="2"/>
          <w:lang w:eastAsia="en-GB"/>
        </w:rPr>
      </w:pPr>
    </w:p>
    <w:p>
      <w:pPr>
        <w:pStyle w:val="style179"/>
        <w:numPr>
          <w:ilvl w:val="0"/>
          <w:numId w:val="142"/>
        </w:numPr>
        <w:jc w:val="both"/>
        <w:contextualSpacing/>
        <w:rPr>
          <w:rFonts w:cs="Calibri" w:eastAsia="MS Mincho"/>
          <w:iCs/>
          <w:kern w:val="2"/>
          <w:lang w:eastAsia="en-GB"/>
        </w:rPr>
      </w:pPr>
      <w:r>
        <w:rPr>
          <w:rFonts w:cs="Calibri" w:eastAsia="MS Mincho"/>
          <w:iCs/>
          <w:kern w:val="2"/>
          <w:lang w:eastAsia="en-GB"/>
        </w:rPr>
        <w:t>Renforcement des capacités spécifiques et bien ciblé, y compris (selon le cas) la communication pour le changement de comportement ; (3 à 4 pages)</w:t>
      </w:r>
    </w:p>
    <w:p>
      <w:pPr>
        <w:pStyle w:val="style179"/>
        <w:numPr>
          <w:ilvl w:val="0"/>
          <w:numId w:val="142"/>
        </w:numPr>
        <w:jc w:val="both"/>
        <w:contextualSpacing/>
        <w:rPr>
          <w:rFonts w:cs="Calibri" w:eastAsia="MS Mincho"/>
          <w:iCs/>
          <w:kern w:val="2"/>
          <w:lang w:eastAsia="en-GB"/>
        </w:rPr>
      </w:pPr>
      <w:r>
        <w:rPr>
          <w:rFonts w:cs="Calibri" w:eastAsia="MS Mincho"/>
          <w:iCs/>
          <w:kern w:val="2"/>
          <w:lang w:eastAsia="en-GB"/>
        </w:rPr>
        <w:t xml:space="preserve">Mécanisme de gestion des plaintes et conflits environnementaux et sociaux du projet (géré principalement par l’un ou l’autre des spécialistes en sauvegarde selon la nature environnementale ou sociale du sujet) et indiquant : les types de plaintes probables liés au projet, les mécanismes de gestion des conflits existants (coutumiers ou modernes, y compris le système judiciaire du pays), les compléments éventuels pour répondre aux besoins de conciliation dans le cadre du projet, les rôles et responsabilités au sein de l’unité de gestion du projet (qui reçoit les plaintes, qui assure que les discussions ont lieu, comment/quand/qui notifie les parties, qui archive, qui clôture le cas, qui informe les autres acteurs concernés le cas échéant, etc.); </w:t>
      </w:r>
    </w:p>
    <w:p>
      <w:pPr>
        <w:pStyle w:val="style179"/>
        <w:numPr>
          <w:ilvl w:val="0"/>
          <w:numId w:val="142"/>
        </w:numPr>
        <w:jc w:val="both"/>
        <w:contextualSpacing/>
        <w:rPr>
          <w:rFonts w:cs="Calibri" w:eastAsia="MS Mincho"/>
          <w:iCs/>
          <w:kern w:val="2"/>
          <w:lang w:eastAsia="en-GB"/>
        </w:rPr>
      </w:pPr>
      <w:r>
        <w:rPr>
          <w:rFonts w:cs="Calibri" w:eastAsia="MS Mincho"/>
          <w:iCs/>
          <w:kern w:val="2"/>
          <w:lang w:eastAsia="en-GB"/>
        </w:rPr>
        <w:t>Plan de communication/consultation du public pendant la vie du projet ;</w:t>
      </w:r>
    </w:p>
    <w:p>
      <w:pPr>
        <w:pStyle w:val="style179"/>
        <w:numPr>
          <w:ilvl w:val="0"/>
          <w:numId w:val="142"/>
        </w:numPr>
        <w:tabs>
          <w:tab w:val="left" w:leader="none" w:pos="1080"/>
        </w:tabs>
        <w:ind w:left="630" w:hanging="270"/>
        <w:jc w:val="both"/>
        <w:contextualSpacing/>
        <w:rPr>
          <w:rFonts w:cs="Calibri" w:eastAsia="MS Mincho"/>
          <w:iCs/>
          <w:kern w:val="2"/>
          <w:lang w:eastAsia="en-GB"/>
        </w:rPr>
      </w:pPr>
      <w:r>
        <w:rPr>
          <w:rFonts w:cs="Calibri" w:eastAsia="MS Mincho"/>
          <w:iCs/>
          <w:kern w:val="2"/>
          <w:lang w:eastAsia="en-GB"/>
        </w:rPr>
        <w:t xml:space="preserve">Budget de mise en œuvre du PCGES, qui n’inclue pas les coûts de recrutement et </w:t>
      </w:r>
      <w:r>
        <w:rPr>
          <w:rFonts w:cs="Calibri" w:eastAsia="MS Mincho"/>
          <w:iCs/>
          <w:kern w:val="2"/>
          <w:lang w:eastAsia="en-GB"/>
        </w:rPr>
        <w:tab/>
      </w:r>
      <w:r>
        <w:rPr>
          <w:rFonts w:cs="Calibri" w:eastAsia="MS Mincho"/>
          <w:iCs/>
          <w:kern w:val="2"/>
          <w:lang w:eastAsia="en-GB"/>
        </w:rPr>
        <w:t xml:space="preserve">les rémunérations des deux spécialistes en sauvegarde (Environnement, Social) </w:t>
      </w:r>
      <w:r>
        <w:rPr>
          <w:rFonts w:cs="Calibri" w:eastAsia="MS Mincho"/>
          <w:iCs/>
          <w:kern w:val="2"/>
          <w:lang w:eastAsia="en-GB"/>
        </w:rPr>
        <w:tab/>
      </w:r>
      <w:r>
        <w:rPr>
          <w:rFonts w:cs="Calibri" w:eastAsia="MS Mincho"/>
          <w:iCs/>
          <w:kern w:val="2"/>
          <w:lang w:eastAsia="en-GB"/>
        </w:rPr>
        <w:t>de l’entité de mise en œuvre du projet ;</w:t>
      </w:r>
    </w:p>
    <w:p>
      <w:pPr>
        <w:pStyle w:val="style179"/>
        <w:numPr>
          <w:ilvl w:val="0"/>
          <w:numId w:val="142"/>
        </w:numPr>
        <w:tabs>
          <w:tab w:val="left" w:leader="none" w:pos="1080"/>
        </w:tabs>
        <w:ind w:left="630" w:hanging="270"/>
        <w:jc w:val="both"/>
        <w:contextualSpacing/>
        <w:rPr>
          <w:rFonts w:cs="Calibri" w:eastAsia="MS Mincho"/>
          <w:iCs/>
          <w:kern w:val="2"/>
          <w:lang w:eastAsia="en-GB"/>
        </w:rPr>
      </w:pPr>
      <w:r>
        <w:rPr>
          <w:rFonts w:cs="Calibri" w:eastAsia="MS Mincho"/>
          <w:iCs/>
          <w:kern w:val="2"/>
          <w:lang w:eastAsia="en-GB"/>
        </w:rPr>
        <w:t>Indicateurs pertinents (5 en moyenne) de mise en œuvre du PCGES.</w:t>
      </w:r>
    </w:p>
    <w:p>
      <w:pPr>
        <w:pStyle w:val="style179"/>
        <w:tabs>
          <w:tab w:val="left" w:leader="none" w:pos="1080"/>
        </w:tabs>
        <w:ind w:left="630"/>
        <w:jc w:val="both"/>
        <w:rPr>
          <w:rFonts w:cs="Calibri" w:eastAsia="MS Mincho"/>
          <w:iCs/>
          <w:kern w:val="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Conclusion et recommandations (1 à 2 pages)</w:t>
      </w:r>
    </w:p>
    <w:p>
      <w:pPr>
        <w:pStyle w:val="style0"/>
        <w:jc w:val="both"/>
        <w:rPr>
          <w:rFonts w:ascii="Calibri" w:cs="Calibri" w:eastAsia="MS Mincho" w:hAnsi="Calibri"/>
          <w:iCs/>
          <w:kern w:val="2"/>
          <w:sz w:val="22"/>
          <w:lang w:eastAsia="en-GB"/>
        </w:rPr>
      </w:pPr>
    </w:p>
    <w:p>
      <w:pPr>
        <w:pStyle w:val="style0"/>
        <w:jc w:val="both"/>
        <w:rPr>
          <w:rFonts w:ascii="Calibri" w:cs="Calibri" w:eastAsia="MS Mincho" w:hAnsi="Calibri"/>
          <w:iCs/>
          <w:kern w:val="2"/>
          <w:sz w:val="22"/>
          <w:lang w:eastAsia="en-GB"/>
        </w:rPr>
      </w:pPr>
      <w:r>
        <w:rPr>
          <w:rFonts w:ascii="Calibri" w:cs="Calibri" w:eastAsia="MS Mincho" w:hAnsi="Calibri"/>
          <w:iCs/>
          <w:kern w:val="2"/>
          <w:sz w:val="22"/>
          <w:lang w:eastAsia="en-GB"/>
        </w:rPr>
        <w:t>Annexes essentielles (illimitée)</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Diagramme de sélection et approbation des microprojets incluant le tri environnemental et social</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Fiches de screening par type de sous-projets connus ;</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Procédure administrative nationale en matière d’Evaluation environnementale (y compris les délais jusqu’à l’émission du Certificat/Permis environnemental)</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Listes de contrôles, matrices, guides techniques, etc. spécifiques à chaque sous projet incluant les impacts et risques clés ainsi que les mesures d’atténuation génériques</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Description d’un plan de gestion environnementale et sociale (PGES) type</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Procédure de suivi-évaluation du promoteur y compris les revues, les obligations, et les audits requis pour les sauvegardes environnementales et sociales</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Contenu (sommaire) des rapports périodiques d’avancement incluant les aspects de sauvegarde environnementale et sociale ;</w:t>
      </w:r>
    </w:p>
    <w:p>
      <w:pPr>
        <w:pStyle w:val="style179"/>
        <w:numPr>
          <w:ilvl w:val="0"/>
          <w:numId w:val="74"/>
        </w:numPr>
        <w:ind w:left="360"/>
        <w:jc w:val="both"/>
        <w:contextualSpacing/>
        <w:rPr>
          <w:rFonts w:cs="Calibri" w:eastAsia="MS Mincho"/>
          <w:iCs/>
          <w:kern w:val="2"/>
          <w:lang w:eastAsia="en-GB"/>
        </w:rPr>
      </w:pPr>
      <w:r>
        <w:rPr>
          <w:rFonts w:cs="Calibri" w:eastAsia="MS Mincho"/>
          <w:iCs/>
          <w:kern w:val="2"/>
          <w:lang w:eastAsia="en-GB"/>
        </w:rPr>
        <w:t>Tout autre élément de détail sur le milieu biophysique et humain de mise en œuvre du projet ; etc.</w:t>
      </w:r>
    </w:p>
    <w:p>
      <w:pPr>
        <w:pStyle w:val="style0"/>
        <w:jc w:val="both"/>
        <w:rPr>
          <w:rFonts w:ascii="Calibri" w:cs="Calibri" w:hAnsi="Calibri"/>
          <w:b/>
          <w:sz w:val="22"/>
          <w:lang w:val="fr-CA"/>
        </w:rPr>
      </w:pPr>
    </w:p>
    <w:p>
      <w:pPr>
        <w:pStyle w:val="style179"/>
        <w:numPr>
          <w:ilvl w:val="0"/>
          <w:numId w:val="117"/>
        </w:numPr>
        <w:ind w:left="360"/>
        <w:jc w:val="both"/>
        <w:rPr>
          <w:rFonts w:cs="Calibri"/>
          <w:b/>
        </w:rPr>
      </w:pPr>
      <w:r>
        <w:rPr>
          <w:rFonts w:cs="Calibri"/>
          <w:b/>
        </w:rPr>
        <w:t xml:space="preserve">QUALIFICATIONS ET EXPERIENCE </w:t>
      </w:r>
    </w:p>
    <w:p>
      <w:pPr>
        <w:pStyle w:val="style0"/>
        <w:ind w:left="67"/>
        <w:jc w:val="both"/>
        <w:rPr>
          <w:rFonts w:ascii="Calibri" w:cs="Calibri" w:hAnsi="Calibri"/>
          <w:b/>
          <w:sz w:val="22"/>
        </w:rPr>
      </w:pPr>
    </w:p>
    <w:p>
      <w:pPr>
        <w:pStyle w:val="style0"/>
        <w:ind w:left="67"/>
        <w:jc w:val="both"/>
        <w:rPr>
          <w:rFonts w:ascii="Calibri" w:cs="Calibri" w:hAnsi="Calibri"/>
          <w:sz w:val="22"/>
        </w:rPr>
      </w:pPr>
      <w:r>
        <w:rPr>
          <w:rFonts w:ascii="Calibri" w:cs="Calibri" w:hAnsi="Calibri"/>
          <w:b/>
          <w:sz w:val="22"/>
        </w:rPr>
        <w:t>Diplôme</w:t>
      </w:r>
    </w:p>
    <w:p>
      <w:pPr>
        <w:pStyle w:val="style0"/>
        <w:numPr>
          <w:ilvl w:val="0"/>
          <w:numId w:val="16"/>
        </w:numPr>
        <w:ind w:left="360" w:hanging="540"/>
        <w:jc w:val="both"/>
        <w:rPr>
          <w:rFonts w:ascii="Calibri" w:cs="Calibri" w:hAnsi="Calibri"/>
          <w:sz w:val="22"/>
        </w:rPr>
      </w:pPr>
      <w:r>
        <w:rPr>
          <w:rFonts w:ascii="Calibri" w:cs="Calibri" w:hAnsi="Calibri"/>
          <w:sz w:val="22"/>
        </w:rPr>
        <w:t xml:space="preserve">Il devra être titulaire d’un diplôme universitaire de niveau Bac + 5 au moins en Sciences de la Nature ou similaire (un diplôme universitaire dans les domaines relatifs à l'Environnement et à l’Agriculture est préférable).  </w:t>
      </w:r>
    </w:p>
    <w:p>
      <w:pPr>
        <w:pStyle w:val="style0"/>
        <w:ind w:left="67"/>
        <w:jc w:val="both"/>
        <w:rPr>
          <w:rFonts w:ascii="Calibri" w:cs="Calibri" w:hAnsi="Calibri"/>
          <w:b/>
          <w:sz w:val="22"/>
        </w:rPr>
      </w:pPr>
    </w:p>
    <w:p>
      <w:pPr>
        <w:pStyle w:val="style0"/>
        <w:ind w:left="67"/>
        <w:jc w:val="both"/>
        <w:rPr>
          <w:rFonts w:ascii="Calibri" w:cs="Calibri" w:hAnsi="Calibri"/>
          <w:b/>
          <w:sz w:val="22"/>
        </w:rPr>
      </w:pPr>
      <w:r>
        <w:rPr>
          <w:rFonts w:ascii="Calibri" w:cs="Calibri" w:hAnsi="Calibri"/>
          <w:b/>
          <w:sz w:val="22"/>
        </w:rPr>
        <w:t xml:space="preserve">Années d'expérience </w:t>
      </w:r>
    </w:p>
    <w:p>
      <w:pPr>
        <w:pStyle w:val="style0"/>
        <w:numPr>
          <w:ilvl w:val="0"/>
          <w:numId w:val="16"/>
        </w:numPr>
        <w:ind w:left="360" w:hanging="540"/>
        <w:jc w:val="both"/>
        <w:rPr>
          <w:rFonts w:ascii="Calibri" w:cs="Calibri" w:hAnsi="Calibri"/>
          <w:sz w:val="22"/>
        </w:rPr>
      </w:pPr>
      <w:r>
        <w:rPr>
          <w:rFonts w:ascii="Calibri" w:cs="Calibri" w:hAnsi="Calibri"/>
          <w:sz w:val="22"/>
        </w:rPr>
        <w:t xml:space="preserve">Au moins 10 ans d'expérience dans la préparation des études d’impact environnemental et social (EIES) et des plans de gestion environnementale et sociale dans les projets financés par la Banque mondiale.  </w:t>
      </w:r>
    </w:p>
    <w:p>
      <w:pPr>
        <w:pStyle w:val="style0"/>
        <w:ind w:left="67"/>
        <w:jc w:val="both"/>
        <w:rPr>
          <w:rFonts w:ascii="Calibri" w:cs="Calibri" w:hAnsi="Calibri"/>
          <w:b/>
          <w:sz w:val="22"/>
        </w:rPr>
      </w:pPr>
    </w:p>
    <w:p>
      <w:pPr>
        <w:pStyle w:val="style0"/>
        <w:ind w:left="67"/>
        <w:jc w:val="both"/>
        <w:rPr>
          <w:rFonts w:ascii="Calibri" w:cs="Calibri" w:hAnsi="Calibri"/>
          <w:b/>
          <w:sz w:val="22"/>
        </w:rPr>
      </w:pPr>
      <w:r>
        <w:rPr>
          <w:rFonts w:ascii="Calibri" w:cs="Calibri" w:hAnsi="Calibri"/>
          <w:b/>
          <w:sz w:val="22"/>
        </w:rPr>
        <w:t xml:space="preserve">Qualifications requises </w:t>
      </w:r>
    </w:p>
    <w:p>
      <w:pPr>
        <w:pStyle w:val="style0"/>
        <w:ind w:left="412"/>
        <w:jc w:val="both"/>
        <w:rPr>
          <w:rFonts w:ascii="Calibri" w:cs="Calibri" w:hAnsi="Calibri"/>
          <w:sz w:val="22"/>
        </w:rPr>
      </w:pPr>
      <w:r>
        <w:rPr>
          <w:rFonts w:ascii="Calibri" w:cs="Calibri" w:hAnsi="Calibri"/>
          <w:sz w:val="22"/>
        </w:rPr>
        <w:t xml:space="preserve">Le Consultant devra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Avoir une connaissance suffisante des directives, des exigences et des procédures de la Banque mondiale en matière de protection environnementale et sociale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Être doté de connaissances des lois environnementales et sociales et de la règlementation nationale en matière de protection environnementale et sociale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Disposer des connaissances sur les directives et politiques environnementales et sociales de la Banque mondiale, du Mécanisme de gestion des plaintes, des Violences basées sur le Genre, de la Gestion des risques de catastrophes naturelles, de la Biodiversité, en SME, HQSE et des changements climatiques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Avoir la capacité de travailler avec des équipes et des organisations multidisciplinaires notamment dans un environnement multi-projets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Etre capable de travailler en équipe, sous pression et avec des délais relativement courts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Avoir une attitude responsable et flexible et une capacité à exécuter une variété de tâches sous supervision minimale ; </w:t>
      </w:r>
    </w:p>
    <w:p>
      <w:pPr>
        <w:pStyle w:val="style0"/>
        <w:numPr>
          <w:ilvl w:val="0"/>
          <w:numId w:val="16"/>
        </w:numPr>
        <w:ind w:left="360" w:hanging="540"/>
        <w:jc w:val="both"/>
        <w:rPr>
          <w:rFonts w:ascii="Calibri" w:cs="Calibri" w:hAnsi="Calibri"/>
          <w:sz w:val="22"/>
        </w:rPr>
      </w:pPr>
      <w:r>
        <w:rPr>
          <w:rFonts w:ascii="Calibri" w:cs="Calibri" w:hAnsi="Calibri"/>
          <w:sz w:val="22"/>
        </w:rPr>
        <w:t xml:space="preserve">Avoir une bonne connaissance des outils informatiques et applications Microsoft Office, notamment les programmes informatiques suivants : Excel, Word, PowerPoint, Arc-GIS et l’Internet ; </w:t>
      </w:r>
    </w:p>
    <w:p>
      <w:pPr>
        <w:pStyle w:val="style0"/>
        <w:numPr>
          <w:ilvl w:val="0"/>
          <w:numId w:val="16"/>
        </w:numPr>
        <w:ind w:left="360" w:hanging="357"/>
        <w:jc w:val="both"/>
        <w:rPr>
          <w:rFonts w:ascii="Calibri" w:cs="Calibri" w:hAnsi="Calibri"/>
          <w:sz w:val="22"/>
        </w:rPr>
      </w:pPr>
      <w:r>
        <w:rPr>
          <w:rFonts w:ascii="Calibri" w:cs="Calibri" w:hAnsi="Calibri"/>
          <w:sz w:val="22"/>
        </w:rPr>
        <w:t xml:space="preserve">Savoir parler, lire et écrire en Français et en Anglais. </w:t>
      </w:r>
    </w:p>
    <w:p>
      <w:pPr>
        <w:pStyle w:val="style0"/>
        <w:ind w:left="771"/>
        <w:jc w:val="both"/>
        <w:rPr>
          <w:rFonts w:ascii="Calibri" w:cs="Calibri" w:hAnsi="Calibri"/>
          <w:sz w:val="22"/>
        </w:rPr>
      </w:pPr>
    </w:p>
    <w:p>
      <w:pPr>
        <w:pStyle w:val="style179"/>
        <w:numPr>
          <w:ilvl w:val="0"/>
          <w:numId w:val="117"/>
        </w:numPr>
        <w:ind w:left="360"/>
        <w:jc w:val="both"/>
        <w:rPr>
          <w:rFonts w:cs="Calibri"/>
          <w:b/>
        </w:rPr>
      </w:pPr>
      <w:r>
        <w:rPr>
          <w:rFonts w:cs="Calibri"/>
          <w:b/>
        </w:rPr>
        <w:t>LIVRABLES</w:t>
      </w:r>
    </w:p>
    <w:p>
      <w:pPr>
        <w:pStyle w:val="style0"/>
        <w:ind w:left="67"/>
        <w:jc w:val="both"/>
        <w:rPr>
          <w:rFonts w:ascii="Calibri" w:cs="Calibri" w:hAnsi="Calibri"/>
          <w:sz w:val="22"/>
        </w:rPr>
      </w:pPr>
    </w:p>
    <w:p>
      <w:pPr>
        <w:pStyle w:val="style0"/>
        <w:ind w:left="67"/>
        <w:jc w:val="both"/>
        <w:rPr>
          <w:rFonts w:ascii="Calibri" w:cs="Calibri" w:hAnsi="Calibri"/>
          <w:sz w:val="22"/>
        </w:rPr>
      </w:pPr>
      <w:r>
        <w:rPr>
          <w:rFonts w:ascii="Calibri" w:cs="Calibri" w:hAnsi="Calibri"/>
          <w:sz w:val="22"/>
        </w:rPr>
        <w:t>Le consultant fournira :</w:t>
      </w:r>
    </w:p>
    <w:p>
      <w:pPr>
        <w:pStyle w:val="style0"/>
        <w:numPr>
          <w:ilvl w:val="0"/>
          <w:numId w:val="16"/>
        </w:numPr>
        <w:ind w:left="360" w:hanging="540"/>
        <w:jc w:val="both"/>
        <w:rPr>
          <w:rFonts w:ascii="Calibri" w:cs="Calibri" w:hAnsi="Calibri"/>
          <w:sz w:val="22"/>
        </w:rPr>
      </w:pPr>
      <w:r>
        <w:rPr>
          <w:rFonts w:ascii="Calibri" w:cs="Calibri" w:hAnsi="Calibri"/>
          <w:sz w:val="22"/>
        </w:rPr>
        <w:t>Un rapport de démarrage incluant son programme de travail détaillé (à 7 jours) ;</w:t>
      </w:r>
    </w:p>
    <w:p>
      <w:pPr>
        <w:pStyle w:val="style0"/>
        <w:numPr>
          <w:ilvl w:val="0"/>
          <w:numId w:val="16"/>
        </w:numPr>
        <w:ind w:left="360" w:hanging="540"/>
        <w:jc w:val="both"/>
        <w:rPr>
          <w:rFonts w:ascii="Calibri" w:cs="Calibri" w:hAnsi="Calibri"/>
          <w:sz w:val="22"/>
        </w:rPr>
      </w:pPr>
      <w:r>
        <w:rPr>
          <w:rFonts w:ascii="Calibri" w:cs="Calibri" w:hAnsi="Calibri"/>
          <w:sz w:val="22"/>
        </w:rPr>
        <w:t>Un rapport provisoire (10 copies couleurs et 4 copies numériques sur USB) ;</w:t>
      </w:r>
    </w:p>
    <w:p>
      <w:pPr>
        <w:pStyle w:val="style0"/>
        <w:numPr>
          <w:ilvl w:val="0"/>
          <w:numId w:val="16"/>
        </w:numPr>
        <w:ind w:left="360" w:hanging="540"/>
        <w:jc w:val="both"/>
        <w:rPr>
          <w:rFonts w:ascii="Calibri" w:cs="Calibri" w:hAnsi="Calibri"/>
          <w:sz w:val="22"/>
        </w:rPr>
      </w:pPr>
      <w:r>
        <w:rPr>
          <w:rFonts w:ascii="Calibri" w:cs="Calibri" w:hAnsi="Calibri"/>
          <w:sz w:val="22"/>
        </w:rPr>
        <w:t>Un rapport final (15 copies couleurs et 6 copies numériques sur USB).</w:t>
      </w:r>
    </w:p>
    <w:p>
      <w:pPr>
        <w:pStyle w:val="style0"/>
        <w:ind w:left="360"/>
        <w:jc w:val="both"/>
        <w:rPr>
          <w:rFonts w:ascii="Calibri" w:cs="Calibri" w:hAnsi="Calibri"/>
          <w:sz w:val="22"/>
        </w:rPr>
      </w:pPr>
    </w:p>
    <w:p>
      <w:pPr>
        <w:pStyle w:val="style179"/>
        <w:numPr>
          <w:ilvl w:val="0"/>
          <w:numId w:val="117"/>
        </w:numPr>
        <w:ind w:left="360"/>
        <w:jc w:val="both"/>
        <w:rPr>
          <w:rFonts w:cs="Calibri"/>
          <w:b/>
        </w:rPr>
      </w:pPr>
      <w:r>
        <w:rPr>
          <w:rFonts w:cs="Calibri"/>
          <w:b/>
        </w:rPr>
        <w:t>RESPONSABILITES</w:t>
      </w:r>
    </w:p>
    <w:p>
      <w:pPr>
        <w:pStyle w:val="style0"/>
        <w:jc w:val="both"/>
        <w:rPr>
          <w:rFonts w:ascii="Calibri" w:cs="Calibri" w:eastAsia="Calibri" w:hAnsi="Calibri"/>
          <w:sz w:val="22"/>
        </w:rPr>
      </w:pPr>
    </w:p>
    <w:p>
      <w:pPr>
        <w:pStyle w:val="style0"/>
        <w:jc w:val="both"/>
        <w:rPr>
          <w:rFonts w:ascii="Calibri" w:cs="Calibri" w:eastAsia="Calibri" w:hAnsi="Calibri"/>
          <w:sz w:val="22"/>
        </w:rPr>
      </w:pPr>
      <w:r>
        <w:rPr>
          <w:rFonts w:ascii="Calibri" w:cs="Calibri" w:eastAsia="Calibri" w:hAnsi="Calibri"/>
          <w:sz w:val="22"/>
        </w:rPr>
        <w:t>Il assurera le cadrage avec le BUNEE, le suivi de la prise en compte des observations (Ministère Agriculture, BUNEE, Banque mondiale) et la publication de la version finale au niveau national (site web des Ministères, journaux, régions, etc.), y compris l’obtention de l’Avis de faisabilité environnementale.</w:t>
      </w:r>
    </w:p>
    <w:p>
      <w:pPr>
        <w:pStyle w:val="style0"/>
        <w:ind w:left="360"/>
        <w:jc w:val="both"/>
        <w:rPr>
          <w:rFonts w:ascii="Calibri" w:cs="Calibri" w:hAnsi="Calibri"/>
          <w:sz w:val="22"/>
        </w:rPr>
      </w:pPr>
    </w:p>
    <w:p>
      <w:pPr>
        <w:pStyle w:val="style179"/>
        <w:numPr>
          <w:ilvl w:val="0"/>
          <w:numId w:val="117"/>
        </w:numPr>
        <w:ind w:left="360"/>
        <w:jc w:val="both"/>
        <w:rPr>
          <w:rFonts w:cs="Calibri"/>
          <w:b/>
        </w:rPr>
      </w:pPr>
      <w:r>
        <w:rPr>
          <w:rFonts w:cs="Calibri"/>
          <w:b/>
        </w:rPr>
        <w:t xml:space="preserve">CALENDRIER ET DUREE DE LA MISSION  </w:t>
      </w:r>
    </w:p>
    <w:p>
      <w:pPr>
        <w:pStyle w:val="style0"/>
        <w:ind w:left="67"/>
        <w:jc w:val="both"/>
        <w:rPr>
          <w:rFonts w:ascii="Calibri" w:cs="Calibri" w:hAnsi="Calibri"/>
          <w:sz w:val="22"/>
        </w:rPr>
      </w:pPr>
    </w:p>
    <w:p>
      <w:pPr>
        <w:pStyle w:val="style0"/>
        <w:ind w:left="67"/>
        <w:jc w:val="both"/>
        <w:rPr>
          <w:rFonts w:ascii="Calibri" w:cs="Calibri" w:hAnsi="Calibri"/>
          <w:sz w:val="22"/>
        </w:rPr>
      </w:pPr>
      <w:r>
        <w:rPr>
          <w:rFonts w:ascii="Calibri" w:cs="Calibri" w:hAnsi="Calibri"/>
          <w:sz w:val="22"/>
        </w:rPr>
        <w:t xml:space="preserve">La charge de travail du Consultant est estimée à trente-cinq (35) hommes / jour. </w:t>
      </w:r>
    </w:p>
    <w:p>
      <w:pPr>
        <w:pStyle w:val="style0"/>
        <w:ind w:left="67"/>
        <w:jc w:val="both"/>
        <w:rPr>
          <w:rFonts w:ascii="Calibri" w:cs="Calibri" w:hAnsi="Calibri"/>
          <w:b/>
          <w:sz w:val="22"/>
        </w:rPr>
      </w:pPr>
    </w:p>
    <w:p>
      <w:pPr>
        <w:pStyle w:val="style0"/>
        <w:ind w:left="67"/>
        <w:jc w:val="both"/>
        <w:rPr>
          <w:rFonts w:ascii="Calibri" w:cs="Calibri" w:hAnsi="Calibri"/>
          <w:b/>
          <w:sz w:val="22"/>
        </w:rPr>
        <w:sectPr>
          <w:pgSz w:w="11906" w:h="16838" w:orient="portrait"/>
          <w:pgMar w:top="1418" w:right="1418" w:bottom="1418" w:left="1418" w:header="720" w:footer="720" w:gutter="0"/>
          <w:cols w:space="720"/>
          <w:titlePg/>
          <w:docGrid w:linePitch="360"/>
        </w:sectPr>
      </w:pPr>
    </w:p>
    <w:bookmarkStart w:id="1585" w:name="_Toc686154"/>
    <w:bookmarkStart w:id="1586" w:name="_Toc2780533"/>
    <w:p>
      <w:pPr>
        <w:pStyle w:val="style1"/>
        <w:rPr/>
      </w:pPr>
      <w:r>
        <w:t xml:space="preserve">ANNEXE 5 : </w:t>
      </w:r>
      <w:r>
        <w:t>PHOTOS CHOISIES POUR LES CONSULTATIONS PUBLIQUES</w:t>
      </w:r>
      <w:bookmarkEnd w:id="1585"/>
      <w:bookmarkEnd w:id="1586"/>
    </w:p>
    <w:p>
      <w:pPr>
        <w:pStyle w:val="style0"/>
        <w:tabs>
          <w:tab w:val="left" w:leader="none" w:pos="5730"/>
        </w:tabs>
        <w:rPr>
          <w:sz w:val="20"/>
          <w:szCs w:val="20"/>
        </w:rPr>
      </w:pPr>
      <w:r>
        <w:rPr>
          <w:noProof/>
        </w:rPr>
        <w:drawing>
          <wp:anchor distT="0" distB="0" distL="114300" distR="114300" simplePos="false" relativeHeight="7" behindDoc="true" locked="false" layoutInCell="true" allowOverlap="true">
            <wp:simplePos x="0" y="0"/>
            <wp:positionH relativeFrom="column">
              <wp:posOffset>4881245</wp:posOffset>
            </wp:positionH>
            <wp:positionV relativeFrom="paragraph">
              <wp:posOffset>22860</wp:posOffset>
            </wp:positionV>
            <wp:extent cx="4794885" cy="2696210"/>
            <wp:effectExtent l="0" t="0" r="5715" b="8890"/>
            <wp:wrapTight wrapText="bothSides">
              <wp:wrapPolygon edited="false">
                <wp:start x="0" y="0"/>
                <wp:lineTo x="0" y="21519"/>
                <wp:lineTo x="21540" y="21519"/>
                <wp:lineTo x="21540" y="0"/>
                <wp:lineTo x="0" y="0"/>
              </wp:wrapPolygon>
            </wp:wrapTight>
            <wp:docPr id="109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1"/>
                    <pic:cNvPicPr/>
                  </pic:nvPicPr>
                  <pic:blipFill>
                    <a:blip r:embed="rId17" cstate="print"/>
                    <a:srcRect l="0" t="0" r="0" b="0"/>
                    <a:stretch/>
                  </pic:blipFill>
                  <pic:spPr>
                    <a:xfrm rot="0">
                      <a:off x="0" y="0"/>
                      <a:ext cx="4794885" cy="2696210"/>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6" behindDoc="true" locked="false" layoutInCell="true" allowOverlap="true">
            <wp:simplePos x="0" y="0"/>
            <wp:positionH relativeFrom="column">
              <wp:posOffset>4445</wp:posOffset>
            </wp:positionH>
            <wp:positionV relativeFrom="paragraph">
              <wp:posOffset>3810</wp:posOffset>
            </wp:positionV>
            <wp:extent cx="4794885" cy="2696210"/>
            <wp:effectExtent l="0" t="0" r="5715" b="8890"/>
            <wp:wrapTight wrapText="bothSides">
              <wp:wrapPolygon edited="false">
                <wp:start x="0" y="0"/>
                <wp:lineTo x="0" y="21519"/>
                <wp:lineTo x="21540" y="21519"/>
                <wp:lineTo x="21540" y="0"/>
                <wp:lineTo x="0" y="0"/>
              </wp:wrapPolygon>
            </wp:wrapTight>
            <wp:docPr id="109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
                    <pic:cNvPicPr/>
                  </pic:nvPicPr>
                  <pic:blipFill>
                    <a:blip r:embed="rId18" cstate="print"/>
                    <a:srcRect l="0" t="0" r="0" b="0"/>
                    <a:stretch/>
                  </pic:blipFill>
                  <pic:spPr>
                    <a:xfrm rot="0">
                      <a:off x="0" y="0"/>
                      <a:ext cx="4794885" cy="2696210"/>
                    </a:xfrm>
                    <a:prstGeom prst="rect"/>
                    <a:ln>
                      <a:noFill/>
                    </a:ln>
                  </pic:spPr>
                </pic:pic>
              </a:graphicData>
            </a:graphic>
            <wp14:sizeRelH relativeFrom="page">
              <wp14:pctWidth>0</wp14:pctWidth>
            </wp14:sizeRelH>
            <wp14:sizeRelV relativeFrom="page">
              <wp14:pctHeight>0</wp14:pctHeight>
            </wp14:sizeRelV>
          </wp:anchor>
        </w:drawing>
      </w:r>
      <w:r>
        <w:rPr>
          <w:sz w:val="20"/>
          <w:szCs w:val="20"/>
        </w:rPr>
        <w:t>Concertation avec les parties prenantes à Banzon, 10 janvier 2019</w:t>
      </w:r>
      <w:r>
        <w:tab/>
      </w:r>
      <w:r>
        <w:tab/>
      </w:r>
      <w:r>
        <w:tab/>
      </w:r>
      <w:r>
        <w:tab/>
      </w:r>
      <w:r>
        <w:rPr>
          <w:sz w:val="20"/>
          <w:szCs w:val="20"/>
        </w:rPr>
        <w:t>Concertation avec les parties prenantes à Douna, 7 janvier 2019</w:t>
      </w:r>
    </w:p>
    <w:p>
      <w:pPr>
        <w:pStyle w:val="style0"/>
        <w:rPr>
          <w:sz w:val="20"/>
          <w:szCs w:val="20"/>
        </w:rPr>
      </w:pPr>
      <w:r>
        <w:rPr>
          <w:noProof/>
        </w:rPr>
        <mc:AlternateContent>
          <mc:Choice Requires="wps">
            <w:drawing>
              <wp:anchor distT="0" distB="0" distL="0" distR="0" simplePos="false" relativeHeight="11" behindDoc="false" locked="false" layoutInCell="true" allowOverlap="true">
                <wp:simplePos x="0" y="0"/>
                <wp:positionH relativeFrom="column">
                  <wp:posOffset>4629150</wp:posOffset>
                </wp:positionH>
                <wp:positionV relativeFrom="paragraph">
                  <wp:posOffset>2952115</wp:posOffset>
                </wp:positionV>
                <wp:extent cx="4038599" cy="247650"/>
                <wp:effectExtent l="0" t="0" r="19050" b="19050"/>
                <wp:wrapNone/>
                <wp:docPr id="1098" name="Zone de text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8599" cy="247650"/>
                        </a:xfrm>
                        <a:prstGeom prst="rect"/>
                        <a:solidFill>
                          <a:srgbClr val="ffffff"/>
                        </a:solidFill>
                        <a:ln cmpd="sng" cap="flat" w="6350">
                          <a:solidFill>
                            <a:srgbClr val="000000"/>
                          </a:solidFill>
                          <a:prstDash val="solid"/>
                          <a:round/>
                          <a:headEnd/>
                          <a:tailEnd/>
                        </a:ln>
                      </wps:spPr>
                      <wps:txbx id="1098">
                        <w:txbxContent>
                          <w:p>
                            <w:pPr>
                              <w:pStyle w:val="style0"/>
                              <w:rPr/>
                            </w:pPr>
                            <w:r>
                              <w:rPr>
                                <w:sz w:val="20"/>
                                <w:szCs w:val="20"/>
                              </w:rPr>
                              <w:t xml:space="preserve">Concertation avec les parties prenantes à </w:t>
                            </w:r>
                            <w:r>
                              <w:rPr>
                                <w:sz w:val="20"/>
                                <w:szCs w:val="20"/>
                              </w:rPr>
                              <w:t>Dangoumana</w:t>
                            </w:r>
                            <w:r>
                              <w:rPr>
                                <w:sz w:val="20"/>
                                <w:szCs w:val="20"/>
                              </w:rPr>
                              <w:t>, 1</w:t>
                            </w:r>
                            <w:r>
                              <w:rPr>
                                <w:sz w:val="20"/>
                                <w:szCs w:val="20"/>
                              </w:rPr>
                              <w:t>2</w:t>
                            </w:r>
                            <w:r>
                              <w:rPr>
                                <w:sz w:val="20"/>
                                <w:szCs w:val="20"/>
                              </w:rPr>
                              <w:t xml:space="preserve"> janvier 2019</w:t>
                            </w:r>
                          </w:p>
                        </w:txbxContent>
                      </wps:txbx>
                      <wps:bodyPr lIns="91440" rIns="91440" tIns="45720" bIns="45720" vert="horz"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98" fillcolor="white" stroked="t" style="position:absolute;margin-left:364.5pt;margin-top:232.45pt;width:318.0pt;height:19.5pt;z-index:11;mso-position-horizontal-relative:text;mso-position-vertical-relative:text;mso-width-percent:0;mso-height-percent:0;mso-width-relative:page;mso-height-relative:page;mso-wrap-distance-left:0.0pt;mso-wrap-distance-right:0.0pt;visibility:visible;">
                <v:stroke weight="0.5pt"/>
                <v:fill/>
                <v:textbox inset="7.2pt,3.6pt,7.2pt,3.6pt">
                  <w:txbxContent>
                    <w:p>
                      <w:pPr>
                        <w:pStyle w:val="style0"/>
                        <w:rPr/>
                      </w:pPr>
                      <w:r>
                        <w:rPr>
                          <w:sz w:val="20"/>
                          <w:szCs w:val="20"/>
                        </w:rPr>
                        <w:t xml:space="preserve">Concertation avec les parties prenantes à </w:t>
                      </w:r>
                      <w:r>
                        <w:rPr>
                          <w:sz w:val="20"/>
                          <w:szCs w:val="20"/>
                        </w:rPr>
                        <w:t>Dangoumana</w:t>
                      </w:r>
                      <w:r>
                        <w:rPr>
                          <w:sz w:val="20"/>
                          <w:szCs w:val="20"/>
                        </w:rPr>
                        <w:t>, 1</w:t>
                      </w:r>
                      <w:r>
                        <w:rPr>
                          <w:sz w:val="20"/>
                          <w:szCs w:val="20"/>
                        </w:rPr>
                        <w:t>2</w:t>
                      </w:r>
                      <w:r>
                        <w:rPr>
                          <w:sz w:val="20"/>
                          <w:szCs w:val="20"/>
                        </w:rPr>
                        <w:t xml:space="preserve"> janvier 2019</w:t>
                      </w:r>
                    </w:p>
                  </w:txbxContent>
                </v:textbox>
              </v:rect>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-138430</wp:posOffset>
                </wp:positionH>
                <wp:positionV relativeFrom="paragraph">
                  <wp:posOffset>2967355</wp:posOffset>
                </wp:positionV>
                <wp:extent cx="4038599" cy="247650"/>
                <wp:effectExtent l="0" t="0" r="19050" b="19050"/>
                <wp:wrapNone/>
                <wp:docPr id="1099" name="Zone de text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38599" cy="247650"/>
                        </a:xfrm>
                        <a:prstGeom prst="rect"/>
                        <a:solidFill>
                          <a:srgbClr val="ffffff"/>
                        </a:solidFill>
                        <a:ln cmpd="sng" cap="flat" w="6350">
                          <a:solidFill>
                            <a:srgbClr val="000000"/>
                          </a:solidFill>
                          <a:prstDash val="solid"/>
                          <a:round/>
                          <a:headEnd/>
                          <a:tailEnd/>
                        </a:ln>
                      </wps:spPr>
                      <wps:txbx id="1099">
                        <w:txbxContent>
                          <w:p>
                            <w:pPr>
                              <w:pStyle w:val="style0"/>
                              <w:rPr/>
                            </w:pPr>
                            <w:r>
                              <w:rPr>
                                <w:sz w:val="20"/>
                                <w:szCs w:val="20"/>
                              </w:rPr>
                              <w:t xml:space="preserve">Concertation avec les parties prenantes à </w:t>
                            </w:r>
                            <w:r>
                              <w:rPr>
                                <w:sz w:val="20"/>
                                <w:szCs w:val="20"/>
                              </w:rPr>
                              <w:t>Dourou</w:t>
                            </w:r>
                            <w:r>
                              <w:rPr>
                                <w:sz w:val="20"/>
                                <w:szCs w:val="20"/>
                              </w:rPr>
                              <w:t xml:space="preserve">, </w:t>
                            </w:r>
                            <w:r>
                              <w:rPr>
                                <w:sz w:val="20"/>
                                <w:szCs w:val="20"/>
                              </w:rPr>
                              <w:t>7</w:t>
                            </w:r>
                            <w:r>
                              <w:rPr>
                                <w:sz w:val="20"/>
                                <w:szCs w:val="20"/>
                              </w:rPr>
                              <w:t xml:space="preserve"> janvier 2019</w:t>
                            </w:r>
                          </w:p>
                        </w:txbxContent>
                      </wps:txbx>
                      <wps:bodyPr lIns="91440" rIns="91440" tIns="45720" bIns="45720" vert="horz"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99" fillcolor="white" stroked="t" style="position:absolute;margin-left:-10.9pt;margin-top:233.65pt;width:318.0pt;height:19.5pt;z-index:10;mso-position-horizontal-relative:text;mso-position-vertical-relative:text;mso-width-percent:0;mso-height-percent:0;mso-width-relative:page;mso-height-relative:page;mso-wrap-distance-left:0.0pt;mso-wrap-distance-right:0.0pt;visibility:visible;">
                <v:stroke weight="0.5pt"/>
                <v:fill/>
                <v:textbox inset="7.2pt,3.6pt,7.2pt,3.6pt">
                  <w:txbxContent>
                    <w:p>
                      <w:pPr>
                        <w:pStyle w:val="style0"/>
                        <w:rPr/>
                      </w:pPr>
                      <w:r>
                        <w:rPr>
                          <w:sz w:val="20"/>
                          <w:szCs w:val="20"/>
                        </w:rPr>
                        <w:t xml:space="preserve">Concertation avec les parties prenantes à </w:t>
                      </w:r>
                      <w:r>
                        <w:rPr>
                          <w:sz w:val="20"/>
                          <w:szCs w:val="20"/>
                        </w:rPr>
                        <w:t>Dourou</w:t>
                      </w:r>
                      <w:r>
                        <w:rPr>
                          <w:sz w:val="20"/>
                          <w:szCs w:val="20"/>
                        </w:rPr>
                        <w:t xml:space="preserve">, </w:t>
                      </w:r>
                      <w:r>
                        <w:rPr>
                          <w:sz w:val="20"/>
                          <w:szCs w:val="20"/>
                        </w:rPr>
                        <w:t>7</w:t>
                      </w:r>
                      <w:r>
                        <w:rPr>
                          <w:sz w:val="20"/>
                          <w:szCs w:val="20"/>
                        </w:rPr>
                        <w:t xml:space="preserve"> janvier 2019</w:t>
                      </w:r>
                    </w:p>
                  </w:txbxContent>
                </v:textbox>
              </v:rect>
            </w:pict>
          </mc:Fallback>
        </mc:AlternateContent>
      </w:r>
      <w:r>
        <w:rPr>
          <w:noProof/>
        </w:rPr>
        <w:drawing>
          <wp:anchor distT="0" distB="0" distL="114300" distR="114300" simplePos="false" relativeHeight="8" behindDoc="true" locked="false" layoutInCell="true" allowOverlap="true">
            <wp:simplePos x="0" y="0"/>
            <wp:positionH relativeFrom="column">
              <wp:posOffset>-262255</wp:posOffset>
            </wp:positionH>
            <wp:positionV relativeFrom="paragraph">
              <wp:posOffset>207645</wp:posOffset>
            </wp:positionV>
            <wp:extent cx="4424045" cy="2645410"/>
            <wp:effectExtent l="0" t="0" r="0" b="2540"/>
            <wp:wrapTight wrapText="bothSides">
              <wp:wrapPolygon edited="false">
                <wp:start x="0" y="0"/>
                <wp:lineTo x="0" y="21465"/>
                <wp:lineTo x="21485" y="21465"/>
                <wp:lineTo x="21485" y="0"/>
                <wp:lineTo x="0" y="0"/>
              </wp:wrapPolygon>
            </wp:wrapTight>
            <wp:docPr id="1100"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4"/>
                    <pic:cNvPicPr/>
                  </pic:nvPicPr>
                  <pic:blipFill>
                    <a:blip r:embed="rId19" cstate="print"/>
                    <a:srcRect l="0" t="0" r="0" b="0"/>
                    <a:stretch/>
                  </pic:blipFill>
                  <pic:spPr>
                    <a:xfrm rot="0">
                      <a:off x="0" y="0"/>
                      <a:ext cx="4424045" cy="2645410"/>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9" behindDoc="true" locked="false" layoutInCell="true" allowOverlap="true">
            <wp:simplePos x="0" y="0"/>
            <wp:positionH relativeFrom="column">
              <wp:posOffset>4509770</wp:posOffset>
            </wp:positionH>
            <wp:positionV relativeFrom="paragraph">
              <wp:posOffset>161925</wp:posOffset>
            </wp:positionV>
            <wp:extent cx="4794885" cy="2696210"/>
            <wp:effectExtent l="0" t="0" r="5715" b="8890"/>
            <wp:wrapTight wrapText="bothSides">
              <wp:wrapPolygon edited="false">
                <wp:start x="0" y="0"/>
                <wp:lineTo x="0" y="21519"/>
                <wp:lineTo x="21540" y="21519"/>
                <wp:lineTo x="21540" y="0"/>
                <wp:lineTo x="0" y="0"/>
              </wp:wrapPolygon>
            </wp:wrapTight>
            <wp:docPr id="1101"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3"/>
                    <pic:cNvPicPr/>
                  </pic:nvPicPr>
                  <pic:blipFill>
                    <a:blip r:embed="rId20" cstate="print"/>
                    <a:srcRect l="0" t="0" r="0" b="0"/>
                    <a:stretch/>
                  </pic:blipFill>
                  <pic:spPr>
                    <a:xfrm rot="0">
                      <a:off x="0" y="0"/>
                      <a:ext cx="4794885" cy="2696210"/>
                    </a:xfrm>
                    <a:prstGeom prst="rect"/>
                    <a:ln>
                      <a:noFill/>
                    </a:ln>
                  </pic:spPr>
                </pic:pic>
              </a:graphicData>
            </a:graphic>
            <wp14:sizeRelH relativeFrom="page">
              <wp14:pctWidth>0</wp14:pctWidth>
            </wp14:sizeRelH>
            <wp14:sizeRelV relativeFrom="page">
              <wp14:pctHeight>0</wp14:pctHeight>
            </wp14:sizeRelV>
          </wp:anchor>
        </w:drawing>
      </w:r>
    </w:p>
    <w:p>
      <w:pPr>
        <w:pStyle w:val="style1"/>
        <w:rPr/>
        <w:sectPr>
          <w:pgSz w:w="16838" w:h="11906" w:orient="landscape"/>
          <w:pgMar w:top="1418" w:right="1418" w:bottom="1418" w:left="1418" w:header="720" w:footer="720" w:gutter="0"/>
          <w:cols w:space="720"/>
          <w:titlePg/>
          <w:docGrid w:linePitch="360"/>
        </w:sectPr>
      </w:pPr>
    </w:p>
    <w:bookmarkStart w:id="1587" w:name="_Toc686155"/>
    <w:bookmarkStart w:id="1588" w:name="_Toc2780534"/>
    <w:p>
      <w:pPr>
        <w:pStyle w:val="style1"/>
        <w:rPr/>
      </w:pPr>
      <w:r>
        <w:t>ANNEXE 6 : LISTES DE PRESENCE AUX CONSULTATIONS PUBLIQUES</w:t>
      </w:r>
      <w:bookmarkEnd w:id="1587"/>
      <w:bookmarkEnd w:id="1588"/>
    </w:p>
    <w:p>
      <w:pPr>
        <w:pStyle w:val="style0"/>
        <w:rPr>
          <w:rFonts w:eastAsia="Calibri"/>
        </w:rPr>
      </w:pPr>
    </w:p>
    <w:p>
      <w:pPr>
        <w:pStyle w:val="style0"/>
        <w:jc w:val="center"/>
        <w:rPr>
          <w:b/>
          <w:sz w:val="22"/>
          <w:szCs w:val="22"/>
        </w:rPr>
      </w:pPr>
      <w:r>
        <w:rPr>
          <w:b/>
          <w:sz w:val="22"/>
          <w:szCs w:val="22"/>
          <w:u w:val="single"/>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NORD</w:t>
      </w:r>
      <w:r>
        <w:rPr>
          <w:b/>
          <w:sz w:val="22"/>
          <w:szCs w:val="22"/>
        </w:rPr>
        <w:t>…………………………</w:t>
      </w:r>
      <w:r>
        <w:rPr>
          <w:b/>
          <w:sz w:val="22"/>
          <w:szCs w:val="22"/>
          <w:u w:val="dotted"/>
        </w:rPr>
        <w:t>Province</w:t>
      </w:r>
      <w:r>
        <w:rPr>
          <w:b/>
          <w:sz w:val="22"/>
          <w:szCs w:val="22"/>
        </w:rPr>
        <w:t xml:space="preserve"> : </w:t>
      </w:r>
      <w:r>
        <w:rPr>
          <w:b/>
          <w:sz w:val="22"/>
          <w:szCs w:val="22"/>
          <w:u w:val="dotted"/>
        </w:rPr>
        <w:t>PASSORE</w:t>
      </w:r>
      <w:r>
        <w:rPr>
          <w:b/>
          <w:sz w:val="22"/>
          <w:szCs w:val="22"/>
        </w:rPr>
        <w:t>…………………………….</w:t>
      </w:r>
      <w:r>
        <w:rPr>
          <w:b/>
          <w:sz w:val="22"/>
          <w:szCs w:val="22"/>
          <w:u w:val="dotted"/>
        </w:rPr>
        <w:t>Commune</w:t>
      </w:r>
      <w:r>
        <w:rPr>
          <w:b/>
          <w:sz w:val="22"/>
          <w:szCs w:val="22"/>
        </w:rPr>
        <w:t xml:space="preserve"> : </w:t>
      </w:r>
      <w:r>
        <w:rPr>
          <w:b/>
          <w:sz w:val="22"/>
          <w:szCs w:val="22"/>
          <w:u w:val="dotted"/>
        </w:rPr>
        <w:t>YAKO</w:t>
      </w:r>
      <w:r>
        <w:rPr>
          <w:b/>
          <w:sz w:val="22"/>
          <w:szCs w:val="22"/>
        </w:rPr>
        <w:t>…………………………..</w:t>
      </w:r>
    </w:p>
    <w:p>
      <w:pPr>
        <w:pStyle w:val="style0"/>
        <w:rPr>
          <w:sz w:val="22"/>
          <w:szCs w:val="22"/>
        </w:rPr>
      </w:pPr>
      <w:r>
        <w:rPr>
          <w:b/>
          <w:sz w:val="22"/>
          <w:szCs w:val="22"/>
        </w:rPr>
        <w:t xml:space="preserve">Village : </w:t>
      </w:r>
      <w:r>
        <w:rPr>
          <w:b/>
          <w:sz w:val="22"/>
          <w:szCs w:val="22"/>
          <w:u w:val="dotted"/>
        </w:rPr>
        <w:t>DOUROU</w:t>
      </w:r>
      <w:r>
        <w:rPr>
          <w:b/>
          <w:sz w:val="22"/>
          <w:szCs w:val="22"/>
        </w:rPr>
        <w:t xml:space="preserve">………………………….Date : </w:t>
      </w:r>
      <w:r>
        <w:rPr>
          <w:b/>
          <w:sz w:val="22"/>
          <w:szCs w:val="22"/>
          <w:u w:val="dotted"/>
        </w:rPr>
        <w:t>07/01/2019</w:t>
      </w:r>
      <w:r>
        <w:rPr>
          <w:b/>
          <w:sz w:val="22"/>
          <w:szCs w:val="22"/>
        </w:rPr>
        <w:t xml:space="preserve">……et </w:t>
      </w:r>
      <w:r>
        <w:rPr>
          <w:b/>
          <w:sz w:val="22"/>
          <w:szCs w:val="22"/>
          <w:u w:val="dotted"/>
        </w:rPr>
        <w:t>08/01/2019</w:t>
      </w:r>
      <w:r>
        <w:rPr>
          <w:b/>
          <w:sz w:val="22"/>
          <w:szCs w:val="22"/>
        </w:rPr>
        <w:t>…………… Groupes cibles : Services techniques, Mairie/Préfectures…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805"/>
        <w:gridCol w:w="2289"/>
      </w:tblGrid>
      <w:tr>
        <w:trPr>
          <w:tblHeader/>
        </w:trPr>
        <w:tc>
          <w:tcPr>
            <w:tcW w:w="259" w:type="pct"/>
            <w:tcBorders/>
            <w:shd w:val="clear" w:color="auto" w:fill="auto"/>
            <w:vAlign w:val="center"/>
          </w:tcPr>
          <w:p>
            <w:pPr>
              <w:pStyle w:val="style0"/>
              <w:spacing w:lineRule="auto" w:line="480"/>
              <w:rPr>
                <w:b/>
                <w:sz w:val="22"/>
                <w:szCs w:val="22"/>
              </w:rPr>
            </w:pPr>
            <w:r>
              <w:rPr>
                <w:b/>
                <w:sz w:val="22"/>
                <w:szCs w:val="22"/>
              </w:rPr>
              <w:t>N°</w:t>
            </w:r>
          </w:p>
        </w:tc>
        <w:tc>
          <w:tcPr>
            <w:tcW w:w="1907" w:type="pct"/>
            <w:tcBorders/>
            <w:shd w:val="clear" w:color="auto" w:fill="auto"/>
            <w:vAlign w:val="center"/>
          </w:tcPr>
          <w:p>
            <w:pPr>
              <w:pStyle w:val="style0"/>
              <w:spacing w:lineRule="auto" w:line="480"/>
              <w:jc w:val="center"/>
              <w:rPr>
                <w:b/>
                <w:sz w:val="22"/>
                <w:szCs w:val="22"/>
              </w:rPr>
            </w:pPr>
            <w:r>
              <w:rPr>
                <w:b/>
                <w:sz w:val="22"/>
                <w:szCs w:val="22"/>
              </w:rPr>
              <w:t>Nom et prénom (s)</w:t>
            </w:r>
          </w:p>
        </w:tc>
        <w:tc>
          <w:tcPr>
            <w:tcW w:w="299" w:type="pct"/>
            <w:tcBorders/>
            <w:shd w:val="clear" w:color="auto" w:fill="auto"/>
            <w:vAlign w:val="center"/>
          </w:tcPr>
          <w:p>
            <w:pPr>
              <w:pStyle w:val="style0"/>
              <w:spacing w:lineRule="auto" w:line="480"/>
              <w:jc w:val="center"/>
              <w:rPr>
                <w:b/>
                <w:sz w:val="22"/>
                <w:szCs w:val="22"/>
              </w:rPr>
            </w:pPr>
            <w:r>
              <w:rPr>
                <w:b/>
                <w:sz w:val="22"/>
                <w:szCs w:val="22"/>
              </w:rPr>
              <w:t>Sexe</w:t>
            </w:r>
          </w:p>
        </w:tc>
        <w:tc>
          <w:tcPr>
            <w:tcW w:w="1717" w:type="pct"/>
            <w:tcBorders/>
            <w:shd w:val="clear" w:color="auto" w:fill="auto"/>
            <w:vAlign w:val="center"/>
          </w:tcPr>
          <w:p>
            <w:pPr>
              <w:pStyle w:val="style0"/>
              <w:spacing w:lineRule="auto" w:line="480"/>
              <w:jc w:val="center"/>
              <w:rPr>
                <w:b/>
                <w:sz w:val="22"/>
                <w:szCs w:val="22"/>
              </w:rPr>
            </w:pPr>
            <w:r>
              <w:rPr>
                <w:b/>
                <w:sz w:val="22"/>
                <w:szCs w:val="22"/>
              </w:rPr>
              <w:t>Profession</w:t>
            </w:r>
          </w:p>
        </w:tc>
        <w:tc>
          <w:tcPr>
            <w:tcW w:w="818" w:type="pct"/>
            <w:tcBorders/>
            <w:shd w:val="clear" w:color="auto" w:fill="auto"/>
            <w:vAlign w:val="center"/>
          </w:tcPr>
          <w:p>
            <w:pPr>
              <w:pStyle w:val="style0"/>
              <w:spacing w:lineRule="auto" w:line="480"/>
              <w:jc w:val="center"/>
              <w:rPr>
                <w:b/>
                <w:sz w:val="22"/>
                <w:szCs w:val="22"/>
              </w:rPr>
            </w:pPr>
            <w:r>
              <w:rPr>
                <w:b/>
                <w:sz w:val="22"/>
                <w:szCs w:val="22"/>
              </w:rPr>
              <w:t>Téléphone</w:t>
            </w:r>
          </w:p>
        </w:tc>
      </w:tr>
      <w:tr>
        <w:tblPrEx/>
        <w:trPr/>
        <w:tc>
          <w:tcPr>
            <w:tcW w:w="259" w:type="pct"/>
            <w:tcBorders/>
            <w:shd w:val="clear" w:color="auto" w:fill="auto"/>
            <w:vAlign w:val="center"/>
          </w:tcPr>
          <w:p>
            <w:pPr>
              <w:pStyle w:val="style0"/>
              <w:spacing w:lineRule="auto" w:line="480"/>
              <w:jc w:val="center"/>
              <w:rPr>
                <w:sz w:val="22"/>
                <w:szCs w:val="22"/>
              </w:rPr>
            </w:pPr>
            <w:r>
              <w:rPr>
                <w:sz w:val="22"/>
                <w:szCs w:val="22"/>
              </w:rPr>
              <w:t>01</w:t>
            </w:r>
          </w:p>
        </w:tc>
        <w:tc>
          <w:tcPr>
            <w:tcW w:w="1907" w:type="pct"/>
            <w:tcBorders/>
            <w:shd w:val="clear" w:color="auto" w:fill="auto"/>
            <w:vAlign w:val="center"/>
          </w:tcPr>
          <w:p>
            <w:pPr>
              <w:pStyle w:val="style0"/>
              <w:spacing w:lineRule="auto" w:line="480"/>
              <w:rPr>
                <w:sz w:val="22"/>
                <w:szCs w:val="22"/>
              </w:rPr>
            </w:pPr>
            <w:r>
              <w:rPr>
                <w:sz w:val="22"/>
                <w:szCs w:val="22"/>
              </w:rPr>
              <w:t>ZEMBA Raymond</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Direction Provinciale de l’Agriculture et des Aménagements Hydrauliques/Ingénieurs d’Agriculture</w:t>
            </w:r>
          </w:p>
        </w:tc>
        <w:tc>
          <w:tcPr>
            <w:tcW w:w="818" w:type="pct"/>
            <w:tcBorders/>
            <w:shd w:val="clear" w:color="auto" w:fill="auto"/>
            <w:vAlign w:val="center"/>
          </w:tcPr>
          <w:p>
            <w:pPr>
              <w:pStyle w:val="style0"/>
              <w:spacing w:lineRule="auto" w:line="480"/>
              <w:jc w:val="center"/>
              <w:rPr>
                <w:sz w:val="22"/>
                <w:szCs w:val="22"/>
              </w:rPr>
            </w:pPr>
            <w:r>
              <w:rPr>
                <w:sz w:val="22"/>
                <w:szCs w:val="22"/>
              </w:rPr>
              <w:t>70 17 24 78</w:t>
            </w:r>
          </w:p>
          <w:p>
            <w:pPr>
              <w:pStyle w:val="style0"/>
              <w:spacing w:lineRule="auto" w:line="480"/>
              <w:jc w:val="center"/>
              <w:rPr>
                <w:sz w:val="22"/>
                <w:szCs w:val="22"/>
              </w:rPr>
            </w:pPr>
            <w:r>
              <w:rPr>
                <w:sz w:val="22"/>
                <w:szCs w:val="22"/>
              </w:rPr>
              <w:t>66 76 17 55</w:t>
            </w:r>
          </w:p>
        </w:tc>
      </w:tr>
      <w:tr>
        <w:tblPrEx/>
        <w:trPr/>
        <w:tc>
          <w:tcPr>
            <w:tcW w:w="259" w:type="pct"/>
            <w:tcBorders/>
            <w:shd w:val="clear" w:color="auto" w:fill="auto"/>
            <w:vAlign w:val="center"/>
          </w:tcPr>
          <w:p>
            <w:pPr>
              <w:pStyle w:val="style0"/>
              <w:spacing w:lineRule="auto" w:line="480"/>
              <w:jc w:val="center"/>
              <w:rPr>
                <w:sz w:val="22"/>
                <w:szCs w:val="22"/>
              </w:rPr>
            </w:pPr>
            <w:r>
              <w:rPr>
                <w:sz w:val="22"/>
                <w:szCs w:val="22"/>
              </w:rPr>
              <w:t>02</w:t>
            </w:r>
          </w:p>
        </w:tc>
        <w:tc>
          <w:tcPr>
            <w:tcW w:w="1907" w:type="pct"/>
            <w:tcBorders/>
            <w:shd w:val="clear" w:color="auto" w:fill="auto"/>
            <w:vAlign w:val="center"/>
          </w:tcPr>
          <w:p>
            <w:pPr>
              <w:pStyle w:val="style0"/>
              <w:spacing w:lineRule="auto" w:line="480"/>
              <w:rPr>
                <w:sz w:val="22"/>
                <w:szCs w:val="22"/>
                <w:lang w:val="de-DE"/>
              </w:rPr>
            </w:pPr>
            <w:r>
              <w:rPr>
                <w:sz w:val="22"/>
                <w:szCs w:val="22"/>
                <w:lang w:val="de-DE"/>
              </w:rPr>
              <w:t>OUEDRAOGO Yassia</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 xml:space="preserve">Commerçant </w:t>
            </w:r>
          </w:p>
          <w:p>
            <w:pPr>
              <w:pStyle w:val="style0"/>
              <w:spacing w:lineRule="auto" w:line="480"/>
              <w:rPr>
                <w:sz w:val="22"/>
                <w:szCs w:val="22"/>
              </w:rPr>
            </w:pPr>
            <w:r>
              <w:rPr>
                <w:sz w:val="22"/>
                <w:szCs w:val="22"/>
              </w:rPr>
              <w:t>(produits phytosanitaire)</w:t>
            </w:r>
          </w:p>
        </w:tc>
        <w:tc>
          <w:tcPr>
            <w:tcW w:w="818" w:type="pct"/>
            <w:tcBorders/>
            <w:shd w:val="clear" w:color="auto" w:fill="auto"/>
            <w:vAlign w:val="center"/>
          </w:tcPr>
          <w:p>
            <w:pPr>
              <w:pStyle w:val="style0"/>
              <w:spacing w:lineRule="auto" w:line="480"/>
              <w:jc w:val="center"/>
              <w:rPr>
                <w:sz w:val="22"/>
                <w:szCs w:val="22"/>
              </w:rPr>
            </w:pPr>
            <w:r>
              <w:rPr>
                <w:sz w:val="22"/>
                <w:szCs w:val="22"/>
              </w:rPr>
              <w:t>74 86 38 41</w:t>
            </w:r>
          </w:p>
        </w:tc>
      </w:tr>
      <w:tr>
        <w:tblPrEx/>
        <w:trPr/>
        <w:tc>
          <w:tcPr>
            <w:tcW w:w="259" w:type="pct"/>
            <w:tcBorders/>
            <w:shd w:val="clear" w:color="auto" w:fill="auto"/>
            <w:vAlign w:val="center"/>
          </w:tcPr>
          <w:p>
            <w:pPr>
              <w:pStyle w:val="style0"/>
              <w:spacing w:lineRule="auto" w:line="480"/>
              <w:jc w:val="center"/>
              <w:rPr>
                <w:sz w:val="22"/>
                <w:szCs w:val="22"/>
                <w:lang w:val="de-DE"/>
              </w:rPr>
            </w:pPr>
            <w:r>
              <w:rPr>
                <w:sz w:val="22"/>
                <w:szCs w:val="22"/>
                <w:lang w:val="de-DE"/>
              </w:rPr>
              <w:t>03</w:t>
            </w:r>
          </w:p>
        </w:tc>
        <w:tc>
          <w:tcPr>
            <w:tcW w:w="1907" w:type="pct"/>
            <w:tcBorders/>
            <w:shd w:val="clear" w:color="auto" w:fill="auto"/>
            <w:vAlign w:val="center"/>
          </w:tcPr>
          <w:p>
            <w:pPr>
              <w:pStyle w:val="style0"/>
              <w:spacing w:lineRule="auto" w:line="480"/>
              <w:rPr>
                <w:sz w:val="22"/>
                <w:szCs w:val="22"/>
                <w:lang w:val="de-DE"/>
              </w:rPr>
            </w:pPr>
            <w:r>
              <w:rPr>
                <w:sz w:val="22"/>
                <w:szCs w:val="22"/>
                <w:lang w:val="de-DE"/>
              </w:rPr>
              <w:t>KOUDA Marcel</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 xml:space="preserve">Commerçant </w:t>
            </w:r>
          </w:p>
          <w:p>
            <w:pPr>
              <w:pStyle w:val="style0"/>
              <w:spacing w:lineRule="auto" w:line="480"/>
              <w:rPr>
                <w:sz w:val="22"/>
                <w:szCs w:val="22"/>
              </w:rPr>
            </w:pPr>
            <w:r>
              <w:rPr>
                <w:sz w:val="22"/>
                <w:szCs w:val="22"/>
              </w:rPr>
              <w:t>(produits phytosanitaire)</w:t>
            </w:r>
          </w:p>
        </w:tc>
        <w:tc>
          <w:tcPr>
            <w:tcW w:w="818" w:type="pct"/>
            <w:tcBorders/>
            <w:shd w:val="clear" w:color="auto" w:fill="auto"/>
            <w:vAlign w:val="center"/>
          </w:tcPr>
          <w:p>
            <w:pPr>
              <w:pStyle w:val="style0"/>
              <w:spacing w:lineRule="auto" w:line="480"/>
              <w:jc w:val="center"/>
              <w:rPr>
                <w:sz w:val="22"/>
                <w:szCs w:val="22"/>
                <w:lang w:val="de-DE"/>
              </w:rPr>
            </w:pPr>
            <w:r>
              <w:rPr>
                <w:sz w:val="22"/>
                <w:szCs w:val="22"/>
                <w:lang w:val="de-DE"/>
              </w:rPr>
              <w:t>75 16 99 60</w:t>
            </w:r>
          </w:p>
        </w:tc>
      </w:tr>
      <w:tr>
        <w:tblPrEx/>
        <w:trPr/>
        <w:tc>
          <w:tcPr>
            <w:tcW w:w="259" w:type="pct"/>
            <w:tcBorders/>
            <w:shd w:val="clear" w:color="auto" w:fill="auto"/>
            <w:vAlign w:val="center"/>
          </w:tcPr>
          <w:p>
            <w:pPr>
              <w:pStyle w:val="style0"/>
              <w:spacing w:lineRule="auto" w:line="480"/>
              <w:jc w:val="center"/>
              <w:rPr>
                <w:sz w:val="22"/>
                <w:szCs w:val="22"/>
                <w:lang w:val="de-DE"/>
              </w:rPr>
            </w:pPr>
            <w:r>
              <w:rPr>
                <w:sz w:val="22"/>
                <w:szCs w:val="22"/>
                <w:lang w:val="de-DE"/>
              </w:rPr>
              <w:t>04</w:t>
            </w:r>
          </w:p>
        </w:tc>
        <w:tc>
          <w:tcPr>
            <w:tcW w:w="1907" w:type="pct"/>
            <w:tcBorders/>
            <w:shd w:val="clear" w:color="auto" w:fill="auto"/>
            <w:vAlign w:val="center"/>
          </w:tcPr>
          <w:p>
            <w:pPr>
              <w:pStyle w:val="style0"/>
              <w:spacing w:lineRule="auto" w:line="480"/>
              <w:rPr>
                <w:sz w:val="22"/>
                <w:szCs w:val="22"/>
                <w:lang w:val="de-DE"/>
              </w:rPr>
            </w:pPr>
            <w:r>
              <w:rPr>
                <w:sz w:val="22"/>
                <w:szCs w:val="22"/>
                <w:lang w:val="de-DE"/>
              </w:rPr>
              <w:t>COULIVALY S. Lassina</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DPEEVCC/Passoré</w:t>
            </w:r>
          </w:p>
          <w:p>
            <w:pPr>
              <w:pStyle w:val="style0"/>
              <w:spacing w:lineRule="auto" w:line="480"/>
              <w:rPr>
                <w:sz w:val="22"/>
                <w:szCs w:val="22"/>
              </w:rPr>
            </w:pPr>
            <w:r>
              <w:rPr>
                <w:sz w:val="22"/>
                <w:szCs w:val="22"/>
              </w:rPr>
              <w:t>Rép. Directeur Provincia</w:t>
            </w:r>
            <w:r>
              <w:rPr>
                <w:sz w:val="22"/>
                <w:szCs w:val="22"/>
              </w:rPr>
              <w:t>l</w:t>
            </w:r>
          </w:p>
        </w:tc>
        <w:tc>
          <w:tcPr>
            <w:tcW w:w="818" w:type="pct"/>
            <w:tcBorders/>
            <w:shd w:val="clear" w:color="auto" w:fill="auto"/>
            <w:vAlign w:val="center"/>
          </w:tcPr>
          <w:p>
            <w:pPr>
              <w:pStyle w:val="style0"/>
              <w:spacing w:lineRule="auto" w:line="480"/>
              <w:jc w:val="center"/>
              <w:rPr>
                <w:sz w:val="22"/>
                <w:szCs w:val="22"/>
              </w:rPr>
            </w:pPr>
            <w:r>
              <w:rPr>
                <w:sz w:val="22"/>
                <w:szCs w:val="22"/>
              </w:rPr>
              <w:t>70 81 20 25</w:t>
            </w:r>
          </w:p>
        </w:tc>
      </w:tr>
      <w:tr>
        <w:tblPrEx/>
        <w:trPr/>
        <w:tc>
          <w:tcPr>
            <w:tcW w:w="259" w:type="pct"/>
            <w:tcBorders/>
            <w:shd w:val="clear" w:color="auto" w:fill="auto"/>
            <w:vAlign w:val="center"/>
          </w:tcPr>
          <w:p>
            <w:pPr>
              <w:pStyle w:val="style0"/>
              <w:spacing w:lineRule="auto" w:line="480"/>
              <w:jc w:val="center"/>
              <w:rPr>
                <w:sz w:val="22"/>
                <w:szCs w:val="22"/>
              </w:rPr>
            </w:pPr>
            <w:r>
              <w:rPr>
                <w:sz w:val="22"/>
                <w:szCs w:val="22"/>
              </w:rPr>
              <w:t>05</w:t>
            </w:r>
          </w:p>
        </w:tc>
        <w:tc>
          <w:tcPr>
            <w:tcW w:w="1907" w:type="pct"/>
            <w:tcBorders/>
            <w:shd w:val="clear" w:color="auto" w:fill="auto"/>
            <w:vAlign w:val="center"/>
          </w:tcPr>
          <w:p>
            <w:pPr>
              <w:pStyle w:val="style0"/>
              <w:spacing w:lineRule="auto" w:line="480"/>
              <w:rPr>
                <w:sz w:val="22"/>
                <w:szCs w:val="22"/>
              </w:rPr>
            </w:pPr>
            <w:r>
              <w:rPr>
                <w:sz w:val="22"/>
                <w:szCs w:val="22"/>
              </w:rPr>
              <w:t>SIMPORE Saïdou</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DPRAH/Passoré</w:t>
            </w:r>
          </w:p>
        </w:tc>
        <w:tc>
          <w:tcPr>
            <w:tcW w:w="818" w:type="pct"/>
            <w:tcBorders/>
            <w:shd w:val="clear" w:color="auto" w:fill="auto"/>
            <w:vAlign w:val="center"/>
          </w:tcPr>
          <w:p>
            <w:pPr>
              <w:pStyle w:val="style0"/>
              <w:spacing w:lineRule="auto" w:line="480"/>
              <w:jc w:val="center"/>
              <w:rPr>
                <w:sz w:val="22"/>
                <w:szCs w:val="22"/>
              </w:rPr>
            </w:pPr>
            <w:r>
              <w:rPr>
                <w:sz w:val="22"/>
                <w:szCs w:val="22"/>
              </w:rPr>
              <w:t>70 33 09 63</w:t>
            </w:r>
          </w:p>
        </w:tc>
      </w:tr>
      <w:tr>
        <w:tblPrEx/>
        <w:trPr/>
        <w:tc>
          <w:tcPr>
            <w:tcW w:w="259" w:type="pct"/>
            <w:tcBorders/>
            <w:shd w:val="clear" w:color="auto" w:fill="auto"/>
            <w:vAlign w:val="center"/>
          </w:tcPr>
          <w:p>
            <w:pPr>
              <w:pStyle w:val="style0"/>
              <w:spacing w:lineRule="auto" w:line="480"/>
              <w:jc w:val="center"/>
              <w:rPr>
                <w:sz w:val="22"/>
                <w:szCs w:val="22"/>
              </w:rPr>
            </w:pPr>
            <w:r>
              <w:rPr>
                <w:sz w:val="22"/>
                <w:szCs w:val="22"/>
              </w:rPr>
              <w:t>06</w:t>
            </w:r>
          </w:p>
        </w:tc>
        <w:tc>
          <w:tcPr>
            <w:tcW w:w="1907" w:type="pct"/>
            <w:tcBorders/>
            <w:shd w:val="clear" w:color="auto" w:fill="auto"/>
            <w:vAlign w:val="center"/>
          </w:tcPr>
          <w:p>
            <w:pPr>
              <w:pStyle w:val="style0"/>
              <w:spacing w:lineRule="auto" w:line="480"/>
              <w:rPr>
                <w:sz w:val="22"/>
                <w:szCs w:val="22"/>
              </w:rPr>
            </w:pPr>
            <w:r>
              <w:rPr>
                <w:sz w:val="22"/>
                <w:szCs w:val="22"/>
              </w:rPr>
              <w:t>PANANDTIGRI Oumarou</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vAlign w:val="center"/>
          </w:tcPr>
          <w:p>
            <w:pPr>
              <w:pStyle w:val="style0"/>
              <w:spacing w:lineRule="auto" w:line="480"/>
              <w:rPr>
                <w:sz w:val="22"/>
                <w:szCs w:val="22"/>
              </w:rPr>
            </w:pPr>
            <w:r>
              <w:rPr>
                <w:sz w:val="22"/>
                <w:szCs w:val="22"/>
              </w:rPr>
              <w:t>Gérant</w:t>
            </w:r>
          </w:p>
        </w:tc>
        <w:tc>
          <w:tcPr>
            <w:tcW w:w="818" w:type="pct"/>
            <w:tcBorders/>
            <w:shd w:val="clear" w:color="auto" w:fill="auto"/>
            <w:vAlign w:val="center"/>
          </w:tcPr>
          <w:p>
            <w:pPr>
              <w:pStyle w:val="style0"/>
              <w:spacing w:lineRule="auto" w:line="480"/>
              <w:jc w:val="center"/>
              <w:rPr>
                <w:sz w:val="22"/>
                <w:szCs w:val="22"/>
              </w:rPr>
            </w:pPr>
            <w:r>
              <w:rPr>
                <w:sz w:val="22"/>
                <w:szCs w:val="22"/>
              </w:rPr>
              <w:t>75 08 80 28</w:t>
            </w:r>
          </w:p>
        </w:tc>
      </w:tr>
      <w:tr>
        <w:tblPrEx/>
        <w:trPr/>
        <w:tc>
          <w:tcPr>
            <w:tcW w:w="259" w:type="pct"/>
            <w:tcBorders/>
            <w:shd w:val="clear" w:color="auto" w:fill="auto"/>
          </w:tcPr>
          <w:p>
            <w:pPr>
              <w:pStyle w:val="style0"/>
              <w:spacing w:lineRule="auto" w:line="480"/>
              <w:jc w:val="center"/>
              <w:rPr>
                <w:sz w:val="22"/>
                <w:szCs w:val="22"/>
              </w:rPr>
            </w:pPr>
            <w:r>
              <w:rPr>
                <w:sz w:val="22"/>
                <w:szCs w:val="22"/>
              </w:rPr>
              <w:t>07</w:t>
            </w:r>
          </w:p>
        </w:tc>
        <w:tc>
          <w:tcPr>
            <w:tcW w:w="1907" w:type="pct"/>
            <w:tcBorders/>
            <w:shd w:val="clear" w:color="auto" w:fill="auto"/>
          </w:tcPr>
          <w:p>
            <w:pPr>
              <w:pStyle w:val="style0"/>
              <w:spacing w:lineRule="auto" w:line="480"/>
              <w:rPr>
                <w:sz w:val="22"/>
                <w:szCs w:val="22"/>
              </w:rPr>
            </w:pPr>
            <w:r>
              <w:rPr>
                <w:sz w:val="22"/>
                <w:szCs w:val="22"/>
              </w:rPr>
              <w:t>OUANSSE Boukare</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ASBC</w:t>
            </w:r>
          </w:p>
        </w:tc>
        <w:tc>
          <w:tcPr>
            <w:tcW w:w="818" w:type="pct"/>
            <w:tcBorders/>
            <w:shd w:val="clear" w:color="auto" w:fill="auto"/>
          </w:tcPr>
          <w:p>
            <w:pPr>
              <w:pStyle w:val="style0"/>
              <w:spacing w:lineRule="auto" w:line="480"/>
              <w:jc w:val="center"/>
              <w:rPr>
                <w:sz w:val="22"/>
                <w:szCs w:val="22"/>
              </w:rPr>
            </w:pPr>
            <w:r>
              <w:rPr>
                <w:sz w:val="22"/>
                <w:szCs w:val="22"/>
              </w:rPr>
              <w:t>76 41 06 19</w:t>
            </w:r>
          </w:p>
        </w:tc>
      </w:tr>
      <w:tr>
        <w:tblPrEx/>
        <w:trPr/>
        <w:tc>
          <w:tcPr>
            <w:tcW w:w="259" w:type="pct"/>
            <w:tcBorders/>
            <w:shd w:val="clear" w:color="auto" w:fill="auto"/>
          </w:tcPr>
          <w:p>
            <w:pPr>
              <w:pStyle w:val="style0"/>
              <w:spacing w:lineRule="auto" w:line="480"/>
              <w:jc w:val="center"/>
              <w:rPr>
                <w:sz w:val="22"/>
                <w:szCs w:val="22"/>
              </w:rPr>
            </w:pPr>
            <w:r>
              <w:rPr>
                <w:sz w:val="22"/>
                <w:szCs w:val="22"/>
              </w:rPr>
              <w:t>08</w:t>
            </w:r>
          </w:p>
        </w:tc>
        <w:tc>
          <w:tcPr>
            <w:tcW w:w="1907" w:type="pct"/>
            <w:tcBorders/>
            <w:shd w:val="clear" w:color="auto" w:fill="auto"/>
          </w:tcPr>
          <w:p>
            <w:pPr>
              <w:pStyle w:val="style0"/>
              <w:spacing w:lineRule="auto" w:line="480"/>
              <w:rPr>
                <w:sz w:val="22"/>
                <w:szCs w:val="22"/>
                <w:lang w:val="en-US"/>
              </w:rPr>
            </w:pPr>
            <w:r>
              <w:rPr>
                <w:sz w:val="22"/>
                <w:szCs w:val="22"/>
                <w:lang w:val="en-US"/>
              </w:rPr>
              <w:t xml:space="preserve">OUEDRAOGO Adama </w:t>
            </w:r>
          </w:p>
        </w:tc>
        <w:tc>
          <w:tcPr>
            <w:tcW w:w="299" w:type="pct"/>
            <w:tcBorders/>
            <w:shd w:val="clear" w:color="auto" w:fill="auto"/>
          </w:tcPr>
          <w:p>
            <w:pPr>
              <w:pStyle w:val="style0"/>
              <w:jc w:val="center"/>
              <w:rPr>
                <w:sz w:val="22"/>
                <w:szCs w:val="22"/>
                <w:lang w:val="en-US"/>
              </w:rPr>
            </w:pPr>
            <w:r>
              <w:rPr>
                <w:sz w:val="22"/>
                <w:szCs w:val="22"/>
              </w:rPr>
              <w:t>M</w:t>
            </w:r>
          </w:p>
        </w:tc>
        <w:tc>
          <w:tcPr>
            <w:tcW w:w="1717" w:type="pct"/>
            <w:tcBorders/>
            <w:shd w:val="clear" w:color="auto" w:fill="auto"/>
          </w:tcPr>
          <w:p>
            <w:pPr>
              <w:pStyle w:val="style0"/>
              <w:spacing w:lineRule="auto" w:line="480"/>
              <w:rPr>
                <w:sz w:val="22"/>
                <w:szCs w:val="22"/>
                <w:lang w:val="en-US"/>
              </w:rPr>
            </w:pPr>
            <w:r>
              <w:rPr>
                <w:sz w:val="22"/>
                <w:szCs w:val="22"/>
                <w:lang w:val="en-US"/>
              </w:rPr>
              <w:t>Dourou/Infirmier</w:t>
            </w:r>
          </w:p>
        </w:tc>
        <w:tc>
          <w:tcPr>
            <w:tcW w:w="818" w:type="pct"/>
            <w:tcBorders/>
            <w:shd w:val="clear" w:color="auto" w:fill="auto"/>
          </w:tcPr>
          <w:p>
            <w:pPr>
              <w:pStyle w:val="style0"/>
              <w:spacing w:lineRule="auto" w:line="480"/>
              <w:jc w:val="center"/>
              <w:rPr>
                <w:sz w:val="22"/>
                <w:szCs w:val="22"/>
                <w:lang w:val="en-US"/>
              </w:rPr>
            </w:pPr>
            <w:r>
              <w:rPr>
                <w:sz w:val="22"/>
                <w:szCs w:val="22"/>
                <w:lang w:val="en-US"/>
              </w:rPr>
              <w:t>76 36 74 32</w:t>
            </w:r>
          </w:p>
        </w:tc>
      </w:tr>
      <w:tr>
        <w:tblPrEx/>
        <w:trPr/>
        <w:tc>
          <w:tcPr>
            <w:tcW w:w="259" w:type="pct"/>
            <w:tcBorders/>
            <w:shd w:val="clear" w:color="auto" w:fill="auto"/>
          </w:tcPr>
          <w:p>
            <w:pPr>
              <w:pStyle w:val="style0"/>
              <w:spacing w:lineRule="auto" w:line="480"/>
              <w:jc w:val="center"/>
              <w:rPr>
                <w:sz w:val="22"/>
                <w:szCs w:val="22"/>
              </w:rPr>
            </w:pPr>
            <w:r>
              <w:rPr>
                <w:sz w:val="22"/>
                <w:szCs w:val="22"/>
              </w:rPr>
              <w:t>09</w:t>
            </w:r>
          </w:p>
        </w:tc>
        <w:tc>
          <w:tcPr>
            <w:tcW w:w="1907" w:type="pct"/>
            <w:tcBorders/>
            <w:shd w:val="clear" w:color="auto" w:fill="auto"/>
          </w:tcPr>
          <w:p>
            <w:pPr>
              <w:pStyle w:val="style0"/>
              <w:spacing w:lineRule="auto" w:line="480"/>
              <w:rPr>
                <w:sz w:val="22"/>
                <w:szCs w:val="22"/>
              </w:rPr>
            </w:pPr>
            <w:r>
              <w:rPr>
                <w:sz w:val="22"/>
                <w:szCs w:val="22"/>
                <w:lang w:val="en-US"/>
              </w:rPr>
              <w:t>FOFANA Abdoul Aziz</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Agriculture VAT</w:t>
            </w:r>
          </w:p>
        </w:tc>
        <w:tc>
          <w:tcPr>
            <w:tcW w:w="818" w:type="pct"/>
            <w:tcBorders/>
            <w:shd w:val="clear" w:color="auto" w:fill="auto"/>
          </w:tcPr>
          <w:p>
            <w:pPr>
              <w:pStyle w:val="style0"/>
              <w:spacing w:lineRule="auto" w:line="480"/>
              <w:jc w:val="center"/>
              <w:rPr>
                <w:sz w:val="22"/>
                <w:szCs w:val="22"/>
              </w:rPr>
            </w:pPr>
            <w:r>
              <w:rPr>
                <w:sz w:val="22"/>
                <w:szCs w:val="22"/>
              </w:rPr>
              <w:t>76 55 42 33</w:t>
            </w:r>
          </w:p>
          <w:p>
            <w:pPr>
              <w:pStyle w:val="style0"/>
              <w:spacing w:lineRule="auto" w:line="480"/>
              <w:jc w:val="center"/>
              <w:rPr>
                <w:sz w:val="22"/>
                <w:szCs w:val="22"/>
              </w:rPr>
            </w:pPr>
            <w:r>
              <w:rPr>
                <w:sz w:val="22"/>
                <w:szCs w:val="22"/>
              </w:rPr>
              <w:t>70 03 02 97</w:t>
            </w:r>
          </w:p>
        </w:tc>
      </w:tr>
      <w:tr>
        <w:tblPrEx/>
        <w:trPr/>
        <w:tc>
          <w:tcPr>
            <w:tcW w:w="259" w:type="pct"/>
            <w:tcBorders/>
            <w:shd w:val="clear" w:color="auto" w:fill="auto"/>
          </w:tcPr>
          <w:p>
            <w:pPr>
              <w:pStyle w:val="style0"/>
              <w:spacing w:lineRule="auto" w:line="480"/>
              <w:jc w:val="center"/>
              <w:rPr>
                <w:sz w:val="22"/>
                <w:szCs w:val="22"/>
              </w:rPr>
            </w:pPr>
            <w:r>
              <w:rPr>
                <w:sz w:val="22"/>
                <w:szCs w:val="22"/>
              </w:rPr>
              <w:t>10</w:t>
            </w:r>
          </w:p>
        </w:tc>
        <w:tc>
          <w:tcPr>
            <w:tcW w:w="1907" w:type="pct"/>
            <w:tcBorders/>
            <w:shd w:val="clear" w:color="auto" w:fill="auto"/>
          </w:tcPr>
          <w:p>
            <w:pPr>
              <w:pStyle w:val="style0"/>
              <w:spacing w:lineRule="auto" w:line="480"/>
              <w:rPr>
                <w:sz w:val="22"/>
                <w:szCs w:val="22"/>
              </w:rPr>
            </w:pPr>
            <w:r>
              <w:rPr>
                <w:sz w:val="22"/>
                <w:szCs w:val="22"/>
              </w:rPr>
              <w:t>Sa Majesté de Dourou Naaba Tigré</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Chef coutumier</w:t>
            </w:r>
          </w:p>
        </w:tc>
        <w:tc>
          <w:tcPr>
            <w:tcW w:w="818" w:type="pct"/>
            <w:tcBorders/>
            <w:shd w:val="clear" w:color="auto" w:fill="auto"/>
          </w:tcPr>
          <w:p>
            <w:pPr>
              <w:pStyle w:val="style0"/>
              <w:spacing w:lineRule="auto" w:line="480"/>
              <w:jc w:val="center"/>
              <w:rPr>
                <w:sz w:val="22"/>
                <w:szCs w:val="22"/>
              </w:rPr>
            </w:pPr>
            <w:r>
              <w:rPr>
                <w:sz w:val="22"/>
                <w:szCs w:val="22"/>
              </w:rPr>
              <w:t>76 70 38 30</w:t>
            </w:r>
          </w:p>
          <w:p>
            <w:pPr>
              <w:pStyle w:val="style0"/>
              <w:spacing w:lineRule="auto" w:line="480"/>
              <w:jc w:val="center"/>
              <w:rPr>
                <w:sz w:val="22"/>
                <w:szCs w:val="22"/>
              </w:rPr>
            </w:pPr>
            <w:r>
              <w:rPr>
                <w:sz w:val="22"/>
                <w:szCs w:val="22"/>
              </w:rPr>
              <w:t>60 87 34 16</w:t>
            </w:r>
          </w:p>
        </w:tc>
      </w:tr>
      <w:tr>
        <w:tblPrEx/>
        <w:trPr/>
        <w:tc>
          <w:tcPr>
            <w:tcW w:w="259" w:type="pct"/>
            <w:tcBorders/>
            <w:shd w:val="clear" w:color="auto" w:fill="auto"/>
          </w:tcPr>
          <w:p>
            <w:pPr>
              <w:pStyle w:val="style0"/>
              <w:spacing w:lineRule="auto" w:line="480"/>
              <w:jc w:val="center"/>
              <w:rPr>
                <w:sz w:val="22"/>
                <w:szCs w:val="22"/>
              </w:rPr>
            </w:pPr>
            <w:r>
              <w:rPr>
                <w:sz w:val="22"/>
                <w:szCs w:val="22"/>
              </w:rPr>
              <w:t>11</w:t>
            </w:r>
          </w:p>
        </w:tc>
        <w:tc>
          <w:tcPr>
            <w:tcW w:w="1907" w:type="pct"/>
            <w:tcBorders/>
            <w:shd w:val="clear" w:color="auto" w:fill="auto"/>
          </w:tcPr>
          <w:p>
            <w:pPr>
              <w:pStyle w:val="style0"/>
              <w:spacing w:lineRule="auto" w:line="480"/>
              <w:rPr>
                <w:sz w:val="22"/>
                <w:szCs w:val="22"/>
              </w:rPr>
            </w:pPr>
            <w:r>
              <w:rPr>
                <w:sz w:val="22"/>
                <w:szCs w:val="22"/>
              </w:rPr>
              <w:t>OUANDE Karim</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Notable</w:t>
            </w:r>
          </w:p>
        </w:tc>
        <w:tc>
          <w:tcPr>
            <w:tcW w:w="818" w:type="pct"/>
            <w:tcBorders/>
            <w:shd w:val="clear" w:color="auto" w:fill="auto"/>
          </w:tcPr>
          <w:p>
            <w:pPr>
              <w:pStyle w:val="style0"/>
              <w:spacing w:lineRule="auto" w:line="480"/>
              <w:jc w:val="center"/>
              <w:rPr>
                <w:sz w:val="22"/>
                <w:szCs w:val="22"/>
              </w:rPr>
            </w:pPr>
            <w:r>
              <w:rPr>
                <w:sz w:val="22"/>
                <w:szCs w:val="22"/>
              </w:rPr>
              <w:t>75 01 87 04</w:t>
            </w:r>
          </w:p>
        </w:tc>
      </w:tr>
      <w:tr>
        <w:tblPrEx/>
        <w:trPr/>
        <w:tc>
          <w:tcPr>
            <w:tcW w:w="259" w:type="pct"/>
            <w:tcBorders/>
            <w:shd w:val="clear" w:color="auto" w:fill="auto"/>
          </w:tcPr>
          <w:p>
            <w:pPr>
              <w:pStyle w:val="style0"/>
              <w:spacing w:lineRule="auto" w:line="480"/>
              <w:jc w:val="center"/>
              <w:rPr>
                <w:sz w:val="22"/>
                <w:szCs w:val="22"/>
              </w:rPr>
            </w:pPr>
            <w:r>
              <w:rPr>
                <w:sz w:val="22"/>
                <w:szCs w:val="22"/>
              </w:rPr>
              <w:t>12</w:t>
            </w:r>
          </w:p>
        </w:tc>
        <w:tc>
          <w:tcPr>
            <w:tcW w:w="1907" w:type="pct"/>
            <w:tcBorders/>
            <w:shd w:val="clear" w:color="auto" w:fill="auto"/>
          </w:tcPr>
          <w:p>
            <w:pPr>
              <w:pStyle w:val="style0"/>
              <w:spacing w:lineRule="auto" w:line="480"/>
              <w:rPr>
                <w:sz w:val="22"/>
                <w:szCs w:val="22"/>
              </w:rPr>
            </w:pPr>
            <w:r>
              <w:rPr>
                <w:sz w:val="22"/>
                <w:szCs w:val="22"/>
              </w:rPr>
              <w:t>OUANDE Pegwendé</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Cultivateur</w:t>
            </w:r>
          </w:p>
        </w:tc>
        <w:tc>
          <w:tcPr>
            <w:tcW w:w="818" w:type="pct"/>
            <w:tcBorders/>
            <w:shd w:val="clear" w:color="auto" w:fill="auto"/>
          </w:tcPr>
          <w:p>
            <w:pPr>
              <w:pStyle w:val="style0"/>
              <w:spacing w:lineRule="auto" w:line="480"/>
              <w:jc w:val="center"/>
              <w:rPr>
                <w:sz w:val="22"/>
                <w:szCs w:val="22"/>
              </w:rPr>
            </w:pPr>
            <w:r>
              <w:rPr>
                <w:sz w:val="22"/>
                <w:szCs w:val="22"/>
              </w:rPr>
              <w:t>75 49 97 00</w:t>
            </w:r>
          </w:p>
        </w:tc>
      </w:tr>
      <w:tr>
        <w:tblPrEx/>
        <w:trPr/>
        <w:tc>
          <w:tcPr>
            <w:tcW w:w="259" w:type="pct"/>
            <w:tcBorders/>
            <w:shd w:val="clear" w:color="auto" w:fill="auto"/>
          </w:tcPr>
          <w:p>
            <w:pPr>
              <w:pStyle w:val="style0"/>
              <w:spacing w:lineRule="auto" w:line="480"/>
              <w:jc w:val="center"/>
              <w:rPr>
                <w:sz w:val="22"/>
                <w:szCs w:val="22"/>
              </w:rPr>
            </w:pPr>
            <w:r>
              <w:rPr>
                <w:sz w:val="22"/>
                <w:szCs w:val="22"/>
              </w:rPr>
              <w:t>13</w:t>
            </w:r>
          </w:p>
        </w:tc>
        <w:tc>
          <w:tcPr>
            <w:tcW w:w="1907" w:type="pct"/>
            <w:tcBorders/>
            <w:shd w:val="clear" w:color="auto" w:fill="auto"/>
          </w:tcPr>
          <w:p>
            <w:pPr>
              <w:pStyle w:val="style0"/>
              <w:spacing w:lineRule="auto" w:line="480"/>
              <w:rPr>
                <w:sz w:val="22"/>
                <w:szCs w:val="22"/>
              </w:rPr>
            </w:pPr>
            <w:r>
              <w:rPr>
                <w:sz w:val="22"/>
                <w:szCs w:val="22"/>
              </w:rPr>
              <w:t>OUANDE Ousmane</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Cultivateur</w:t>
            </w:r>
          </w:p>
        </w:tc>
        <w:tc>
          <w:tcPr>
            <w:tcW w:w="818" w:type="pct"/>
            <w:tcBorders/>
            <w:shd w:val="clear" w:color="auto" w:fill="auto"/>
          </w:tcPr>
          <w:p>
            <w:pPr>
              <w:pStyle w:val="style0"/>
              <w:spacing w:lineRule="auto" w:line="480"/>
              <w:jc w:val="center"/>
              <w:rPr>
                <w:sz w:val="22"/>
                <w:szCs w:val="22"/>
              </w:rPr>
            </w:pPr>
            <w:r>
              <w:rPr>
                <w:sz w:val="22"/>
                <w:szCs w:val="22"/>
              </w:rPr>
              <w:t>S/C 75 49 97 00</w:t>
            </w:r>
          </w:p>
        </w:tc>
      </w:tr>
      <w:tr>
        <w:tblPrEx/>
        <w:trPr/>
        <w:tc>
          <w:tcPr>
            <w:tcW w:w="259" w:type="pct"/>
            <w:tcBorders/>
            <w:shd w:val="clear" w:color="auto" w:fill="auto"/>
          </w:tcPr>
          <w:p>
            <w:pPr>
              <w:pStyle w:val="style0"/>
              <w:spacing w:lineRule="auto" w:line="480"/>
              <w:jc w:val="center"/>
              <w:rPr>
                <w:sz w:val="22"/>
                <w:szCs w:val="22"/>
              </w:rPr>
            </w:pPr>
            <w:r>
              <w:rPr>
                <w:sz w:val="22"/>
                <w:szCs w:val="22"/>
              </w:rPr>
              <w:t>14</w:t>
            </w:r>
          </w:p>
        </w:tc>
        <w:tc>
          <w:tcPr>
            <w:tcW w:w="1907" w:type="pct"/>
            <w:tcBorders/>
            <w:shd w:val="clear" w:color="auto" w:fill="auto"/>
          </w:tcPr>
          <w:p>
            <w:pPr>
              <w:pStyle w:val="style0"/>
              <w:spacing w:lineRule="auto" w:line="480"/>
              <w:rPr>
                <w:sz w:val="22"/>
                <w:szCs w:val="22"/>
              </w:rPr>
            </w:pPr>
            <w:r>
              <w:rPr>
                <w:sz w:val="22"/>
                <w:szCs w:val="22"/>
              </w:rPr>
              <w:t>SAWADOGO Mamadou</w:t>
            </w:r>
          </w:p>
        </w:tc>
        <w:tc>
          <w:tcPr>
            <w:tcW w:w="299" w:type="pct"/>
            <w:tcBorders/>
            <w:shd w:val="clear" w:color="auto" w:fill="auto"/>
          </w:tcPr>
          <w:p>
            <w:pPr>
              <w:pStyle w:val="style0"/>
              <w:jc w:val="center"/>
              <w:rPr>
                <w:sz w:val="22"/>
                <w:szCs w:val="22"/>
              </w:rPr>
            </w:pPr>
            <w:r>
              <w:rPr>
                <w:sz w:val="22"/>
                <w:szCs w:val="22"/>
              </w:rPr>
              <w:t>M</w:t>
            </w:r>
          </w:p>
        </w:tc>
        <w:tc>
          <w:tcPr>
            <w:tcW w:w="1717" w:type="pct"/>
            <w:tcBorders/>
            <w:shd w:val="clear" w:color="auto" w:fill="auto"/>
          </w:tcPr>
          <w:p>
            <w:pPr>
              <w:pStyle w:val="style0"/>
              <w:spacing w:lineRule="auto" w:line="480"/>
              <w:rPr>
                <w:sz w:val="22"/>
                <w:szCs w:val="22"/>
              </w:rPr>
            </w:pPr>
            <w:r>
              <w:rPr>
                <w:sz w:val="22"/>
                <w:szCs w:val="22"/>
              </w:rPr>
              <w:t>Maire de la commune de Kirsi</w:t>
            </w:r>
          </w:p>
        </w:tc>
        <w:tc>
          <w:tcPr>
            <w:tcW w:w="818" w:type="pct"/>
            <w:tcBorders/>
            <w:shd w:val="clear" w:color="auto" w:fill="auto"/>
          </w:tcPr>
          <w:p>
            <w:pPr>
              <w:pStyle w:val="style0"/>
              <w:spacing w:lineRule="auto" w:line="480"/>
              <w:jc w:val="center"/>
              <w:rPr>
                <w:sz w:val="22"/>
                <w:szCs w:val="22"/>
              </w:rPr>
            </w:pPr>
            <w:r>
              <w:rPr>
                <w:sz w:val="22"/>
                <w:szCs w:val="22"/>
              </w:rPr>
              <w:t>70 44 94 03</w:t>
            </w:r>
          </w:p>
        </w:tc>
      </w:tr>
      <w:tr>
        <w:tblPrEx/>
        <w:trPr/>
        <w:tc>
          <w:tcPr>
            <w:tcW w:w="259" w:type="pct"/>
            <w:tcBorders/>
            <w:shd w:val="clear" w:color="auto" w:fill="auto"/>
          </w:tcPr>
          <w:p>
            <w:pPr>
              <w:pStyle w:val="style0"/>
              <w:spacing w:lineRule="auto" w:line="480"/>
              <w:jc w:val="center"/>
              <w:rPr>
                <w:sz w:val="22"/>
                <w:szCs w:val="22"/>
                <w:lang w:val="de-DE"/>
              </w:rPr>
            </w:pPr>
            <w:r>
              <w:rPr>
                <w:sz w:val="22"/>
                <w:szCs w:val="22"/>
                <w:lang w:val="de-DE"/>
              </w:rPr>
              <w:t>15</w:t>
            </w:r>
          </w:p>
        </w:tc>
        <w:tc>
          <w:tcPr>
            <w:tcW w:w="1907" w:type="pct"/>
            <w:tcBorders/>
            <w:shd w:val="clear" w:color="auto" w:fill="auto"/>
          </w:tcPr>
          <w:p>
            <w:pPr>
              <w:pStyle w:val="style0"/>
              <w:spacing w:lineRule="auto" w:line="480"/>
              <w:rPr>
                <w:sz w:val="22"/>
                <w:szCs w:val="22"/>
                <w:lang w:val="de-DE"/>
              </w:rPr>
            </w:pPr>
            <w:r>
              <w:rPr>
                <w:sz w:val="22"/>
                <w:szCs w:val="22"/>
                <w:lang w:val="de-DE"/>
              </w:rPr>
              <w:t>ZOROME Haoua</w:t>
            </w:r>
          </w:p>
        </w:tc>
        <w:tc>
          <w:tcPr>
            <w:tcW w:w="299" w:type="pct"/>
            <w:tcBorders/>
            <w:shd w:val="clear" w:color="auto" w:fill="auto"/>
          </w:tcPr>
          <w:p>
            <w:pPr>
              <w:pStyle w:val="style0"/>
              <w:jc w:val="center"/>
              <w:rPr>
                <w:sz w:val="22"/>
                <w:szCs w:val="22"/>
              </w:rPr>
            </w:pPr>
            <w:r>
              <w:rPr>
                <w:sz w:val="22"/>
                <w:szCs w:val="22"/>
              </w:rPr>
              <w:t>F</w:t>
            </w:r>
          </w:p>
        </w:tc>
        <w:tc>
          <w:tcPr>
            <w:tcW w:w="1717" w:type="pct"/>
            <w:tcBorders/>
            <w:shd w:val="clear" w:color="auto" w:fill="auto"/>
          </w:tcPr>
          <w:p>
            <w:pPr>
              <w:pStyle w:val="style0"/>
              <w:spacing w:lineRule="auto" w:line="480"/>
              <w:rPr>
                <w:sz w:val="22"/>
                <w:szCs w:val="22"/>
                <w:lang w:val="de-DE"/>
              </w:rPr>
            </w:pPr>
            <w:r>
              <w:rPr>
                <w:sz w:val="22"/>
                <w:szCs w:val="22"/>
              </w:rPr>
              <w:t>Préfecture</w:t>
            </w:r>
            <w:r>
              <w:rPr>
                <w:sz w:val="22"/>
                <w:szCs w:val="22"/>
                <w:lang w:val="de-DE"/>
              </w:rPr>
              <w:t xml:space="preserve"> de Kirsi</w:t>
            </w:r>
          </w:p>
        </w:tc>
        <w:tc>
          <w:tcPr>
            <w:tcW w:w="818" w:type="pct"/>
            <w:tcBorders/>
            <w:shd w:val="clear" w:color="auto" w:fill="auto"/>
          </w:tcPr>
          <w:p>
            <w:pPr>
              <w:pStyle w:val="style0"/>
              <w:spacing w:lineRule="auto" w:line="480"/>
              <w:jc w:val="center"/>
              <w:rPr>
                <w:sz w:val="22"/>
                <w:szCs w:val="22"/>
                <w:lang w:val="de-DE"/>
              </w:rPr>
            </w:pPr>
            <w:r>
              <w:rPr>
                <w:sz w:val="22"/>
                <w:szCs w:val="22"/>
                <w:lang w:val="de-DE"/>
              </w:rPr>
              <w:t>73 76 62 80</w:t>
            </w:r>
          </w:p>
        </w:tc>
      </w:tr>
    </w:tbl>
    <w:p>
      <w:pPr>
        <w:pStyle w:val="style0"/>
        <w:rPr>
          <w:sz w:val="22"/>
          <w:szCs w:val="22"/>
        </w:rPr>
      </w:pPr>
    </w:p>
    <w:p>
      <w:pPr>
        <w:pStyle w:val="style0"/>
        <w:rPr>
          <w:sz w:val="22"/>
          <w:szCs w:val="22"/>
        </w:rPr>
      </w:pPr>
      <w:r>
        <w:rPr>
          <w:sz w:val="22"/>
          <w:szCs w:val="22"/>
        </w:rPr>
        <w:br w:type="page"/>
      </w:r>
    </w:p>
    <w:p>
      <w:pPr>
        <w:pStyle w:val="style0"/>
        <w:jc w:val="center"/>
        <w:rPr>
          <w:b/>
          <w:sz w:val="22"/>
          <w:szCs w:val="22"/>
          <w:u w:val="dotted"/>
        </w:rPr>
      </w:pPr>
      <w:r>
        <w:rPr>
          <w:b/>
          <w:sz w:val="22"/>
          <w:szCs w:val="22"/>
          <w:u w:val="single"/>
        </w:rPr>
        <w:t>INTITULE DU PROJET/PROGRAMME</w:t>
      </w:r>
      <w:r>
        <w:rPr>
          <w:b/>
          <w:sz w:val="22"/>
          <w:szCs w:val="22"/>
        </w:rPr>
        <w:t xml:space="preserve"> : </w:t>
      </w:r>
      <w:r>
        <w:rPr>
          <w:b/>
          <w:sz w:val="22"/>
          <w:szCs w:val="22"/>
          <w:u w:val="dotted"/>
        </w:rPr>
        <w:t>PROGRAMME DE DEVELOPPEMENT ET DE COMPETITIVITE AGRICOLE (PDCA)</w:t>
      </w:r>
    </w:p>
    <w:p>
      <w:pPr>
        <w:pStyle w:val="style0"/>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NORD</w:t>
      </w:r>
      <w:r>
        <w:rPr>
          <w:b/>
          <w:sz w:val="22"/>
          <w:szCs w:val="22"/>
        </w:rPr>
        <w:t>…………………………</w:t>
      </w:r>
      <w:r>
        <w:rPr>
          <w:b/>
          <w:sz w:val="22"/>
          <w:szCs w:val="22"/>
          <w:u w:val="dotted"/>
        </w:rPr>
        <w:t>Province</w:t>
      </w:r>
      <w:r>
        <w:rPr>
          <w:b/>
          <w:sz w:val="22"/>
          <w:szCs w:val="22"/>
        </w:rPr>
        <w:t xml:space="preserve"> : </w:t>
      </w:r>
      <w:r>
        <w:rPr>
          <w:b/>
          <w:sz w:val="22"/>
          <w:szCs w:val="22"/>
          <w:u w:val="dotted"/>
        </w:rPr>
        <w:t>PASSORE</w:t>
      </w:r>
      <w:r>
        <w:rPr>
          <w:b/>
          <w:sz w:val="22"/>
          <w:szCs w:val="22"/>
        </w:rPr>
        <w:t>…………………………….</w:t>
      </w:r>
      <w:r>
        <w:rPr>
          <w:b/>
          <w:sz w:val="22"/>
          <w:szCs w:val="22"/>
          <w:u w:val="dotted"/>
        </w:rPr>
        <w:t>Commune</w:t>
      </w:r>
      <w:r>
        <w:rPr>
          <w:b/>
          <w:sz w:val="22"/>
          <w:szCs w:val="22"/>
        </w:rPr>
        <w:t xml:space="preserve"> : </w:t>
      </w:r>
      <w:r>
        <w:rPr>
          <w:b/>
          <w:sz w:val="22"/>
          <w:szCs w:val="22"/>
          <w:u w:val="dotted"/>
        </w:rPr>
        <w:t>KIRSI</w:t>
      </w:r>
      <w:r>
        <w:rPr>
          <w:b/>
          <w:sz w:val="22"/>
          <w:szCs w:val="22"/>
        </w:rPr>
        <w:t>…………………………..</w:t>
      </w:r>
    </w:p>
    <w:p>
      <w:pPr>
        <w:pStyle w:val="style0"/>
        <w:rPr>
          <w:b/>
          <w:sz w:val="22"/>
          <w:szCs w:val="22"/>
        </w:rPr>
      </w:pPr>
      <w:r>
        <w:rPr>
          <w:b/>
          <w:sz w:val="22"/>
          <w:szCs w:val="22"/>
        </w:rPr>
        <w:t>Village : DOUROU………………………….Date : ………..08/01/2019 …………… Groupes cibles : Producteurs</w:t>
      </w:r>
    </w:p>
    <w:p>
      <w:pPr>
        <w:pStyle w:val="style0"/>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338"/>
        <w:gridCol w:w="837"/>
        <w:gridCol w:w="4500"/>
        <w:gridCol w:w="2591"/>
      </w:tblGrid>
      <w:tr>
        <w:trPr>
          <w:tblHeader/>
        </w:trPr>
        <w:tc>
          <w:tcPr>
            <w:tcW w:w="259" w:type="pct"/>
            <w:tcBorders/>
            <w:shd w:val="clear" w:color="auto" w:fill="d9d9d9"/>
            <w:vAlign w:val="center"/>
          </w:tcPr>
          <w:p>
            <w:pPr>
              <w:pStyle w:val="style0"/>
              <w:jc w:val="center"/>
              <w:rPr>
                <w:b/>
                <w:sz w:val="22"/>
                <w:szCs w:val="22"/>
              </w:rPr>
            </w:pPr>
            <w:r>
              <w:rPr>
                <w:b/>
                <w:sz w:val="22"/>
                <w:szCs w:val="22"/>
              </w:rPr>
              <w:t>N°</w:t>
            </w:r>
          </w:p>
        </w:tc>
        <w:tc>
          <w:tcPr>
            <w:tcW w:w="1907" w:type="pct"/>
            <w:tcBorders/>
            <w:shd w:val="clear" w:color="auto" w:fill="d9d9d9"/>
            <w:vAlign w:val="center"/>
          </w:tcPr>
          <w:p>
            <w:pPr>
              <w:pStyle w:val="style0"/>
              <w:rPr>
                <w:b/>
                <w:sz w:val="22"/>
                <w:szCs w:val="22"/>
              </w:rPr>
            </w:pPr>
            <w:r>
              <w:rPr>
                <w:b/>
                <w:sz w:val="22"/>
                <w:szCs w:val="22"/>
              </w:rPr>
              <w:t>Nom et prénom (s)</w:t>
            </w:r>
          </w:p>
        </w:tc>
        <w:tc>
          <w:tcPr>
            <w:tcW w:w="299" w:type="pct"/>
            <w:tcBorders/>
            <w:shd w:val="clear" w:color="auto" w:fill="d9d9d9"/>
            <w:vAlign w:val="center"/>
          </w:tcPr>
          <w:p>
            <w:pPr>
              <w:pStyle w:val="style0"/>
              <w:rPr>
                <w:b/>
                <w:sz w:val="22"/>
                <w:szCs w:val="22"/>
              </w:rPr>
            </w:pPr>
            <w:r>
              <w:rPr>
                <w:b/>
                <w:sz w:val="22"/>
                <w:szCs w:val="22"/>
              </w:rPr>
              <w:t>Sexe</w:t>
            </w:r>
          </w:p>
        </w:tc>
        <w:tc>
          <w:tcPr>
            <w:tcW w:w="1608" w:type="pct"/>
            <w:tcBorders/>
            <w:shd w:val="clear" w:color="auto" w:fill="d9d9d9"/>
            <w:vAlign w:val="center"/>
          </w:tcPr>
          <w:p>
            <w:pPr>
              <w:pStyle w:val="style0"/>
              <w:rPr>
                <w:b/>
                <w:sz w:val="22"/>
                <w:szCs w:val="22"/>
              </w:rPr>
            </w:pPr>
            <w:r>
              <w:rPr>
                <w:b/>
                <w:sz w:val="22"/>
                <w:szCs w:val="22"/>
              </w:rPr>
              <w:t>Structure / Profession</w:t>
            </w:r>
          </w:p>
        </w:tc>
        <w:tc>
          <w:tcPr>
            <w:tcW w:w="926" w:type="pct"/>
            <w:tcBorders/>
            <w:shd w:val="clear" w:color="auto" w:fill="d9d9d9"/>
            <w:vAlign w:val="center"/>
          </w:tcPr>
          <w:p>
            <w:pPr>
              <w:pStyle w:val="style0"/>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PANAN</w:t>
            </w:r>
            <w:r>
              <w:rPr>
                <w:sz w:val="22"/>
                <w:szCs w:val="22"/>
              </w:rPr>
              <w:t>DTIGRI Seni</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75 20 03 97</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lang w:val="de-DE"/>
              </w:rPr>
            </w:pPr>
            <w:r>
              <w:rPr>
                <w:sz w:val="22"/>
                <w:szCs w:val="22"/>
                <w:lang w:val="de-DE"/>
              </w:rPr>
              <w:t>SANKARA Salif</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75 64 41 91</w:t>
            </w:r>
          </w:p>
        </w:tc>
      </w:tr>
      <w:tr>
        <w:tblPrEx/>
        <w:trPr/>
        <w:tc>
          <w:tcPr>
            <w:tcW w:w="259" w:type="pct"/>
            <w:tcBorders/>
            <w:shd w:val="clear" w:color="auto" w:fill="auto"/>
            <w:vAlign w:val="center"/>
          </w:tcPr>
          <w:p>
            <w:pPr>
              <w:pStyle w:val="style0"/>
              <w:jc w:val="center"/>
              <w:rPr>
                <w:sz w:val="22"/>
                <w:szCs w:val="22"/>
              </w:rPr>
            </w:pPr>
            <w:r>
              <w:rPr>
                <w:sz w:val="22"/>
                <w:szCs w:val="22"/>
              </w:rPr>
              <w:t>03</w:t>
            </w:r>
          </w:p>
        </w:tc>
        <w:tc>
          <w:tcPr>
            <w:tcW w:w="1907" w:type="pct"/>
            <w:tcBorders/>
            <w:shd w:val="clear" w:color="auto" w:fill="auto"/>
            <w:vAlign w:val="center"/>
          </w:tcPr>
          <w:p>
            <w:pPr>
              <w:pStyle w:val="style0"/>
              <w:rPr>
                <w:sz w:val="22"/>
                <w:szCs w:val="22"/>
                <w:lang w:val="de-DE"/>
              </w:rPr>
            </w:pPr>
            <w:r>
              <w:rPr>
                <w:sz w:val="22"/>
                <w:szCs w:val="22"/>
                <w:lang w:val="de-DE"/>
              </w:rPr>
              <w:t>SANKARA Halidou</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75 08 34 50</w:t>
            </w:r>
          </w:p>
        </w:tc>
      </w:tr>
      <w:tr>
        <w:tblPrEx/>
        <w:trPr/>
        <w:tc>
          <w:tcPr>
            <w:tcW w:w="259" w:type="pct"/>
            <w:tcBorders/>
            <w:shd w:val="clear" w:color="auto" w:fill="auto"/>
            <w:vAlign w:val="center"/>
          </w:tcPr>
          <w:p>
            <w:pPr>
              <w:pStyle w:val="style0"/>
              <w:jc w:val="center"/>
              <w:rPr>
                <w:sz w:val="22"/>
                <w:szCs w:val="22"/>
              </w:rPr>
            </w:pPr>
            <w:r>
              <w:rPr>
                <w:sz w:val="22"/>
                <w:szCs w:val="22"/>
              </w:rPr>
              <w:t>04</w:t>
            </w:r>
          </w:p>
        </w:tc>
        <w:tc>
          <w:tcPr>
            <w:tcW w:w="1907" w:type="pct"/>
            <w:tcBorders/>
            <w:shd w:val="clear" w:color="auto" w:fill="auto"/>
            <w:vAlign w:val="center"/>
          </w:tcPr>
          <w:p>
            <w:pPr>
              <w:pStyle w:val="style0"/>
              <w:rPr>
                <w:sz w:val="22"/>
                <w:szCs w:val="22"/>
                <w:lang w:val="de-DE"/>
              </w:rPr>
            </w:pPr>
            <w:r>
              <w:rPr>
                <w:sz w:val="22"/>
                <w:szCs w:val="22"/>
                <w:lang w:val="de-DE"/>
              </w:rPr>
              <w:t>ZONGO Ramata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vAlign w:val="center"/>
          </w:tcPr>
          <w:p>
            <w:pPr>
              <w:pStyle w:val="style0"/>
              <w:jc w:val="center"/>
              <w:rPr>
                <w:sz w:val="22"/>
                <w:szCs w:val="22"/>
              </w:rPr>
            </w:pPr>
            <w:r>
              <w:rPr>
                <w:sz w:val="22"/>
                <w:szCs w:val="22"/>
              </w:rPr>
              <w:t>05</w:t>
            </w:r>
          </w:p>
        </w:tc>
        <w:tc>
          <w:tcPr>
            <w:tcW w:w="1907" w:type="pct"/>
            <w:tcBorders/>
            <w:shd w:val="clear" w:color="auto" w:fill="auto"/>
            <w:vAlign w:val="center"/>
          </w:tcPr>
          <w:p>
            <w:pPr>
              <w:pStyle w:val="style0"/>
              <w:rPr>
                <w:sz w:val="22"/>
                <w:szCs w:val="22"/>
                <w:lang w:val="de-DE"/>
              </w:rPr>
            </w:pPr>
            <w:r>
              <w:rPr>
                <w:sz w:val="22"/>
                <w:szCs w:val="22"/>
                <w:lang w:val="de-DE"/>
              </w:rPr>
              <w:t>SANKARA Mariam</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06</w:t>
            </w:r>
          </w:p>
        </w:tc>
        <w:tc>
          <w:tcPr>
            <w:tcW w:w="1907" w:type="pct"/>
            <w:tcBorders/>
            <w:shd w:val="clear" w:color="auto" w:fill="auto"/>
          </w:tcPr>
          <w:p>
            <w:pPr>
              <w:pStyle w:val="style0"/>
              <w:rPr>
                <w:sz w:val="22"/>
                <w:szCs w:val="22"/>
              </w:rPr>
            </w:pPr>
            <w:r>
              <w:rPr>
                <w:sz w:val="22"/>
                <w:szCs w:val="22"/>
              </w:rPr>
              <w:t>SAWADOGO Azeta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07</w:t>
            </w:r>
          </w:p>
        </w:tc>
        <w:tc>
          <w:tcPr>
            <w:tcW w:w="1907" w:type="pct"/>
            <w:tcBorders/>
            <w:shd w:val="clear" w:color="auto" w:fill="auto"/>
          </w:tcPr>
          <w:p>
            <w:pPr>
              <w:pStyle w:val="style0"/>
              <w:rPr>
                <w:sz w:val="22"/>
                <w:szCs w:val="22"/>
                <w:lang w:val="de-DE"/>
              </w:rPr>
            </w:pPr>
            <w:r>
              <w:rPr>
                <w:sz w:val="22"/>
                <w:szCs w:val="22"/>
                <w:lang w:val="de-DE"/>
              </w:rPr>
              <w:t>SAWADOGO Fati</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08</w:t>
            </w:r>
          </w:p>
        </w:tc>
        <w:tc>
          <w:tcPr>
            <w:tcW w:w="1907" w:type="pct"/>
            <w:tcBorders/>
            <w:shd w:val="clear" w:color="auto" w:fill="auto"/>
          </w:tcPr>
          <w:p>
            <w:pPr>
              <w:pStyle w:val="style0"/>
              <w:rPr>
                <w:sz w:val="22"/>
                <w:szCs w:val="22"/>
                <w:lang w:val="de-DE"/>
              </w:rPr>
            </w:pPr>
            <w:r>
              <w:rPr>
                <w:sz w:val="22"/>
                <w:szCs w:val="22"/>
                <w:lang w:val="de-DE"/>
              </w:rPr>
              <w:t>KIENDEGA Rose</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Productrice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09</w:t>
            </w:r>
          </w:p>
        </w:tc>
        <w:tc>
          <w:tcPr>
            <w:tcW w:w="1907" w:type="pct"/>
            <w:tcBorders/>
            <w:shd w:val="clear" w:color="auto" w:fill="auto"/>
          </w:tcPr>
          <w:p>
            <w:pPr>
              <w:pStyle w:val="style0"/>
              <w:rPr>
                <w:sz w:val="22"/>
                <w:szCs w:val="22"/>
                <w:lang w:val="de-DE"/>
              </w:rPr>
            </w:pPr>
            <w:r>
              <w:rPr>
                <w:sz w:val="22"/>
                <w:szCs w:val="22"/>
                <w:lang w:val="de-DE"/>
              </w:rPr>
              <w:t>NABALOUM Azita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Productrice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10</w:t>
            </w:r>
          </w:p>
        </w:tc>
        <w:tc>
          <w:tcPr>
            <w:tcW w:w="1907" w:type="pct"/>
            <w:tcBorders/>
            <w:shd w:val="clear" w:color="auto" w:fill="auto"/>
          </w:tcPr>
          <w:p>
            <w:pPr>
              <w:pStyle w:val="style0"/>
              <w:rPr>
                <w:sz w:val="22"/>
                <w:szCs w:val="22"/>
                <w:lang w:val="de-DE"/>
              </w:rPr>
            </w:pPr>
            <w:r>
              <w:rPr>
                <w:sz w:val="22"/>
                <w:szCs w:val="22"/>
                <w:lang w:val="de-DE"/>
              </w:rPr>
              <w:t>KOURA Rasmata</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Productrice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11</w:t>
            </w:r>
          </w:p>
        </w:tc>
        <w:tc>
          <w:tcPr>
            <w:tcW w:w="1907" w:type="pct"/>
            <w:tcBorders/>
            <w:shd w:val="clear" w:color="auto" w:fill="auto"/>
          </w:tcPr>
          <w:p>
            <w:pPr>
              <w:pStyle w:val="style0"/>
              <w:rPr>
                <w:sz w:val="22"/>
                <w:szCs w:val="22"/>
                <w:lang w:val="de-DE"/>
              </w:rPr>
            </w:pPr>
            <w:r>
              <w:rPr>
                <w:sz w:val="22"/>
                <w:szCs w:val="22"/>
                <w:lang w:val="de-DE"/>
              </w:rPr>
              <w:t>ZIDA Alimata</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12</w:t>
            </w:r>
          </w:p>
        </w:tc>
        <w:tc>
          <w:tcPr>
            <w:tcW w:w="1907" w:type="pct"/>
            <w:tcBorders/>
            <w:shd w:val="clear" w:color="auto" w:fill="auto"/>
          </w:tcPr>
          <w:p>
            <w:pPr>
              <w:pStyle w:val="style0"/>
              <w:rPr>
                <w:sz w:val="22"/>
                <w:szCs w:val="22"/>
                <w:lang w:val="de-DE"/>
              </w:rPr>
            </w:pPr>
            <w:r>
              <w:rPr>
                <w:sz w:val="22"/>
                <w:szCs w:val="22"/>
                <w:lang w:val="de-DE"/>
              </w:rPr>
              <w:t>SANKARA Rakieta</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Productrice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13</w:t>
            </w:r>
          </w:p>
        </w:tc>
        <w:tc>
          <w:tcPr>
            <w:tcW w:w="1907" w:type="pct"/>
            <w:tcBorders/>
            <w:shd w:val="clear" w:color="auto" w:fill="auto"/>
          </w:tcPr>
          <w:p>
            <w:pPr>
              <w:pStyle w:val="style0"/>
              <w:rPr>
                <w:sz w:val="22"/>
                <w:szCs w:val="22"/>
                <w:lang w:val="de-DE"/>
              </w:rPr>
            </w:pPr>
            <w:r>
              <w:rPr>
                <w:sz w:val="22"/>
                <w:szCs w:val="22"/>
                <w:lang w:val="de-DE"/>
              </w:rPr>
              <w:t>DIANDA Assétou</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Productrice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14</w:t>
            </w:r>
          </w:p>
        </w:tc>
        <w:tc>
          <w:tcPr>
            <w:tcW w:w="1907" w:type="pct"/>
            <w:tcBorders/>
            <w:shd w:val="clear" w:color="auto" w:fill="auto"/>
          </w:tcPr>
          <w:p>
            <w:pPr>
              <w:pStyle w:val="style0"/>
              <w:rPr>
                <w:sz w:val="22"/>
                <w:szCs w:val="22"/>
                <w:lang w:val="de-DE"/>
              </w:rPr>
            </w:pPr>
            <w:r>
              <w:rPr>
                <w:sz w:val="22"/>
                <w:szCs w:val="22"/>
                <w:lang w:val="de-DE"/>
              </w:rPr>
              <w:t>OUANDE Habibou</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15</w:t>
            </w:r>
          </w:p>
        </w:tc>
        <w:tc>
          <w:tcPr>
            <w:tcW w:w="1907" w:type="pct"/>
            <w:tcBorders/>
            <w:shd w:val="clear" w:color="auto" w:fill="auto"/>
          </w:tcPr>
          <w:p>
            <w:pPr>
              <w:pStyle w:val="style0"/>
              <w:rPr>
                <w:sz w:val="22"/>
                <w:szCs w:val="22"/>
                <w:lang w:val="de-DE"/>
              </w:rPr>
            </w:pPr>
            <w:r>
              <w:rPr>
                <w:sz w:val="22"/>
                <w:szCs w:val="22"/>
                <w:lang w:val="de-DE"/>
              </w:rPr>
              <w:t>YERBANGA Balkissa</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16</w:t>
            </w:r>
          </w:p>
        </w:tc>
        <w:tc>
          <w:tcPr>
            <w:tcW w:w="1907" w:type="pct"/>
            <w:tcBorders/>
            <w:shd w:val="clear" w:color="auto" w:fill="auto"/>
          </w:tcPr>
          <w:p>
            <w:pPr>
              <w:pStyle w:val="style0"/>
              <w:rPr>
                <w:sz w:val="22"/>
                <w:szCs w:val="22"/>
                <w:lang w:val="de-DE"/>
              </w:rPr>
            </w:pPr>
            <w:r>
              <w:rPr>
                <w:sz w:val="22"/>
                <w:szCs w:val="22"/>
                <w:lang w:val="de-DE"/>
              </w:rPr>
              <w:t>PANANDTIGRI Wendyoure</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17</w:t>
            </w:r>
          </w:p>
        </w:tc>
        <w:tc>
          <w:tcPr>
            <w:tcW w:w="1907" w:type="pct"/>
            <w:tcBorders/>
            <w:shd w:val="clear" w:color="auto" w:fill="auto"/>
          </w:tcPr>
          <w:p>
            <w:pPr>
              <w:pStyle w:val="style0"/>
              <w:rPr>
                <w:sz w:val="22"/>
                <w:szCs w:val="22"/>
                <w:lang w:val="de-DE"/>
              </w:rPr>
            </w:pPr>
            <w:r>
              <w:rPr>
                <w:sz w:val="22"/>
                <w:szCs w:val="22"/>
                <w:lang w:val="de-DE"/>
              </w:rPr>
              <w:t>SEBOGO Missoum</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Ménagère</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18</w:t>
            </w:r>
          </w:p>
        </w:tc>
        <w:tc>
          <w:tcPr>
            <w:tcW w:w="1907" w:type="pct"/>
            <w:tcBorders/>
            <w:shd w:val="clear" w:color="auto" w:fill="auto"/>
          </w:tcPr>
          <w:p>
            <w:pPr>
              <w:pStyle w:val="style0"/>
              <w:rPr>
                <w:sz w:val="22"/>
                <w:szCs w:val="22"/>
                <w:lang w:val="de-DE"/>
              </w:rPr>
            </w:pPr>
            <w:r>
              <w:rPr>
                <w:sz w:val="22"/>
                <w:szCs w:val="22"/>
                <w:lang w:val="de-DE"/>
              </w:rPr>
              <w:t>PANANDTIGRI Boureima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75 02 23 68</w:t>
            </w:r>
          </w:p>
        </w:tc>
      </w:tr>
      <w:tr>
        <w:tblPrEx/>
        <w:trPr/>
        <w:tc>
          <w:tcPr>
            <w:tcW w:w="259" w:type="pct"/>
            <w:tcBorders/>
            <w:shd w:val="clear" w:color="auto" w:fill="auto"/>
          </w:tcPr>
          <w:p>
            <w:pPr>
              <w:pStyle w:val="style0"/>
              <w:jc w:val="center"/>
              <w:rPr>
                <w:sz w:val="22"/>
                <w:szCs w:val="22"/>
              </w:rPr>
            </w:pPr>
            <w:r>
              <w:rPr>
                <w:sz w:val="22"/>
                <w:szCs w:val="22"/>
              </w:rPr>
              <w:t>19</w:t>
            </w:r>
          </w:p>
        </w:tc>
        <w:tc>
          <w:tcPr>
            <w:tcW w:w="1907" w:type="pct"/>
            <w:tcBorders/>
            <w:shd w:val="clear" w:color="auto" w:fill="auto"/>
          </w:tcPr>
          <w:p>
            <w:pPr>
              <w:pStyle w:val="style0"/>
              <w:rPr>
                <w:sz w:val="22"/>
                <w:szCs w:val="22"/>
                <w:lang w:val="de-DE"/>
              </w:rPr>
            </w:pPr>
            <w:r>
              <w:rPr>
                <w:sz w:val="22"/>
                <w:szCs w:val="22"/>
                <w:lang w:val="de-DE"/>
              </w:rPr>
              <w:t>OUANDE Adama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75 24 62 34</w:t>
            </w:r>
          </w:p>
        </w:tc>
      </w:tr>
      <w:tr>
        <w:tblPrEx/>
        <w:trPr/>
        <w:tc>
          <w:tcPr>
            <w:tcW w:w="259" w:type="pct"/>
            <w:tcBorders/>
            <w:shd w:val="clear" w:color="auto" w:fill="auto"/>
          </w:tcPr>
          <w:p>
            <w:pPr>
              <w:pStyle w:val="style0"/>
              <w:jc w:val="center"/>
              <w:rPr>
                <w:sz w:val="22"/>
                <w:szCs w:val="22"/>
              </w:rPr>
            </w:pPr>
            <w:r>
              <w:rPr>
                <w:sz w:val="22"/>
                <w:szCs w:val="22"/>
              </w:rPr>
              <w:t>20</w:t>
            </w:r>
          </w:p>
        </w:tc>
        <w:tc>
          <w:tcPr>
            <w:tcW w:w="1907" w:type="pct"/>
            <w:tcBorders/>
            <w:shd w:val="clear" w:color="auto" w:fill="auto"/>
          </w:tcPr>
          <w:p>
            <w:pPr>
              <w:pStyle w:val="style0"/>
              <w:rPr>
                <w:sz w:val="22"/>
                <w:szCs w:val="22"/>
                <w:lang w:val="de-DE"/>
              </w:rPr>
            </w:pPr>
            <w:r>
              <w:rPr>
                <w:sz w:val="22"/>
                <w:szCs w:val="22"/>
                <w:lang w:val="de-DE"/>
              </w:rPr>
              <w:t>SANKARA Karim</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74 60 39 64</w:t>
            </w:r>
          </w:p>
        </w:tc>
      </w:tr>
      <w:tr>
        <w:tblPrEx/>
        <w:trPr/>
        <w:tc>
          <w:tcPr>
            <w:tcW w:w="259" w:type="pct"/>
            <w:tcBorders/>
            <w:shd w:val="clear" w:color="auto" w:fill="auto"/>
          </w:tcPr>
          <w:p>
            <w:pPr>
              <w:pStyle w:val="style0"/>
              <w:jc w:val="center"/>
              <w:rPr>
                <w:sz w:val="22"/>
                <w:szCs w:val="22"/>
              </w:rPr>
            </w:pPr>
            <w:r>
              <w:rPr>
                <w:sz w:val="22"/>
                <w:szCs w:val="22"/>
              </w:rPr>
              <w:t>21</w:t>
            </w:r>
          </w:p>
        </w:tc>
        <w:tc>
          <w:tcPr>
            <w:tcW w:w="1907" w:type="pct"/>
            <w:tcBorders/>
            <w:shd w:val="clear" w:color="auto" w:fill="auto"/>
          </w:tcPr>
          <w:p>
            <w:pPr>
              <w:pStyle w:val="style0"/>
              <w:rPr>
                <w:sz w:val="22"/>
                <w:szCs w:val="22"/>
                <w:lang w:val="de-DE"/>
              </w:rPr>
            </w:pPr>
            <w:r>
              <w:rPr>
                <w:sz w:val="22"/>
                <w:szCs w:val="22"/>
                <w:lang w:val="de-DE"/>
              </w:rPr>
              <w:t>ZANGRE T ABDOULAYE</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 / CVD</w:t>
            </w:r>
          </w:p>
        </w:tc>
        <w:tc>
          <w:tcPr>
            <w:tcW w:w="926" w:type="pct"/>
            <w:tcBorders/>
            <w:shd w:val="clear" w:color="auto" w:fill="auto"/>
          </w:tcPr>
          <w:p>
            <w:pPr>
              <w:pStyle w:val="style0"/>
              <w:jc w:val="center"/>
              <w:rPr>
                <w:sz w:val="22"/>
                <w:szCs w:val="22"/>
              </w:rPr>
            </w:pPr>
            <w:r>
              <w:rPr>
                <w:sz w:val="22"/>
                <w:szCs w:val="22"/>
              </w:rPr>
              <w:t>76 18 20 67</w:t>
            </w:r>
          </w:p>
        </w:tc>
      </w:tr>
      <w:tr>
        <w:tblPrEx/>
        <w:trPr/>
        <w:tc>
          <w:tcPr>
            <w:tcW w:w="259" w:type="pct"/>
            <w:tcBorders/>
            <w:shd w:val="clear" w:color="auto" w:fill="auto"/>
          </w:tcPr>
          <w:p>
            <w:pPr>
              <w:pStyle w:val="style0"/>
              <w:jc w:val="center"/>
              <w:rPr>
                <w:sz w:val="22"/>
                <w:szCs w:val="22"/>
              </w:rPr>
            </w:pPr>
            <w:r>
              <w:rPr>
                <w:sz w:val="22"/>
                <w:szCs w:val="22"/>
              </w:rPr>
              <w:t>22</w:t>
            </w:r>
          </w:p>
        </w:tc>
        <w:tc>
          <w:tcPr>
            <w:tcW w:w="1907" w:type="pct"/>
            <w:tcBorders/>
            <w:shd w:val="clear" w:color="auto" w:fill="auto"/>
          </w:tcPr>
          <w:p>
            <w:pPr>
              <w:pStyle w:val="style0"/>
              <w:rPr>
                <w:sz w:val="22"/>
                <w:szCs w:val="22"/>
                <w:lang w:val="de-DE"/>
              </w:rPr>
            </w:pPr>
            <w:r>
              <w:rPr>
                <w:sz w:val="22"/>
                <w:szCs w:val="22"/>
                <w:lang w:val="de-DE"/>
              </w:rPr>
              <w:t>ZANGRE Adama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75 58 36 46</w:t>
            </w:r>
          </w:p>
        </w:tc>
      </w:tr>
      <w:tr>
        <w:tblPrEx/>
        <w:trPr/>
        <w:tc>
          <w:tcPr>
            <w:tcW w:w="259" w:type="pct"/>
            <w:tcBorders/>
            <w:shd w:val="clear" w:color="auto" w:fill="auto"/>
          </w:tcPr>
          <w:p>
            <w:pPr>
              <w:pStyle w:val="style0"/>
              <w:jc w:val="center"/>
              <w:rPr>
                <w:sz w:val="22"/>
                <w:szCs w:val="22"/>
              </w:rPr>
            </w:pPr>
            <w:r>
              <w:rPr>
                <w:sz w:val="22"/>
                <w:szCs w:val="22"/>
              </w:rPr>
              <w:t>23</w:t>
            </w:r>
          </w:p>
        </w:tc>
        <w:tc>
          <w:tcPr>
            <w:tcW w:w="1907" w:type="pct"/>
            <w:tcBorders/>
            <w:shd w:val="clear" w:color="auto" w:fill="auto"/>
          </w:tcPr>
          <w:p>
            <w:pPr>
              <w:pStyle w:val="style0"/>
              <w:rPr>
                <w:sz w:val="22"/>
                <w:szCs w:val="22"/>
                <w:lang w:val="de-DE"/>
              </w:rPr>
            </w:pPr>
            <w:r>
              <w:rPr>
                <w:sz w:val="22"/>
                <w:szCs w:val="22"/>
                <w:lang w:val="de-DE"/>
              </w:rPr>
              <w:t>PANANDTIGRI Oumarou</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75 08 80 28</w:t>
            </w:r>
          </w:p>
        </w:tc>
      </w:tr>
      <w:tr>
        <w:tblPrEx/>
        <w:trPr/>
        <w:tc>
          <w:tcPr>
            <w:tcW w:w="259" w:type="pct"/>
            <w:tcBorders/>
            <w:shd w:val="clear" w:color="auto" w:fill="auto"/>
          </w:tcPr>
          <w:p>
            <w:pPr>
              <w:pStyle w:val="style0"/>
              <w:jc w:val="center"/>
              <w:rPr>
                <w:sz w:val="22"/>
                <w:szCs w:val="22"/>
              </w:rPr>
            </w:pPr>
            <w:r>
              <w:rPr>
                <w:sz w:val="22"/>
                <w:szCs w:val="22"/>
              </w:rPr>
              <w:t>24</w:t>
            </w:r>
          </w:p>
        </w:tc>
        <w:tc>
          <w:tcPr>
            <w:tcW w:w="1907" w:type="pct"/>
            <w:tcBorders/>
            <w:shd w:val="clear" w:color="auto" w:fill="auto"/>
          </w:tcPr>
          <w:p>
            <w:pPr>
              <w:pStyle w:val="style0"/>
              <w:rPr>
                <w:sz w:val="22"/>
                <w:szCs w:val="22"/>
                <w:lang w:val="de-DE"/>
              </w:rPr>
            </w:pPr>
            <w:r>
              <w:rPr>
                <w:sz w:val="22"/>
                <w:szCs w:val="22"/>
                <w:lang w:val="de-DE"/>
              </w:rPr>
              <w:t>KANSADO Zenabo</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25</w:t>
            </w:r>
          </w:p>
        </w:tc>
        <w:tc>
          <w:tcPr>
            <w:tcW w:w="1907" w:type="pct"/>
            <w:tcBorders/>
            <w:shd w:val="clear" w:color="auto" w:fill="auto"/>
          </w:tcPr>
          <w:p>
            <w:pPr>
              <w:pStyle w:val="style0"/>
              <w:rPr>
                <w:sz w:val="22"/>
                <w:szCs w:val="22"/>
                <w:lang w:val="de-DE"/>
              </w:rPr>
            </w:pPr>
            <w:r>
              <w:rPr>
                <w:sz w:val="22"/>
                <w:szCs w:val="22"/>
                <w:lang w:val="de-DE"/>
              </w:rPr>
              <w:t>OUANDE Boukaré</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Enqueteur de barrage</w:t>
            </w:r>
          </w:p>
        </w:tc>
        <w:tc>
          <w:tcPr>
            <w:tcW w:w="926" w:type="pct"/>
            <w:tcBorders/>
            <w:shd w:val="clear" w:color="auto" w:fill="auto"/>
          </w:tcPr>
          <w:p>
            <w:pPr>
              <w:pStyle w:val="style0"/>
              <w:jc w:val="center"/>
              <w:rPr>
                <w:sz w:val="22"/>
                <w:szCs w:val="22"/>
              </w:rPr>
            </w:pPr>
            <w:r>
              <w:rPr>
                <w:sz w:val="22"/>
                <w:szCs w:val="22"/>
              </w:rPr>
              <w:t>76 41 06 19</w:t>
            </w:r>
          </w:p>
        </w:tc>
      </w:tr>
      <w:tr>
        <w:tblPrEx/>
        <w:trPr/>
        <w:tc>
          <w:tcPr>
            <w:tcW w:w="259" w:type="pct"/>
            <w:tcBorders/>
            <w:shd w:val="clear" w:color="auto" w:fill="auto"/>
          </w:tcPr>
          <w:p>
            <w:pPr>
              <w:pStyle w:val="style0"/>
              <w:jc w:val="center"/>
              <w:rPr>
                <w:sz w:val="22"/>
                <w:szCs w:val="22"/>
              </w:rPr>
            </w:pPr>
            <w:r>
              <w:rPr>
                <w:sz w:val="22"/>
                <w:szCs w:val="22"/>
              </w:rPr>
              <w:t>26</w:t>
            </w:r>
          </w:p>
        </w:tc>
        <w:tc>
          <w:tcPr>
            <w:tcW w:w="1907" w:type="pct"/>
            <w:tcBorders/>
            <w:shd w:val="clear" w:color="auto" w:fill="auto"/>
          </w:tcPr>
          <w:p>
            <w:pPr>
              <w:pStyle w:val="style0"/>
              <w:rPr>
                <w:sz w:val="22"/>
                <w:szCs w:val="22"/>
                <w:lang w:val="de-DE"/>
              </w:rPr>
            </w:pPr>
            <w:r>
              <w:rPr>
                <w:sz w:val="22"/>
                <w:szCs w:val="22"/>
                <w:lang w:val="de-DE"/>
              </w:rPr>
              <w:t>PANANDTIGRI Rasmané</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66 04 44 46</w:t>
            </w:r>
          </w:p>
        </w:tc>
      </w:tr>
      <w:tr>
        <w:tblPrEx/>
        <w:trPr/>
        <w:tc>
          <w:tcPr>
            <w:tcW w:w="259" w:type="pct"/>
            <w:tcBorders/>
            <w:shd w:val="clear" w:color="auto" w:fill="auto"/>
          </w:tcPr>
          <w:p>
            <w:pPr>
              <w:pStyle w:val="style0"/>
              <w:jc w:val="center"/>
              <w:rPr>
                <w:sz w:val="22"/>
                <w:szCs w:val="22"/>
              </w:rPr>
            </w:pPr>
            <w:r>
              <w:rPr>
                <w:sz w:val="22"/>
                <w:szCs w:val="22"/>
              </w:rPr>
              <w:t>27</w:t>
            </w:r>
          </w:p>
        </w:tc>
        <w:tc>
          <w:tcPr>
            <w:tcW w:w="1907" w:type="pct"/>
            <w:tcBorders/>
            <w:shd w:val="clear" w:color="auto" w:fill="auto"/>
          </w:tcPr>
          <w:p>
            <w:pPr>
              <w:pStyle w:val="style0"/>
              <w:rPr>
                <w:sz w:val="22"/>
                <w:szCs w:val="22"/>
                <w:lang w:val="de-DE"/>
              </w:rPr>
            </w:pPr>
            <w:r>
              <w:rPr>
                <w:sz w:val="22"/>
                <w:szCs w:val="22"/>
                <w:lang w:val="de-DE"/>
              </w:rPr>
              <w:t>PANANDTIGRI Madi</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75 78 34 25</w:t>
            </w:r>
          </w:p>
        </w:tc>
      </w:tr>
      <w:tr>
        <w:tblPrEx/>
        <w:trPr/>
        <w:tc>
          <w:tcPr>
            <w:tcW w:w="259" w:type="pct"/>
            <w:tcBorders/>
            <w:shd w:val="clear" w:color="auto" w:fill="auto"/>
          </w:tcPr>
          <w:p>
            <w:pPr>
              <w:pStyle w:val="style0"/>
              <w:jc w:val="center"/>
              <w:rPr>
                <w:sz w:val="22"/>
                <w:szCs w:val="22"/>
              </w:rPr>
            </w:pPr>
            <w:r>
              <w:rPr>
                <w:sz w:val="22"/>
                <w:szCs w:val="22"/>
              </w:rPr>
              <w:t>28</w:t>
            </w:r>
          </w:p>
        </w:tc>
        <w:tc>
          <w:tcPr>
            <w:tcW w:w="1907" w:type="pct"/>
            <w:tcBorders/>
            <w:shd w:val="clear" w:color="auto" w:fill="auto"/>
          </w:tcPr>
          <w:p>
            <w:pPr>
              <w:pStyle w:val="style0"/>
              <w:rPr>
                <w:sz w:val="22"/>
                <w:szCs w:val="22"/>
                <w:lang w:val="de-DE"/>
              </w:rPr>
            </w:pPr>
            <w:r>
              <w:rPr>
                <w:sz w:val="22"/>
                <w:szCs w:val="22"/>
                <w:lang w:val="de-DE"/>
              </w:rPr>
              <w:t>PANADTIGRI Hamado</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Conseiller</w:t>
            </w:r>
          </w:p>
        </w:tc>
        <w:tc>
          <w:tcPr>
            <w:tcW w:w="926" w:type="pct"/>
            <w:tcBorders/>
            <w:shd w:val="clear" w:color="auto" w:fill="auto"/>
          </w:tcPr>
          <w:p>
            <w:pPr>
              <w:pStyle w:val="style0"/>
              <w:jc w:val="center"/>
              <w:rPr>
                <w:sz w:val="22"/>
                <w:szCs w:val="22"/>
              </w:rPr>
            </w:pPr>
            <w:r>
              <w:rPr>
                <w:sz w:val="22"/>
                <w:szCs w:val="22"/>
              </w:rPr>
              <w:t>75 70 34 78</w:t>
            </w:r>
          </w:p>
        </w:tc>
      </w:tr>
      <w:tr>
        <w:tblPrEx/>
        <w:trPr/>
        <w:tc>
          <w:tcPr>
            <w:tcW w:w="259" w:type="pct"/>
            <w:tcBorders/>
            <w:shd w:val="clear" w:color="auto" w:fill="auto"/>
          </w:tcPr>
          <w:p>
            <w:pPr>
              <w:pStyle w:val="style0"/>
              <w:jc w:val="center"/>
              <w:rPr>
                <w:sz w:val="22"/>
                <w:szCs w:val="22"/>
              </w:rPr>
            </w:pPr>
            <w:r>
              <w:rPr>
                <w:sz w:val="22"/>
                <w:szCs w:val="22"/>
              </w:rPr>
              <w:t>29</w:t>
            </w:r>
          </w:p>
        </w:tc>
        <w:tc>
          <w:tcPr>
            <w:tcW w:w="1907" w:type="pct"/>
            <w:tcBorders/>
            <w:shd w:val="clear" w:color="auto" w:fill="auto"/>
          </w:tcPr>
          <w:p>
            <w:pPr>
              <w:pStyle w:val="style0"/>
              <w:rPr>
                <w:sz w:val="22"/>
                <w:szCs w:val="22"/>
                <w:lang w:val="de-DE"/>
              </w:rPr>
            </w:pPr>
            <w:r>
              <w:rPr>
                <w:sz w:val="22"/>
                <w:szCs w:val="22"/>
                <w:lang w:val="de-DE"/>
              </w:rPr>
              <w:t>PANADTIGRI Hamado</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77 44 36 75</w:t>
            </w:r>
          </w:p>
        </w:tc>
      </w:tr>
      <w:tr>
        <w:tblPrEx/>
        <w:trPr/>
        <w:tc>
          <w:tcPr>
            <w:tcW w:w="259" w:type="pct"/>
            <w:tcBorders/>
            <w:shd w:val="clear" w:color="auto" w:fill="auto"/>
          </w:tcPr>
          <w:p>
            <w:pPr>
              <w:pStyle w:val="style0"/>
              <w:jc w:val="center"/>
              <w:rPr>
                <w:sz w:val="22"/>
                <w:szCs w:val="22"/>
              </w:rPr>
            </w:pPr>
            <w:r>
              <w:rPr>
                <w:sz w:val="22"/>
                <w:szCs w:val="22"/>
              </w:rPr>
              <w:t>30</w:t>
            </w:r>
          </w:p>
        </w:tc>
        <w:tc>
          <w:tcPr>
            <w:tcW w:w="1907" w:type="pct"/>
            <w:tcBorders/>
            <w:shd w:val="clear" w:color="auto" w:fill="auto"/>
          </w:tcPr>
          <w:p>
            <w:pPr>
              <w:pStyle w:val="style0"/>
              <w:rPr>
                <w:sz w:val="22"/>
                <w:szCs w:val="22"/>
                <w:lang w:val="de-DE"/>
              </w:rPr>
            </w:pPr>
            <w:r>
              <w:rPr>
                <w:sz w:val="22"/>
                <w:szCs w:val="22"/>
                <w:lang w:val="de-DE"/>
              </w:rPr>
              <w:t>PANADTIGRI Rasmané</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tcPr>
          <w:p>
            <w:pPr>
              <w:pStyle w:val="style0"/>
              <w:jc w:val="center"/>
              <w:rPr>
                <w:sz w:val="22"/>
                <w:szCs w:val="22"/>
              </w:rPr>
            </w:pPr>
            <w:r>
              <w:rPr>
                <w:sz w:val="22"/>
                <w:szCs w:val="22"/>
              </w:rPr>
              <w:t>S/C 77 44 36 75</w:t>
            </w:r>
          </w:p>
        </w:tc>
      </w:tr>
    </w:tbl>
    <w:p>
      <w:pPr>
        <w:pStyle w:val="style0"/>
        <w:rPr>
          <w:sz w:val="22"/>
          <w:szCs w:val="22"/>
        </w:rPr>
      </w:pPr>
    </w:p>
    <w:p>
      <w:pPr>
        <w:pStyle w:val="style0"/>
        <w:rPr>
          <w:sz w:val="22"/>
          <w:szCs w:val="22"/>
        </w:rPr>
      </w:pPr>
    </w:p>
    <w:p>
      <w:pPr>
        <w:pStyle w:val="style0"/>
        <w:rPr>
          <w:b/>
          <w:sz w:val="22"/>
          <w:szCs w:val="22"/>
        </w:rPr>
      </w:pPr>
      <w:r>
        <w:rPr>
          <w:b/>
          <w:sz w:val="22"/>
          <w:szCs w:val="22"/>
        </w:rPr>
        <w:t xml:space="preserve">                 </w:t>
      </w:r>
    </w:p>
    <w:p>
      <w:pPr>
        <w:pStyle w:val="style0"/>
        <w:rPr>
          <w:b/>
          <w:sz w:val="22"/>
          <w:szCs w:val="22"/>
        </w:rPr>
      </w:pPr>
      <w:r>
        <w:rPr>
          <w:b/>
          <w:sz w:val="22"/>
          <w:szCs w:val="22"/>
        </w:rPr>
        <w:br w:type="page"/>
      </w:r>
    </w:p>
    <w:p>
      <w:pPr>
        <w:pStyle w:val="style0"/>
        <w:jc w:val="center"/>
        <w:rPr>
          <w:b/>
          <w:sz w:val="22"/>
          <w:szCs w:val="22"/>
        </w:rPr>
      </w:pPr>
      <w:r>
        <w:rPr>
          <w:b/>
          <w:sz w:val="22"/>
          <w:szCs w:val="22"/>
          <w:u w:val="single"/>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NORD</w:t>
      </w:r>
      <w:r>
        <w:rPr>
          <w:b/>
          <w:sz w:val="22"/>
          <w:szCs w:val="22"/>
        </w:rPr>
        <w:t>…………………………</w:t>
      </w:r>
      <w:r>
        <w:rPr>
          <w:b/>
          <w:sz w:val="22"/>
          <w:szCs w:val="22"/>
          <w:u w:val="dotted"/>
        </w:rPr>
        <w:t>Province</w:t>
      </w:r>
      <w:r>
        <w:rPr>
          <w:b/>
          <w:sz w:val="22"/>
          <w:szCs w:val="22"/>
        </w:rPr>
        <w:t xml:space="preserve"> : </w:t>
      </w:r>
      <w:r>
        <w:rPr>
          <w:b/>
          <w:sz w:val="22"/>
          <w:szCs w:val="22"/>
          <w:u w:val="dotted"/>
        </w:rPr>
        <w:t>PASSORE</w:t>
      </w:r>
      <w:r>
        <w:rPr>
          <w:b/>
          <w:sz w:val="22"/>
          <w:szCs w:val="22"/>
        </w:rPr>
        <w:t>…………………………….</w:t>
      </w:r>
      <w:r>
        <w:rPr>
          <w:b/>
          <w:sz w:val="22"/>
          <w:szCs w:val="22"/>
          <w:u w:val="dotted"/>
        </w:rPr>
        <w:t>Commune</w:t>
      </w:r>
      <w:r>
        <w:rPr>
          <w:b/>
          <w:sz w:val="22"/>
          <w:szCs w:val="22"/>
        </w:rPr>
        <w:t xml:space="preserve"> : </w:t>
      </w:r>
      <w:r>
        <w:rPr>
          <w:b/>
          <w:sz w:val="22"/>
          <w:szCs w:val="22"/>
          <w:u w:val="dotted"/>
        </w:rPr>
        <w:t>KIRSI</w:t>
      </w:r>
      <w:r>
        <w:rPr>
          <w:b/>
          <w:sz w:val="22"/>
          <w:szCs w:val="22"/>
        </w:rPr>
        <w:t>…………………………..</w:t>
      </w:r>
    </w:p>
    <w:p>
      <w:pPr>
        <w:pStyle w:val="style0"/>
        <w:rPr>
          <w:b/>
          <w:sz w:val="22"/>
          <w:szCs w:val="22"/>
        </w:rPr>
      </w:pPr>
      <w:r>
        <w:rPr>
          <w:b/>
          <w:sz w:val="22"/>
          <w:szCs w:val="22"/>
        </w:rPr>
        <w:t xml:space="preserve">Village : DOUROU………………………….Date : ………..08/01/2019 …………… Groupes cibles : Producteurs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338"/>
        <w:gridCol w:w="837"/>
        <w:gridCol w:w="4500"/>
        <w:gridCol w:w="2591"/>
      </w:tblGrid>
      <w:tr>
        <w:trPr/>
        <w:tc>
          <w:tcPr>
            <w:tcW w:w="259" w:type="pct"/>
            <w:tcBorders/>
            <w:shd w:val="clear" w:color="auto" w:fill="d9d9d9"/>
            <w:vAlign w:val="center"/>
          </w:tcPr>
          <w:p>
            <w:pPr>
              <w:pStyle w:val="style0"/>
              <w:jc w:val="center"/>
              <w:rPr>
                <w:b/>
                <w:sz w:val="22"/>
                <w:szCs w:val="22"/>
              </w:rPr>
            </w:pPr>
            <w:r>
              <w:rPr>
                <w:b/>
                <w:sz w:val="22"/>
                <w:szCs w:val="22"/>
              </w:rPr>
              <w:t>N°</w:t>
            </w:r>
          </w:p>
        </w:tc>
        <w:tc>
          <w:tcPr>
            <w:tcW w:w="1907" w:type="pct"/>
            <w:tcBorders/>
            <w:shd w:val="clear" w:color="auto" w:fill="d9d9d9"/>
            <w:vAlign w:val="center"/>
          </w:tcPr>
          <w:p>
            <w:pPr>
              <w:pStyle w:val="style0"/>
              <w:jc w:val="center"/>
              <w:rPr>
                <w:b/>
                <w:sz w:val="22"/>
                <w:szCs w:val="22"/>
              </w:rPr>
            </w:pPr>
            <w:r>
              <w:rPr>
                <w:b/>
                <w:sz w:val="22"/>
                <w:szCs w:val="22"/>
              </w:rPr>
              <w:t>Nom et prénom (s)</w:t>
            </w:r>
          </w:p>
        </w:tc>
        <w:tc>
          <w:tcPr>
            <w:tcW w:w="299" w:type="pct"/>
            <w:tcBorders/>
            <w:shd w:val="clear" w:color="auto" w:fill="d9d9d9"/>
            <w:vAlign w:val="center"/>
          </w:tcPr>
          <w:p>
            <w:pPr>
              <w:pStyle w:val="style0"/>
              <w:jc w:val="center"/>
              <w:rPr>
                <w:b/>
                <w:sz w:val="22"/>
                <w:szCs w:val="22"/>
              </w:rPr>
            </w:pPr>
            <w:r>
              <w:rPr>
                <w:b/>
                <w:sz w:val="22"/>
                <w:szCs w:val="22"/>
              </w:rPr>
              <w:t>Sexe</w:t>
            </w:r>
          </w:p>
        </w:tc>
        <w:tc>
          <w:tcPr>
            <w:tcW w:w="1608" w:type="pct"/>
            <w:tcBorders/>
            <w:shd w:val="clear" w:color="auto" w:fill="d9d9d9"/>
            <w:vAlign w:val="center"/>
          </w:tcPr>
          <w:p>
            <w:pPr>
              <w:pStyle w:val="style0"/>
              <w:jc w:val="center"/>
              <w:rPr>
                <w:b/>
                <w:sz w:val="22"/>
                <w:szCs w:val="22"/>
              </w:rPr>
            </w:pPr>
            <w:r>
              <w:rPr>
                <w:b/>
                <w:sz w:val="22"/>
                <w:szCs w:val="22"/>
              </w:rPr>
              <w:t>Structure / Professi</w:t>
            </w:r>
            <w:r>
              <w:rPr>
                <w:b/>
                <w:sz w:val="22"/>
                <w:szCs w:val="22"/>
              </w:rPr>
              <w:t>on</w:t>
            </w:r>
          </w:p>
        </w:tc>
        <w:tc>
          <w:tcPr>
            <w:tcW w:w="926" w:type="pct"/>
            <w:tcBorders/>
            <w:shd w:val="clear" w:color="auto" w:fill="d9d9d9"/>
            <w:vAlign w:val="center"/>
          </w:tcPr>
          <w:p>
            <w:pPr>
              <w:pStyle w:val="style0"/>
              <w:jc w:val="center"/>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DIANDA Rakieta</w:t>
            </w:r>
          </w:p>
        </w:tc>
        <w:tc>
          <w:tcPr>
            <w:tcW w:w="299" w:type="pct"/>
            <w:tcBorders/>
            <w:shd w:val="clear" w:color="auto" w:fill="auto"/>
          </w:tcPr>
          <w:p>
            <w:pPr>
              <w:pStyle w:val="style0"/>
              <w:jc w:val="center"/>
              <w:rPr>
                <w:sz w:val="22"/>
                <w:szCs w:val="22"/>
              </w:rPr>
            </w:pPr>
            <w:r>
              <w:rPr>
                <w:sz w:val="22"/>
                <w:szCs w:val="22"/>
              </w:rPr>
              <w:t>F</w:t>
            </w:r>
          </w:p>
        </w:tc>
        <w:tc>
          <w:tcPr>
            <w:tcW w:w="1608" w:type="pct"/>
            <w:tcBorders/>
            <w:shd w:val="clear" w:color="auto" w:fill="auto"/>
          </w:tcPr>
          <w:p>
            <w:pPr>
              <w:pStyle w:val="style0"/>
              <w:rPr>
                <w:sz w:val="22"/>
                <w:szCs w:val="22"/>
              </w:rPr>
            </w:pPr>
            <w:r>
              <w:rPr>
                <w:sz w:val="22"/>
                <w:szCs w:val="22"/>
              </w:rPr>
              <w:t xml:space="preserve">Ménagère </w:t>
            </w:r>
          </w:p>
        </w:tc>
        <w:tc>
          <w:tcPr>
            <w:tcW w:w="926"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lang w:val="de-DE"/>
              </w:rPr>
            </w:pPr>
            <w:r>
              <w:rPr>
                <w:sz w:val="22"/>
                <w:szCs w:val="22"/>
                <w:lang w:val="de-DE"/>
              </w:rPr>
              <w:t>PANANDTIGRI Moussa</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vAlign w:val="center"/>
          </w:tcPr>
          <w:p>
            <w:pPr>
              <w:pStyle w:val="style0"/>
              <w:jc w:val="center"/>
              <w:rPr>
                <w:sz w:val="22"/>
                <w:szCs w:val="22"/>
              </w:rPr>
            </w:pPr>
            <w:r>
              <w:rPr>
                <w:sz w:val="22"/>
                <w:szCs w:val="22"/>
              </w:rPr>
              <w:t>03</w:t>
            </w:r>
          </w:p>
        </w:tc>
        <w:tc>
          <w:tcPr>
            <w:tcW w:w="1907" w:type="pct"/>
            <w:tcBorders/>
            <w:shd w:val="clear" w:color="auto" w:fill="auto"/>
            <w:vAlign w:val="center"/>
          </w:tcPr>
          <w:p>
            <w:pPr>
              <w:pStyle w:val="style0"/>
              <w:rPr>
                <w:sz w:val="22"/>
                <w:szCs w:val="22"/>
                <w:lang w:val="de-DE"/>
              </w:rPr>
            </w:pPr>
            <w:r>
              <w:rPr>
                <w:sz w:val="22"/>
                <w:szCs w:val="22"/>
                <w:lang w:val="de-DE"/>
              </w:rPr>
              <w:t>PANANDTIGRI Boukaré</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75 02 13 96</w:t>
            </w:r>
          </w:p>
        </w:tc>
      </w:tr>
      <w:tr>
        <w:tblPrEx/>
        <w:trPr/>
        <w:tc>
          <w:tcPr>
            <w:tcW w:w="259" w:type="pct"/>
            <w:tcBorders/>
            <w:shd w:val="clear" w:color="auto" w:fill="auto"/>
            <w:vAlign w:val="center"/>
          </w:tcPr>
          <w:p>
            <w:pPr>
              <w:pStyle w:val="style0"/>
              <w:jc w:val="center"/>
              <w:rPr>
                <w:sz w:val="22"/>
                <w:szCs w:val="22"/>
              </w:rPr>
            </w:pPr>
            <w:r>
              <w:rPr>
                <w:sz w:val="22"/>
                <w:szCs w:val="22"/>
              </w:rPr>
              <w:t>04</w:t>
            </w:r>
          </w:p>
        </w:tc>
        <w:tc>
          <w:tcPr>
            <w:tcW w:w="1907" w:type="pct"/>
            <w:tcBorders/>
            <w:shd w:val="clear" w:color="auto" w:fill="auto"/>
            <w:vAlign w:val="center"/>
          </w:tcPr>
          <w:p>
            <w:pPr>
              <w:pStyle w:val="style0"/>
              <w:rPr>
                <w:sz w:val="22"/>
                <w:szCs w:val="22"/>
                <w:lang w:val="de-DE"/>
              </w:rPr>
            </w:pPr>
            <w:r>
              <w:rPr>
                <w:sz w:val="22"/>
                <w:szCs w:val="22"/>
                <w:lang w:val="de-DE"/>
              </w:rPr>
              <w:t>OUAND</w:t>
            </w:r>
            <w:r>
              <w:rPr>
                <w:sz w:val="22"/>
                <w:szCs w:val="22"/>
                <w:lang w:val="de-DE"/>
              </w:rPr>
              <w:t>E Rasmané</w:t>
            </w:r>
          </w:p>
        </w:tc>
        <w:tc>
          <w:tcPr>
            <w:tcW w:w="299" w:type="pct"/>
            <w:tcBorders/>
            <w:shd w:val="clear" w:color="auto" w:fill="auto"/>
          </w:tcPr>
          <w:p>
            <w:pPr>
              <w:pStyle w:val="style0"/>
              <w:jc w:val="center"/>
              <w:rPr>
                <w:sz w:val="22"/>
                <w:szCs w:val="22"/>
              </w:rPr>
            </w:pPr>
            <w:r>
              <w:rPr>
                <w:sz w:val="22"/>
                <w:szCs w:val="22"/>
              </w:rPr>
              <w:t>M</w:t>
            </w:r>
          </w:p>
        </w:tc>
        <w:tc>
          <w:tcPr>
            <w:tcW w:w="1608" w:type="pct"/>
            <w:tcBorders/>
            <w:shd w:val="clear" w:color="auto" w:fill="auto"/>
          </w:tcPr>
          <w:p>
            <w:pPr>
              <w:pStyle w:val="style0"/>
              <w:rPr>
                <w:sz w:val="22"/>
                <w:szCs w:val="22"/>
              </w:rPr>
            </w:pPr>
            <w:r>
              <w:rPr>
                <w:sz w:val="22"/>
                <w:szCs w:val="22"/>
              </w:rPr>
              <w:t>Cultivateur</w:t>
            </w:r>
          </w:p>
        </w:tc>
        <w:tc>
          <w:tcPr>
            <w:tcW w:w="926" w:type="pct"/>
            <w:tcBorders/>
            <w:shd w:val="clear" w:color="auto" w:fill="auto"/>
            <w:vAlign w:val="center"/>
          </w:tcPr>
          <w:p>
            <w:pPr>
              <w:pStyle w:val="style0"/>
              <w:jc w:val="center"/>
              <w:rPr>
                <w:sz w:val="22"/>
                <w:szCs w:val="22"/>
              </w:rPr>
            </w:pPr>
            <w:r>
              <w:rPr>
                <w:sz w:val="22"/>
                <w:szCs w:val="22"/>
              </w:rPr>
              <w:t>56 44 02 34</w:t>
            </w:r>
          </w:p>
        </w:tc>
      </w:tr>
    </w:tbl>
    <w:p>
      <w:pPr>
        <w:pStyle w:val="style0"/>
        <w:rPr>
          <w:sz w:val="22"/>
          <w:szCs w:val="22"/>
        </w:rPr>
      </w:pPr>
    </w:p>
    <w:p>
      <w:pPr>
        <w:pStyle w:val="style0"/>
        <w:rPr>
          <w:b/>
          <w:sz w:val="22"/>
          <w:szCs w:val="22"/>
        </w:rPr>
      </w:pPr>
    </w:p>
    <w:p>
      <w:pPr>
        <w:pStyle w:val="style0"/>
        <w:spacing w:after="52"/>
        <w:jc w:val="both"/>
        <w:rPr>
          <w:b/>
          <w:sz w:val="22"/>
          <w:szCs w:val="22"/>
        </w:rPr>
      </w:pPr>
      <w:r>
        <w:rPr>
          <w:b/>
          <w:sz w:val="22"/>
          <w:szCs w:val="22"/>
        </w:rPr>
        <w:t xml:space="preserve">                     </w:t>
      </w:r>
    </w:p>
    <w:p>
      <w:pPr>
        <w:pStyle w:val="style0"/>
        <w:rPr>
          <w:b/>
          <w:sz w:val="22"/>
          <w:szCs w:val="22"/>
        </w:rPr>
      </w:pPr>
      <w:r>
        <w:rPr>
          <w:b/>
          <w:sz w:val="22"/>
          <w:szCs w:val="22"/>
        </w:rPr>
        <w:br w:type="page"/>
      </w:r>
    </w:p>
    <w:p>
      <w:pPr>
        <w:pStyle w:val="style0"/>
        <w:spacing w:after="52"/>
        <w:jc w:val="center"/>
        <w:rPr>
          <w:b/>
          <w:sz w:val="22"/>
          <w:szCs w:val="22"/>
          <w:u w:val="dotted"/>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rPr>
          <w:b/>
          <w:sz w:val="22"/>
          <w:szCs w:val="22"/>
        </w:rPr>
      </w:pP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CASCCADES</w:t>
      </w:r>
      <w:r>
        <w:rPr>
          <w:b/>
          <w:sz w:val="22"/>
          <w:szCs w:val="22"/>
        </w:rPr>
        <w:t>…………………………</w:t>
      </w:r>
      <w:r>
        <w:rPr>
          <w:b/>
          <w:sz w:val="22"/>
          <w:szCs w:val="22"/>
          <w:u w:val="dotted"/>
        </w:rPr>
        <w:t>Province</w:t>
      </w:r>
      <w:r>
        <w:rPr>
          <w:b/>
          <w:sz w:val="22"/>
          <w:szCs w:val="22"/>
        </w:rPr>
        <w:t xml:space="preserve"> : </w:t>
      </w:r>
      <w:r>
        <w:rPr>
          <w:b/>
          <w:sz w:val="22"/>
          <w:szCs w:val="22"/>
          <w:u w:val="dotted"/>
        </w:rPr>
        <w:t>LERABA</w:t>
      </w:r>
      <w:r>
        <w:rPr>
          <w:b/>
          <w:sz w:val="22"/>
          <w:szCs w:val="22"/>
        </w:rPr>
        <w:t>…………………………….</w:t>
      </w:r>
      <w:r>
        <w:rPr>
          <w:b/>
          <w:sz w:val="22"/>
          <w:szCs w:val="22"/>
          <w:u w:val="dotted"/>
        </w:rPr>
        <w:t>Commune</w:t>
      </w:r>
      <w:r>
        <w:rPr>
          <w:b/>
          <w:sz w:val="22"/>
          <w:szCs w:val="22"/>
        </w:rPr>
        <w:t xml:space="preserve"> : </w:t>
      </w:r>
      <w:r>
        <w:rPr>
          <w:b/>
          <w:sz w:val="22"/>
          <w:szCs w:val="22"/>
          <w:u w:val="dotted"/>
        </w:rPr>
        <w:t>SINDOU/DOUNA</w:t>
      </w:r>
      <w:r>
        <w:rPr>
          <w:b/>
          <w:sz w:val="22"/>
          <w:szCs w:val="22"/>
        </w:rPr>
        <w:t>…………………………..</w:t>
      </w:r>
    </w:p>
    <w:p>
      <w:pPr>
        <w:pStyle w:val="style0"/>
        <w:rPr>
          <w:b/>
          <w:sz w:val="22"/>
          <w:szCs w:val="22"/>
        </w:rPr>
      </w:pPr>
      <w:r>
        <w:rPr>
          <w:b/>
          <w:sz w:val="22"/>
          <w:szCs w:val="22"/>
        </w:rPr>
        <w:t xml:space="preserve">Village : </w:t>
      </w:r>
      <w:r>
        <w:rPr>
          <w:b/>
          <w:sz w:val="22"/>
          <w:szCs w:val="22"/>
          <w:u w:val="dotted"/>
        </w:rPr>
        <w:t>SINDOU/DOUNA</w:t>
      </w:r>
      <w:r>
        <w:rPr>
          <w:b/>
          <w:sz w:val="22"/>
          <w:szCs w:val="22"/>
        </w:rPr>
        <w:t xml:space="preserve">………………………….Date : </w:t>
      </w:r>
      <w:r>
        <w:rPr>
          <w:b/>
          <w:sz w:val="22"/>
          <w:szCs w:val="22"/>
          <w:u w:val="dotted"/>
        </w:rPr>
        <w:t>07+08/01/2019</w:t>
      </w:r>
      <w:r>
        <w:rPr>
          <w:b/>
          <w:sz w:val="22"/>
          <w:szCs w:val="22"/>
        </w:rPr>
        <w:t>…………………Groupes cibles : Services techniques, Mairie/Préfectures…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362"/>
        <w:gridCol w:w="840"/>
        <w:gridCol w:w="4673"/>
        <w:gridCol w:w="2449"/>
      </w:tblGrid>
      <w:tr>
        <w:trPr>
          <w:tblHeader/>
        </w:trPr>
        <w:tc>
          <w:tcPr>
            <w:tcW w:w="239" w:type="pct"/>
            <w:tcBorders/>
            <w:shd w:val="clear" w:color="auto" w:fill="d9d9d9"/>
            <w:vAlign w:val="center"/>
          </w:tcPr>
          <w:p>
            <w:pPr>
              <w:pStyle w:val="style0"/>
              <w:jc w:val="center"/>
              <w:rPr>
                <w:b/>
                <w:sz w:val="22"/>
                <w:szCs w:val="22"/>
              </w:rPr>
            </w:pPr>
            <w:r>
              <w:rPr>
                <w:b/>
                <w:sz w:val="22"/>
                <w:szCs w:val="22"/>
              </w:rPr>
              <w:t>N°</w:t>
            </w:r>
          </w:p>
        </w:tc>
        <w:tc>
          <w:tcPr>
            <w:tcW w:w="1916" w:type="pct"/>
            <w:tcBorders/>
            <w:shd w:val="clear" w:color="auto" w:fill="d9d9d9"/>
            <w:vAlign w:val="center"/>
          </w:tcPr>
          <w:p>
            <w:pPr>
              <w:pStyle w:val="style0"/>
              <w:jc w:val="center"/>
              <w:rPr>
                <w:b/>
                <w:sz w:val="22"/>
                <w:szCs w:val="22"/>
              </w:rPr>
            </w:pPr>
            <w:r>
              <w:rPr>
                <w:b/>
                <w:sz w:val="22"/>
                <w:szCs w:val="22"/>
              </w:rPr>
              <w:t>Nom et prénom (s)</w:t>
            </w:r>
          </w:p>
        </w:tc>
        <w:tc>
          <w:tcPr>
            <w:tcW w:w="300" w:type="pct"/>
            <w:tcBorders/>
            <w:shd w:val="clear" w:color="auto" w:fill="d9d9d9"/>
            <w:vAlign w:val="center"/>
          </w:tcPr>
          <w:p>
            <w:pPr>
              <w:pStyle w:val="style0"/>
              <w:jc w:val="center"/>
              <w:rPr>
                <w:b/>
                <w:sz w:val="22"/>
                <w:szCs w:val="22"/>
              </w:rPr>
            </w:pPr>
            <w:r>
              <w:rPr>
                <w:b/>
                <w:sz w:val="22"/>
                <w:szCs w:val="22"/>
              </w:rPr>
              <w:t>Sexe</w:t>
            </w:r>
          </w:p>
        </w:tc>
        <w:tc>
          <w:tcPr>
            <w:tcW w:w="1670" w:type="pct"/>
            <w:tcBorders/>
            <w:shd w:val="clear" w:color="auto" w:fill="d9d9d9"/>
            <w:vAlign w:val="center"/>
          </w:tcPr>
          <w:p>
            <w:pPr>
              <w:pStyle w:val="style0"/>
              <w:jc w:val="center"/>
              <w:rPr>
                <w:b/>
                <w:sz w:val="22"/>
                <w:szCs w:val="22"/>
              </w:rPr>
            </w:pPr>
            <w:r>
              <w:rPr>
                <w:b/>
                <w:sz w:val="22"/>
                <w:szCs w:val="22"/>
              </w:rPr>
              <w:t>Profession</w:t>
            </w:r>
          </w:p>
        </w:tc>
        <w:tc>
          <w:tcPr>
            <w:tcW w:w="876" w:type="pct"/>
            <w:tcBorders/>
            <w:shd w:val="clear" w:color="auto" w:fill="d9d9d9"/>
            <w:vAlign w:val="center"/>
          </w:tcPr>
          <w:p>
            <w:pPr>
              <w:pStyle w:val="style0"/>
              <w:jc w:val="center"/>
              <w:rPr>
                <w:b/>
                <w:sz w:val="22"/>
                <w:szCs w:val="22"/>
              </w:rPr>
            </w:pPr>
            <w:r>
              <w:rPr>
                <w:b/>
                <w:sz w:val="22"/>
                <w:szCs w:val="22"/>
              </w:rPr>
              <w:t>Téléphone</w:t>
            </w:r>
          </w:p>
        </w:tc>
      </w:tr>
      <w:tr>
        <w:tblPrEx/>
        <w:trPr/>
        <w:tc>
          <w:tcPr>
            <w:tcW w:w="239" w:type="pct"/>
            <w:tcBorders/>
            <w:shd w:val="clear" w:color="auto" w:fill="auto"/>
            <w:vAlign w:val="center"/>
          </w:tcPr>
          <w:p>
            <w:pPr>
              <w:pStyle w:val="style0"/>
              <w:jc w:val="center"/>
              <w:rPr>
                <w:sz w:val="22"/>
                <w:szCs w:val="22"/>
              </w:rPr>
            </w:pPr>
            <w:r>
              <w:rPr>
                <w:sz w:val="22"/>
                <w:szCs w:val="22"/>
              </w:rPr>
              <w:t>01</w:t>
            </w:r>
          </w:p>
        </w:tc>
        <w:tc>
          <w:tcPr>
            <w:tcW w:w="1916" w:type="pct"/>
            <w:tcBorders/>
            <w:shd w:val="clear" w:color="auto" w:fill="auto"/>
            <w:vAlign w:val="center"/>
          </w:tcPr>
          <w:p>
            <w:pPr>
              <w:pStyle w:val="style0"/>
              <w:rPr>
                <w:sz w:val="22"/>
                <w:szCs w:val="22"/>
              </w:rPr>
            </w:pPr>
            <w:r>
              <w:rPr>
                <w:sz w:val="22"/>
                <w:szCs w:val="22"/>
              </w:rPr>
              <w:t>TRAORE Louis</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DPAAH-LRB/Chef SPPER</w:t>
            </w:r>
          </w:p>
        </w:tc>
        <w:tc>
          <w:tcPr>
            <w:tcW w:w="876" w:type="pct"/>
            <w:tcBorders/>
            <w:shd w:val="clear" w:color="auto" w:fill="auto"/>
            <w:vAlign w:val="center"/>
          </w:tcPr>
          <w:p>
            <w:pPr>
              <w:pStyle w:val="style0"/>
              <w:jc w:val="center"/>
              <w:rPr>
                <w:sz w:val="22"/>
                <w:szCs w:val="22"/>
              </w:rPr>
            </w:pPr>
            <w:r>
              <w:rPr>
                <w:sz w:val="22"/>
                <w:szCs w:val="22"/>
              </w:rPr>
              <w:t>70 30 33 18</w:t>
            </w:r>
          </w:p>
        </w:tc>
      </w:tr>
      <w:tr>
        <w:tblPrEx/>
        <w:trPr/>
        <w:tc>
          <w:tcPr>
            <w:tcW w:w="239" w:type="pct"/>
            <w:tcBorders/>
            <w:shd w:val="clear" w:color="auto" w:fill="auto"/>
            <w:vAlign w:val="center"/>
          </w:tcPr>
          <w:p>
            <w:pPr>
              <w:pStyle w:val="style0"/>
              <w:jc w:val="center"/>
              <w:rPr>
                <w:sz w:val="22"/>
                <w:szCs w:val="22"/>
              </w:rPr>
            </w:pPr>
            <w:r>
              <w:rPr>
                <w:sz w:val="22"/>
                <w:szCs w:val="22"/>
              </w:rPr>
              <w:t>02</w:t>
            </w:r>
          </w:p>
        </w:tc>
        <w:tc>
          <w:tcPr>
            <w:tcW w:w="1916" w:type="pct"/>
            <w:tcBorders/>
            <w:shd w:val="clear" w:color="auto" w:fill="auto"/>
            <w:vAlign w:val="center"/>
          </w:tcPr>
          <w:p>
            <w:pPr>
              <w:pStyle w:val="style0"/>
              <w:rPr>
                <w:sz w:val="22"/>
                <w:szCs w:val="22"/>
              </w:rPr>
            </w:pPr>
            <w:r>
              <w:rPr>
                <w:sz w:val="22"/>
                <w:szCs w:val="22"/>
              </w:rPr>
              <w:t>SERE Fousseni</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DPAAH-LRB/Agent SPFOMR</w:t>
            </w:r>
          </w:p>
        </w:tc>
        <w:tc>
          <w:tcPr>
            <w:tcW w:w="876" w:type="pct"/>
            <w:tcBorders/>
            <w:shd w:val="clear" w:color="auto" w:fill="auto"/>
            <w:vAlign w:val="center"/>
          </w:tcPr>
          <w:p>
            <w:pPr>
              <w:pStyle w:val="style0"/>
              <w:jc w:val="center"/>
              <w:rPr>
                <w:sz w:val="22"/>
                <w:szCs w:val="22"/>
              </w:rPr>
            </w:pPr>
            <w:r>
              <w:rPr>
                <w:sz w:val="22"/>
                <w:szCs w:val="22"/>
              </w:rPr>
              <w:t>70 02 03 67</w:t>
            </w:r>
          </w:p>
        </w:tc>
      </w:tr>
      <w:tr>
        <w:tblPrEx/>
        <w:trPr/>
        <w:tc>
          <w:tcPr>
            <w:tcW w:w="239" w:type="pct"/>
            <w:tcBorders/>
            <w:shd w:val="clear" w:color="auto" w:fill="auto"/>
            <w:vAlign w:val="center"/>
          </w:tcPr>
          <w:p>
            <w:pPr>
              <w:pStyle w:val="style0"/>
              <w:jc w:val="center"/>
              <w:rPr>
                <w:sz w:val="22"/>
                <w:szCs w:val="22"/>
              </w:rPr>
            </w:pPr>
            <w:r>
              <w:rPr>
                <w:sz w:val="22"/>
                <w:szCs w:val="22"/>
              </w:rPr>
              <w:t>03</w:t>
            </w:r>
          </w:p>
        </w:tc>
        <w:tc>
          <w:tcPr>
            <w:tcW w:w="1916" w:type="pct"/>
            <w:tcBorders/>
            <w:shd w:val="clear" w:color="auto" w:fill="auto"/>
            <w:vAlign w:val="center"/>
          </w:tcPr>
          <w:p>
            <w:pPr>
              <w:pStyle w:val="style0"/>
              <w:rPr>
                <w:sz w:val="22"/>
                <w:szCs w:val="22"/>
              </w:rPr>
            </w:pPr>
            <w:r>
              <w:rPr>
                <w:sz w:val="22"/>
                <w:szCs w:val="22"/>
              </w:rPr>
              <w:t>KIENTEGA/OUEDRAOGO Adjara</w:t>
            </w:r>
          </w:p>
        </w:tc>
        <w:tc>
          <w:tcPr>
            <w:tcW w:w="300" w:type="pct"/>
            <w:tcBorders/>
            <w:shd w:val="clear" w:color="auto" w:fill="auto"/>
          </w:tcPr>
          <w:p>
            <w:pPr>
              <w:pStyle w:val="style0"/>
              <w:jc w:val="center"/>
              <w:rPr>
                <w:sz w:val="22"/>
                <w:szCs w:val="22"/>
              </w:rPr>
            </w:pPr>
            <w:r>
              <w:rPr>
                <w:sz w:val="22"/>
                <w:szCs w:val="22"/>
              </w:rPr>
              <w:t>F</w:t>
            </w:r>
          </w:p>
        </w:tc>
        <w:tc>
          <w:tcPr>
            <w:tcW w:w="1670" w:type="pct"/>
            <w:tcBorders/>
            <w:shd w:val="clear" w:color="auto" w:fill="auto"/>
            <w:vAlign w:val="center"/>
          </w:tcPr>
          <w:p>
            <w:pPr>
              <w:pStyle w:val="style0"/>
              <w:rPr>
                <w:sz w:val="22"/>
                <w:szCs w:val="22"/>
              </w:rPr>
            </w:pPr>
            <w:r>
              <w:rPr>
                <w:sz w:val="22"/>
                <w:szCs w:val="22"/>
              </w:rPr>
              <w:t>HAUT-COMMISSAIRE LERABA</w:t>
            </w:r>
          </w:p>
        </w:tc>
        <w:tc>
          <w:tcPr>
            <w:tcW w:w="876" w:type="pct"/>
            <w:tcBorders/>
            <w:shd w:val="clear" w:color="auto" w:fill="auto"/>
            <w:vAlign w:val="center"/>
          </w:tcPr>
          <w:p>
            <w:pPr>
              <w:pStyle w:val="style0"/>
              <w:jc w:val="center"/>
              <w:rPr>
                <w:sz w:val="22"/>
                <w:szCs w:val="22"/>
              </w:rPr>
            </w:pPr>
            <w:r>
              <w:rPr>
                <w:sz w:val="22"/>
                <w:szCs w:val="22"/>
              </w:rPr>
              <w:t>60 74 44 37</w:t>
            </w:r>
          </w:p>
        </w:tc>
      </w:tr>
      <w:tr>
        <w:tblPrEx/>
        <w:trPr/>
        <w:tc>
          <w:tcPr>
            <w:tcW w:w="239" w:type="pct"/>
            <w:tcBorders/>
            <w:shd w:val="clear" w:color="auto" w:fill="auto"/>
            <w:vAlign w:val="center"/>
          </w:tcPr>
          <w:p>
            <w:pPr>
              <w:pStyle w:val="style0"/>
              <w:jc w:val="center"/>
              <w:rPr>
                <w:sz w:val="22"/>
                <w:szCs w:val="22"/>
              </w:rPr>
            </w:pPr>
            <w:r>
              <w:rPr>
                <w:sz w:val="22"/>
                <w:szCs w:val="22"/>
              </w:rPr>
              <w:t>04</w:t>
            </w:r>
          </w:p>
        </w:tc>
        <w:tc>
          <w:tcPr>
            <w:tcW w:w="1916" w:type="pct"/>
            <w:tcBorders/>
            <w:shd w:val="clear" w:color="auto" w:fill="auto"/>
            <w:vAlign w:val="center"/>
          </w:tcPr>
          <w:p>
            <w:pPr>
              <w:pStyle w:val="style0"/>
              <w:rPr>
                <w:sz w:val="22"/>
                <w:szCs w:val="22"/>
              </w:rPr>
            </w:pPr>
            <w:r>
              <w:rPr>
                <w:sz w:val="22"/>
                <w:szCs w:val="22"/>
              </w:rPr>
              <w:t>MILLOGO Moussa</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DPRAH-LERABA</w:t>
            </w:r>
          </w:p>
        </w:tc>
        <w:tc>
          <w:tcPr>
            <w:tcW w:w="876" w:type="pct"/>
            <w:tcBorders/>
            <w:shd w:val="clear" w:color="auto" w:fill="auto"/>
            <w:vAlign w:val="center"/>
          </w:tcPr>
          <w:p>
            <w:pPr>
              <w:pStyle w:val="style0"/>
              <w:jc w:val="center"/>
              <w:rPr>
                <w:sz w:val="22"/>
                <w:szCs w:val="22"/>
              </w:rPr>
            </w:pPr>
            <w:r>
              <w:rPr>
                <w:sz w:val="22"/>
                <w:szCs w:val="22"/>
              </w:rPr>
              <w:t>70 06 31 45</w:t>
            </w:r>
          </w:p>
        </w:tc>
      </w:tr>
      <w:tr>
        <w:tblPrEx/>
        <w:trPr/>
        <w:tc>
          <w:tcPr>
            <w:tcW w:w="239" w:type="pct"/>
            <w:tcBorders/>
            <w:shd w:val="clear" w:color="auto" w:fill="auto"/>
            <w:vAlign w:val="center"/>
          </w:tcPr>
          <w:p>
            <w:pPr>
              <w:pStyle w:val="style0"/>
              <w:jc w:val="center"/>
              <w:rPr>
                <w:sz w:val="22"/>
                <w:szCs w:val="22"/>
              </w:rPr>
            </w:pPr>
            <w:r>
              <w:rPr>
                <w:sz w:val="22"/>
                <w:szCs w:val="22"/>
              </w:rPr>
              <w:t>05</w:t>
            </w:r>
          </w:p>
        </w:tc>
        <w:tc>
          <w:tcPr>
            <w:tcW w:w="1916" w:type="pct"/>
            <w:tcBorders/>
            <w:shd w:val="clear" w:color="auto" w:fill="auto"/>
            <w:vAlign w:val="center"/>
          </w:tcPr>
          <w:p>
            <w:pPr>
              <w:pStyle w:val="style0"/>
              <w:rPr>
                <w:sz w:val="22"/>
                <w:szCs w:val="22"/>
              </w:rPr>
            </w:pPr>
            <w:r>
              <w:rPr>
                <w:sz w:val="22"/>
                <w:szCs w:val="22"/>
              </w:rPr>
              <w:t>TRAORE Foé André Joseph B</w:t>
            </w:r>
            <w:r>
              <w:rPr>
                <w:sz w:val="22"/>
                <w:szCs w:val="22"/>
              </w:rPr>
              <w:t>onaventure</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DPEEVCC-LRB/Directeur Provincial</w:t>
            </w:r>
          </w:p>
        </w:tc>
        <w:tc>
          <w:tcPr>
            <w:tcW w:w="876" w:type="pct"/>
            <w:tcBorders/>
            <w:shd w:val="clear" w:color="auto" w:fill="auto"/>
            <w:vAlign w:val="center"/>
          </w:tcPr>
          <w:p>
            <w:pPr>
              <w:pStyle w:val="style0"/>
              <w:jc w:val="center"/>
              <w:rPr>
                <w:sz w:val="22"/>
                <w:szCs w:val="22"/>
              </w:rPr>
            </w:pPr>
            <w:r>
              <w:rPr>
                <w:sz w:val="22"/>
                <w:szCs w:val="22"/>
              </w:rPr>
              <w:t>70 25 78 52</w:t>
            </w:r>
          </w:p>
        </w:tc>
      </w:tr>
      <w:tr>
        <w:tblPrEx/>
        <w:trPr/>
        <w:tc>
          <w:tcPr>
            <w:tcW w:w="239" w:type="pct"/>
            <w:tcBorders/>
            <w:shd w:val="clear" w:color="auto" w:fill="auto"/>
            <w:vAlign w:val="center"/>
          </w:tcPr>
          <w:p>
            <w:pPr>
              <w:pStyle w:val="style0"/>
              <w:jc w:val="center"/>
              <w:rPr>
                <w:sz w:val="22"/>
                <w:szCs w:val="22"/>
              </w:rPr>
            </w:pPr>
            <w:r>
              <w:rPr>
                <w:sz w:val="22"/>
                <w:szCs w:val="22"/>
              </w:rPr>
              <w:t>06</w:t>
            </w:r>
          </w:p>
        </w:tc>
        <w:tc>
          <w:tcPr>
            <w:tcW w:w="1916" w:type="pct"/>
            <w:tcBorders/>
            <w:shd w:val="clear" w:color="auto" w:fill="auto"/>
            <w:vAlign w:val="center"/>
          </w:tcPr>
          <w:p>
            <w:pPr>
              <w:pStyle w:val="style0"/>
              <w:rPr>
                <w:sz w:val="22"/>
                <w:szCs w:val="22"/>
              </w:rPr>
            </w:pPr>
            <w:r>
              <w:rPr>
                <w:sz w:val="22"/>
                <w:szCs w:val="22"/>
              </w:rPr>
              <w:t>BARRY Ousmane</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Préfet Département DOUNA</w:t>
            </w:r>
          </w:p>
        </w:tc>
        <w:tc>
          <w:tcPr>
            <w:tcW w:w="876" w:type="pct"/>
            <w:tcBorders/>
            <w:shd w:val="clear" w:color="auto" w:fill="auto"/>
            <w:vAlign w:val="center"/>
          </w:tcPr>
          <w:p>
            <w:pPr>
              <w:pStyle w:val="style0"/>
              <w:jc w:val="center"/>
              <w:rPr>
                <w:sz w:val="22"/>
                <w:szCs w:val="22"/>
              </w:rPr>
            </w:pPr>
            <w:r>
              <w:rPr>
                <w:sz w:val="22"/>
                <w:szCs w:val="22"/>
              </w:rPr>
              <w:t>72 97 38 17</w:t>
            </w:r>
          </w:p>
        </w:tc>
      </w:tr>
      <w:tr>
        <w:tblPrEx/>
        <w:trPr/>
        <w:tc>
          <w:tcPr>
            <w:tcW w:w="239" w:type="pct"/>
            <w:tcBorders/>
            <w:shd w:val="clear" w:color="auto" w:fill="auto"/>
            <w:vAlign w:val="center"/>
          </w:tcPr>
          <w:p>
            <w:pPr>
              <w:pStyle w:val="style0"/>
              <w:jc w:val="center"/>
              <w:rPr>
                <w:sz w:val="22"/>
                <w:szCs w:val="22"/>
              </w:rPr>
            </w:pPr>
            <w:r>
              <w:rPr>
                <w:sz w:val="22"/>
                <w:szCs w:val="22"/>
              </w:rPr>
              <w:t>07</w:t>
            </w:r>
          </w:p>
        </w:tc>
        <w:tc>
          <w:tcPr>
            <w:tcW w:w="1916" w:type="pct"/>
            <w:tcBorders/>
            <w:shd w:val="clear" w:color="auto" w:fill="auto"/>
            <w:vAlign w:val="center"/>
          </w:tcPr>
          <w:p>
            <w:pPr>
              <w:pStyle w:val="style0"/>
              <w:rPr>
                <w:sz w:val="22"/>
                <w:szCs w:val="22"/>
              </w:rPr>
            </w:pPr>
            <w:r>
              <w:rPr>
                <w:sz w:val="22"/>
                <w:szCs w:val="22"/>
              </w:rPr>
              <w:t>NANA Mahamoudou</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Environnement DOUNA</w:t>
            </w:r>
          </w:p>
        </w:tc>
        <w:tc>
          <w:tcPr>
            <w:tcW w:w="876" w:type="pct"/>
            <w:tcBorders/>
            <w:shd w:val="clear" w:color="auto" w:fill="auto"/>
            <w:vAlign w:val="center"/>
          </w:tcPr>
          <w:p>
            <w:pPr>
              <w:pStyle w:val="style0"/>
              <w:jc w:val="center"/>
              <w:rPr>
                <w:sz w:val="22"/>
                <w:szCs w:val="22"/>
              </w:rPr>
            </w:pPr>
            <w:r>
              <w:rPr>
                <w:sz w:val="22"/>
                <w:szCs w:val="22"/>
              </w:rPr>
              <w:t>70 01 56 33</w:t>
            </w:r>
          </w:p>
        </w:tc>
      </w:tr>
      <w:tr>
        <w:tblPrEx/>
        <w:trPr/>
        <w:tc>
          <w:tcPr>
            <w:tcW w:w="239" w:type="pct"/>
            <w:tcBorders/>
            <w:shd w:val="clear" w:color="auto" w:fill="auto"/>
            <w:vAlign w:val="center"/>
          </w:tcPr>
          <w:p>
            <w:pPr>
              <w:pStyle w:val="style0"/>
              <w:jc w:val="center"/>
              <w:rPr>
                <w:sz w:val="22"/>
                <w:szCs w:val="22"/>
              </w:rPr>
            </w:pPr>
            <w:r>
              <w:rPr>
                <w:sz w:val="22"/>
                <w:szCs w:val="22"/>
              </w:rPr>
              <w:t>08</w:t>
            </w:r>
          </w:p>
        </w:tc>
        <w:tc>
          <w:tcPr>
            <w:tcW w:w="1916" w:type="pct"/>
            <w:tcBorders/>
            <w:shd w:val="clear" w:color="auto" w:fill="auto"/>
            <w:vAlign w:val="center"/>
          </w:tcPr>
          <w:p>
            <w:pPr>
              <w:pStyle w:val="style0"/>
              <w:rPr>
                <w:sz w:val="22"/>
                <w:szCs w:val="22"/>
              </w:rPr>
            </w:pPr>
            <w:r>
              <w:rPr>
                <w:sz w:val="22"/>
                <w:szCs w:val="22"/>
              </w:rPr>
              <w:t>KABORE A C Léaticia</w:t>
            </w:r>
          </w:p>
        </w:tc>
        <w:tc>
          <w:tcPr>
            <w:tcW w:w="300" w:type="pct"/>
            <w:tcBorders/>
            <w:shd w:val="clear" w:color="auto" w:fill="auto"/>
            <w:vAlign w:val="center"/>
          </w:tcPr>
          <w:p>
            <w:pPr>
              <w:pStyle w:val="style0"/>
              <w:jc w:val="center"/>
              <w:rPr>
                <w:sz w:val="22"/>
                <w:szCs w:val="22"/>
              </w:rPr>
            </w:pPr>
            <w:r>
              <w:rPr>
                <w:sz w:val="22"/>
                <w:szCs w:val="22"/>
              </w:rPr>
              <w:t>F</w:t>
            </w:r>
          </w:p>
        </w:tc>
        <w:tc>
          <w:tcPr>
            <w:tcW w:w="1670" w:type="pct"/>
            <w:tcBorders/>
            <w:shd w:val="clear" w:color="auto" w:fill="auto"/>
            <w:vAlign w:val="center"/>
          </w:tcPr>
          <w:p>
            <w:pPr>
              <w:pStyle w:val="style0"/>
              <w:rPr>
                <w:sz w:val="22"/>
                <w:szCs w:val="22"/>
              </w:rPr>
            </w:pPr>
            <w:r>
              <w:rPr>
                <w:sz w:val="22"/>
                <w:szCs w:val="22"/>
              </w:rPr>
              <w:t>Environnement DOUNA</w:t>
            </w:r>
          </w:p>
        </w:tc>
        <w:tc>
          <w:tcPr>
            <w:tcW w:w="876" w:type="pct"/>
            <w:tcBorders/>
            <w:shd w:val="clear" w:color="auto" w:fill="auto"/>
            <w:vAlign w:val="center"/>
          </w:tcPr>
          <w:p>
            <w:pPr>
              <w:pStyle w:val="style0"/>
              <w:jc w:val="center"/>
              <w:rPr>
                <w:sz w:val="22"/>
                <w:szCs w:val="22"/>
              </w:rPr>
            </w:pPr>
            <w:r>
              <w:rPr>
                <w:sz w:val="22"/>
                <w:szCs w:val="22"/>
              </w:rPr>
              <w:t>71 65 40 95</w:t>
            </w:r>
          </w:p>
        </w:tc>
      </w:tr>
      <w:tr>
        <w:tblPrEx/>
        <w:trPr/>
        <w:tc>
          <w:tcPr>
            <w:tcW w:w="239" w:type="pct"/>
            <w:tcBorders/>
            <w:shd w:val="clear" w:color="auto" w:fill="auto"/>
            <w:vAlign w:val="center"/>
          </w:tcPr>
          <w:p>
            <w:pPr>
              <w:pStyle w:val="style0"/>
              <w:jc w:val="center"/>
              <w:rPr>
                <w:sz w:val="22"/>
                <w:szCs w:val="22"/>
              </w:rPr>
            </w:pPr>
            <w:r>
              <w:rPr>
                <w:sz w:val="22"/>
                <w:szCs w:val="22"/>
              </w:rPr>
              <w:t>09</w:t>
            </w:r>
          </w:p>
        </w:tc>
        <w:tc>
          <w:tcPr>
            <w:tcW w:w="1916" w:type="pct"/>
            <w:tcBorders/>
            <w:shd w:val="clear" w:color="auto" w:fill="auto"/>
            <w:vAlign w:val="center"/>
          </w:tcPr>
          <w:p>
            <w:pPr>
              <w:pStyle w:val="style0"/>
              <w:rPr>
                <w:sz w:val="22"/>
                <w:szCs w:val="22"/>
              </w:rPr>
            </w:pPr>
            <w:r>
              <w:rPr>
                <w:sz w:val="22"/>
                <w:szCs w:val="22"/>
              </w:rPr>
              <w:t>GANAME Salif</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PRMV/ND</w:t>
            </w:r>
          </w:p>
        </w:tc>
        <w:tc>
          <w:tcPr>
            <w:tcW w:w="876" w:type="pct"/>
            <w:tcBorders/>
            <w:shd w:val="clear" w:color="auto" w:fill="auto"/>
            <w:vAlign w:val="center"/>
          </w:tcPr>
          <w:p>
            <w:pPr>
              <w:pStyle w:val="style0"/>
              <w:jc w:val="center"/>
              <w:rPr>
                <w:sz w:val="22"/>
                <w:szCs w:val="22"/>
              </w:rPr>
            </w:pPr>
            <w:r>
              <w:rPr>
                <w:sz w:val="22"/>
                <w:szCs w:val="22"/>
              </w:rPr>
              <w:t>71</w:t>
            </w:r>
            <w:r>
              <w:rPr>
                <w:sz w:val="22"/>
                <w:szCs w:val="22"/>
              </w:rPr>
              <w:t xml:space="preserve"> 90 22 40</w:t>
            </w:r>
          </w:p>
        </w:tc>
      </w:tr>
      <w:tr>
        <w:tblPrEx/>
        <w:trPr/>
        <w:tc>
          <w:tcPr>
            <w:tcW w:w="239" w:type="pct"/>
            <w:tcBorders/>
            <w:shd w:val="clear" w:color="auto" w:fill="auto"/>
            <w:vAlign w:val="center"/>
          </w:tcPr>
          <w:p>
            <w:pPr>
              <w:pStyle w:val="style0"/>
              <w:jc w:val="center"/>
              <w:rPr>
                <w:sz w:val="22"/>
                <w:szCs w:val="22"/>
              </w:rPr>
            </w:pPr>
            <w:r>
              <w:rPr>
                <w:sz w:val="22"/>
                <w:szCs w:val="22"/>
              </w:rPr>
              <w:t>10</w:t>
            </w:r>
          </w:p>
        </w:tc>
        <w:tc>
          <w:tcPr>
            <w:tcW w:w="1916" w:type="pct"/>
            <w:tcBorders/>
            <w:shd w:val="clear" w:color="auto" w:fill="auto"/>
            <w:vAlign w:val="center"/>
          </w:tcPr>
          <w:p>
            <w:pPr>
              <w:pStyle w:val="style0"/>
              <w:rPr>
                <w:sz w:val="22"/>
                <w:szCs w:val="22"/>
              </w:rPr>
            </w:pPr>
            <w:r>
              <w:rPr>
                <w:sz w:val="22"/>
                <w:szCs w:val="22"/>
              </w:rPr>
              <w:t>KAFANDO Boureima</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PRMV/ND Chef de service production</w:t>
            </w:r>
          </w:p>
        </w:tc>
        <w:tc>
          <w:tcPr>
            <w:tcW w:w="876" w:type="pct"/>
            <w:tcBorders/>
            <w:shd w:val="clear" w:color="auto" w:fill="auto"/>
            <w:vAlign w:val="center"/>
          </w:tcPr>
          <w:p>
            <w:pPr>
              <w:pStyle w:val="style0"/>
              <w:jc w:val="center"/>
              <w:rPr>
                <w:sz w:val="22"/>
                <w:szCs w:val="22"/>
              </w:rPr>
            </w:pPr>
            <w:r>
              <w:rPr>
                <w:sz w:val="22"/>
                <w:szCs w:val="22"/>
              </w:rPr>
              <w:t>70 88 92 90</w:t>
            </w:r>
          </w:p>
        </w:tc>
      </w:tr>
      <w:tr>
        <w:tblPrEx/>
        <w:trPr/>
        <w:tc>
          <w:tcPr>
            <w:tcW w:w="239" w:type="pct"/>
            <w:tcBorders/>
            <w:shd w:val="clear" w:color="auto" w:fill="auto"/>
            <w:vAlign w:val="center"/>
          </w:tcPr>
          <w:p>
            <w:pPr>
              <w:pStyle w:val="style0"/>
              <w:jc w:val="center"/>
              <w:rPr>
                <w:sz w:val="22"/>
                <w:szCs w:val="22"/>
              </w:rPr>
            </w:pPr>
            <w:r>
              <w:rPr>
                <w:sz w:val="22"/>
                <w:szCs w:val="22"/>
              </w:rPr>
              <w:t>11</w:t>
            </w:r>
          </w:p>
        </w:tc>
        <w:tc>
          <w:tcPr>
            <w:tcW w:w="1916" w:type="pct"/>
            <w:tcBorders/>
            <w:shd w:val="clear" w:color="auto" w:fill="auto"/>
            <w:vAlign w:val="center"/>
          </w:tcPr>
          <w:p>
            <w:pPr>
              <w:pStyle w:val="style0"/>
              <w:rPr>
                <w:sz w:val="22"/>
                <w:szCs w:val="22"/>
              </w:rPr>
            </w:pPr>
            <w:r>
              <w:rPr>
                <w:sz w:val="22"/>
                <w:szCs w:val="22"/>
              </w:rPr>
              <w:t>SON Diaka</w:t>
            </w:r>
          </w:p>
        </w:tc>
        <w:tc>
          <w:tcPr>
            <w:tcW w:w="300" w:type="pct"/>
            <w:tcBorders/>
            <w:shd w:val="clear" w:color="auto" w:fill="auto"/>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MAIRIE 1</w:t>
            </w:r>
            <w:r>
              <w:rPr>
                <w:sz w:val="22"/>
                <w:szCs w:val="22"/>
                <w:vertAlign w:val="superscript"/>
              </w:rPr>
              <w:t>er</w:t>
            </w:r>
            <w:r>
              <w:rPr>
                <w:sz w:val="22"/>
                <w:szCs w:val="22"/>
              </w:rPr>
              <w:t xml:space="preserve"> Adjoint au Maire</w:t>
            </w:r>
          </w:p>
        </w:tc>
        <w:tc>
          <w:tcPr>
            <w:tcW w:w="876" w:type="pct"/>
            <w:tcBorders/>
            <w:shd w:val="clear" w:color="auto" w:fill="auto"/>
            <w:vAlign w:val="center"/>
          </w:tcPr>
          <w:p>
            <w:pPr>
              <w:pStyle w:val="style0"/>
              <w:jc w:val="center"/>
              <w:rPr>
                <w:sz w:val="22"/>
                <w:szCs w:val="22"/>
              </w:rPr>
            </w:pPr>
            <w:r>
              <w:rPr>
                <w:sz w:val="22"/>
                <w:szCs w:val="22"/>
              </w:rPr>
              <w:t>70 07 95 00</w:t>
            </w:r>
          </w:p>
        </w:tc>
      </w:tr>
      <w:tr>
        <w:tblPrEx/>
        <w:trPr/>
        <w:tc>
          <w:tcPr>
            <w:tcW w:w="239" w:type="pct"/>
            <w:tcBorders/>
            <w:shd w:val="clear" w:color="auto" w:fill="auto"/>
            <w:vAlign w:val="center"/>
          </w:tcPr>
          <w:p>
            <w:pPr>
              <w:pStyle w:val="style0"/>
              <w:jc w:val="center"/>
              <w:rPr>
                <w:sz w:val="22"/>
                <w:szCs w:val="22"/>
              </w:rPr>
            </w:pPr>
            <w:r>
              <w:rPr>
                <w:sz w:val="22"/>
                <w:szCs w:val="22"/>
              </w:rPr>
              <w:t>12</w:t>
            </w:r>
          </w:p>
        </w:tc>
        <w:tc>
          <w:tcPr>
            <w:tcW w:w="1916" w:type="pct"/>
            <w:tcBorders/>
            <w:shd w:val="clear" w:color="auto" w:fill="auto"/>
            <w:vAlign w:val="center"/>
          </w:tcPr>
          <w:p>
            <w:pPr>
              <w:pStyle w:val="style0"/>
              <w:rPr>
                <w:sz w:val="22"/>
                <w:szCs w:val="22"/>
              </w:rPr>
            </w:pPr>
            <w:r>
              <w:rPr>
                <w:sz w:val="22"/>
                <w:szCs w:val="22"/>
              </w:rPr>
              <w:t>SON Douni falémé</w:t>
            </w:r>
          </w:p>
        </w:tc>
        <w:tc>
          <w:tcPr>
            <w:tcW w:w="300" w:type="pct"/>
            <w:tcBorders/>
            <w:shd w:val="clear" w:color="auto" w:fill="auto"/>
            <w:vAlign w:val="center"/>
          </w:tcPr>
          <w:p>
            <w:pPr>
              <w:pStyle w:val="style0"/>
              <w:jc w:val="center"/>
              <w:rPr>
                <w:sz w:val="22"/>
                <w:szCs w:val="22"/>
              </w:rPr>
            </w:pPr>
            <w:r>
              <w:rPr>
                <w:sz w:val="22"/>
                <w:szCs w:val="22"/>
              </w:rPr>
              <w:t>M</w:t>
            </w:r>
          </w:p>
        </w:tc>
        <w:tc>
          <w:tcPr>
            <w:tcW w:w="1670" w:type="pct"/>
            <w:tcBorders/>
            <w:shd w:val="clear" w:color="auto" w:fill="auto"/>
            <w:vAlign w:val="center"/>
          </w:tcPr>
          <w:p>
            <w:pPr>
              <w:pStyle w:val="style0"/>
              <w:rPr>
                <w:sz w:val="22"/>
                <w:szCs w:val="22"/>
              </w:rPr>
            </w:pPr>
            <w:r>
              <w:rPr>
                <w:sz w:val="22"/>
                <w:szCs w:val="22"/>
              </w:rPr>
              <w:t>MAIRIE 2</w:t>
            </w:r>
            <w:r>
              <w:rPr>
                <w:sz w:val="22"/>
                <w:szCs w:val="22"/>
                <w:vertAlign w:val="superscript"/>
              </w:rPr>
              <w:t>ème</w:t>
            </w:r>
            <w:r>
              <w:rPr>
                <w:sz w:val="22"/>
                <w:szCs w:val="22"/>
              </w:rPr>
              <w:t xml:space="preserve"> Adjoint </w:t>
            </w:r>
          </w:p>
        </w:tc>
        <w:tc>
          <w:tcPr>
            <w:tcW w:w="876" w:type="pct"/>
            <w:tcBorders/>
            <w:shd w:val="clear" w:color="auto" w:fill="auto"/>
            <w:vAlign w:val="center"/>
          </w:tcPr>
          <w:p>
            <w:pPr>
              <w:pStyle w:val="style0"/>
              <w:ind w:left="-108" w:right="-100"/>
              <w:jc w:val="center"/>
              <w:rPr>
                <w:sz w:val="22"/>
                <w:szCs w:val="22"/>
              </w:rPr>
            </w:pPr>
            <w:r>
              <w:rPr>
                <w:sz w:val="22"/>
                <w:szCs w:val="22"/>
              </w:rPr>
              <w:t>70 97 09 13</w:t>
            </w:r>
          </w:p>
          <w:p>
            <w:pPr>
              <w:pStyle w:val="style0"/>
              <w:ind w:left="-108" w:right="-100"/>
              <w:jc w:val="center"/>
              <w:rPr>
                <w:sz w:val="22"/>
                <w:szCs w:val="22"/>
              </w:rPr>
            </w:pPr>
            <w:r>
              <w:rPr>
                <w:sz w:val="22"/>
                <w:szCs w:val="22"/>
              </w:rPr>
              <w:t>761277 61</w:t>
            </w:r>
          </w:p>
        </w:tc>
      </w:tr>
    </w:tbl>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654"/>
        <w:gridCol w:w="2440"/>
      </w:tblGrid>
      <w:tr>
        <w:trPr/>
        <w:tc>
          <w:tcPr>
            <w:tcW w:w="259" w:type="pct"/>
            <w:tcBorders/>
            <w:shd w:val="clear" w:color="auto" w:fill="auto"/>
            <w:vAlign w:val="center"/>
          </w:tcPr>
          <w:p>
            <w:pPr>
              <w:pStyle w:val="style0"/>
              <w:jc w:val="center"/>
              <w:rPr>
                <w:sz w:val="22"/>
                <w:szCs w:val="22"/>
              </w:rPr>
            </w:pPr>
            <w:r>
              <w:rPr>
                <w:sz w:val="22"/>
                <w:szCs w:val="22"/>
              </w:rPr>
              <w:t>13</w:t>
            </w:r>
          </w:p>
        </w:tc>
        <w:tc>
          <w:tcPr>
            <w:tcW w:w="1907" w:type="pct"/>
            <w:tcBorders/>
            <w:shd w:val="clear" w:color="auto" w:fill="auto"/>
            <w:vAlign w:val="center"/>
          </w:tcPr>
          <w:p>
            <w:pPr>
              <w:pStyle w:val="style0"/>
              <w:rPr>
                <w:rFonts w:ascii="Garamond" w:hAnsi="Garamond"/>
                <w:sz w:val="22"/>
                <w:szCs w:val="22"/>
                <w:lang w:val="en-US" w:eastAsia="en-US"/>
              </w:rPr>
            </w:pPr>
            <w:r>
              <w:rPr>
                <w:sz w:val="22"/>
                <w:szCs w:val="22"/>
              </w:rPr>
              <w:t>KARA Aousseny</w:t>
            </w:r>
          </w:p>
        </w:tc>
        <w:tc>
          <w:tcPr>
            <w:tcW w:w="299" w:type="pct"/>
            <w:tcBorders/>
            <w:shd w:val="clear" w:color="auto" w:fill="auto"/>
            <w:vAlign w:val="center"/>
          </w:tcPr>
          <w:p>
            <w:pPr>
              <w:pStyle w:val="style0"/>
              <w:jc w:val="center"/>
              <w:rPr>
                <w:rFonts w:ascii="Garamond" w:hAnsi="Garamond"/>
                <w:sz w:val="22"/>
                <w:szCs w:val="22"/>
                <w:lang w:val="en-US" w:eastAsia="en-US"/>
              </w:rPr>
            </w:pPr>
            <w:r>
              <w:rPr>
                <w:sz w:val="22"/>
                <w:szCs w:val="22"/>
              </w:rPr>
              <w:t>M</w:t>
            </w:r>
          </w:p>
        </w:tc>
        <w:tc>
          <w:tcPr>
            <w:tcW w:w="1663" w:type="pct"/>
            <w:tcBorders/>
            <w:shd w:val="clear" w:color="auto" w:fill="auto"/>
            <w:vAlign w:val="center"/>
          </w:tcPr>
          <w:p>
            <w:pPr>
              <w:pStyle w:val="style0"/>
              <w:jc w:val="center"/>
              <w:rPr>
                <w:rFonts w:ascii="Garamond" w:hAnsi="Garamond"/>
                <w:sz w:val="22"/>
                <w:szCs w:val="22"/>
                <w:lang w:eastAsia="en-US"/>
              </w:rPr>
            </w:pPr>
            <w:r>
              <w:rPr>
                <w:sz w:val="22"/>
                <w:szCs w:val="22"/>
              </w:rPr>
              <w:t>Président Affaire Général Social et Culturel</w:t>
            </w:r>
          </w:p>
        </w:tc>
        <w:tc>
          <w:tcPr>
            <w:tcW w:w="872" w:type="pct"/>
            <w:tcBorders/>
            <w:shd w:val="clear" w:color="auto" w:fill="auto"/>
            <w:vAlign w:val="center"/>
          </w:tcPr>
          <w:p>
            <w:pPr>
              <w:pStyle w:val="style0"/>
              <w:jc w:val="center"/>
              <w:rPr>
                <w:rFonts w:ascii="Garamond" w:hAnsi="Garamond"/>
                <w:sz w:val="22"/>
                <w:szCs w:val="22"/>
                <w:lang w:val="en-US" w:eastAsia="en-US"/>
              </w:rPr>
            </w:pPr>
            <w:r>
              <w:rPr>
                <w:sz w:val="22"/>
                <w:szCs w:val="22"/>
              </w:rPr>
              <w:t>61 93 97 37</w:t>
            </w:r>
          </w:p>
        </w:tc>
      </w:tr>
      <w:tr>
        <w:tblPrEx/>
        <w:trPr/>
        <w:tc>
          <w:tcPr>
            <w:tcW w:w="259" w:type="pct"/>
            <w:tcBorders/>
            <w:shd w:val="clear" w:color="auto" w:fill="auto"/>
            <w:vAlign w:val="center"/>
          </w:tcPr>
          <w:p>
            <w:pPr>
              <w:pStyle w:val="style0"/>
              <w:jc w:val="center"/>
              <w:rPr>
                <w:rFonts w:ascii="Garamond" w:hAnsi="Garamond"/>
                <w:sz w:val="22"/>
                <w:szCs w:val="22"/>
                <w:lang w:val="en-US" w:eastAsia="en-US"/>
              </w:rPr>
            </w:pPr>
            <w:r>
              <w:rPr>
                <w:sz w:val="22"/>
                <w:szCs w:val="22"/>
              </w:rPr>
              <w:t>14</w:t>
            </w:r>
          </w:p>
        </w:tc>
        <w:tc>
          <w:tcPr>
            <w:tcW w:w="1907" w:type="pct"/>
            <w:tcBorders/>
            <w:shd w:val="clear" w:color="auto" w:fill="auto"/>
            <w:vAlign w:val="center"/>
          </w:tcPr>
          <w:p>
            <w:pPr>
              <w:pStyle w:val="style0"/>
              <w:rPr>
                <w:sz w:val="22"/>
                <w:szCs w:val="22"/>
              </w:rPr>
            </w:pPr>
            <w:r>
              <w:rPr>
                <w:sz w:val="22"/>
                <w:szCs w:val="22"/>
              </w:rPr>
              <w:t>OUATTARA Oumar</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SG/Mairie de DOUNA</w:t>
            </w:r>
          </w:p>
        </w:tc>
        <w:tc>
          <w:tcPr>
            <w:tcW w:w="872" w:type="pct"/>
            <w:tcBorders/>
            <w:shd w:val="clear" w:color="auto" w:fill="auto"/>
            <w:vAlign w:val="center"/>
          </w:tcPr>
          <w:p>
            <w:pPr>
              <w:pStyle w:val="style0"/>
              <w:jc w:val="center"/>
              <w:rPr>
                <w:sz w:val="22"/>
                <w:szCs w:val="22"/>
              </w:rPr>
            </w:pPr>
            <w:r>
              <w:rPr>
                <w:sz w:val="22"/>
                <w:szCs w:val="22"/>
              </w:rPr>
              <w:t>72 30 70 35</w:t>
            </w:r>
          </w:p>
        </w:tc>
      </w:tr>
      <w:tr>
        <w:tblPrEx/>
        <w:trPr/>
        <w:tc>
          <w:tcPr>
            <w:tcW w:w="259" w:type="pct"/>
            <w:tcBorders/>
            <w:shd w:val="clear" w:color="auto" w:fill="auto"/>
            <w:vAlign w:val="center"/>
          </w:tcPr>
          <w:p>
            <w:pPr>
              <w:pStyle w:val="style0"/>
              <w:jc w:val="center"/>
              <w:rPr>
                <w:sz w:val="22"/>
                <w:szCs w:val="22"/>
              </w:rPr>
            </w:pPr>
            <w:r>
              <w:rPr>
                <w:sz w:val="22"/>
                <w:szCs w:val="22"/>
              </w:rPr>
              <w:t>15</w:t>
            </w:r>
          </w:p>
        </w:tc>
        <w:tc>
          <w:tcPr>
            <w:tcW w:w="1907" w:type="pct"/>
            <w:tcBorders/>
            <w:shd w:val="clear" w:color="auto" w:fill="auto"/>
            <w:vAlign w:val="center"/>
          </w:tcPr>
          <w:p>
            <w:pPr>
              <w:pStyle w:val="style0"/>
              <w:rPr>
                <w:sz w:val="22"/>
                <w:szCs w:val="22"/>
              </w:rPr>
            </w:pPr>
            <w:r>
              <w:rPr>
                <w:sz w:val="22"/>
                <w:szCs w:val="22"/>
              </w:rPr>
              <w:t>SOURA Alasson</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 E D L</w:t>
            </w:r>
          </w:p>
        </w:tc>
        <w:tc>
          <w:tcPr>
            <w:tcW w:w="872" w:type="pct"/>
            <w:tcBorders/>
            <w:shd w:val="clear" w:color="auto" w:fill="auto"/>
            <w:vAlign w:val="center"/>
          </w:tcPr>
          <w:p>
            <w:pPr>
              <w:pStyle w:val="style0"/>
              <w:jc w:val="center"/>
              <w:rPr>
                <w:sz w:val="22"/>
                <w:szCs w:val="22"/>
              </w:rPr>
            </w:pPr>
            <w:r>
              <w:rPr>
                <w:sz w:val="22"/>
                <w:szCs w:val="22"/>
              </w:rPr>
              <w:t>70 15 93 02</w:t>
            </w:r>
          </w:p>
          <w:p>
            <w:pPr>
              <w:pStyle w:val="style0"/>
              <w:jc w:val="center"/>
              <w:rPr>
                <w:sz w:val="22"/>
                <w:szCs w:val="22"/>
              </w:rPr>
            </w:pPr>
            <w:r>
              <w:rPr>
                <w:sz w:val="22"/>
                <w:szCs w:val="22"/>
              </w:rPr>
              <w:t>76 95 26 43</w:t>
            </w:r>
          </w:p>
        </w:tc>
      </w:tr>
      <w:tr>
        <w:tblPrEx/>
        <w:trPr/>
        <w:tc>
          <w:tcPr>
            <w:tcW w:w="259" w:type="pct"/>
            <w:tcBorders/>
            <w:shd w:val="clear" w:color="auto" w:fill="auto"/>
            <w:vAlign w:val="center"/>
          </w:tcPr>
          <w:p>
            <w:pPr>
              <w:pStyle w:val="style0"/>
              <w:jc w:val="center"/>
              <w:rPr>
                <w:sz w:val="22"/>
                <w:szCs w:val="22"/>
              </w:rPr>
            </w:pPr>
            <w:r>
              <w:rPr>
                <w:sz w:val="22"/>
                <w:szCs w:val="22"/>
              </w:rPr>
              <w:t>16</w:t>
            </w:r>
          </w:p>
        </w:tc>
        <w:tc>
          <w:tcPr>
            <w:tcW w:w="1907" w:type="pct"/>
            <w:tcBorders/>
            <w:shd w:val="clear" w:color="auto" w:fill="auto"/>
            <w:vAlign w:val="center"/>
          </w:tcPr>
          <w:p>
            <w:pPr>
              <w:pStyle w:val="style0"/>
              <w:rPr>
                <w:sz w:val="22"/>
                <w:szCs w:val="22"/>
              </w:rPr>
            </w:pPr>
            <w:r>
              <w:rPr>
                <w:sz w:val="22"/>
                <w:szCs w:val="22"/>
              </w:rPr>
              <w:t>SOURA Mamadou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 C E F</w:t>
            </w:r>
          </w:p>
        </w:tc>
        <w:tc>
          <w:tcPr>
            <w:tcW w:w="872" w:type="pct"/>
            <w:tcBorders/>
            <w:shd w:val="clear" w:color="auto" w:fill="auto"/>
            <w:vAlign w:val="center"/>
          </w:tcPr>
          <w:p>
            <w:pPr>
              <w:pStyle w:val="style0"/>
              <w:jc w:val="center"/>
              <w:rPr>
                <w:sz w:val="22"/>
                <w:szCs w:val="22"/>
              </w:rPr>
            </w:pPr>
            <w:r>
              <w:rPr>
                <w:sz w:val="22"/>
                <w:szCs w:val="22"/>
              </w:rPr>
              <w:t>76 28 60 79</w:t>
            </w:r>
          </w:p>
          <w:p>
            <w:pPr>
              <w:pStyle w:val="style0"/>
              <w:jc w:val="center"/>
              <w:rPr>
                <w:sz w:val="22"/>
                <w:szCs w:val="22"/>
              </w:rPr>
            </w:pPr>
            <w:r>
              <w:rPr>
                <w:sz w:val="22"/>
                <w:szCs w:val="22"/>
              </w:rPr>
              <w:t>60 28 41 37</w:t>
            </w:r>
          </w:p>
        </w:tc>
      </w:tr>
      <w:tr>
        <w:tblPrEx/>
        <w:trPr/>
        <w:tc>
          <w:tcPr>
            <w:tcW w:w="259" w:type="pct"/>
            <w:tcBorders/>
            <w:shd w:val="clear" w:color="auto" w:fill="auto"/>
            <w:vAlign w:val="center"/>
          </w:tcPr>
          <w:p>
            <w:pPr>
              <w:pStyle w:val="style0"/>
              <w:jc w:val="center"/>
              <w:rPr>
                <w:sz w:val="22"/>
                <w:szCs w:val="22"/>
              </w:rPr>
            </w:pPr>
            <w:r>
              <w:rPr>
                <w:sz w:val="22"/>
                <w:szCs w:val="22"/>
              </w:rPr>
              <w:t>17</w:t>
            </w:r>
          </w:p>
        </w:tc>
        <w:tc>
          <w:tcPr>
            <w:tcW w:w="1907" w:type="pct"/>
            <w:tcBorders/>
            <w:shd w:val="clear" w:color="auto" w:fill="auto"/>
            <w:vAlign w:val="center"/>
          </w:tcPr>
          <w:p>
            <w:pPr>
              <w:pStyle w:val="style0"/>
              <w:rPr>
                <w:sz w:val="22"/>
                <w:szCs w:val="22"/>
              </w:rPr>
            </w:pPr>
            <w:r>
              <w:rPr>
                <w:sz w:val="22"/>
                <w:szCs w:val="22"/>
              </w:rPr>
              <w:t>Soura Issouf</w:t>
            </w:r>
          </w:p>
        </w:tc>
        <w:tc>
          <w:tcPr>
            <w:tcW w:w="299" w:type="pct"/>
            <w:tcBorders/>
            <w:shd w:val="clear" w:color="auto" w:fill="auto"/>
            <w:vAlign w:val="center"/>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PCAT GF</w:t>
            </w:r>
          </w:p>
        </w:tc>
        <w:tc>
          <w:tcPr>
            <w:tcW w:w="872" w:type="pct"/>
            <w:tcBorders/>
            <w:shd w:val="clear" w:color="auto" w:fill="auto"/>
            <w:vAlign w:val="center"/>
          </w:tcPr>
          <w:p>
            <w:pPr>
              <w:pStyle w:val="style0"/>
              <w:jc w:val="center"/>
              <w:rPr>
                <w:sz w:val="22"/>
                <w:szCs w:val="22"/>
              </w:rPr>
            </w:pPr>
            <w:r>
              <w:rPr>
                <w:sz w:val="22"/>
                <w:szCs w:val="22"/>
              </w:rPr>
              <w:t>71 17 27 23</w:t>
            </w:r>
          </w:p>
        </w:tc>
      </w:tr>
    </w:tbl>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jc w:val="center"/>
        <w:rPr>
          <w:b/>
          <w:sz w:val="22"/>
          <w:szCs w:val="22"/>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CASCCADES</w:t>
      </w:r>
      <w:r>
        <w:rPr>
          <w:b/>
          <w:sz w:val="22"/>
          <w:szCs w:val="22"/>
        </w:rPr>
        <w:t>…………………………</w:t>
      </w:r>
      <w:r>
        <w:rPr>
          <w:b/>
          <w:sz w:val="22"/>
          <w:szCs w:val="22"/>
          <w:u w:val="dotted"/>
        </w:rPr>
        <w:t>Province</w:t>
      </w:r>
      <w:r>
        <w:rPr>
          <w:b/>
          <w:sz w:val="22"/>
          <w:szCs w:val="22"/>
        </w:rPr>
        <w:t xml:space="preserve"> : </w:t>
      </w:r>
      <w:r>
        <w:rPr>
          <w:b/>
          <w:sz w:val="22"/>
          <w:szCs w:val="22"/>
          <w:u w:val="dotted"/>
        </w:rPr>
        <w:t>LERABA</w:t>
      </w:r>
      <w:r>
        <w:rPr>
          <w:b/>
          <w:sz w:val="22"/>
          <w:szCs w:val="22"/>
        </w:rPr>
        <w:t>…………………………….</w:t>
      </w:r>
      <w:r>
        <w:rPr>
          <w:b/>
          <w:sz w:val="22"/>
          <w:szCs w:val="22"/>
          <w:u w:val="dotted"/>
        </w:rPr>
        <w:t>Commune</w:t>
      </w:r>
      <w:r>
        <w:rPr>
          <w:b/>
          <w:sz w:val="22"/>
          <w:szCs w:val="22"/>
        </w:rPr>
        <w:t xml:space="preserve"> : </w:t>
      </w:r>
      <w:r>
        <w:rPr>
          <w:b/>
          <w:sz w:val="22"/>
          <w:szCs w:val="22"/>
          <w:u w:val="dotted"/>
        </w:rPr>
        <w:t>DOUNA</w:t>
      </w:r>
      <w:r>
        <w:rPr>
          <w:b/>
          <w:sz w:val="22"/>
          <w:szCs w:val="22"/>
        </w:rPr>
        <w:t>…………………………..</w:t>
      </w:r>
    </w:p>
    <w:p>
      <w:pPr>
        <w:pStyle w:val="style0"/>
        <w:rPr>
          <w:b/>
          <w:sz w:val="22"/>
          <w:szCs w:val="22"/>
        </w:rPr>
      </w:pPr>
      <w:r>
        <w:rPr>
          <w:b/>
          <w:sz w:val="22"/>
          <w:szCs w:val="22"/>
        </w:rPr>
        <w:t xml:space="preserve">Village : </w:t>
      </w:r>
      <w:r>
        <w:rPr>
          <w:b/>
          <w:sz w:val="22"/>
          <w:szCs w:val="22"/>
          <w:u w:val="dotted"/>
        </w:rPr>
        <w:t>DOUNA</w:t>
      </w:r>
      <w:r>
        <w:rPr>
          <w:b/>
          <w:sz w:val="22"/>
          <w:szCs w:val="22"/>
        </w:rPr>
        <w:t xml:space="preserve">………………………….Date : </w:t>
      </w:r>
      <w:r>
        <w:rPr>
          <w:b/>
          <w:sz w:val="22"/>
          <w:szCs w:val="22"/>
          <w:u w:val="dotted"/>
        </w:rPr>
        <w:t>08/01/2019</w:t>
      </w:r>
      <w:r>
        <w:rPr>
          <w:b/>
          <w:sz w:val="22"/>
          <w:szCs w:val="22"/>
        </w:rPr>
        <w:t>………………… Groupes cibles : Producteurs/Productrices</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654"/>
        <w:gridCol w:w="2440"/>
      </w:tblGrid>
      <w:tr>
        <w:trPr>
          <w:tblHeader/>
        </w:trPr>
        <w:tc>
          <w:tcPr>
            <w:tcW w:w="259" w:type="pct"/>
            <w:tcBorders/>
            <w:shd w:val="clear" w:color="auto" w:fill="d9d9d9"/>
            <w:vAlign w:val="center"/>
          </w:tcPr>
          <w:p>
            <w:pPr>
              <w:pStyle w:val="style0"/>
              <w:jc w:val="center"/>
              <w:rPr>
                <w:b/>
                <w:sz w:val="22"/>
                <w:szCs w:val="22"/>
              </w:rPr>
            </w:pPr>
            <w:r>
              <w:rPr>
                <w:b/>
                <w:sz w:val="22"/>
                <w:szCs w:val="22"/>
              </w:rPr>
              <w:t>N°</w:t>
            </w:r>
          </w:p>
        </w:tc>
        <w:tc>
          <w:tcPr>
            <w:tcW w:w="1907" w:type="pct"/>
            <w:tcBorders/>
            <w:shd w:val="clear" w:color="auto" w:fill="d9d9d9"/>
            <w:vAlign w:val="center"/>
          </w:tcPr>
          <w:p>
            <w:pPr>
              <w:pStyle w:val="style0"/>
              <w:jc w:val="center"/>
              <w:rPr>
                <w:b/>
                <w:sz w:val="22"/>
                <w:szCs w:val="22"/>
              </w:rPr>
            </w:pPr>
            <w:r>
              <w:rPr>
                <w:b/>
                <w:sz w:val="22"/>
                <w:szCs w:val="22"/>
              </w:rPr>
              <w:t>Nom et prénom (s)</w:t>
            </w:r>
          </w:p>
        </w:tc>
        <w:tc>
          <w:tcPr>
            <w:tcW w:w="299" w:type="pct"/>
            <w:tcBorders/>
            <w:shd w:val="clear" w:color="auto" w:fill="d9d9d9"/>
            <w:vAlign w:val="center"/>
          </w:tcPr>
          <w:p>
            <w:pPr>
              <w:pStyle w:val="style0"/>
              <w:jc w:val="center"/>
              <w:rPr>
                <w:b/>
                <w:sz w:val="22"/>
                <w:szCs w:val="22"/>
              </w:rPr>
            </w:pPr>
            <w:r>
              <w:rPr>
                <w:b/>
                <w:sz w:val="22"/>
                <w:szCs w:val="22"/>
              </w:rPr>
              <w:t>Sexe</w:t>
            </w:r>
          </w:p>
        </w:tc>
        <w:tc>
          <w:tcPr>
            <w:tcW w:w="1663" w:type="pct"/>
            <w:tcBorders/>
            <w:shd w:val="clear" w:color="auto" w:fill="d9d9d9"/>
            <w:vAlign w:val="center"/>
          </w:tcPr>
          <w:p>
            <w:pPr>
              <w:pStyle w:val="style0"/>
              <w:jc w:val="center"/>
              <w:rPr>
                <w:b/>
                <w:sz w:val="22"/>
                <w:szCs w:val="22"/>
              </w:rPr>
            </w:pPr>
            <w:r>
              <w:rPr>
                <w:b/>
                <w:sz w:val="22"/>
                <w:szCs w:val="22"/>
              </w:rPr>
              <w:t>Profession</w:t>
            </w:r>
          </w:p>
        </w:tc>
        <w:tc>
          <w:tcPr>
            <w:tcW w:w="872" w:type="pct"/>
            <w:tcBorders/>
            <w:shd w:val="clear" w:color="auto" w:fill="d9d9d9"/>
            <w:vAlign w:val="center"/>
          </w:tcPr>
          <w:p>
            <w:pPr>
              <w:pStyle w:val="style0"/>
              <w:jc w:val="center"/>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KARA Abdoulaye Djel</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70 97 09 66</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rPr>
            </w:pPr>
            <w:r>
              <w:rPr>
                <w:sz w:val="22"/>
                <w:szCs w:val="22"/>
              </w:rPr>
              <w:t>KARA Abdoulaye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 xml:space="preserve">71 71 01 </w:t>
            </w:r>
            <w:r>
              <w:rPr>
                <w:sz w:val="22"/>
                <w:szCs w:val="22"/>
              </w:rPr>
              <w:t>76</w:t>
            </w:r>
          </w:p>
        </w:tc>
      </w:tr>
      <w:tr>
        <w:tblPrEx/>
        <w:trPr/>
        <w:tc>
          <w:tcPr>
            <w:tcW w:w="259" w:type="pct"/>
            <w:tcBorders/>
            <w:shd w:val="clear" w:color="auto" w:fill="auto"/>
            <w:vAlign w:val="center"/>
          </w:tcPr>
          <w:p>
            <w:pPr>
              <w:pStyle w:val="style0"/>
              <w:jc w:val="center"/>
              <w:rPr>
                <w:sz w:val="22"/>
                <w:szCs w:val="22"/>
              </w:rPr>
            </w:pPr>
            <w:r>
              <w:rPr>
                <w:sz w:val="22"/>
                <w:szCs w:val="22"/>
              </w:rPr>
              <w:t>03</w:t>
            </w:r>
          </w:p>
        </w:tc>
        <w:tc>
          <w:tcPr>
            <w:tcW w:w="1907" w:type="pct"/>
            <w:tcBorders/>
            <w:shd w:val="clear" w:color="auto" w:fill="auto"/>
            <w:vAlign w:val="center"/>
          </w:tcPr>
          <w:p>
            <w:pPr>
              <w:pStyle w:val="style0"/>
              <w:rPr>
                <w:sz w:val="22"/>
                <w:szCs w:val="22"/>
              </w:rPr>
            </w:pPr>
            <w:r>
              <w:rPr>
                <w:sz w:val="22"/>
                <w:szCs w:val="22"/>
              </w:rPr>
              <w:t>SON Souleymane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63 00 69 25</w:t>
            </w:r>
          </w:p>
        </w:tc>
      </w:tr>
      <w:tr>
        <w:tblPrEx/>
        <w:trPr/>
        <w:tc>
          <w:tcPr>
            <w:tcW w:w="259" w:type="pct"/>
            <w:tcBorders/>
            <w:shd w:val="clear" w:color="auto" w:fill="auto"/>
            <w:vAlign w:val="center"/>
          </w:tcPr>
          <w:p>
            <w:pPr>
              <w:pStyle w:val="style0"/>
              <w:jc w:val="center"/>
              <w:rPr>
                <w:sz w:val="22"/>
                <w:szCs w:val="22"/>
              </w:rPr>
            </w:pPr>
            <w:r>
              <w:rPr>
                <w:sz w:val="22"/>
                <w:szCs w:val="22"/>
              </w:rPr>
              <w:t>04</w:t>
            </w:r>
          </w:p>
        </w:tc>
        <w:tc>
          <w:tcPr>
            <w:tcW w:w="1907" w:type="pct"/>
            <w:tcBorders/>
            <w:shd w:val="clear" w:color="auto" w:fill="auto"/>
            <w:vAlign w:val="center"/>
          </w:tcPr>
          <w:p>
            <w:pPr>
              <w:pStyle w:val="style0"/>
              <w:rPr>
                <w:sz w:val="22"/>
                <w:szCs w:val="22"/>
              </w:rPr>
            </w:pPr>
            <w:r>
              <w:rPr>
                <w:sz w:val="22"/>
                <w:szCs w:val="22"/>
              </w:rPr>
              <w:t>Soura Kémahauya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70 05 24 10</w:t>
            </w:r>
          </w:p>
        </w:tc>
      </w:tr>
      <w:tr>
        <w:tblPrEx/>
        <w:trPr/>
        <w:tc>
          <w:tcPr>
            <w:tcW w:w="259" w:type="pct"/>
            <w:tcBorders/>
            <w:shd w:val="clear" w:color="auto" w:fill="auto"/>
            <w:vAlign w:val="center"/>
          </w:tcPr>
          <w:p>
            <w:pPr>
              <w:pStyle w:val="style0"/>
              <w:jc w:val="center"/>
              <w:rPr>
                <w:sz w:val="22"/>
                <w:szCs w:val="22"/>
              </w:rPr>
            </w:pPr>
            <w:r>
              <w:rPr>
                <w:sz w:val="22"/>
                <w:szCs w:val="22"/>
              </w:rPr>
              <w:t>05</w:t>
            </w:r>
          </w:p>
        </w:tc>
        <w:tc>
          <w:tcPr>
            <w:tcW w:w="1907" w:type="pct"/>
            <w:tcBorders/>
            <w:shd w:val="clear" w:color="auto" w:fill="auto"/>
            <w:vAlign w:val="center"/>
          </w:tcPr>
          <w:p>
            <w:pPr>
              <w:pStyle w:val="style0"/>
              <w:rPr>
                <w:sz w:val="22"/>
                <w:szCs w:val="22"/>
              </w:rPr>
            </w:pPr>
            <w:r>
              <w:rPr>
                <w:sz w:val="22"/>
                <w:szCs w:val="22"/>
              </w:rPr>
              <w:t>SON Sibiry</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76 72 17 95</w:t>
            </w:r>
          </w:p>
        </w:tc>
      </w:tr>
      <w:tr>
        <w:tblPrEx/>
        <w:trPr/>
        <w:tc>
          <w:tcPr>
            <w:tcW w:w="259" w:type="pct"/>
            <w:tcBorders/>
            <w:shd w:val="clear" w:color="auto" w:fill="auto"/>
            <w:vAlign w:val="center"/>
          </w:tcPr>
          <w:p>
            <w:pPr>
              <w:pStyle w:val="style0"/>
              <w:jc w:val="center"/>
              <w:rPr>
                <w:sz w:val="22"/>
                <w:szCs w:val="22"/>
              </w:rPr>
            </w:pPr>
            <w:r>
              <w:rPr>
                <w:sz w:val="22"/>
                <w:szCs w:val="22"/>
              </w:rPr>
              <w:t>06</w:t>
            </w:r>
          </w:p>
        </w:tc>
        <w:tc>
          <w:tcPr>
            <w:tcW w:w="1907" w:type="pct"/>
            <w:tcBorders/>
            <w:shd w:val="clear" w:color="auto" w:fill="auto"/>
            <w:vAlign w:val="center"/>
          </w:tcPr>
          <w:p>
            <w:pPr>
              <w:pStyle w:val="style0"/>
              <w:rPr>
                <w:sz w:val="22"/>
                <w:szCs w:val="22"/>
              </w:rPr>
            </w:pPr>
            <w:r>
              <w:rPr>
                <w:sz w:val="22"/>
                <w:szCs w:val="22"/>
              </w:rPr>
              <w:t>KARA 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76 99 69 68</w:t>
            </w:r>
          </w:p>
        </w:tc>
      </w:tr>
      <w:tr>
        <w:tblPrEx/>
        <w:trPr/>
        <w:tc>
          <w:tcPr>
            <w:tcW w:w="259" w:type="pct"/>
            <w:tcBorders/>
            <w:shd w:val="clear" w:color="auto" w:fill="auto"/>
            <w:vAlign w:val="center"/>
          </w:tcPr>
          <w:p>
            <w:pPr>
              <w:pStyle w:val="style0"/>
              <w:jc w:val="center"/>
              <w:rPr>
                <w:sz w:val="22"/>
                <w:szCs w:val="22"/>
              </w:rPr>
            </w:pPr>
            <w:r>
              <w:rPr>
                <w:sz w:val="22"/>
                <w:szCs w:val="22"/>
              </w:rPr>
              <w:t>07</w:t>
            </w:r>
          </w:p>
        </w:tc>
        <w:tc>
          <w:tcPr>
            <w:tcW w:w="1907" w:type="pct"/>
            <w:tcBorders/>
            <w:shd w:val="clear" w:color="auto" w:fill="auto"/>
            <w:vAlign w:val="center"/>
          </w:tcPr>
          <w:p>
            <w:pPr>
              <w:pStyle w:val="style0"/>
              <w:rPr>
                <w:sz w:val="22"/>
                <w:szCs w:val="22"/>
              </w:rPr>
            </w:pPr>
            <w:r>
              <w:rPr>
                <w:sz w:val="22"/>
                <w:szCs w:val="22"/>
              </w:rPr>
              <w:t>KARA Ardiouma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Producteur/CVD</w:t>
            </w:r>
          </w:p>
        </w:tc>
        <w:tc>
          <w:tcPr>
            <w:tcW w:w="872" w:type="pct"/>
            <w:tcBorders/>
            <w:shd w:val="clear" w:color="auto" w:fill="auto"/>
            <w:vAlign w:val="center"/>
          </w:tcPr>
          <w:p>
            <w:pPr>
              <w:pStyle w:val="style0"/>
              <w:jc w:val="center"/>
              <w:rPr>
                <w:sz w:val="22"/>
                <w:szCs w:val="22"/>
              </w:rPr>
            </w:pPr>
            <w:r>
              <w:rPr>
                <w:sz w:val="22"/>
                <w:szCs w:val="22"/>
              </w:rPr>
              <w:t>62 49 94 14</w:t>
            </w:r>
          </w:p>
        </w:tc>
      </w:tr>
      <w:tr>
        <w:tblPrEx/>
        <w:trPr/>
        <w:tc>
          <w:tcPr>
            <w:tcW w:w="259" w:type="pct"/>
            <w:tcBorders/>
            <w:shd w:val="clear" w:color="auto" w:fill="auto"/>
            <w:vAlign w:val="center"/>
          </w:tcPr>
          <w:p>
            <w:pPr>
              <w:pStyle w:val="style0"/>
              <w:jc w:val="center"/>
              <w:rPr>
                <w:sz w:val="22"/>
                <w:szCs w:val="22"/>
              </w:rPr>
            </w:pPr>
            <w:r>
              <w:rPr>
                <w:sz w:val="22"/>
                <w:szCs w:val="22"/>
              </w:rPr>
              <w:t>08</w:t>
            </w:r>
          </w:p>
        </w:tc>
        <w:tc>
          <w:tcPr>
            <w:tcW w:w="1907" w:type="pct"/>
            <w:tcBorders/>
            <w:shd w:val="clear" w:color="auto" w:fill="auto"/>
            <w:vAlign w:val="center"/>
          </w:tcPr>
          <w:p>
            <w:pPr>
              <w:pStyle w:val="style0"/>
              <w:rPr>
                <w:sz w:val="22"/>
                <w:szCs w:val="22"/>
              </w:rPr>
            </w:pPr>
            <w:r>
              <w:rPr>
                <w:sz w:val="22"/>
                <w:szCs w:val="22"/>
              </w:rPr>
              <w:t>SOURA Bassara</w:t>
            </w:r>
          </w:p>
        </w:tc>
        <w:tc>
          <w:tcPr>
            <w:tcW w:w="299" w:type="pct"/>
            <w:tcBorders/>
            <w:shd w:val="clear" w:color="auto" w:fill="auto"/>
            <w:vAlign w:val="center"/>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Producteur/CVD</w:t>
            </w:r>
          </w:p>
        </w:tc>
        <w:tc>
          <w:tcPr>
            <w:tcW w:w="872" w:type="pct"/>
            <w:tcBorders/>
            <w:shd w:val="clear" w:color="auto" w:fill="auto"/>
            <w:vAlign w:val="center"/>
          </w:tcPr>
          <w:p>
            <w:pPr>
              <w:pStyle w:val="style0"/>
              <w:jc w:val="center"/>
              <w:rPr>
                <w:sz w:val="22"/>
                <w:szCs w:val="22"/>
              </w:rPr>
            </w:pPr>
            <w:r>
              <w:rPr>
                <w:sz w:val="22"/>
                <w:szCs w:val="22"/>
              </w:rPr>
              <w:t>70 05 24 15</w:t>
            </w:r>
          </w:p>
        </w:tc>
      </w:tr>
      <w:tr>
        <w:tblPrEx/>
        <w:trPr/>
        <w:tc>
          <w:tcPr>
            <w:tcW w:w="259" w:type="pct"/>
            <w:tcBorders/>
            <w:shd w:val="clear" w:color="auto" w:fill="auto"/>
            <w:vAlign w:val="center"/>
          </w:tcPr>
          <w:p>
            <w:pPr>
              <w:pStyle w:val="style0"/>
              <w:jc w:val="center"/>
              <w:rPr>
                <w:sz w:val="22"/>
                <w:szCs w:val="22"/>
              </w:rPr>
            </w:pPr>
            <w:r>
              <w:rPr>
                <w:sz w:val="22"/>
                <w:szCs w:val="22"/>
              </w:rPr>
              <w:t>09</w:t>
            </w:r>
          </w:p>
        </w:tc>
        <w:tc>
          <w:tcPr>
            <w:tcW w:w="1907" w:type="pct"/>
            <w:tcBorders/>
            <w:shd w:val="clear" w:color="auto" w:fill="auto"/>
            <w:vAlign w:val="center"/>
          </w:tcPr>
          <w:p>
            <w:pPr>
              <w:pStyle w:val="style0"/>
              <w:rPr>
                <w:sz w:val="22"/>
                <w:szCs w:val="22"/>
              </w:rPr>
            </w:pPr>
            <w:r>
              <w:rPr>
                <w:sz w:val="22"/>
                <w:szCs w:val="22"/>
              </w:rPr>
              <w:t>HIE Tombli</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Productrice</w:t>
            </w:r>
          </w:p>
        </w:tc>
        <w:tc>
          <w:tcPr>
            <w:tcW w:w="872"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vAlign w:val="center"/>
          </w:tcPr>
          <w:p>
            <w:pPr>
              <w:pStyle w:val="style0"/>
              <w:jc w:val="center"/>
              <w:rPr>
                <w:sz w:val="22"/>
                <w:szCs w:val="22"/>
              </w:rPr>
            </w:pPr>
            <w:r>
              <w:rPr>
                <w:sz w:val="22"/>
                <w:szCs w:val="22"/>
              </w:rPr>
              <w:t>10</w:t>
            </w:r>
          </w:p>
        </w:tc>
        <w:tc>
          <w:tcPr>
            <w:tcW w:w="1907" w:type="pct"/>
            <w:tcBorders/>
            <w:shd w:val="clear" w:color="auto" w:fill="auto"/>
            <w:vAlign w:val="center"/>
          </w:tcPr>
          <w:p>
            <w:pPr>
              <w:pStyle w:val="style0"/>
              <w:rPr>
                <w:sz w:val="22"/>
                <w:szCs w:val="22"/>
              </w:rPr>
            </w:pPr>
            <w:r>
              <w:rPr>
                <w:sz w:val="22"/>
                <w:szCs w:val="22"/>
              </w:rPr>
              <w:t>SOURA Mariam</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Productrice</w:t>
            </w:r>
          </w:p>
        </w:tc>
        <w:tc>
          <w:tcPr>
            <w:tcW w:w="872" w:type="pct"/>
            <w:tcBorders/>
            <w:shd w:val="clear" w:color="auto" w:fill="auto"/>
            <w:vAlign w:val="center"/>
          </w:tcPr>
          <w:p>
            <w:pPr>
              <w:pStyle w:val="style0"/>
              <w:jc w:val="center"/>
              <w:rPr>
                <w:sz w:val="22"/>
                <w:szCs w:val="22"/>
              </w:rPr>
            </w:pPr>
            <w:r>
              <w:rPr>
                <w:sz w:val="22"/>
                <w:szCs w:val="22"/>
              </w:rPr>
              <w:t>-</w:t>
            </w:r>
          </w:p>
        </w:tc>
      </w:tr>
      <w:tr>
        <w:tblPrEx/>
        <w:trPr/>
        <w:tc>
          <w:tcPr>
            <w:tcW w:w="259" w:type="pct"/>
            <w:tcBorders/>
            <w:shd w:val="clear" w:color="auto" w:fill="auto"/>
            <w:vAlign w:val="center"/>
          </w:tcPr>
          <w:p>
            <w:pPr>
              <w:pStyle w:val="style0"/>
              <w:jc w:val="center"/>
              <w:rPr>
                <w:sz w:val="22"/>
                <w:szCs w:val="22"/>
              </w:rPr>
            </w:pPr>
            <w:r>
              <w:rPr>
                <w:sz w:val="22"/>
                <w:szCs w:val="22"/>
              </w:rPr>
              <w:t>11</w:t>
            </w:r>
          </w:p>
        </w:tc>
        <w:tc>
          <w:tcPr>
            <w:tcW w:w="1907" w:type="pct"/>
            <w:tcBorders/>
            <w:shd w:val="clear" w:color="auto" w:fill="auto"/>
            <w:vAlign w:val="center"/>
          </w:tcPr>
          <w:p>
            <w:pPr>
              <w:pStyle w:val="style0"/>
              <w:rPr>
                <w:sz w:val="22"/>
                <w:szCs w:val="22"/>
              </w:rPr>
            </w:pPr>
            <w:r>
              <w:rPr>
                <w:sz w:val="22"/>
                <w:szCs w:val="22"/>
              </w:rPr>
              <w:t>SON Salimata</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Productrice</w:t>
            </w:r>
          </w:p>
        </w:tc>
        <w:tc>
          <w:tcPr>
            <w:tcW w:w="872" w:type="pct"/>
            <w:tcBorders/>
            <w:shd w:val="clear" w:color="auto" w:fill="auto"/>
            <w:vAlign w:val="center"/>
          </w:tcPr>
          <w:p>
            <w:pPr>
              <w:pStyle w:val="style0"/>
              <w:jc w:val="center"/>
              <w:rPr>
                <w:sz w:val="22"/>
                <w:szCs w:val="22"/>
              </w:rPr>
            </w:pPr>
            <w:r>
              <w:rPr>
                <w:sz w:val="22"/>
                <w:szCs w:val="22"/>
              </w:rPr>
              <w:t>54 39 27 73</w:t>
            </w:r>
          </w:p>
        </w:tc>
      </w:tr>
      <w:tr>
        <w:tblPrEx/>
        <w:trPr/>
        <w:tc>
          <w:tcPr>
            <w:tcW w:w="259" w:type="pct"/>
            <w:tcBorders/>
            <w:shd w:val="clear" w:color="auto" w:fill="auto"/>
            <w:vAlign w:val="center"/>
          </w:tcPr>
          <w:p>
            <w:pPr>
              <w:pStyle w:val="style0"/>
              <w:jc w:val="center"/>
              <w:rPr>
                <w:sz w:val="22"/>
                <w:szCs w:val="22"/>
              </w:rPr>
            </w:pPr>
            <w:r>
              <w:rPr>
                <w:sz w:val="22"/>
                <w:szCs w:val="22"/>
              </w:rPr>
              <w:t>12</w:t>
            </w:r>
          </w:p>
        </w:tc>
        <w:tc>
          <w:tcPr>
            <w:tcW w:w="1907" w:type="pct"/>
            <w:tcBorders/>
            <w:shd w:val="clear" w:color="auto" w:fill="auto"/>
            <w:vAlign w:val="center"/>
          </w:tcPr>
          <w:p>
            <w:pPr>
              <w:pStyle w:val="style0"/>
              <w:rPr>
                <w:sz w:val="22"/>
                <w:szCs w:val="22"/>
              </w:rPr>
            </w:pPr>
            <w:r>
              <w:rPr>
                <w:sz w:val="22"/>
                <w:szCs w:val="22"/>
              </w:rPr>
              <w:t>SIRI Ma Fanassé</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Etuveuse</w:t>
            </w:r>
          </w:p>
        </w:tc>
        <w:tc>
          <w:tcPr>
            <w:tcW w:w="872" w:type="pct"/>
            <w:tcBorders/>
            <w:shd w:val="clear" w:color="auto" w:fill="auto"/>
            <w:vAlign w:val="center"/>
          </w:tcPr>
          <w:p>
            <w:pPr>
              <w:pStyle w:val="style0"/>
              <w:ind w:left="-108" w:right="-100"/>
              <w:jc w:val="center"/>
              <w:rPr>
                <w:sz w:val="22"/>
                <w:szCs w:val="22"/>
              </w:rPr>
            </w:pPr>
            <w:r>
              <w:rPr>
                <w:sz w:val="22"/>
                <w:szCs w:val="22"/>
              </w:rPr>
              <w:t>75 07 32 32</w:t>
            </w:r>
          </w:p>
        </w:tc>
      </w:tr>
      <w:tr>
        <w:tblPrEx/>
        <w:trPr/>
        <w:tc>
          <w:tcPr>
            <w:tcW w:w="259" w:type="pct"/>
            <w:tcBorders/>
            <w:shd w:val="clear" w:color="auto" w:fill="auto"/>
            <w:vAlign w:val="center"/>
          </w:tcPr>
          <w:p>
            <w:pPr>
              <w:pStyle w:val="style0"/>
              <w:jc w:val="center"/>
              <w:rPr>
                <w:sz w:val="22"/>
                <w:szCs w:val="22"/>
              </w:rPr>
            </w:pPr>
            <w:r>
              <w:rPr>
                <w:sz w:val="22"/>
                <w:szCs w:val="22"/>
              </w:rPr>
              <w:t>13</w:t>
            </w:r>
          </w:p>
        </w:tc>
        <w:tc>
          <w:tcPr>
            <w:tcW w:w="1907" w:type="pct"/>
            <w:tcBorders/>
            <w:shd w:val="clear" w:color="auto" w:fill="auto"/>
            <w:vAlign w:val="center"/>
          </w:tcPr>
          <w:p>
            <w:pPr>
              <w:pStyle w:val="style0"/>
              <w:rPr>
                <w:sz w:val="22"/>
                <w:szCs w:val="22"/>
              </w:rPr>
            </w:pPr>
            <w:r>
              <w:rPr>
                <w:sz w:val="22"/>
                <w:szCs w:val="22"/>
              </w:rPr>
              <w:t>KARA Tiakou</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Productrice</w:t>
            </w:r>
          </w:p>
        </w:tc>
        <w:tc>
          <w:tcPr>
            <w:tcW w:w="872" w:type="pct"/>
            <w:tcBorders/>
            <w:shd w:val="clear" w:color="auto" w:fill="auto"/>
            <w:vAlign w:val="center"/>
          </w:tcPr>
          <w:p>
            <w:pPr>
              <w:pStyle w:val="style0"/>
              <w:jc w:val="center"/>
              <w:rPr>
                <w:sz w:val="22"/>
                <w:szCs w:val="22"/>
              </w:rPr>
            </w:pPr>
            <w:r>
              <w:rPr>
                <w:sz w:val="22"/>
                <w:szCs w:val="22"/>
              </w:rPr>
              <w:t>60 66 69 58</w:t>
            </w:r>
          </w:p>
        </w:tc>
      </w:tr>
      <w:tr>
        <w:tblPrEx/>
        <w:trPr/>
        <w:tc>
          <w:tcPr>
            <w:tcW w:w="259" w:type="pct"/>
            <w:tcBorders/>
            <w:shd w:val="clear" w:color="auto" w:fill="auto"/>
            <w:vAlign w:val="center"/>
          </w:tcPr>
          <w:p>
            <w:pPr>
              <w:pStyle w:val="style0"/>
              <w:jc w:val="center"/>
              <w:rPr>
                <w:sz w:val="22"/>
                <w:szCs w:val="22"/>
              </w:rPr>
            </w:pPr>
            <w:r>
              <w:rPr>
                <w:sz w:val="22"/>
                <w:szCs w:val="22"/>
              </w:rPr>
              <w:t>14</w:t>
            </w:r>
          </w:p>
        </w:tc>
        <w:tc>
          <w:tcPr>
            <w:tcW w:w="1907" w:type="pct"/>
            <w:tcBorders/>
            <w:shd w:val="clear" w:color="auto" w:fill="auto"/>
            <w:vAlign w:val="center"/>
          </w:tcPr>
          <w:p>
            <w:pPr>
              <w:pStyle w:val="style0"/>
              <w:rPr>
                <w:sz w:val="22"/>
                <w:szCs w:val="22"/>
              </w:rPr>
            </w:pPr>
            <w:r>
              <w:rPr>
                <w:sz w:val="22"/>
                <w:szCs w:val="22"/>
              </w:rPr>
              <w:t>SOURA Djouma</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Etuveuse</w:t>
            </w:r>
          </w:p>
        </w:tc>
        <w:tc>
          <w:tcPr>
            <w:tcW w:w="872" w:type="pct"/>
            <w:tcBorders/>
            <w:shd w:val="clear" w:color="auto" w:fill="auto"/>
            <w:vAlign w:val="center"/>
          </w:tcPr>
          <w:p>
            <w:pPr>
              <w:pStyle w:val="style0"/>
              <w:jc w:val="center"/>
              <w:rPr>
                <w:sz w:val="22"/>
                <w:szCs w:val="22"/>
              </w:rPr>
            </w:pPr>
            <w:r>
              <w:rPr>
                <w:sz w:val="22"/>
                <w:szCs w:val="22"/>
              </w:rPr>
              <w:t>70 58 22 81</w:t>
            </w:r>
          </w:p>
        </w:tc>
      </w:tr>
      <w:tr>
        <w:tblPrEx/>
        <w:trPr/>
        <w:tc>
          <w:tcPr>
            <w:tcW w:w="259" w:type="pct"/>
            <w:tcBorders/>
            <w:shd w:val="clear" w:color="auto" w:fill="auto"/>
            <w:vAlign w:val="center"/>
          </w:tcPr>
          <w:p>
            <w:pPr>
              <w:pStyle w:val="style0"/>
              <w:jc w:val="center"/>
              <w:rPr>
                <w:sz w:val="22"/>
                <w:szCs w:val="22"/>
              </w:rPr>
            </w:pPr>
            <w:r>
              <w:rPr>
                <w:sz w:val="22"/>
                <w:szCs w:val="22"/>
              </w:rPr>
              <w:t>15</w:t>
            </w:r>
          </w:p>
        </w:tc>
        <w:tc>
          <w:tcPr>
            <w:tcW w:w="1907" w:type="pct"/>
            <w:tcBorders/>
            <w:shd w:val="clear" w:color="auto" w:fill="auto"/>
            <w:vAlign w:val="center"/>
          </w:tcPr>
          <w:p>
            <w:pPr>
              <w:pStyle w:val="style0"/>
              <w:rPr>
                <w:sz w:val="22"/>
                <w:szCs w:val="22"/>
              </w:rPr>
            </w:pPr>
            <w:r>
              <w:rPr>
                <w:sz w:val="22"/>
                <w:szCs w:val="22"/>
              </w:rPr>
              <w:t>HIE Dramane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76 23 68 97</w:t>
            </w:r>
          </w:p>
        </w:tc>
      </w:tr>
      <w:tr>
        <w:tblPrEx/>
        <w:trPr/>
        <w:tc>
          <w:tcPr>
            <w:tcW w:w="259" w:type="pct"/>
            <w:tcBorders/>
            <w:shd w:val="clear" w:color="auto" w:fill="auto"/>
            <w:vAlign w:val="center"/>
          </w:tcPr>
          <w:p>
            <w:pPr>
              <w:pStyle w:val="style0"/>
              <w:jc w:val="center"/>
              <w:rPr>
                <w:sz w:val="22"/>
                <w:szCs w:val="22"/>
              </w:rPr>
            </w:pPr>
            <w:r>
              <w:rPr>
                <w:sz w:val="22"/>
                <w:szCs w:val="22"/>
              </w:rPr>
              <w:t>16</w:t>
            </w:r>
          </w:p>
        </w:tc>
        <w:tc>
          <w:tcPr>
            <w:tcW w:w="1907" w:type="pct"/>
            <w:tcBorders/>
            <w:shd w:val="clear" w:color="auto" w:fill="auto"/>
            <w:vAlign w:val="center"/>
          </w:tcPr>
          <w:p>
            <w:pPr>
              <w:pStyle w:val="style0"/>
              <w:rPr>
                <w:sz w:val="22"/>
                <w:szCs w:val="22"/>
              </w:rPr>
            </w:pPr>
            <w:r>
              <w:rPr>
                <w:sz w:val="22"/>
                <w:szCs w:val="22"/>
              </w:rPr>
              <w:t>SON Souleymane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76 88 17 42</w:t>
            </w:r>
          </w:p>
        </w:tc>
      </w:tr>
      <w:tr>
        <w:tblPrEx/>
        <w:trPr/>
        <w:tc>
          <w:tcPr>
            <w:tcW w:w="259" w:type="pct"/>
            <w:tcBorders/>
            <w:shd w:val="clear" w:color="auto" w:fill="auto"/>
            <w:vAlign w:val="center"/>
          </w:tcPr>
          <w:p>
            <w:pPr>
              <w:pStyle w:val="style0"/>
              <w:jc w:val="center"/>
              <w:rPr>
                <w:sz w:val="22"/>
                <w:szCs w:val="22"/>
              </w:rPr>
            </w:pPr>
            <w:r>
              <w:rPr>
                <w:sz w:val="22"/>
                <w:szCs w:val="22"/>
              </w:rPr>
              <w:t>17</w:t>
            </w:r>
          </w:p>
        </w:tc>
        <w:tc>
          <w:tcPr>
            <w:tcW w:w="1907" w:type="pct"/>
            <w:tcBorders/>
            <w:shd w:val="clear" w:color="auto" w:fill="auto"/>
            <w:vAlign w:val="center"/>
          </w:tcPr>
          <w:p>
            <w:pPr>
              <w:pStyle w:val="style0"/>
              <w:rPr>
                <w:sz w:val="22"/>
                <w:szCs w:val="22"/>
              </w:rPr>
            </w:pPr>
            <w:r>
              <w:rPr>
                <w:sz w:val="22"/>
                <w:szCs w:val="22"/>
              </w:rPr>
              <w:t>SOURA Lassina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vAlign w:val="center"/>
          </w:tcPr>
          <w:p>
            <w:pPr>
              <w:pStyle w:val="style0"/>
              <w:jc w:val="center"/>
              <w:rPr>
                <w:sz w:val="22"/>
                <w:szCs w:val="22"/>
              </w:rPr>
            </w:pPr>
            <w:r>
              <w:rPr>
                <w:sz w:val="22"/>
                <w:szCs w:val="22"/>
              </w:rPr>
              <w:t>75 25 65 84</w:t>
            </w:r>
          </w:p>
        </w:tc>
      </w:tr>
      <w:tr>
        <w:tblPrEx/>
        <w:trPr/>
        <w:tc>
          <w:tcPr>
            <w:tcW w:w="259" w:type="pct"/>
            <w:tcBorders/>
            <w:shd w:val="clear" w:color="auto" w:fill="auto"/>
          </w:tcPr>
          <w:p>
            <w:pPr>
              <w:pStyle w:val="style0"/>
              <w:jc w:val="center"/>
              <w:rPr>
                <w:sz w:val="22"/>
                <w:szCs w:val="22"/>
              </w:rPr>
            </w:pPr>
            <w:r>
              <w:rPr>
                <w:sz w:val="22"/>
                <w:szCs w:val="22"/>
              </w:rPr>
              <w:t>18</w:t>
            </w:r>
          </w:p>
        </w:tc>
        <w:tc>
          <w:tcPr>
            <w:tcW w:w="1907" w:type="pct"/>
            <w:tcBorders/>
            <w:shd w:val="clear" w:color="auto" w:fill="auto"/>
          </w:tcPr>
          <w:p>
            <w:pPr>
              <w:pStyle w:val="style0"/>
              <w:rPr>
                <w:sz w:val="22"/>
                <w:szCs w:val="22"/>
              </w:rPr>
            </w:pPr>
            <w:r>
              <w:rPr>
                <w:sz w:val="22"/>
                <w:szCs w:val="22"/>
              </w:rPr>
              <w:t>KARA Fonlibié</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tcPr>
          <w:p>
            <w:pPr>
              <w:pStyle w:val="style0"/>
              <w:jc w:val="center"/>
              <w:rPr>
                <w:sz w:val="22"/>
                <w:szCs w:val="22"/>
              </w:rPr>
            </w:pPr>
            <w:r>
              <w:rPr>
                <w:sz w:val="22"/>
                <w:szCs w:val="22"/>
              </w:rPr>
              <w:t>73 30 39 45</w:t>
            </w:r>
          </w:p>
        </w:tc>
      </w:tr>
      <w:tr>
        <w:tblPrEx/>
        <w:trPr/>
        <w:tc>
          <w:tcPr>
            <w:tcW w:w="259" w:type="pct"/>
            <w:tcBorders/>
            <w:shd w:val="clear" w:color="auto" w:fill="auto"/>
            <w:vAlign w:val="center"/>
          </w:tcPr>
          <w:p>
            <w:pPr>
              <w:pStyle w:val="style0"/>
              <w:rPr>
                <w:sz w:val="22"/>
                <w:szCs w:val="22"/>
              </w:rPr>
            </w:pPr>
            <w:r>
              <w:rPr>
                <w:sz w:val="22"/>
                <w:szCs w:val="22"/>
              </w:rPr>
              <w:t>19</w:t>
            </w:r>
          </w:p>
        </w:tc>
        <w:tc>
          <w:tcPr>
            <w:tcW w:w="1907" w:type="pct"/>
            <w:tcBorders/>
            <w:shd w:val="clear" w:color="auto" w:fill="auto"/>
            <w:vAlign w:val="center"/>
          </w:tcPr>
          <w:p>
            <w:pPr>
              <w:pStyle w:val="style0"/>
              <w:rPr>
                <w:sz w:val="22"/>
                <w:szCs w:val="22"/>
              </w:rPr>
            </w:pPr>
            <w:r>
              <w:rPr>
                <w:sz w:val="22"/>
                <w:szCs w:val="22"/>
              </w:rPr>
              <w:t>SON Bawala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tcPr>
          <w:p>
            <w:pPr>
              <w:pStyle w:val="style0"/>
              <w:jc w:val="center"/>
              <w:rPr>
                <w:sz w:val="22"/>
                <w:szCs w:val="22"/>
              </w:rPr>
            </w:pPr>
            <w:r>
              <w:rPr>
                <w:sz w:val="22"/>
                <w:szCs w:val="22"/>
              </w:rPr>
              <w:t>76 17 49 88</w:t>
            </w:r>
          </w:p>
        </w:tc>
      </w:tr>
      <w:tr>
        <w:tblPrEx/>
        <w:trPr/>
        <w:tc>
          <w:tcPr>
            <w:tcW w:w="259" w:type="pct"/>
            <w:tcBorders/>
            <w:shd w:val="clear" w:color="auto" w:fill="auto"/>
            <w:vAlign w:val="center"/>
          </w:tcPr>
          <w:p>
            <w:pPr>
              <w:pStyle w:val="style0"/>
              <w:rPr>
                <w:sz w:val="22"/>
                <w:szCs w:val="22"/>
              </w:rPr>
            </w:pPr>
            <w:r>
              <w:rPr>
                <w:sz w:val="22"/>
                <w:szCs w:val="22"/>
              </w:rPr>
              <w:t>20</w:t>
            </w:r>
          </w:p>
        </w:tc>
        <w:tc>
          <w:tcPr>
            <w:tcW w:w="1907" w:type="pct"/>
            <w:tcBorders/>
            <w:shd w:val="clear" w:color="auto" w:fill="auto"/>
            <w:vAlign w:val="center"/>
          </w:tcPr>
          <w:p>
            <w:pPr>
              <w:pStyle w:val="style0"/>
              <w:rPr>
                <w:sz w:val="22"/>
                <w:szCs w:val="22"/>
              </w:rPr>
            </w:pPr>
            <w:r>
              <w:rPr>
                <w:sz w:val="22"/>
                <w:szCs w:val="22"/>
              </w:rPr>
              <w:t>HIE Sibié</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Producteur</w:t>
            </w:r>
          </w:p>
        </w:tc>
        <w:tc>
          <w:tcPr>
            <w:tcW w:w="872" w:type="pct"/>
            <w:tcBorders/>
            <w:shd w:val="clear" w:color="auto" w:fill="auto"/>
          </w:tcPr>
          <w:p>
            <w:pPr>
              <w:pStyle w:val="style0"/>
              <w:jc w:val="center"/>
              <w:rPr>
                <w:sz w:val="22"/>
                <w:szCs w:val="22"/>
              </w:rPr>
            </w:pPr>
            <w:r>
              <w:rPr>
                <w:sz w:val="22"/>
                <w:szCs w:val="22"/>
              </w:rPr>
              <w:t>63 22 31 10</w:t>
            </w:r>
          </w:p>
        </w:tc>
      </w:tr>
      <w:tr>
        <w:tblPrEx/>
        <w:trPr/>
        <w:tc>
          <w:tcPr>
            <w:tcW w:w="259" w:type="pct"/>
            <w:tcBorders/>
            <w:shd w:val="clear" w:color="auto" w:fill="auto"/>
            <w:vAlign w:val="center"/>
          </w:tcPr>
          <w:p>
            <w:pPr>
              <w:pStyle w:val="style0"/>
              <w:rPr>
                <w:sz w:val="22"/>
                <w:szCs w:val="22"/>
              </w:rPr>
            </w:pPr>
            <w:r>
              <w:rPr>
                <w:sz w:val="22"/>
                <w:szCs w:val="22"/>
              </w:rPr>
              <w:t>21</w:t>
            </w:r>
          </w:p>
        </w:tc>
        <w:tc>
          <w:tcPr>
            <w:tcW w:w="1907" w:type="pct"/>
            <w:tcBorders/>
            <w:shd w:val="clear" w:color="auto" w:fill="auto"/>
            <w:vAlign w:val="center"/>
          </w:tcPr>
          <w:p>
            <w:pPr>
              <w:pStyle w:val="style0"/>
              <w:rPr>
                <w:sz w:val="22"/>
                <w:szCs w:val="22"/>
              </w:rPr>
            </w:pPr>
            <w:r>
              <w:rPr>
                <w:sz w:val="22"/>
                <w:szCs w:val="22"/>
              </w:rPr>
              <w:t>BAZEMO Aimé</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Agent/PRMV</w:t>
            </w:r>
          </w:p>
        </w:tc>
        <w:tc>
          <w:tcPr>
            <w:tcW w:w="872" w:type="pct"/>
            <w:tcBorders/>
            <w:shd w:val="clear" w:color="auto" w:fill="auto"/>
          </w:tcPr>
          <w:p>
            <w:pPr>
              <w:pStyle w:val="style0"/>
              <w:jc w:val="center"/>
              <w:rPr>
                <w:sz w:val="22"/>
                <w:szCs w:val="22"/>
              </w:rPr>
            </w:pPr>
            <w:r>
              <w:rPr>
                <w:sz w:val="22"/>
                <w:szCs w:val="22"/>
              </w:rPr>
              <w:t>75 24 61 13</w:t>
            </w:r>
          </w:p>
        </w:tc>
      </w:tr>
      <w:tr>
        <w:tblPrEx/>
        <w:trPr/>
        <w:tc>
          <w:tcPr>
            <w:tcW w:w="259" w:type="pct"/>
            <w:tcBorders/>
            <w:shd w:val="clear" w:color="auto" w:fill="auto"/>
            <w:vAlign w:val="center"/>
          </w:tcPr>
          <w:p>
            <w:pPr>
              <w:pStyle w:val="style0"/>
              <w:rPr>
                <w:sz w:val="22"/>
                <w:szCs w:val="22"/>
              </w:rPr>
            </w:pPr>
            <w:r>
              <w:rPr>
                <w:sz w:val="22"/>
                <w:szCs w:val="22"/>
              </w:rPr>
              <w:t>22</w:t>
            </w:r>
          </w:p>
        </w:tc>
        <w:tc>
          <w:tcPr>
            <w:tcW w:w="1907" w:type="pct"/>
            <w:tcBorders/>
            <w:shd w:val="clear" w:color="auto" w:fill="auto"/>
            <w:vAlign w:val="center"/>
          </w:tcPr>
          <w:p>
            <w:pPr>
              <w:pStyle w:val="style0"/>
              <w:rPr>
                <w:sz w:val="22"/>
                <w:szCs w:val="22"/>
              </w:rPr>
            </w:pPr>
            <w:r>
              <w:rPr>
                <w:sz w:val="22"/>
                <w:szCs w:val="22"/>
              </w:rPr>
              <w:t>SAWADOGO Edmond</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Agent/PRMV</w:t>
            </w:r>
          </w:p>
        </w:tc>
        <w:tc>
          <w:tcPr>
            <w:tcW w:w="872" w:type="pct"/>
            <w:tcBorders/>
            <w:shd w:val="clear" w:color="auto" w:fill="auto"/>
          </w:tcPr>
          <w:p>
            <w:pPr>
              <w:pStyle w:val="style0"/>
              <w:jc w:val="center"/>
              <w:rPr>
                <w:sz w:val="22"/>
                <w:szCs w:val="22"/>
              </w:rPr>
            </w:pPr>
            <w:r>
              <w:rPr>
                <w:sz w:val="22"/>
                <w:szCs w:val="22"/>
              </w:rPr>
              <w:t>70 04 96 09</w:t>
            </w:r>
          </w:p>
        </w:tc>
      </w:tr>
      <w:tr>
        <w:tblPrEx/>
        <w:trPr/>
        <w:tc>
          <w:tcPr>
            <w:tcW w:w="259" w:type="pct"/>
            <w:tcBorders/>
            <w:shd w:val="clear" w:color="auto" w:fill="auto"/>
            <w:vAlign w:val="center"/>
          </w:tcPr>
          <w:p>
            <w:pPr>
              <w:pStyle w:val="style0"/>
              <w:rPr>
                <w:sz w:val="22"/>
                <w:szCs w:val="22"/>
              </w:rPr>
            </w:pPr>
            <w:r>
              <w:rPr>
                <w:sz w:val="22"/>
                <w:szCs w:val="22"/>
              </w:rPr>
              <w:t>23</w:t>
            </w:r>
          </w:p>
        </w:tc>
        <w:tc>
          <w:tcPr>
            <w:tcW w:w="1907" w:type="pct"/>
            <w:tcBorders/>
            <w:shd w:val="clear" w:color="auto" w:fill="auto"/>
            <w:vAlign w:val="center"/>
          </w:tcPr>
          <w:p>
            <w:pPr>
              <w:pStyle w:val="style0"/>
              <w:rPr>
                <w:sz w:val="22"/>
                <w:szCs w:val="22"/>
              </w:rPr>
            </w:pPr>
            <w:r>
              <w:rPr>
                <w:sz w:val="22"/>
                <w:szCs w:val="22"/>
              </w:rPr>
              <w:t>BAMBA Nasminata</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tcPr>
          <w:p>
            <w:pPr>
              <w:pStyle w:val="style0"/>
              <w:rPr>
                <w:sz w:val="22"/>
                <w:szCs w:val="22"/>
              </w:rPr>
            </w:pPr>
            <w:r>
              <w:rPr>
                <w:sz w:val="22"/>
                <w:szCs w:val="22"/>
              </w:rPr>
              <w:t>Stagiaire</w:t>
            </w:r>
          </w:p>
        </w:tc>
        <w:tc>
          <w:tcPr>
            <w:tcW w:w="872" w:type="pct"/>
            <w:tcBorders/>
            <w:shd w:val="clear" w:color="auto" w:fill="auto"/>
          </w:tcPr>
          <w:p>
            <w:pPr>
              <w:pStyle w:val="style0"/>
              <w:jc w:val="center"/>
              <w:rPr>
                <w:sz w:val="22"/>
                <w:szCs w:val="22"/>
              </w:rPr>
            </w:pPr>
            <w:r>
              <w:rPr>
                <w:sz w:val="22"/>
                <w:szCs w:val="22"/>
              </w:rPr>
              <w:t>51 97 72 67</w:t>
            </w:r>
          </w:p>
        </w:tc>
      </w:tr>
      <w:tr>
        <w:tblPrEx/>
        <w:trPr/>
        <w:tc>
          <w:tcPr>
            <w:tcW w:w="259" w:type="pct"/>
            <w:tcBorders/>
            <w:shd w:val="clear" w:color="auto" w:fill="auto"/>
            <w:vAlign w:val="center"/>
          </w:tcPr>
          <w:p>
            <w:pPr>
              <w:pStyle w:val="style0"/>
              <w:rPr>
                <w:sz w:val="22"/>
                <w:szCs w:val="22"/>
              </w:rPr>
            </w:pPr>
            <w:r>
              <w:rPr>
                <w:sz w:val="22"/>
                <w:szCs w:val="22"/>
              </w:rPr>
              <w:t>24</w:t>
            </w:r>
          </w:p>
        </w:tc>
        <w:tc>
          <w:tcPr>
            <w:tcW w:w="1907" w:type="pct"/>
            <w:tcBorders/>
            <w:shd w:val="clear" w:color="auto" w:fill="auto"/>
            <w:vAlign w:val="center"/>
          </w:tcPr>
          <w:p>
            <w:pPr>
              <w:pStyle w:val="style0"/>
              <w:rPr>
                <w:sz w:val="22"/>
                <w:szCs w:val="22"/>
              </w:rPr>
            </w:pPr>
            <w:r>
              <w:rPr>
                <w:sz w:val="22"/>
                <w:szCs w:val="22"/>
              </w:rPr>
              <w:t>SIDIBE Binta</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tcPr>
          <w:p>
            <w:pPr>
              <w:pStyle w:val="style0"/>
              <w:rPr>
                <w:sz w:val="22"/>
                <w:szCs w:val="22"/>
              </w:rPr>
            </w:pPr>
            <w:r>
              <w:rPr>
                <w:sz w:val="22"/>
                <w:szCs w:val="22"/>
              </w:rPr>
              <w:t>Agent/PRMV</w:t>
            </w:r>
          </w:p>
        </w:tc>
        <w:tc>
          <w:tcPr>
            <w:tcW w:w="872" w:type="pct"/>
            <w:tcBorders/>
            <w:shd w:val="clear" w:color="auto" w:fill="auto"/>
          </w:tcPr>
          <w:p>
            <w:pPr>
              <w:pStyle w:val="style0"/>
              <w:jc w:val="center"/>
              <w:rPr>
                <w:sz w:val="22"/>
                <w:szCs w:val="22"/>
              </w:rPr>
            </w:pPr>
            <w:r>
              <w:rPr>
                <w:sz w:val="22"/>
                <w:szCs w:val="22"/>
              </w:rPr>
              <w:t>61 63 82 85</w:t>
            </w:r>
          </w:p>
        </w:tc>
      </w:tr>
      <w:tr>
        <w:tblPrEx/>
        <w:trPr/>
        <w:tc>
          <w:tcPr>
            <w:tcW w:w="259" w:type="pct"/>
            <w:tcBorders/>
            <w:shd w:val="clear" w:color="auto" w:fill="auto"/>
            <w:vAlign w:val="center"/>
          </w:tcPr>
          <w:p>
            <w:pPr>
              <w:pStyle w:val="style0"/>
              <w:rPr>
                <w:sz w:val="22"/>
                <w:szCs w:val="22"/>
              </w:rPr>
            </w:pPr>
            <w:r>
              <w:rPr>
                <w:sz w:val="22"/>
                <w:szCs w:val="22"/>
              </w:rPr>
              <w:t>25</w:t>
            </w:r>
          </w:p>
        </w:tc>
        <w:tc>
          <w:tcPr>
            <w:tcW w:w="1907" w:type="pct"/>
            <w:tcBorders/>
            <w:shd w:val="clear" w:color="auto" w:fill="auto"/>
            <w:vAlign w:val="center"/>
          </w:tcPr>
          <w:p>
            <w:pPr>
              <w:pStyle w:val="style0"/>
              <w:rPr>
                <w:sz w:val="22"/>
                <w:szCs w:val="22"/>
              </w:rPr>
            </w:pPr>
            <w:r>
              <w:rPr>
                <w:sz w:val="22"/>
                <w:szCs w:val="22"/>
              </w:rPr>
              <w:t>SANDWIDI Ali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PRMV/ND</w:t>
            </w:r>
          </w:p>
        </w:tc>
        <w:tc>
          <w:tcPr>
            <w:tcW w:w="872" w:type="pct"/>
            <w:tcBorders/>
            <w:shd w:val="clear" w:color="auto" w:fill="auto"/>
          </w:tcPr>
          <w:p>
            <w:pPr>
              <w:pStyle w:val="style0"/>
              <w:ind w:left="-108" w:right="-100"/>
              <w:jc w:val="center"/>
              <w:rPr>
                <w:sz w:val="22"/>
                <w:szCs w:val="22"/>
              </w:rPr>
            </w:pPr>
            <w:r>
              <w:rPr>
                <w:sz w:val="22"/>
                <w:szCs w:val="22"/>
              </w:rPr>
              <w:t>70 77 83 82</w:t>
            </w:r>
          </w:p>
        </w:tc>
      </w:tr>
      <w:tr>
        <w:tblPrEx/>
        <w:trPr/>
        <w:tc>
          <w:tcPr>
            <w:tcW w:w="259" w:type="pct"/>
            <w:tcBorders/>
            <w:shd w:val="clear" w:color="auto" w:fill="auto"/>
            <w:vAlign w:val="center"/>
          </w:tcPr>
          <w:p>
            <w:pPr>
              <w:pStyle w:val="style0"/>
              <w:rPr>
                <w:sz w:val="22"/>
                <w:szCs w:val="22"/>
              </w:rPr>
            </w:pPr>
            <w:r>
              <w:rPr>
                <w:sz w:val="22"/>
                <w:szCs w:val="22"/>
              </w:rPr>
              <w:t>26</w:t>
            </w:r>
          </w:p>
        </w:tc>
        <w:tc>
          <w:tcPr>
            <w:tcW w:w="1907" w:type="pct"/>
            <w:tcBorders/>
            <w:shd w:val="clear" w:color="auto" w:fill="auto"/>
            <w:vAlign w:val="center"/>
          </w:tcPr>
          <w:p>
            <w:pPr>
              <w:pStyle w:val="style0"/>
              <w:rPr>
                <w:sz w:val="22"/>
                <w:szCs w:val="22"/>
              </w:rPr>
            </w:pPr>
            <w:r>
              <w:rPr>
                <w:sz w:val="22"/>
                <w:szCs w:val="22"/>
              </w:rPr>
              <w:t>HIE Sita</w:t>
            </w:r>
          </w:p>
        </w:tc>
        <w:tc>
          <w:tcPr>
            <w:tcW w:w="299" w:type="pct"/>
            <w:tcBorders/>
            <w:shd w:val="clear" w:color="auto" w:fill="auto"/>
            <w:vAlign w:val="center"/>
          </w:tcPr>
          <w:p>
            <w:pPr>
              <w:pStyle w:val="style0"/>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SG/Etuveuses de riz de Douna (UDE/D)</w:t>
            </w:r>
          </w:p>
        </w:tc>
        <w:tc>
          <w:tcPr>
            <w:tcW w:w="872" w:type="pct"/>
            <w:tcBorders/>
            <w:shd w:val="clear" w:color="auto" w:fill="auto"/>
            <w:vAlign w:val="center"/>
          </w:tcPr>
          <w:p>
            <w:pPr>
              <w:pStyle w:val="style0"/>
              <w:rPr>
                <w:sz w:val="22"/>
                <w:szCs w:val="22"/>
              </w:rPr>
            </w:pPr>
            <w:r>
              <w:rPr>
                <w:sz w:val="22"/>
                <w:szCs w:val="22"/>
              </w:rPr>
              <w:t>75 76 78 68</w:t>
            </w:r>
          </w:p>
        </w:tc>
      </w:tr>
    </w:tbl>
    <w:p>
      <w:pPr>
        <w:pStyle w:val="style0"/>
        <w:rPr>
          <w:sz w:val="22"/>
          <w:szCs w:val="22"/>
        </w:rPr>
      </w:pPr>
    </w:p>
    <w:p>
      <w:pPr>
        <w:pStyle w:val="style0"/>
        <w:rPr>
          <w:sz w:val="22"/>
          <w:szCs w:val="22"/>
        </w:rPr>
      </w:pPr>
    </w:p>
    <w:p>
      <w:pPr>
        <w:pStyle w:val="style0"/>
        <w:jc w:val="center"/>
        <w:rPr>
          <w:b/>
          <w:sz w:val="22"/>
          <w:szCs w:val="22"/>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HAUTS BASSINS</w:t>
      </w:r>
      <w:r>
        <w:rPr>
          <w:b/>
          <w:sz w:val="22"/>
          <w:szCs w:val="22"/>
        </w:rPr>
        <w:t>…………………………</w:t>
      </w:r>
      <w:r>
        <w:rPr>
          <w:b/>
          <w:sz w:val="22"/>
          <w:szCs w:val="22"/>
          <w:u w:val="dotted"/>
        </w:rPr>
        <w:t>Province</w:t>
      </w:r>
      <w:r>
        <w:rPr>
          <w:b/>
          <w:sz w:val="22"/>
          <w:szCs w:val="22"/>
        </w:rPr>
        <w:t xml:space="preserve"> : </w:t>
      </w:r>
      <w:r>
        <w:rPr>
          <w:b/>
          <w:sz w:val="22"/>
          <w:szCs w:val="22"/>
          <w:u w:val="dotted"/>
        </w:rPr>
        <w:t>KENEDOUGOU</w:t>
      </w:r>
      <w:r>
        <w:rPr>
          <w:b/>
          <w:sz w:val="22"/>
          <w:szCs w:val="22"/>
        </w:rPr>
        <w:t>…………………………….</w:t>
      </w:r>
      <w:r>
        <w:rPr>
          <w:b/>
          <w:sz w:val="22"/>
          <w:szCs w:val="22"/>
          <w:u w:val="dotted"/>
        </w:rPr>
        <w:t>Commune</w:t>
      </w:r>
      <w:r>
        <w:rPr>
          <w:b/>
          <w:sz w:val="22"/>
          <w:szCs w:val="22"/>
        </w:rPr>
        <w:t xml:space="preserve"> : </w:t>
      </w:r>
      <w:r>
        <w:rPr>
          <w:b/>
          <w:sz w:val="22"/>
          <w:szCs w:val="22"/>
          <w:u w:val="dotted"/>
        </w:rPr>
        <w:t>BANZON</w:t>
      </w:r>
      <w:r>
        <w:rPr>
          <w:b/>
          <w:sz w:val="22"/>
          <w:szCs w:val="22"/>
        </w:rPr>
        <w:t>…………………………..</w:t>
      </w:r>
    </w:p>
    <w:p>
      <w:pPr>
        <w:pStyle w:val="style0"/>
        <w:rPr>
          <w:b/>
          <w:sz w:val="22"/>
          <w:szCs w:val="22"/>
        </w:rPr>
      </w:pPr>
      <w:r>
        <w:rPr>
          <w:b/>
          <w:sz w:val="22"/>
          <w:szCs w:val="22"/>
        </w:rPr>
        <w:t xml:space="preserve">Village : </w:t>
      </w:r>
      <w:r>
        <w:rPr>
          <w:b/>
          <w:sz w:val="22"/>
          <w:szCs w:val="22"/>
          <w:u w:val="dotted"/>
        </w:rPr>
        <w:t>BANZON</w:t>
      </w:r>
      <w:r>
        <w:rPr>
          <w:b/>
          <w:sz w:val="22"/>
          <w:szCs w:val="22"/>
        </w:rPr>
        <w:t xml:space="preserve">………………………….Date : </w:t>
      </w:r>
      <w:r>
        <w:rPr>
          <w:b/>
          <w:sz w:val="22"/>
          <w:szCs w:val="22"/>
          <w:u w:val="dotted"/>
        </w:rPr>
        <w:t>10/01/2019</w:t>
      </w:r>
      <w:r>
        <w:rPr>
          <w:b/>
          <w:sz w:val="22"/>
          <w:szCs w:val="22"/>
        </w:rPr>
        <w:t>………………… Groupes cibles : Services techniques, Mairie/Préfectures/Producteur</w:t>
      </w:r>
      <w:r>
        <w:rPr>
          <w:b/>
          <w:sz w:val="22"/>
          <w:szCs w:val="22"/>
        </w:rPr>
        <w:t>s</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297"/>
        <w:gridCol w:w="971"/>
        <w:gridCol w:w="4861"/>
        <w:gridCol w:w="2166"/>
      </w:tblGrid>
      <w:tr>
        <w:trPr>
          <w:tblHeader/>
        </w:trPr>
        <w:tc>
          <w:tcPr>
            <w:tcW w:w="249" w:type="pct"/>
            <w:tcBorders/>
            <w:shd w:val="clear" w:color="auto" w:fill="d9d9d9"/>
            <w:vAlign w:val="center"/>
          </w:tcPr>
          <w:p>
            <w:pPr>
              <w:pStyle w:val="style0"/>
              <w:jc w:val="center"/>
              <w:rPr>
                <w:b/>
                <w:sz w:val="22"/>
                <w:szCs w:val="22"/>
              </w:rPr>
            </w:pPr>
            <w:r>
              <w:rPr>
                <w:b/>
                <w:sz w:val="22"/>
                <w:szCs w:val="22"/>
              </w:rPr>
              <w:t>N°</w:t>
            </w:r>
          </w:p>
        </w:tc>
        <w:tc>
          <w:tcPr>
            <w:tcW w:w="1893" w:type="pct"/>
            <w:tcBorders/>
            <w:shd w:val="clear" w:color="auto" w:fill="d9d9d9"/>
            <w:vAlign w:val="center"/>
          </w:tcPr>
          <w:p>
            <w:pPr>
              <w:pStyle w:val="style0"/>
              <w:rPr>
                <w:b/>
                <w:sz w:val="22"/>
                <w:szCs w:val="22"/>
              </w:rPr>
            </w:pPr>
            <w:r>
              <w:rPr>
                <w:b/>
                <w:sz w:val="22"/>
                <w:szCs w:val="22"/>
              </w:rPr>
              <w:t>Nom et prénom (s)</w:t>
            </w:r>
          </w:p>
        </w:tc>
        <w:tc>
          <w:tcPr>
            <w:tcW w:w="347" w:type="pct"/>
            <w:tcBorders/>
            <w:shd w:val="clear" w:color="auto" w:fill="d9d9d9"/>
            <w:vAlign w:val="center"/>
          </w:tcPr>
          <w:p>
            <w:pPr>
              <w:pStyle w:val="style0"/>
              <w:rPr>
                <w:b/>
                <w:sz w:val="22"/>
                <w:szCs w:val="22"/>
              </w:rPr>
            </w:pPr>
            <w:r>
              <w:rPr>
                <w:b/>
                <w:sz w:val="22"/>
                <w:szCs w:val="22"/>
              </w:rPr>
              <w:t>Sexe</w:t>
            </w:r>
          </w:p>
        </w:tc>
        <w:tc>
          <w:tcPr>
            <w:tcW w:w="1737" w:type="pct"/>
            <w:tcBorders/>
            <w:shd w:val="clear" w:color="auto" w:fill="d9d9d9"/>
            <w:vAlign w:val="center"/>
          </w:tcPr>
          <w:p>
            <w:pPr>
              <w:pStyle w:val="style0"/>
              <w:rPr>
                <w:b/>
                <w:sz w:val="22"/>
                <w:szCs w:val="22"/>
              </w:rPr>
            </w:pPr>
            <w:r>
              <w:rPr>
                <w:b/>
                <w:sz w:val="22"/>
                <w:szCs w:val="22"/>
              </w:rPr>
              <w:t>Profession</w:t>
            </w:r>
          </w:p>
        </w:tc>
        <w:tc>
          <w:tcPr>
            <w:tcW w:w="774" w:type="pct"/>
            <w:tcBorders/>
            <w:shd w:val="clear" w:color="auto" w:fill="d9d9d9"/>
            <w:vAlign w:val="center"/>
          </w:tcPr>
          <w:p>
            <w:pPr>
              <w:pStyle w:val="style0"/>
              <w:rPr>
                <w:b/>
                <w:sz w:val="22"/>
                <w:szCs w:val="22"/>
              </w:rPr>
            </w:pPr>
            <w:r>
              <w:rPr>
                <w:b/>
                <w:sz w:val="22"/>
                <w:szCs w:val="22"/>
              </w:rPr>
              <w:t>Téléphone</w:t>
            </w:r>
          </w:p>
        </w:tc>
      </w:tr>
      <w:tr>
        <w:tblPrEx/>
        <w:trPr/>
        <w:tc>
          <w:tcPr>
            <w:tcW w:w="249" w:type="pct"/>
            <w:tcBorders/>
            <w:shd w:val="clear" w:color="auto" w:fill="auto"/>
            <w:vAlign w:val="center"/>
          </w:tcPr>
          <w:p>
            <w:pPr>
              <w:pStyle w:val="style0"/>
              <w:jc w:val="center"/>
              <w:rPr>
                <w:sz w:val="22"/>
                <w:szCs w:val="22"/>
              </w:rPr>
            </w:pPr>
            <w:r>
              <w:rPr>
                <w:sz w:val="22"/>
                <w:szCs w:val="22"/>
              </w:rPr>
              <w:t>01</w:t>
            </w:r>
          </w:p>
        </w:tc>
        <w:tc>
          <w:tcPr>
            <w:tcW w:w="1893" w:type="pct"/>
            <w:tcBorders/>
            <w:shd w:val="clear" w:color="auto" w:fill="auto"/>
            <w:vAlign w:val="center"/>
          </w:tcPr>
          <w:p>
            <w:pPr>
              <w:pStyle w:val="style0"/>
              <w:rPr>
                <w:sz w:val="22"/>
                <w:szCs w:val="22"/>
              </w:rPr>
            </w:pPr>
            <w:r>
              <w:rPr>
                <w:sz w:val="22"/>
                <w:szCs w:val="22"/>
              </w:rPr>
              <w:t>YERBANGA R. Ali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Agent d’Agriculture</w:t>
            </w:r>
          </w:p>
        </w:tc>
        <w:tc>
          <w:tcPr>
            <w:tcW w:w="774" w:type="pct"/>
            <w:tcBorders/>
            <w:shd w:val="clear" w:color="auto" w:fill="auto"/>
            <w:vAlign w:val="center"/>
          </w:tcPr>
          <w:p>
            <w:pPr>
              <w:pStyle w:val="style0"/>
              <w:jc w:val="center"/>
              <w:rPr>
                <w:sz w:val="22"/>
                <w:szCs w:val="22"/>
              </w:rPr>
            </w:pPr>
            <w:r>
              <w:rPr>
                <w:sz w:val="22"/>
                <w:szCs w:val="22"/>
              </w:rPr>
              <w:t>71 31 10 96</w:t>
            </w:r>
          </w:p>
          <w:p>
            <w:pPr>
              <w:pStyle w:val="style0"/>
              <w:jc w:val="center"/>
              <w:rPr>
                <w:sz w:val="22"/>
                <w:szCs w:val="22"/>
              </w:rPr>
            </w:pPr>
            <w:r>
              <w:rPr>
                <w:sz w:val="22"/>
                <w:szCs w:val="22"/>
              </w:rPr>
              <w:t>76 58 71 89</w:t>
            </w:r>
          </w:p>
        </w:tc>
      </w:tr>
      <w:tr>
        <w:tblPrEx/>
        <w:trPr/>
        <w:tc>
          <w:tcPr>
            <w:tcW w:w="249" w:type="pct"/>
            <w:tcBorders/>
            <w:shd w:val="clear" w:color="auto" w:fill="auto"/>
            <w:vAlign w:val="center"/>
          </w:tcPr>
          <w:p>
            <w:pPr>
              <w:pStyle w:val="style0"/>
              <w:jc w:val="center"/>
              <w:rPr>
                <w:sz w:val="22"/>
                <w:szCs w:val="22"/>
              </w:rPr>
            </w:pPr>
            <w:r>
              <w:rPr>
                <w:sz w:val="22"/>
                <w:szCs w:val="22"/>
              </w:rPr>
              <w:t>02</w:t>
            </w:r>
          </w:p>
        </w:tc>
        <w:tc>
          <w:tcPr>
            <w:tcW w:w="1893" w:type="pct"/>
            <w:tcBorders/>
            <w:shd w:val="clear" w:color="auto" w:fill="auto"/>
            <w:vAlign w:val="center"/>
          </w:tcPr>
          <w:p>
            <w:pPr>
              <w:pStyle w:val="style0"/>
              <w:rPr>
                <w:sz w:val="22"/>
                <w:szCs w:val="22"/>
              </w:rPr>
            </w:pPr>
            <w:r>
              <w:rPr>
                <w:sz w:val="22"/>
                <w:szCs w:val="22"/>
              </w:rPr>
              <w:t>TRAORE Gopé Noél</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Agent de plaine</w:t>
            </w:r>
          </w:p>
        </w:tc>
        <w:tc>
          <w:tcPr>
            <w:tcW w:w="774" w:type="pct"/>
            <w:tcBorders/>
            <w:shd w:val="clear" w:color="auto" w:fill="auto"/>
            <w:vAlign w:val="center"/>
          </w:tcPr>
          <w:p>
            <w:pPr>
              <w:pStyle w:val="style0"/>
              <w:jc w:val="center"/>
              <w:rPr>
                <w:sz w:val="22"/>
                <w:szCs w:val="22"/>
              </w:rPr>
            </w:pPr>
            <w:r>
              <w:rPr>
                <w:sz w:val="22"/>
                <w:szCs w:val="22"/>
              </w:rPr>
              <w:t>70 01 00 58</w:t>
            </w:r>
          </w:p>
          <w:p>
            <w:pPr>
              <w:pStyle w:val="style0"/>
              <w:jc w:val="center"/>
              <w:rPr>
                <w:sz w:val="22"/>
                <w:szCs w:val="22"/>
              </w:rPr>
            </w:pPr>
            <w:r>
              <w:rPr>
                <w:sz w:val="22"/>
                <w:szCs w:val="22"/>
              </w:rPr>
              <w:t>77 79 60 72</w:t>
            </w:r>
          </w:p>
        </w:tc>
      </w:tr>
      <w:tr>
        <w:tblPrEx/>
        <w:trPr/>
        <w:tc>
          <w:tcPr>
            <w:tcW w:w="249" w:type="pct"/>
            <w:tcBorders/>
            <w:shd w:val="clear" w:color="auto" w:fill="auto"/>
            <w:vAlign w:val="center"/>
          </w:tcPr>
          <w:p>
            <w:pPr>
              <w:pStyle w:val="style0"/>
              <w:jc w:val="center"/>
              <w:rPr>
                <w:sz w:val="22"/>
                <w:szCs w:val="22"/>
              </w:rPr>
            </w:pPr>
            <w:r>
              <w:rPr>
                <w:sz w:val="22"/>
                <w:szCs w:val="22"/>
              </w:rPr>
              <w:t>03</w:t>
            </w:r>
          </w:p>
        </w:tc>
        <w:tc>
          <w:tcPr>
            <w:tcW w:w="1893" w:type="pct"/>
            <w:tcBorders/>
            <w:shd w:val="clear" w:color="auto" w:fill="auto"/>
            <w:vAlign w:val="center"/>
          </w:tcPr>
          <w:p>
            <w:pPr>
              <w:pStyle w:val="style0"/>
              <w:rPr>
                <w:sz w:val="22"/>
                <w:szCs w:val="22"/>
              </w:rPr>
            </w:pPr>
            <w:r>
              <w:rPr>
                <w:sz w:val="22"/>
                <w:szCs w:val="22"/>
              </w:rPr>
              <w:t>TRAORE Souleymane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Agent d’Agriculture</w:t>
            </w:r>
          </w:p>
        </w:tc>
        <w:tc>
          <w:tcPr>
            <w:tcW w:w="774" w:type="pct"/>
            <w:tcBorders/>
            <w:shd w:val="clear" w:color="auto" w:fill="auto"/>
            <w:vAlign w:val="center"/>
          </w:tcPr>
          <w:p>
            <w:pPr>
              <w:pStyle w:val="style0"/>
              <w:jc w:val="center"/>
              <w:rPr>
                <w:sz w:val="22"/>
                <w:szCs w:val="22"/>
              </w:rPr>
            </w:pPr>
            <w:r>
              <w:rPr>
                <w:sz w:val="22"/>
                <w:szCs w:val="22"/>
              </w:rPr>
              <w:t>60 06 05 38</w:t>
            </w:r>
          </w:p>
        </w:tc>
      </w:tr>
      <w:tr>
        <w:tblPrEx/>
        <w:trPr/>
        <w:tc>
          <w:tcPr>
            <w:tcW w:w="249" w:type="pct"/>
            <w:tcBorders/>
            <w:shd w:val="clear" w:color="auto" w:fill="auto"/>
            <w:vAlign w:val="center"/>
          </w:tcPr>
          <w:p>
            <w:pPr>
              <w:pStyle w:val="style0"/>
              <w:jc w:val="center"/>
              <w:rPr>
                <w:sz w:val="22"/>
                <w:szCs w:val="22"/>
              </w:rPr>
            </w:pPr>
            <w:r>
              <w:rPr>
                <w:sz w:val="22"/>
                <w:szCs w:val="22"/>
              </w:rPr>
              <w:t>04</w:t>
            </w:r>
          </w:p>
        </w:tc>
        <w:tc>
          <w:tcPr>
            <w:tcW w:w="1893" w:type="pct"/>
            <w:tcBorders/>
            <w:shd w:val="clear" w:color="auto" w:fill="auto"/>
            <w:vAlign w:val="center"/>
          </w:tcPr>
          <w:p>
            <w:pPr>
              <w:pStyle w:val="style0"/>
              <w:rPr>
                <w:sz w:val="22"/>
                <w:szCs w:val="22"/>
              </w:rPr>
            </w:pPr>
            <w:r>
              <w:rPr>
                <w:sz w:val="22"/>
                <w:szCs w:val="22"/>
              </w:rPr>
              <w:t>KIENOU Ousséni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Agent d’Agriculture</w:t>
            </w:r>
          </w:p>
        </w:tc>
        <w:tc>
          <w:tcPr>
            <w:tcW w:w="774" w:type="pct"/>
            <w:tcBorders/>
            <w:shd w:val="clear" w:color="auto" w:fill="auto"/>
            <w:vAlign w:val="center"/>
          </w:tcPr>
          <w:p>
            <w:pPr>
              <w:pStyle w:val="style0"/>
              <w:jc w:val="center"/>
              <w:rPr>
                <w:sz w:val="22"/>
                <w:szCs w:val="22"/>
              </w:rPr>
            </w:pPr>
            <w:r>
              <w:rPr>
                <w:sz w:val="22"/>
                <w:szCs w:val="22"/>
              </w:rPr>
              <w:t>70 43 98 54</w:t>
            </w:r>
          </w:p>
        </w:tc>
      </w:tr>
      <w:tr>
        <w:tblPrEx/>
        <w:trPr/>
        <w:tc>
          <w:tcPr>
            <w:tcW w:w="249" w:type="pct"/>
            <w:tcBorders/>
            <w:shd w:val="clear" w:color="auto" w:fill="auto"/>
            <w:vAlign w:val="center"/>
          </w:tcPr>
          <w:p>
            <w:pPr>
              <w:pStyle w:val="style0"/>
              <w:jc w:val="center"/>
              <w:rPr>
                <w:sz w:val="22"/>
                <w:szCs w:val="22"/>
              </w:rPr>
            </w:pPr>
            <w:r>
              <w:rPr>
                <w:sz w:val="22"/>
                <w:szCs w:val="22"/>
              </w:rPr>
              <w:t>05</w:t>
            </w:r>
          </w:p>
        </w:tc>
        <w:tc>
          <w:tcPr>
            <w:tcW w:w="1893" w:type="pct"/>
            <w:tcBorders/>
            <w:shd w:val="clear" w:color="auto" w:fill="auto"/>
            <w:vAlign w:val="center"/>
          </w:tcPr>
          <w:p>
            <w:pPr>
              <w:pStyle w:val="style0"/>
              <w:rPr>
                <w:sz w:val="22"/>
                <w:szCs w:val="22"/>
              </w:rPr>
            </w:pPr>
            <w:r>
              <w:rPr>
                <w:sz w:val="22"/>
                <w:szCs w:val="22"/>
              </w:rPr>
              <w:t>TRAORE Mamadou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Chef du village</w:t>
            </w:r>
          </w:p>
        </w:tc>
        <w:tc>
          <w:tcPr>
            <w:tcW w:w="774" w:type="pct"/>
            <w:tcBorders/>
            <w:shd w:val="clear" w:color="auto" w:fill="auto"/>
            <w:vAlign w:val="center"/>
          </w:tcPr>
          <w:p>
            <w:pPr>
              <w:pStyle w:val="style0"/>
              <w:jc w:val="center"/>
              <w:rPr>
                <w:sz w:val="22"/>
                <w:szCs w:val="22"/>
              </w:rPr>
            </w:pPr>
            <w:r>
              <w:rPr>
                <w:sz w:val="22"/>
                <w:szCs w:val="22"/>
              </w:rPr>
              <w:t xml:space="preserve">76 </w:t>
            </w:r>
            <w:r>
              <w:rPr>
                <w:sz w:val="22"/>
                <w:szCs w:val="22"/>
              </w:rPr>
              <w:t>24 28 07</w:t>
            </w:r>
          </w:p>
        </w:tc>
      </w:tr>
      <w:tr>
        <w:tblPrEx/>
        <w:trPr/>
        <w:tc>
          <w:tcPr>
            <w:tcW w:w="249" w:type="pct"/>
            <w:tcBorders/>
            <w:shd w:val="clear" w:color="auto" w:fill="auto"/>
            <w:vAlign w:val="center"/>
          </w:tcPr>
          <w:p>
            <w:pPr>
              <w:pStyle w:val="style0"/>
              <w:jc w:val="center"/>
              <w:rPr>
                <w:sz w:val="22"/>
                <w:szCs w:val="22"/>
              </w:rPr>
            </w:pPr>
            <w:r>
              <w:rPr>
                <w:sz w:val="22"/>
                <w:szCs w:val="22"/>
              </w:rPr>
              <w:t>06</w:t>
            </w:r>
          </w:p>
        </w:tc>
        <w:tc>
          <w:tcPr>
            <w:tcW w:w="1893" w:type="pct"/>
            <w:tcBorders/>
            <w:shd w:val="clear" w:color="auto" w:fill="auto"/>
            <w:vAlign w:val="center"/>
          </w:tcPr>
          <w:p>
            <w:pPr>
              <w:pStyle w:val="style0"/>
              <w:rPr>
                <w:sz w:val="22"/>
                <w:szCs w:val="22"/>
              </w:rPr>
            </w:pPr>
            <w:r>
              <w:rPr>
                <w:sz w:val="22"/>
                <w:szCs w:val="22"/>
              </w:rPr>
              <w:t>ZOMA Kouilga Emile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Chef SDEEVCC</w:t>
            </w:r>
          </w:p>
        </w:tc>
        <w:tc>
          <w:tcPr>
            <w:tcW w:w="774" w:type="pct"/>
            <w:tcBorders/>
            <w:shd w:val="clear" w:color="auto" w:fill="auto"/>
            <w:vAlign w:val="center"/>
          </w:tcPr>
          <w:p>
            <w:pPr>
              <w:pStyle w:val="style0"/>
              <w:jc w:val="center"/>
              <w:rPr>
                <w:sz w:val="22"/>
                <w:szCs w:val="22"/>
              </w:rPr>
            </w:pPr>
            <w:r>
              <w:rPr>
                <w:sz w:val="22"/>
                <w:szCs w:val="22"/>
              </w:rPr>
              <w:t>71 54 25 38</w:t>
            </w:r>
          </w:p>
        </w:tc>
      </w:tr>
      <w:tr>
        <w:tblPrEx/>
        <w:trPr/>
        <w:tc>
          <w:tcPr>
            <w:tcW w:w="249" w:type="pct"/>
            <w:tcBorders/>
            <w:shd w:val="clear" w:color="auto" w:fill="auto"/>
            <w:vAlign w:val="center"/>
          </w:tcPr>
          <w:p>
            <w:pPr>
              <w:pStyle w:val="style0"/>
              <w:jc w:val="center"/>
              <w:rPr>
                <w:sz w:val="22"/>
                <w:szCs w:val="22"/>
              </w:rPr>
            </w:pPr>
            <w:r>
              <w:rPr>
                <w:sz w:val="22"/>
                <w:szCs w:val="22"/>
              </w:rPr>
              <w:t>07</w:t>
            </w:r>
          </w:p>
        </w:tc>
        <w:tc>
          <w:tcPr>
            <w:tcW w:w="1893" w:type="pct"/>
            <w:tcBorders/>
            <w:shd w:val="clear" w:color="auto" w:fill="auto"/>
            <w:vAlign w:val="center"/>
          </w:tcPr>
          <w:p>
            <w:pPr>
              <w:pStyle w:val="style0"/>
              <w:rPr>
                <w:sz w:val="22"/>
                <w:szCs w:val="22"/>
              </w:rPr>
            </w:pPr>
            <w:r>
              <w:rPr>
                <w:sz w:val="22"/>
                <w:szCs w:val="22"/>
              </w:rPr>
              <w:t>SAWADOGO Souleymane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Police</w:t>
            </w:r>
          </w:p>
        </w:tc>
        <w:tc>
          <w:tcPr>
            <w:tcW w:w="774" w:type="pct"/>
            <w:tcBorders/>
            <w:shd w:val="clear" w:color="auto" w:fill="auto"/>
            <w:vAlign w:val="center"/>
          </w:tcPr>
          <w:p>
            <w:pPr>
              <w:pStyle w:val="style0"/>
              <w:jc w:val="center"/>
              <w:rPr>
                <w:sz w:val="22"/>
                <w:szCs w:val="22"/>
              </w:rPr>
            </w:pPr>
            <w:r>
              <w:rPr>
                <w:sz w:val="22"/>
                <w:szCs w:val="22"/>
              </w:rPr>
              <w:t>71 80 53 12</w:t>
            </w:r>
          </w:p>
        </w:tc>
      </w:tr>
      <w:tr>
        <w:tblPrEx/>
        <w:trPr/>
        <w:tc>
          <w:tcPr>
            <w:tcW w:w="249" w:type="pct"/>
            <w:tcBorders/>
            <w:shd w:val="clear" w:color="auto" w:fill="auto"/>
            <w:vAlign w:val="center"/>
          </w:tcPr>
          <w:p>
            <w:pPr>
              <w:pStyle w:val="style0"/>
              <w:jc w:val="center"/>
              <w:rPr>
                <w:sz w:val="22"/>
                <w:szCs w:val="22"/>
              </w:rPr>
            </w:pPr>
            <w:r>
              <w:rPr>
                <w:sz w:val="22"/>
                <w:szCs w:val="22"/>
              </w:rPr>
              <w:t>08</w:t>
            </w:r>
          </w:p>
        </w:tc>
        <w:tc>
          <w:tcPr>
            <w:tcW w:w="1893" w:type="pct"/>
            <w:tcBorders/>
            <w:shd w:val="clear" w:color="auto" w:fill="auto"/>
            <w:vAlign w:val="center"/>
          </w:tcPr>
          <w:p>
            <w:pPr>
              <w:pStyle w:val="style0"/>
              <w:rPr>
                <w:sz w:val="22"/>
                <w:szCs w:val="22"/>
              </w:rPr>
            </w:pPr>
            <w:r>
              <w:rPr>
                <w:sz w:val="22"/>
                <w:szCs w:val="22"/>
              </w:rPr>
              <w:t>RABO Zakaria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Préfecture</w:t>
            </w:r>
          </w:p>
        </w:tc>
        <w:tc>
          <w:tcPr>
            <w:tcW w:w="774" w:type="pct"/>
            <w:tcBorders/>
            <w:shd w:val="clear" w:color="auto" w:fill="auto"/>
            <w:vAlign w:val="center"/>
          </w:tcPr>
          <w:p>
            <w:pPr>
              <w:pStyle w:val="style0"/>
              <w:jc w:val="center"/>
              <w:rPr>
                <w:sz w:val="22"/>
                <w:szCs w:val="22"/>
              </w:rPr>
            </w:pPr>
            <w:r>
              <w:rPr>
                <w:sz w:val="22"/>
                <w:szCs w:val="22"/>
              </w:rPr>
              <w:t>70 99 24 31</w:t>
            </w:r>
          </w:p>
        </w:tc>
      </w:tr>
      <w:tr>
        <w:tblPrEx/>
        <w:trPr/>
        <w:tc>
          <w:tcPr>
            <w:tcW w:w="249" w:type="pct"/>
            <w:tcBorders/>
            <w:shd w:val="clear" w:color="auto" w:fill="auto"/>
            <w:vAlign w:val="center"/>
          </w:tcPr>
          <w:p>
            <w:pPr>
              <w:pStyle w:val="style0"/>
              <w:jc w:val="center"/>
              <w:rPr>
                <w:sz w:val="22"/>
                <w:szCs w:val="22"/>
              </w:rPr>
            </w:pPr>
            <w:r>
              <w:rPr>
                <w:sz w:val="22"/>
                <w:szCs w:val="22"/>
              </w:rPr>
              <w:t>09</w:t>
            </w:r>
          </w:p>
        </w:tc>
        <w:tc>
          <w:tcPr>
            <w:tcW w:w="1893" w:type="pct"/>
            <w:tcBorders/>
            <w:shd w:val="clear" w:color="auto" w:fill="auto"/>
            <w:vAlign w:val="center"/>
          </w:tcPr>
          <w:p>
            <w:pPr>
              <w:pStyle w:val="style0"/>
              <w:rPr>
                <w:sz w:val="22"/>
                <w:szCs w:val="22"/>
              </w:rPr>
            </w:pPr>
            <w:r>
              <w:rPr>
                <w:sz w:val="22"/>
                <w:szCs w:val="22"/>
              </w:rPr>
              <w:t>TRAORE Yaya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Vice de la S.CAB</w:t>
            </w:r>
          </w:p>
        </w:tc>
        <w:tc>
          <w:tcPr>
            <w:tcW w:w="774" w:type="pct"/>
            <w:tcBorders/>
            <w:shd w:val="clear" w:color="auto" w:fill="auto"/>
            <w:vAlign w:val="center"/>
          </w:tcPr>
          <w:p>
            <w:pPr>
              <w:pStyle w:val="style0"/>
              <w:jc w:val="center"/>
              <w:rPr>
                <w:sz w:val="22"/>
                <w:szCs w:val="22"/>
              </w:rPr>
            </w:pPr>
            <w:r>
              <w:rPr>
                <w:sz w:val="22"/>
                <w:szCs w:val="22"/>
              </w:rPr>
              <w:t>76 19 87 02</w:t>
            </w:r>
          </w:p>
        </w:tc>
      </w:tr>
      <w:tr>
        <w:tblPrEx/>
        <w:trPr/>
        <w:tc>
          <w:tcPr>
            <w:tcW w:w="249" w:type="pct"/>
            <w:tcBorders/>
            <w:shd w:val="clear" w:color="auto" w:fill="auto"/>
            <w:vAlign w:val="center"/>
          </w:tcPr>
          <w:p>
            <w:pPr>
              <w:pStyle w:val="style0"/>
              <w:jc w:val="center"/>
              <w:rPr>
                <w:sz w:val="22"/>
                <w:szCs w:val="22"/>
              </w:rPr>
            </w:pPr>
            <w:r>
              <w:rPr>
                <w:sz w:val="22"/>
                <w:szCs w:val="22"/>
              </w:rPr>
              <w:t>10</w:t>
            </w:r>
          </w:p>
        </w:tc>
        <w:tc>
          <w:tcPr>
            <w:tcW w:w="1893" w:type="pct"/>
            <w:tcBorders/>
            <w:shd w:val="clear" w:color="auto" w:fill="auto"/>
            <w:vAlign w:val="center"/>
          </w:tcPr>
          <w:p>
            <w:pPr>
              <w:pStyle w:val="style0"/>
              <w:rPr>
                <w:sz w:val="22"/>
                <w:szCs w:val="22"/>
              </w:rPr>
            </w:pPr>
            <w:r>
              <w:rPr>
                <w:sz w:val="22"/>
                <w:szCs w:val="22"/>
              </w:rPr>
              <w:t>OUEDRAOGO Claude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Informations S CAB</w:t>
            </w:r>
          </w:p>
        </w:tc>
        <w:tc>
          <w:tcPr>
            <w:tcW w:w="774" w:type="pct"/>
            <w:tcBorders/>
            <w:shd w:val="clear" w:color="auto" w:fill="auto"/>
            <w:vAlign w:val="center"/>
          </w:tcPr>
          <w:p>
            <w:pPr>
              <w:pStyle w:val="style0"/>
              <w:jc w:val="center"/>
              <w:rPr>
                <w:sz w:val="22"/>
                <w:szCs w:val="22"/>
              </w:rPr>
            </w:pPr>
            <w:r>
              <w:rPr>
                <w:sz w:val="22"/>
                <w:szCs w:val="22"/>
              </w:rPr>
              <w:t>76 13 83 68</w:t>
            </w:r>
          </w:p>
        </w:tc>
      </w:tr>
      <w:tr>
        <w:tblPrEx/>
        <w:trPr/>
        <w:tc>
          <w:tcPr>
            <w:tcW w:w="249" w:type="pct"/>
            <w:tcBorders/>
            <w:shd w:val="clear" w:color="auto" w:fill="auto"/>
            <w:vAlign w:val="center"/>
          </w:tcPr>
          <w:p>
            <w:pPr>
              <w:pStyle w:val="style0"/>
              <w:jc w:val="center"/>
              <w:rPr>
                <w:sz w:val="22"/>
                <w:szCs w:val="22"/>
              </w:rPr>
            </w:pPr>
            <w:r>
              <w:rPr>
                <w:sz w:val="22"/>
                <w:szCs w:val="22"/>
              </w:rPr>
              <w:t>11</w:t>
            </w:r>
          </w:p>
        </w:tc>
        <w:tc>
          <w:tcPr>
            <w:tcW w:w="1893" w:type="pct"/>
            <w:tcBorders/>
            <w:shd w:val="clear" w:color="auto" w:fill="auto"/>
            <w:vAlign w:val="center"/>
          </w:tcPr>
          <w:p>
            <w:pPr>
              <w:pStyle w:val="style0"/>
              <w:rPr>
                <w:sz w:val="22"/>
                <w:szCs w:val="22"/>
              </w:rPr>
            </w:pPr>
            <w:r>
              <w:rPr>
                <w:sz w:val="22"/>
                <w:szCs w:val="22"/>
              </w:rPr>
              <w:t>MILLO</w:t>
            </w:r>
            <w:r>
              <w:rPr>
                <w:sz w:val="22"/>
                <w:szCs w:val="22"/>
              </w:rPr>
              <w:t>GO D GERARD</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Logistique S.CAB</w:t>
            </w:r>
          </w:p>
        </w:tc>
        <w:tc>
          <w:tcPr>
            <w:tcW w:w="774" w:type="pct"/>
            <w:tcBorders/>
            <w:shd w:val="clear" w:color="auto" w:fill="auto"/>
            <w:vAlign w:val="center"/>
          </w:tcPr>
          <w:p>
            <w:pPr>
              <w:pStyle w:val="style0"/>
              <w:jc w:val="center"/>
              <w:rPr>
                <w:sz w:val="22"/>
                <w:szCs w:val="22"/>
              </w:rPr>
            </w:pPr>
            <w:r>
              <w:rPr>
                <w:sz w:val="22"/>
                <w:szCs w:val="22"/>
              </w:rPr>
              <w:t>75 45 77 61</w:t>
            </w:r>
          </w:p>
        </w:tc>
      </w:tr>
      <w:tr>
        <w:tblPrEx/>
        <w:trPr/>
        <w:tc>
          <w:tcPr>
            <w:tcW w:w="249" w:type="pct"/>
            <w:tcBorders/>
            <w:shd w:val="clear" w:color="auto" w:fill="auto"/>
            <w:vAlign w:val="center"/>
          </w:tcPr>
          <w:p>
            <w:pPr>
              <w:pStyle w:val="style0"/>
              <w:jc w:val="center"/>
              <w:rPr>
                <w:sz w:val="22"/>
                <w:szCs w:val="22"/>
              </w:rPr>
            </w:pPr>
            <w:r>
              <w:rPr>
                <w:sz w:val="22"/>
                <w:szCs w:val="22"/>
              </w:rPr>
              <w:t>12</w:t>
            </w:r>
          </w:p>
        </w:tc>
        <w:tc>
          <w:tcPr>
            <w:tcW w:w="1893" w:type="pct"/>
            <w:tcBorders/>
            <w:shd w:val="clear" w:color="auto" w:fill="auto"/>
            <w:vAlign w:val="center"/>
          </w:tcPr>
          <w:p>
            <w:pPr>
              <w:pStyle w:val="style0"/>
              <w:rPr>
                <w:sz w:val="22"/>
                <w:szCs w:val="22"/>
              </w:rPr>
            </w:pPr>
            <w:r>
              <w:rPr>
                <w:sz w:val="22"/>
                <w:szCs w:val="22"/>
              </w:rPr>
              <w:t>MILLOGO Séydou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Producteur</w:t>
            </w:r>
          </w:p>
        </w:tc>
        <w:tc>
          <w:tcPr>
            <w:tcW w:w="774" w:type="pct"/>
            <w:tcBorders/>
            <w:shd w:val="clear" w:color="auto" w:fill="auto"/>
            <w:vAlign w:val="center"/>
          </w:tcPr>
          <w:p>
            <w:pPr>
              <w:pStyle w:val="style0"/>
              <w:ind w:left="-108" w:right="-100"/>
              <w:jc w:val="center"/>
              <w:rPr>
                <w:sz w:val="22"/>
                <w:szCs w:val="22"/>
              </w:rPr>
            </w:pPr>
            <w:r>
              <w:rPr>
                <w:sz w:val="22"/>
                <w:szCs w:val="22"/>
              </w:rPr>
              <w:t>75 02 98 11</w:t>
            </w:r>
          </w:p>
        </w:tc>
      </w:tr>
      <w:tr>
        <w:tblPrEx/>
        <w:trPr/>
        <w:tc>
          <w:tcPr>
            <w:tcW w:w="249" w:type="pct"/>
            <w:tcBorders/>
            <w:shd w:val="clear" w:color="auto" w:fill="auto"/>
            <w:vAlign w:val="center"/>
          </w:tcPr>
          <w:p>
            <w:pPr>
              <w:pStyle w:val="style0"/>
              <w:jc w:val="center"/>
              <w:rPr>
                <w:sz w:val="22"/>
                <w:szCs w:val="22"/>
              </w:rPr>
            </w:pPr>
            <w:r>
              <w:rPr>
                <w:sz w:val="22"/>
                <w:szCs w:val="22"/>
              </w:rPr>
              <w:t>13</w:t>
            </w:r>
          </w:p>
        </w:tc>
        <w:tc>
          <w:tcPr>
            <w:tcW w:w="1893" w:type="pct"/>
            <w:tcBorders/>
            <w:shd w:val="clear" w:color="auto" w:fill="auto"/>
            <w:vAlign w:val="center"/>
          </w:tcPr>
          <w:p>
            <w:pPr>
              <w:pStyle w:val="style0"/>
              <w:rPr>
                <w:sz w:val="22"/>
                <w:szCs w:val="22"/>
              </w:rPr>
            </w:pPr>
            <w:r>
              <w:rPr>
                <w:sz w:val="22"/>
                <w:szCs w:val="22"/>
              </w:rPr>
              <w:t>OUEDRAOGO Hamad</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Président S CAB</w:t>
            </w:r>
          </w:p>
        </w:tc>
        <w:tc>
          <w:tcPr>
            <w:tcW w:w="774" w:type="pct"/>
            <w:tcBorders/>
            <w:shd w:val="clear" w:color="auto" w:fill="auto"/>
            <w:vAlign w:val="center"/>
          </w:tcPr>
          <w:p>
            <w:pPr>
              <w:pStyle w:val="style0"/>
              <w:jc w:val="center"/>
              <w:rPr>
                <w:sz w:val="22"/>
                <w:szCs w:val="22"/>
              </w:rPr>
            </w:pPr>
            <w:r>
              <w:rPr>
                <w:sz w:val="22"/>
                <w:szCs w:val="22"/>
              </w:rPr>
              <w:t>76 10 14 80</w:t>
            </w:r>
          </w:p>
        </w:tc>
      </w:tr>
      <w:tr>
        <w:tblPrEx/>
        <w:trPr/>
        <w:tc>
          <w:tcPr>
            <w:tcW w:w="249" w:type="pct"/>
            <w:tcBorders/>
            <w:shd w:val="clear" w:color="auto" w:fill="auto"/>
            <w:vAlign w:val="center"/>
          </w:tcPr>
          <w:p>
            <w:pPr>
              <w:pStyle w:val="style0"/>
              <w:jc w:val="center"/>
              <w:rPr>
                <w:sz w:val="22"/>
                <w:szCs w:val="22"/>
              </w:rPr>
            </w:pPr>
            <w:r>
              <w:rPr>
                <w:sz w:val="22"/>
                <w:szCs w:val="22"/>
              </w:rPr>
              <w:t>14</w:t>
            </w:r>
          </w:p>
        </w:tc>
        <w:tc>
          <w:tcPr>
            <w:tcW w:w="1893" w:type="pct"/>
            <w:tcBorders/>
            <w:shd w:val="clear" w:color="auto" w:fill="auto"/>
            <w:vAlign w:val="center"/>
          </w:tcPr>
          <w:p>
            <w:pPr>
              <w:pStyle w:val="style0"/>
              <w:rPr>
                <w:sz w:val="22"/>
                <w:szCs w:val="22"/>
              </w:rPr>
            </w:pPr>
            <w:r>
              <w:rPr>
                <w:sz w:val="22"/>
                <w:szCs w:val="22"/>
              </w:rPr>
              <w:t>SANOU Drissa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vAlign w:val="center"/>
          </w:tcPr>
          <w:p>
            <w:pPr>
              <w:pStyle w:val="style0"/>
              <w:rPr>
                <w:sz w:val="22"/>
                <w:szCs w:val="22"/>
              </w:rPr>
            </w:pPr>
            <w:r>
              <w:rPr>
                <w:sz w:val="22"/>
                <w:szCs w:val="22"/>
              </w:rPr>
              <w:t>Chef plaine</w:t>
            </w:r>
          </w:p>
        </w:tc>
        <w:tc>
          <w:tcPr>
            <w:tcW w:w="774" w:type="pct"/>
            <w:tcBorders/>
            <w:shd w:val="clear" w:color="auto" w:fill="auto"/>
            <w:vAlign w:val="center"/>
          </w:tcPr>
          <w:p>
            <w:pPr>
              <w:pStyle w:val="style0"/>
              <w:jc w:val="center"/>
              <w:rPr>
                <w:sz w:val="22"/>
                <w:szCs w:val="22"/>
              </w:rPr>
            </w:pPr>
            <w:r>
              <w:rPr>
                <w:sz w:val="22"/>
                <w:szCs w:val="22"/>
              </w:rPr>
              <w:t>76 46 25 75</w:t>
            </w:r>
          </w:p>
        </w:tc>
      </w:tr>
      <w:tr>
        <w:tblPrEx/>
        <w:trPr/>
        <w:tc>
          <w:tcPr>
            <w:tcW w:w="249" w:type="pct"/>
            <w:tcBorders/>
            <w:shd w:val="clear" w:color="auto" w:fill="auto"/>
            <w:vAlign w:val="center"/>
          </w:tcPr>
          <w:p>
            <w:pPr>
              <w:pStyle w:val="style0"/>
              <w:jc w:val="center"/>
              <w:rPr>
                <w:sz w:val="22"/>
                <w:szCs w:val="22"/>
              </w:rPr>
            </w:pPr>
            <w:r>
              <w:rPr>
                <w:sz w:val="22"/>
                <w:szCs w:val="22"/>
              </w:rPr>
              <w:t>15</w:t>
            </w:r>
          </w:p>
        </w:tc>
        <w:tc>
          <w:tcPr>
            <w:tcW w:w="1893" w:type="pct"/>
            <w:tcBorders/>
            <w:shd w:val="clear" w:color="auto" w:fill="auto"/>
            <w:vAlign w:val="center"/>
          </w:tcPr>
          <w:p>
            <w:pPr>
              <w:pStyle w:val="style0"/>
              <w:rPr>
                <w:sz w:val="22"/>
                <w:szCs w:val="22"/>
              </w:rPr>
            </w:pPr>
            <w:r>
              <w:rPr>
                <w:sz w:val="22"/>
                <w:szCs w:val="22"/>
              </w:rPr>
              <w:t>OUEDRAOGO Zakaria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Gestionnaire plaine</w:t>
            </w:r>
          </w:p>
        </w:tc>
        <w:tc>
          <w:tcPr>
            <w:tcW w:w="774" w:type="pct"/>
            <w:tcBorders/>
            <w:shd w:val="clear" w:color="auto" w:fill="auto"/>
            <w:vAlign w:val="center"/>
          </w:tcPr>
          <w:p>
            <w:pPr>
              <w:pStyle w:val="style0"/>
              <w:jc w:val="center"/>
              <w:rPr>
                <w:sz w:val="22"/>
                <w:szCs w:val="22"/>
              </w:rPr>
            </w:pPr>
            <w:r>
              <w:rPr>
                <w:sz w:val="22"/>
                <w:szCs w:val="22"/>
              </w:rPr>
              <w:t>76 53 11 03</w:t>
            </w:r>
          </w:p>
        </w:tc>
      </w:tr>
      <w:tr>
        <w:tblPrEx/>
        <w:trPr/>
        <w:tc>
          <w:tcPr>
            <w:tcW w:w="249" w:type="pct"/>
            <w:tcBorders/>
            <w:shd w:val="clear" w:color="auto" w:fill="auto"/>
            <w:vAlign w:val="center"/>
          </w:tcPr>
          <w:p>
            <w:pPr>
              <w:pStyle w:val="style0"/>
              <w:jc w:val="center"/>
              <w:rPr>
                <w:sz w:val="22"/>
                <w:szCs w:val="22"/>
              </w:rPr>
            </w:pPr>
            <w:r>
              <w:rPr>
                <w:sz w:val="22"/>
                <w:szCs w:val="22"/>
              </w:rPr>
              <w:t>16</w:t>
            </w:r>
          </w:p>
        </w:tc>
        <w:tc>
          <w:tcPr>
            <w:tcW w:w="1893" w:type="pct"/>
            <w:tcBorders/>
            <w:shd w:val="clear" w:color="auto" w:fill="auto"/>
            <w:vAlign w:val="center"/>
          </w:tcPr>
          <w:p>
            <w:pPr>
              <w:pStyle w:val="style0"/>
              <w:rPr>
                <w:sz w:val="22"/>
                <w:szCs w:val="22"/>
              </w:rPr>
            </w:pPr>
            <w:r>
              <w:rPr>
                <w:sz w:val="22"/>
                <w:szCs w:val="22"/>
              </w:rPr>
              <w:t>TRAORE Abdoulaye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SG Adjoint SCAB</w:t>
            </w:r>
          </w:p>
        </w:tc>
        <w:tc>
          <w:tcPr>
            <w:tcW w:w="774" w:type="pct"/>
            <w:tcBorders/>
            <w:shd w:val="clear" w:color="auto" w:fill="auto"/>
            <w:vAlign w:val="center"/>
          </w:tcPr>
          <w:p>
            <w:pPr>
              <w:pStyle w:val="style0"/>
              <w:jc w:val="center"/>
              <w:rPr>
                <w:sz w:val="22"/>
                <w:szCs w:val="22"/>
              </w:rPr>
            </w:pPr>
            <w:r>
              <w:rPr>
                <w:sz w:val="22"/>
                <w:szCs w:val="22"/>
              </w:rPr>
              <w:t>75 14 60 55</w:t>
            </w:r>
          </w:p>
        </w:tc>
      </w:tr>
      <w:tr>
        <w:tblPrEx/>
        <w:trPr/>
        <w:tc>
          <w:tcPr>
            <w:tcW w:w="249" w:type="pct"/>
            <w:tcBorders/>
            <w:shd w:val="clear" w:color="auto" w:fill="auto"/>
            <w:vAlign w:val="center"/>
          </w:tcPr>
          <w:p>
            <w:pPr>
              <w:pStyle w:val="style0"/>
              <w:jc w:val="center"/>
              <w:rPr>
                <w:sz w:val="22"/>
                <w:szCs w:val="22"/>
              </w:rPr>
            </w:pPr>
            <w:r>
              <w:rPr>
                <w:sz w:val="22"/>
                <w:szCs w:val="22"/>
              </w:rPr>
              <w:t>17</w:t>
            </w:r>
          </w:p>
        </w:tc>
        <w:tc>
          <w:tcPr>
            <w:tcW w:w="1893" w:type="pct"/>
            <w:tcBorders/>
            <w:shd w:val="clear" w:color="auto" w:fill="auto"/>
            <w:vAlign w:val="center"/>
          </w:tcPr>
          <w:p>
            <w:pPr>
              <w:pStyle w:val="style0"/>
              <w:rPr>
                <w:sz w:val="22"/>
                <w:szCs w:val="22"/>
              </w:rPr>
            </w:pPr>
            <w:r>
              <w:rPr>
                <w:sz w:val="22"/>
                <w:szCs w:val="22"/>
              </w:rPr>
              <w:t>TRAORE Mamadou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Organisations</w:t>
            </w:r>
          </w:p>
        </w:tc>
        <w:tc>
          <w:tcPr>
            <w:tcW w:w="774" w:type="pct"/>
            <w:tcBorders/>
            <w:shd w:val="clear" w:color="auto" w:fill="auto"/>
            <w:vAlign w:val="center"/>
          </w:tcPr>
          <w:p>
            <w:pPr>
              <w:pStyle w:val="style0"/>
              <w:jc w:val="center"/>
              <w:rPr>
                <w:sz w:val="22"/>
                <w:szCs w:val="22"/>
              </w:rPr>
            </w:pPr>
            <w:r>
              <w:rPr>
                <w:sz w:val="22"/>
                <w:szCs w:val="22"/>
              </w:rPr>
              <w:t>76 19 87 02</w:t>
            </w:r>
          </w:p>
        </w:tc>
      </w:tr>
      <w:tr>
        <w:tblPrEx/>
        <w:trPr/>
        <w:tc>
          <w:tcPr>
            <w:tcW w:w="249" w:type="pct"/>
            <w:tcBorders/>
            <w:shd w:val="clear" w:color="auto" w:fill="auto"/>
          </w:tcPr>
          <w:p>
            <w:pPr>
              <w:pStyle w:val="style0"/>
              <w:jc w:val="center"/>
              <w:rPr>
                <w:sz w:val="22"/>
                <w:szCs w:val="22"/>
              </w:rPr>
            </w:pPr>
            <w:r>
              <w:rPr>
                <w:sz w:val="22"/>
                <w:szCs w:val="22"/>
              </w:rPr>
              <w:t>18</w:t>
            </w:r>
          </w:p>
        </w:tc>
        <w:tc>
          <w:tcPr>
            <w:tcW w:w="1893" w:type="pct"/>
            <w:tcBorders/>
            <w:shd w:val="clear" w:color="auto" w:fill="auto"/>
          </w:tcPr>
          <w:p>
            <w:pPr>
              <w:pStyle w:val="style0"/>
              <w:rPr>
                <w:sz w:val="22"/>
                <w:szCs w:val="22"/>
              </w:rPr>
            </w:pPr>
            <w:r>
              <w:rPr>
                <w:sz w:val="22"/>
                <w:szCs w:val="22"/>
              </w:rPr>
              <w:t>TRAORE Adama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w:t>
            </w:r>
          </w:p>
        </w:tc>
      </w:tr>
      <w:tr>
        <w:tblPrEx/>
        <w:trPr/>
        <w:tc>
          <w:tcPr>
            <w:tcW w:w="249" w:type="pct"/>
            <w:tcBorders/>
            <w:shd w:val="clear" w:color="auto" w:fill="auto"/>
            <w:vAlign w:val="center"/>
          </w:tcPr>
          <w:p>
            <w:pPr>
              <w:pStyle w:val="style0"/>
              <w:jc w:val="center"/>
              <w:rPr>
                <w:sz w:val="22"/>
                <w:szCs w:val="22"/>
              </w:rPr>
            </w:pPr>
            <w:r>
              <w:rPr>
                <w:sz w:val="22"/>
                <w:szCs w:val="22"/>
              </w:rPr>
              <w:t>19</w:t>
            </w:r>
          </w:p>
        </w:tc>
        <w:tc>
          <w:tcPr>
            <w:tcW w:w="1893" w:type="pct"/>
            <w:tcBorders/>
            <w:shd w:val="clear" w:color="auto" w:fill="auto"/>
            <w:vAlign w:val="center"/>
          </w:tcPr>
          <w:p>
            <w:pPr>
              <w:pStyle w:val="style0"/>
              <w:rPr>
                <w:sz w:val="22"/>
                <w:szCs w:val="22"/>
              </w:rPr>
            </w:pPr>
            <w:r>
              <w:rPr>
                <w:sz w:val="22"/>
                <w:szCs w:val="22"/>
              </w:rPr>
              <w:t>SANOU Doda</w:t>
            </w:r>
          </w:p>
        </w:tc>
        <w:tc>
          <w:tcPr>
            <w:tcW w:w="347" w:type="pct"/>
            <w:tcBorders/>
            <w:shd w:val="clear" w:color="auto" w:fill="auto"/>
          </w:tcPr>
          <w:p>
            <w:pPr>
              <w:pStyle w:val="style0"/>
              <w:jc w:val="center"/>
              <w:rPr>
                <w:sz w:val="22"/>
                <w:szCs w:val="22"/>
              </w:rPr>
            </w:pPr>
            <w:r>
              <w:rPr>
                <w:sz w:val="22"/>
                <w:szCs w:val="22"/>
              </w:rPr>
              <w:t>F</w:t>
            </w:r>
          </w:p>
        </w:tc>
        <w:tc>
          <w:tcPr>
            <w:tcW w:w="1737" w:type="pct"/>
            <w:tcBorders/>
            <w:shd w:val="clear" w:color="auto" w:fill="auto"/>
          </w:tcPr>
          <w:p>
            <w:pPr>
              <w:pStyle w:val="style0"/>
              <w:rPr>
                <w:sz w:val="22"/>
                <w:szCs w:val="22"/>
              </w:rPr>
            </w:pPr>
            <w:r>
              <w:rPr>
                <w:sz w:val="22"/>
                <w:szCs w:val="22"/>
              </w:rPr>
              <w:t>Productrice</w:t>
            </w:r>
          </w:p>
        </w:tc>
        <w:tc>
          <w:tcPr>
            <w:tcW w:w="774" w:type="pct"/>
            <w:tcBorders/>
            <w:shd w:val="clear" w:color="auto" w:fill="auto"/>
          </w:tcPr>
          <w:p>
            <w:pPr>
              <w:pStyle w:val="style0"/>
              <w:jc w:val="center"/>
              <w:rPr>
                <w:sz w:val="22"/>
                <w:szCs w:val="22"/>
              </w:rPr>
            </w:pPr>
            <w:r>
              <w:rPr>
                <w:sz w:val="22"/>
                <w:szCs w:val="22"/>
              </w:rPr>
              <w:t>76 99 79 81</w:t>
            </w:r>
          </w:p>
        </w:tc>
      </w:tr>
      <w:tr>
        <w:tblPrEx/>
        <w:trPr/>
        <w:tc>
          <w:tcPr>
            <w:tcW w:w="249" w:type="pct"/>
            <w:tcBorders/>
            <w:shd w:val="clear" w:color="auto" w:fill="auto"/>
            <w:vAlign w:val="center"/>
          </w:tcPr>
          <w:p>
            <w:pPr>
              <w:pStyle w:val="style0"/>
              <w:jc w:val="center"/>
              <w:rPr>
                <w:sz w:val="22"/>
                <w:szCs w:val="22"/>
              </w:rPr>
            </w:pPr>
            <w:r>
              <w:rPr>
                <w:sz w:val="22"/>
                <w:szCs w:val="22"/>
              </w:rPr>
              <w:t>20</w:t>
            </w:r>
          </w:p>
        </w:tc>
        <w:tc>
          <w:tcPr>
            <w:tcW w:w="1893" w:type="pct"/>
            <w:tcBorders/>
            <w:shd w:val="clear" w:color="auto" w:fill="auto"/>
            <w:vAlign w:val="center"/>
          </w:tcPr>
          <w:p>
            <w:pPr>
              <w:pStyle w:val="style0"/>
              <w:rPr>
                <w:sz w:val="22"/>
                <w:szCs w:val="22"/>
              </w:rPr>
            </w:pPr>
            <w:r>
              <w:rPr>
                <w:sz w:val="22"/>
                <w:szCs w:val="22"/>
              </w:rPr>
              <w:t>BELEM Abdoulaye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w:t>
            </w:r>
          </w:p>
        </w:tc>
      </w:tr>
      <w:tr>
        <w:tblPrEx/>
        <w:trPr/>
        <w:tc>
          <w:tcPr>
            <w:tcW w:w="249" w:type="pct"/>
            <w:tcBorders/>
            <w:shd w:val="clear" w:color="auto" w:fill="auto"/>
            <w:vAlign w:val="center"/>
          </w:tcPr>
          <w:p>
            <w:pPr>
              <w:pStyle w:val="style0"/>
              <w:jc w:val="center"/>
              <w:rPr>
                <w:sz w:val="22"/>
                <w:szCs w:val="22"/>
              </w:rPr>
            </w:pPr>
            <w:r>
              <w:rPr>
                <w:sz w:val="22"/>
                <w:szCs w:val="22"/>
              </w:rPr>
              <w:t>21</w:t>
            </w:r>
          </w:p>
        </w:tc>
        <w:tc>
          <w:tcPr>
            <w:tcW w:w="1893" w:type="pct"/>
            <w:tcBorders/>
            <w:shd w:val="clear" w:color="auto" w:fill="auto"/>
            <w:vAlign w:val="center"/>
          </w:tcPr>
          <w:p>
            <w:pPr>
              <w:pStyle w:val="style0"/>
              <w:rPr>
                <w:sz w:val="22"/>
                <w:szCs w:val="22"/>
              </w:rPr>
            </w:pPr>
            <w:r>
              <w:rPr>
                <w:sz w:val="22"/>
                <w:szCs w:val="22"/>
              </w:rPr>
              <w:t>ZABRE Ossa Moïse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75 45 77 63</w:t>
            </w:r>
          </w:p>
        </w:tc>
      </w:tr>
      <w:tr>
        <w:tblPrEx/>
        <w:trPr/>
        <w:tc>
          <w:tcPr>
            <w:tcW w:w="249" w:type="pct"/>
            <w:tcBorders/>
            <w:shd w:val="clear" w:color="auto" w:fill="auto"/>
            <w:vAlign w:val="center"/>
          </w:tcPr>
          <w:p>
            <w:pPr>
              <w:pStyle w:val="style0"/>
              <w:jc w:val="center"/>
              <w:rPr>
                <w:sz w:val="22"/>
                <w:szCs w:val="22"/>
              </w:rPr>
            </w:pPr>
            <w:r>
              <w:rPr>
                <w:sz w:val="22"/>
                <w:szCs w:val="22"/>
              </w:rPr>
              <w:t>22</w:t>
            </w:r>
          </w:p>
        </w:tc>
        <w:tc>
          <w:tcPr>
            <w:tcW w:w="1893" w:type="pct"/>
            <w:tcBorders/>
            <w:shd w:val="clear" w:color="auto" w:fill="auto"/>
            <w:vAlign w:val="center"/>
          </w:tcPr>
          <w:p>
            <w:pPr>
              <w:pStyle w:val="style0"/>
              <w:rPr>
                <w:sz w:val="22"/>
                <w:szCs w:val="22"/>
              </w:rPr>
            </w:pPr>
            <w:r>
              <w:rPr>
                <w:sz w:val="22"/>
                <w:szCs w:val="22"/>
              </w:rPr>
              <w:t>OUEDRAOGO Amadé</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76 32 73 32</w:t>
            </w:r>
          </w:p>
        </w:tc>
      </w:tr>
      <w:tr>
        <w:tblPrEx/>
        <w:trPr/>
        <w:tc>
          <w:tcPr>
            <w:tcW w:w="249" w:type="pct"/>
            <w:tcBorders/>
            <w:shd w:val="clear" w:color="auto" w:fill="auto"/>
            <w:vAlign w:val="center"/>
          </w:tcPr>
          <w:p>
            <w:pPr>
              <w:pStyle w:val="style0"/>
              <w:jc w:val="center"/>
              <w:rPr>
                <w:sz w:val="22"/>
                <w:szCs w:val="22"/>
              </w:rPr>
            </w:pPr>
            <w:r>
              <w:rPr>
                <w:sz w:val="22"/>
                <w:szCs w:val="22"/>
              </w:rPr>
              <w:t>23</w:t>
            </w:r>
          </w:p>
        </w:tc>
        <w:tc>
          <w:tcPr>
            <w:tcW w:w="1893" w:type="pct"/>
            <w:tcBorders/>
            <w:shd w:val="clear" w:color="auto" w:fill="auto"/>
            <w:vAlign w:val="center"/>
          </w:tcPr>
          <w:p>
            <w:pPr>
              <w:pStyle w:val="style0"/>
              <w:rPr>
                <w:sz w:val="22"/>
                <w:szCs w:val="22"/>
              </w:rPr>
            </w:pPr>
            <w:r>
              <w:rPr>
                <w:sz w:val="22"/>
                <w:szCs w:val="22"/>
              </w:rPr>
              <w:t xml:space="preserve">TRAORE G Drissa </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76 57 40 36</w:t>
            </w:r>
          </w:p>
        </w:tc>
      </w:tr>
      <w:tr>
        <w:tblPrEx/>
        <w:trPr/>
        <w:tc>
          <w:tcPr>
            <w:tcW w:w="249" w:type="pct"/>
            <w:tcBorders/>
            <w:shd w:val="clear" w:color="auto" w:fill="auto"/>
            <w:vAlign w:val="center"/>
          </w:tcPr>
          <w:p>
            <w:pPr>
              <w:pStyle w:val="style0"/>
              <w:jc w:val="center"/>
              <w:rPr>
                <w:sz w:val="22"/>
                <w:szCs w:val="22"/>
              </w:rPr>
            </w:pPr>
            <w:r>
              <w:rPr>
                <w:sz w:val="22"/>
                <w:szCs w:val="22"/>
              </w:rPr>
              <w:t>24</w:t>
            </w:r>
          </w:p>
        </w:tc>
        <w:tc>
          <w:tcPr>
            <w:tcW w:w="1893" w:type="pct"/>
            <w:tcBorders/>
            <w:shd w:val="clear" w:color="auto" w:fill="auto"/>
            <w:vAlign w:val="center"/>
          </w:tcPr>
          <w:p>
            <w:pPr>
              <w:pStyle w:val="style0"/>
              <w:rPr>
                <w:sz w:val="22"/>
                <w:szCs w:val="22"/>
              </w:rPr>
            </w:pPr>
            <w:r>
              <w:rPr>
                <w:sz w:val="22"/>
                <w:szCs w:val="22"/>
              </w:rPr>
              <w:t>TRAORE Sié Joseph</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77 08 68 59</w:t>
            </w:r>
          </w:p>
        </w:tc>
      </w:tr>
      <w:tr>
        <w:tblPrEx/>
        <w:trPr/>
        <w:tc>
          <w:tcPr>
            <w:tcW w:w="249" w:type="pct"/>
            <w:tcBorders/>
            <w:shd w:val="clear" w:color="auto" w:fill="auto"/>
            <w:vAlign w:val="center"/>
          </w:tcPr>
          <w:p>
            <w:pPr>
              <w:pStyle w:val="style0"/>
              <w:jc w:val="center"/>
              <w:rPr>
                <w:sz w:val="22"/>
                <w:szCs w:val="22"/>
              </w:rPr>
            </w:pPr>
            <w:r>
              <w:rPr>
                <w:sz w:val="22"/>
                <w:szCs w:val="22"/>
              </w:rPr>
              <w:t>25</w:t>
            </w:r>
          </w:p>
        </w:tc>
        <w:tc>
          <w:tcPr>
            <w:tcW w:w="1893" w:type="pct"/>
            <w:tcBorders/>
            <w:shd w:val="clear" w:color="auto" w:fill="auto"/>
            <w:vAlign w:val="center"/>
          </w:tcPr>
          <w:p>
            <w:pPr>
              <w:pStyle w:val="style0"/>
              <w:rPr>
                <w:sz w:val="22"/>
                <w:szCs w:val="22"/>
              </w:rPr>
            </w:pPr>
            <w:r>
              <w:rPr>
                <w:sz w:val="22"/>
                <w:szCs w:val="22"/>
              </w:rPr>
              <w:t>OATTARA Tiéba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ind w:left="-108" w:right="-100"/>
              <w:jc w:val="center"/>
              <w:rPr>
                <w:sz w:val="22"/>
                <w:szCs w:val="22"/>
              </w:rPr>
            </w:pPr>
            <w:r>
              <w:rPr>
                <w:sz w:val="22"/>
                <w:szCs w:val="22"/>
              </w:rPr>
              <w:t>65 47 15 57</w:t>
            </w:r>
          </w:p>
        </w:tc>
      </w:tr>
      <w:tr>
        <w:tblPrEx/>
        <w:trPr/>
        <w:tc>
          <w:tcPr>
            <w:tcW w:w="249" w:type="pct"/>
            <w:tcBorders/>
            <w:shd w:val="clear" w:color="auto" w:fill="auto"/>
            <w:vAlign w:val="center"/>
          </w:tcPr>
          <w:p>
            <w:pPr>
              <w:pStyle w:val="style0"/>
              <w:jc w:val="center"/>
              <w:rPr>
                <w:sz w:val="22"/>
                <w:szCs w:val="22"/>
              </w:rPr>
            </w:pPr>
            <w:r>
              <w:rPr>
                <w:sz w:val="22"/>
                <w:szCs w:val="22"/>
              </w:rPr>
              <w:t>26</w:t>
            </w:r>
          </w:p>
        </w:tc>
        <w:tc>
          <w:tcPr>
            <w:tcW w:w="1893" w:type="pct"/>
            <w:tcBorders/>
            <w:shd w:val="clear" w:color="auto" w:fill="auto"/>
            <w:vAlign w:val="center"/>
          </w:tcPr>
          <w:p>
            <w:pPr>
              <w:pStyle w:val="style0"/>
              <w:rPr>
                <w:sz w:val="22"/>
                <w:szCs w:val="22"/>
              </w:rPr>
            </w:pPr>
            <w:r>
              <w:rPr>
                <w:sz w:val="22"/>
                <w:szCs w:val="22"/>
              </w:rPr>
              <w:t>SAWADOGO Idrissa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vAlign w:val="center"/>
          </w:tcPr>
          <w:p>
            <w:pPr>
              <w:pStyle w:val="style0"/>
              <w:jc w:val="center"/>
              <w:rPr>
                <w:sz w:val="22"/>
                <w:szCs w:val="22"/>
              </w:rPr>
            </w:pPr>
            <w:r>
              <w:rPr>
                <w:sz w:val="22"/>
                <w:szCs w:val="22"/>
              </w:rPr>
              <w:t>75 41 24 84</w:t>
            </w:r>
          </w:p>
        </w:tc>
      </w:tr>
      <w:tr>
        <w:tblPrEx/>
        <w:trPr/>
        <w:tc>
          <w:tcPr>
            <w:tcW w:w="249" w:type="pct"/>
            <w:tcBorders/>
            <w:shd w:val="clear" w:color="auto" w:fill="auto"/>
          </w:tcPr>
          <w:p>
            <w:pPr>
              <w:pStyle w:val="style0"/>
              <w:jc w:val="center"/>
              <w:rPr>
                <w:sz w:val="22"/>
                <w:szCs w:val="22"/>
              </w:rPr>
            </w:pPr>
            <w:r>
              <w:rPr>
                <w:sz w:val="22"/>
                <w:szCs w:val="22"/>
              </w:rPr>
              <w:t>27</w:t>
            </w:r>
          </w:p>
        </w:tc>
        <w:tc>
          <w:tcPr>
            <w:tcW w:w="1893" w:type="pct"/>
            <w:tcBorders/>
            <w:shd w:val="clear" w:color="auto" w:fill="auto"/>
          </w:tcPr>
          <w:p>
            <w:pPr>
              <w:pStyle w:val="style0"/>
              <w:rPr>
                <w:sz w:val="22"/>
                <w:szCs w:val="22"/>
              </w:rPr>
            </w:pPr>
            <w:r>
              <w:rPr>
                <w:sz w:val="22"/>
                <w:szCs w:val="22"/>
              </w:rPr>
              <w:t>SAWADOGO Issa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74 49 96 33</w:t>
            </w:r>
          </w:p>
        </w:tc>
      </w:tr>
      <w:tr>
        <w:tblPrEx/>
        <w:trPr/>
        <w:tc>
          <w:tcPr>
            <w:tcW w:w="249" w:type="pct"/>
            <w:tcBorders/>
            <w:shd w:val="clear" w:color="auto" w:fill="auto"/>
          </w:tcPr>
          <w:p>
            <w:pPr>
              <w:pStyle w:val="style0"/>
              <w:jc w:val="center"/>
              <w:rPr>
                <w:sz w:val="22"/>
                <w:szCs w:val="22"/>
              </w:rPr>
            </w:pPr>
            <w:r>
              <w:rPr>
                <w:sz w:val="22"/>
                <w:szCs w:val="22"/>
              </w:rPr>
              <w:t>28</w:t>
            </w:r>
          </w:p>
        </w:tc>
        <w:tc>
          <w:tcPr>
            <w:tcW w:w="1893" w:type="pct"/>
            <w:tcBorders/>
            <w:shd w:val="clear" w:color="auto" w:fill="auto"/>
          </w:tcPr>
          <w:p>
            <w:pPr>
              <w:pStyle w:val="style0"/>
              <w:rPr>
                <w:sz w:val="22"/>
                <w:szCs w:val="22"/>
              </w:rPr>
            </w:pPr>
            <w:r>
              <w:rPr>
                <w:sz w:val="22"/>
                <w:szCs w:val="22"/>
              </w:rPr>
              <w:t>OUATTA</w:t>
            </w:r>
            <w:r>
              <w:rPr>
                <w:sz w:val="22"/>
                <w:szCs w:val="22"/>
              </w:rPr>
              <w:t>RA Adama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76 63 05 22</w:t>
            </w:r>
          </w:p>
        </w:tc>
      </w:tr>
      <w:tr>
        <w:tblPrEx/>
        <w:trPr/>
        <w:tc>
          <w:tcPr>
            <w:tcW w:w="249" w:type="pct"/>
            <w:tcBorders/>
            <w:shd w:val="clear" w:color="auto" w:fill="auto"/>
          </w:tcPr>
          <w:p>
            <w:pPr>
              <w:pStyle w:val="style0"/>
              <w:jc w:val="center"/>
              <w:rPr>
                <w:sz w:val="22"/>
                <w:szCs w:val="22"/>
              </w:rPr>
            </w:pPr>
            <w:r>
              <w:rPr>
                <w:sz w:val="22"/>
                <w:szCs w:val="22"/>
              </w:rPr>
              <w:t>29</w:t>
            </w:r>
          </w:p>
        </w:tc>
        <w:tc>
          <w:tcPr>
            <w:tcW w:w="1893" w:type="pct"/>
            <w:tcBorders/>
            <w:shd w:val="clear" w:color="auto" w:fill="auto"/>
          </w:tcPr>
          <w:p>
            <w:pPr>
              <w:pStyle w:val="style0"/>
              <w:rPr>
                <w:sz w:val="22"/>
                <w:szCs w:val="22"/>
              </w:rPr>
            </w:pPr>
            <w:r>
              <w:rPr>
                <w:sz w:val="22"/>
                <w:szCs w:val="22"/>
              </w:rPr>
              <w:t>TRAORE Go Lamoussa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76 02 35 19</w:t>
            </w:r>
          </w:p>
        </w:tc>
      </w:tr>
      <w:tr>
        <w:tblPrEx/>
        <w:trPr/>
        <w:tc>
          <w:tcPr>
            <w:tcW w:w="249" w:type="pct"/>
            <w:tcBorders/>
            <w:shd w:val="clear" w:color="auto" w:fill="auto"/>
          </w:tcPr>
          <w:p>
            <w:pPr>
              <w:pStyle w:val="style0"/>
              <w:jc w:val="center"/>
              <w:rPr>
                <w:sz w:val="22"/>
                <w:szCs w:val="22"/>
              </w:rPr>
            </w:pPr>
            <w:r>
              <w:rPr>
                <w:sz w:val="22"/>
                <w:szCs w:val="22"/>
              </w:rPr>
              <w:t>30</w:t>
            </w:r>
          </w:p>
        </w:tc>
        <w:tc>
          <w:tcPr>
            <w:tcW w:w="1893" w:type="pct"/>
            <w:tcBorders/>
            <w:shd w:val="clear" w:color="auto" w:fill="auto"/>
          </w:tcPr>
          <w:p>
            <w:pPr>
              <w:pStyle w:val="style0"/>
              <w:rPr>
                <w:sz w:val="22"/>
                <w:szCs w:val="22"/>
              </w:rPr>
            </w:pPr>
            <w:r>
              <w:rPr>
                <w:sz w:val="22"/>
                <w:szCs w:val="22"/>
              </w:rPr>
              <w:t>BELEM Issouf</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74 92 27 26</w:t>
            </w:r>
          </w:p>
        </w:tc>
      </w:tr>
      <w:tr>
        <w:tblPrEx/>
        <w:trPr/>
        <w:tc>
          <w:tcPr>
            <w:tcW w:w="249" w:type="pct"/>
            <w:tcBorders/>
            <w:shd w:val="clear" w:color="auto" w:fill="auto"/>
          </w:tcPr>
          <w:p>
            <w:pPr>
              <w:pStyle w:val="style0"/>
              <w:jc w:val="center"/>
              <w:rPr>
                <w:sz w:val="22"/>
                <w:szCs w:val="22"/>
              </w:rPr>
            </w:pPr>
            <w:r>
              <w:rPr>
                <w:sz w:val="22"/>
                <w:szCs w:val="22"/>
              </w:rPr>
              <w:t>31</w:t>
            </w:r>
          </w:p>
        </w:tc>
        <w:tc>
          <w:tcPr>
            <w:tcW w:w="1893" w:type="pct"/>
            <w:tcBorders/>
            <w:shd w:val="clear" w:color="auto" w:fill="auto"/>
          </w:tcPr>
          <w:p>
            <w:pPr>
              <w:pStyle w:val="style0"/>
              <w:rPr>
                <w:sz w:val="22"/>
                <w:szCs w:val="22"/>
              </w:rPr>
            </w:pPr>
            <w:r>
              <w:rPr>
                <w:sz w:val="22"/>
                <w:szCs w:val="22"/>
              </w:rPr>
              <w:t>TRAORE K. Moussa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76 19 92 56</w:t>
            </w:r>
          </w:p>
        </w:tc>
      </w:tr>
      <w:tr>
        <w:tblPrEx/>
        <w:trPr/>
        <w:tc>
          <w:tcPr>
            <w:tcW w:w="249" w:type="pct"/>
            <w:tcBorders/>
            <w:shd w:val="clear" w:color="auto" w:fill="auto"/>
          </w:tcPr>
          <w:p>
            <w:pPr>
              <w:pStyle w:val="style0"/>
              <w:jc w:val="center"/>
              <w:rPr>
                <w:sz w:val="22"/>
                <w:szCs w:val="22"/>
              </w:rPr>
            </w:pPr>
            <w:r>
              <w:rPr>
                <w:sz w:val="22"/>
                <w:szCs w:val="22"/>
              </w:rPr>
              <w:t>32</w:t>
            </w:r>
          </w:p>
        </w:tc>
        <w:tc>
          <w:tcPr>
            <w:tcW w:w="1893" w:type="pct"/>
            <w:tcBorders/>
            <w:shd w:val="clear" w:color="auto" w:fill="auto"/>
          </w:tcPr>
          <w:p>
            <w:pPr>
              <w:pStyle w:val="style0"/>
              <w:rPr>
                <w:sz w:val="22"/>
                <w:szCs w:val="22"/>
              </w:rPr>
            </w:pPr>
            <w:r>
              <w:rPr>
                <w:sz w:val="22"/>
                <w:szCs w:val="22"/>
              </w:rPr>
              <w:t>TRAORE Sié</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76 79 10 61</w:t>
            </w:r>
          </w:p>
        </w:tc>
      </w:tr>
      <w:tr>
        <w:tblPrEx/>
        <w:trPr/>
        <w:tc>
          <w:tcPr>
            <w:tcW w:w="249" w:type="pct"/>
            <w:tcBorders/>
            <w:shd w:val="clear" w:color="auto" w:fill="auto"/>
          </w:tcPr>
          <w:p>
            <w:pPr>
              <w:pStyle w:val="style0"/>
              <w:jc w:val="center"/>
              <w:rPr>
                <w:sz w:val="22"/>
                <w:szCs w:val="22"/>
              </w:rPr>
            </w:pPr>
            <w:r>
              <w:rPr>
                <w:sz w:val="22"/>
                <w:szCs w:val="22"/>
              </w:rPr>
              <w:t>33</w:t>
            </w:r>
          </w:p>
        </w:tc>
        <w:tc>
          <w:tcPr>
            <w:tcW w:w="1893" w:type="pct"/>
            <w:tcBorders/>
            <w:shd w:val="clear" w:color="auto" w:fill="auto"/>
          </w:tcPr>
          <w:p>
            <w:pPr>
              <w:pStyle w:val="style0"/>
              <w:rPr>
                <w:sz w:val="22"/>
                <w:szCs w:val="22"/>
              </w:rPr>
            </w:pPr>
            <w:r>
              <w:rPr>
                <w:sz w:val="22"/>
                <w:szCs w:val="22"/>
              </w:rPr>
              <w:t>SANKARA Madi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76 09 41 02</w:t>
            </w:r>
          </w:p>
        </w:tc>
      </w:tr>
      <w:tr>
        <w:tblPrEx/>
        <w:trPr/>
        <w:tc>
          <w:tcPr>
            <w:tcW w:w="249" w:type="pct"/>
            <w:tcBorders/>
            <w:shd w:val="clear" w:color="auto" w:fill="auto"/>
          </w:tcPr>
          <w:p>
            <w:pPr>
              <w:pStyle w:val="style0"/>
              <w:jc w:val="center"/>
              <w:rPr>
                <w:sz w:val="22"/>
                <w:szCs w:val="22"/>
              </w:rPr>
            </w:pPr>
            <w:r>
              <w:rPr>
                <w:sz w:val="22"/>
                <w:szCs w:val="22"/>
              </w:rPr>
              <w:t>34</w:t>
            </w:r>
          </w:p>
        </w:tc>
        <w:tc>
          <w:tcPr>
            <w:tcW w:w="1893" w:type="pct"/>
            <w:tcBorders/>
            <w:shd w:val="clear" w:color="auto" w:fill="auto"/>
          </w:tcPr>
          <w:p>
            <w:pPr>
              <w:pStyle w:val="style0"/>
              <w:rPr>
                <w:sz w:val="22"/>
                <w:szCs w:val="22"/>
              </w:rPr>
            </w:pPr>
            <w:r>
              <w:rPr>
                <w:sz w:val="22"/>
                <w:szCs w:val="22"/>
              </w:rPr>
              <w:t>SAWADOGO Dramane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 xml:space="preserve">66 40 31 12 </w:t>
            </w:r>
          </w:p>
        </w:tc>
      </w:tr>
      <w:tr>
        <w:tblPrEx/>
        <w:trPr/>
        <w:tc>
          <w:tcPr>
            <w:tcW w:w="249" w:type="pct"/>
            <w:tcBorders/>
            <w:shd w:val="clear" w:color="auto" w:fill="auto"/>
          </w:tcPr>
          <w:p>
            <w:pPr>
              <w:pStyle w:val="style0"/>
              <w:jc w:val="center"/>
              <w:rPr>
                <w:sz w:val="22"/>
                <w:szCs w:val="22"/>
              </w:rPr>
            </w:pPr>
            <w:r>
              <w:rPr>
                <w:sz w:val="22"/>
                <w:szCs w:val="22"/>
              </w:rPr>
              <w:t>35</w:t>
            </w:r>
          </w:p>
        </w:tc>
        <w:tc>
          <w:tcPr>
            <w:tcW w:w="1893" w:type="pct"/>
            <w:tcBorders/>
            <w:shd w:val="clear" w:color="auto" w:fill="auto"/>
          </w:tcPr>
          <w:p>
            <w:pPr>
              <w:pStyle w:val="style0"/>
              <w:rPr>
                <w:sz w:val="22"/>
                <w:szCs w:val="22"/>
              </w:rPr>
            </w:pPr>
            <w:r>
              <w:rPr>
                <w:sz w:val="22"/>
                <w:szCs w:val="22"/>
              </w:rPr>
              <w:t>OUEDRAOGO Noufou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76 79 14 37</w:t>
            </w:r>
          </w:p>
        </w:tc>
      </w:tr>
      <w:tr>
        <w:tblPrEx/>
        <w:trPr/>
        <w:tc>
          <w:tcPr>
            <w:tcW w:w="249" w:type="pct"/>
            <w:tcBorders/>
            <w:shd w:val="clear" w:color="auto" w:fill="auto"/>
          </w:tcPr>
          <w:p>
            <w:pPr>
              <w:pStyle w:val="style0"/>
              <w:jc w:val="center"/>
              <w:rPr>
                <w:sz w:val="22"/>
                <w:szCs w:val="22"/>
              </w:rPr>
            </w:pPr>
            <w:r>
              <w:rPr>
                <w:sz w:val="22"/>
                <w:szCs w:val="22"/>
              </w:rPr>
              <w:t>36</w:t>
            </w:r>
          </w:p>
        </w:tc>
        <w:tc>
          <w:tcPr>
            <w:tcW w:w="1893" w:type="pct"/>
            <w:tcBorders/>
            <w:shd w:val="clear" w:color="auto" w:fill="auto"/>
          </w:tcPr>
          <w:p>
            <w:pPr>
              <w:pStyle w:val="style0"/>
              <w:rPr>
                <w:sz w:val="22"/>
                <w:szCs w:val="22"/>
              </w:rPr>
            </w:pPr>
            <w:r>
              <w:rPr>
                <w:sz w:val="22"/>
                <w:szCs w:val="22"/>
              </w:rPr>
              <w:t>KOUDOUGOU Moussa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76 26 13 78</w:t>
            </w:r>
          </w:p>
        </w:tc>
      </w:tr>
      <w:tr>
        <w:tblPrEx/>
        <w:trPr/>
        <w:tc>
          <w:tcPr>
            <w:tcW w:w="249" w:type="pct"/>
            <w:tcBorders/>
            <w:shd w:val="clear" w:color="auto" w:fill="auto"/>
          </w:tcPr>
          <w:p>
            <w:pPr>
              <w:pStyle w:val="style0"/>
              <w:jc w:val="center"/>
              <w:rPr>
                <w:sz w:val="22"/>
                <w:szCs w:val="22"/>
              </w:rPr>
            </w:pPr>
            <w:r>
              <w:rPr>
                <w:sz w:val="22"/>
                <w:szCs w:val="22"/>
              </w:rPr>
              <w:t>37</w:t>
            </w:r>
          </w:p>
        </w:tc>
        <w:tc>
          <w:tcPr>
            <w:tcW w:w="1893" w:type="pct"/>
            <w:tcBorders/>
            <w:shd w:val="clear" w:color="auto" w:fill="auto"/>
          </w:tcPr>
          <w:p>
            <w:pPr>
              <w:pStyle w:val="style0"/>
              <w:rPr>
                <w:sz w:val="22"/>
                <w:szCs w:val="22"/>
              </w:rPr>
            </w:pPr>
            <w:r>
              <w:rPr>
                <w:sz w:val="22"/>
                <w:szCs w:val="22"/>
              </w:rPr>
              <w:t>DAO Yaya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ind w:left="-108" w:right="-100"/>
              <w:jc w:val="center"/>
              <w:rPr>
                <w:sz w:val="22"/>
                <w:szCs w:val="22"/>
              </w:rPr>
            </w:pPr>
            <w:r>
              <w:rPr>
                <w:sz w:val="22"/>
                <w:szCs w:val="22"/>
              </w:rPr>
              <w:t>76 76 47 26</w:t>
            </w:r>
          </w:p>
        </w:tc>
      </w:tr>
      <w:tr>
        <w:tblPrEx/>
        <w:trPr/>
        <w:tc>
          <w:tcPr>
            <w:tcW w:w="249" w:type="pct"/>
            <w:tcBorders/>
            <w:shd w:val="clear" w:color="auto" w:fill="auto"/>
          </w:tcPr>
          <w:p>
            <w:pPr>
              <w:pStyle w:val="style0"/>
              <w:jc w:val="center"/>
              <w:rPr>
                <w:sz w:val="22"/>
                <w:szCs w:val="22"/>
              </w:rPr>
            </w:pPr>
            <w:r>
              <w:rPr>
                <w:sz w:val="22"/>
                <w:szCs w:val="22"/>
              </w:rPr>
              <w:t>38</w:t>
            </w:r>
          </w:p>
        </w:tc>
        <w:tc>
          <w:tcPr>
            <w:tcW w:w="1893" w:type="pct"/>
            <w:tcBorders/>
            <w:shd w:val="clear" w:color="auto" w:fill="auto"/>
          </w:tcPr>
          <w:p>
            <w:pPr>
              <w:pStyle w:val="style0"/>
              <w:rPr>
                <w:sz w:val="22"/>
                <w:szCs w:val="22"/>
              </w:rPr>
            </w:pPr>
            <w:r>
              <w:rPr>
                <w:sz w:val="22"/>
                <w:szCs w:val="22"/>
              </w:rPr>
              <w:t>SERE Oumarou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75 03 60 85</w:t>
            </w:r>
          </w:p>
        </w:tc>
      </w:tr>
      <w:tr>
        <w:tblPrEx/>
        <w:trPr/>
        <w:tc>
          <w:tcPr>
            <w:tcW w:w="249" w:type="pct"/>
            <w:tcBorders/>
            <w:shd w:val="clear" w:color="auto" w:fill="auto"/>
          </w:tcPr>
          <w:p>
            <w:pPr>
              <w:pStyle w:val="style0"/>
              <w:jc w:val="center"/>
              <w:rPr>
                <w:sz w:val="22"/>
                <w:szCs w:val="22"/>
              </w:rPr>
            </w:pPr>
            <w:r>
              <w:rPr>
                <w:sz w:val="22"/>
                <w:szCs w:val="22"/>
              </w:rPr>
              <w:t>39</w:t>
            </w:r>
          </w:p>
        </w:tc>
        <w:tc>
          <w:tcPr>
            <w:tcW w:w="1893" w:type="pct"/>
            <w:tcBorders/>
            <w:shd w:val="clear" w:color="auto" w:fill="auto"/>
          </w:tcPr>
          <w:p>
            <w:pPr>
              <w:pStyle w:val="style0"/>
              <w:rPr>
                <w:sz w:val="22"/>
                <w:szCs w:val="22"/>
              </w:rPr>
            </w:pPr>
            <w:r>
              <w:rPr>
                <w:sz w:val="22"/>
                <w:szCs w:val="22"/>
              </w:rPr>
              <w:t>TRAORE Sié Lassina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76 70 28 30</w:t>
            </w:r>
          </w:p>
        </w:tc>
      </w:tr>
      <w:tr>
        <w:tblPrEx/>
        <w:trPr/>
        <w:tc>
          <w:tcPr>
            <w:tcW w:w="249" w:type="pct"/>
            <w:tcBorders/>
            <w:shd w:val="clear" w:color="auto" w:fill="auto"/>
          </w:tcPr>
          <w:p>
            <w:pPr>
              <w:pStyle w:val="style0"/>
              <w:jc w:val="center"/>
              <w:rPr>
                <w:sz w:val="22"/>
                <w:szCs w:val="22"/>
              </w:rPr>
            </w:pPr>
            <w:r>
              <w:rPr>
                <w:sz w:val="22"/>
                <w:szCs w:val="22"/>
              </w:rPr>
              <w:t>40</w:t>
            </w:r>
          </w:p>
        </w:tc>
        <w:tc>
          <w:tcPr>
            <w:tcW w:w="1893" w:type="pct"/>
            <w:tcBorders/>
            <w:shd w:val="clear" w:color="auto" w:fill="auto"/>
          </w:tcPr>
          <w:p>
            <w:pPr>
              <w:pStyle w:val="style0"/>
              <w:rPr>
                <w:sz w:val="22"/>
                <w:szCs w:val="22"/>
              </w:rPr>
            </w:pPr>
            <w:r>
              <w:rPr>
                <w:sz w:val="22"/>
                <w:szCs w:val="22"/>
              </w:rPr>
              <w:t>DAO Abdoulaye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74 41 04 26</w:t>
            </w:r>
          </w:p>
        </w:tc>
      </w:tr>
      <w:tr>
        <w:tblPrEx/>
        <w:trPr/>
        <w:tc>
          <w:tcPr>
            <w:tcW w:w="249" w:type="pct"/>
            <w:tcBorders/>
            <w:shd w:val="clear" w:color="auto" w:fill="auto"/>
          </w:tcPr>
          <w:p>
            <w:pPr>
              <w:pStyle w:val="style0"/>
              <w:jc w:val="center"/>
              <w:rPr>
                <w:sz w:val="22"/>
                <w:szCs w:val="22"/>
              </w:rPr>
            </w:pPr>
            <w:r>
              <w:rPr>
                <w:sz w:val="22"/>
                <w:szCs w:val="22"/>
              </w:rPr>
              <w:t>41</w:t>
            </w:r>
          </w:p>
        </w:tc>
        <w:tc>
          <w:tcPr>
            <w:tcW w:w="1893" w:type="pct"/>
            <w:tcBorders/>
            <w:shd w:val="clear" w:color="auto" w:fill="auto"/>
          </w:tcPr>
          <w:p>
            <w:pPr>
              <w:pStyle w:val="style0"/>
              <w:rPr>
                <w:sz w:val="22"/>
                <w:szCs w:val="22"/>
              </w:rPr>
            </w:pPr>
            <w:r>
              <w:rPr>
                <w:sz w:val="22"/>
                <w:szCs w:val="22"/>
              </w:rPr>
              <w:t>OULE Yacouba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51 37 07 79</w:t>
            </w:r>
          </w:p>
        </w:tc>
      </w:tr>
      <w:tr>
        <w:tblPrEx/>
        <w:trPr/>
        <w:tc>
          <w:tcPr>
            <w:tcW w:w="249" w:type="pct"/>
            <w:tcBorders/>
            <w:shd w:val="clear" w:color="auto" w:fill="auto"/>
          </w:tcPr>
          <w:p>
            <w:pPr>
              <w:pStyle w:val="style0"/>
              <w:jc w:val="center"/>
              <w:rPr>
                <w:sz w:val="22"/>
                <w:szCs w:val="22"/>
              </w:rPr>
            </w:pPr>
            <w:r>
              <w:rPr>
                <w:sz w:val="22"/>
                <w:szCs w:val="22"/>
              </w:rPr>
              <w:t>42</w:t>
            </w:r>
          </w:p>
        </w:tc>
        <w:tc>
          <w:tcPr>
            <w:tcW w:w="1893" w:type="pct"/>
            <w:tcBorders/>
            <w:shd w:val="clear" w:color="auto" w:fill="auto"/>
          </w:tcPr>
          <w:p>
            <w:pPr>
              <w:pStyle w:val="style0"/>
              <w:rPr>
                <w:sz w:val="22"/>
                <w:szCs w:val="22"/>
              </w:rPr>
            </w:pPr>
            <w:r>
              <w:rPr>
                <w:sz w:val="22"/>
                <w:szCs w:val="22"/>
              </w:rPr>
              <w:t>DIABATE Ousmane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61 83 29 54</w:t>
            </w:r>
          </w:p>
        </w:tc>
      </w:tr>
      <w:tr>
        <w:tblPrEx/>
        <w:trPr/>
        <w:tc>
          <w:tcPr>
            <w:tcW w:w="249" w:type="pct"/>
            <w:tcBorders/>
            <w:shd w:val="clear" w:color="auto" w:fill="auto"/>
          </w:tcPr>
          <w:p>
            <w:pPr>
              <w:pStyle w:val="style0"/>
              <w:jc w:val="center"/>
              <w:rPr>
                <w:sz w:val="22"/>
                <w:szCs w:val="22"/>
              </w:rPr>
            </w:pPr>
            <w:r>
              <w:rPr>
                <w:sz w:val="22"/>
                <w:szCs w:val="22"/>
              </w:rPr>
              <w:t>43</w:t>
            </w:r>
          </w:p>
        </w:tc>
        <w:tc>
          <w:tcPr>
            <w:tcW w:w="1893" w:type="pct"/>
            <w:tcBorders/>
            <w:shd w:val="clear" w:color="auto" w:fill="auto"/>
          </w:tcPr>
          <w:p>
            <w:pPr>
              <w:pStyle w:val="style0"/>
              <w:rPr>
                <w:sz w:val="22"/>
                <w:szCs w:val="22"/>
              </w:rPr>
            </w:pPr>
            <w:r>
              <w:rPr>
                <w:sz w:val="22"/>
                <w:szCs w:val="22"/>
              </w:rPr>
              <w:t>DIALLO Adama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76 15 74 36</w:t>
            </w:r>
          </w:p>
        </w:tc>
      </w:tr>
      <w:tr>
        <w:tblPrEx/>
        <w:trPr/>
        <w:tc>
          <w:tcPr>
            <w:tcW w:w="249" w:type="pct"/>
            <w:tcBorders/>
            <w:shd w:val="clear" w:color="auto" w:fill="auto"/>
          </w:tcPr>
          <w:p>
            <w:pPr>
              <w:pStyle w:val="style0"/>
              <w:jc w:val="center"/>
              <w:rPr>
                <w:sz w:val="22"/>
                <w:szCs w:val="22"/>
              </w:rPr>
            </w:pPr>
            <w:r>
              <w:rPr>
                <w:sz w:val="22"/>
                <w:szCs w:val="22"/>
              </w:rPr>
              <w:t>44</w:t>
            </w:r>
          </w:p>
        </w:tc>
        <w:tc>
          <w:tcPr>
            <w:tcW w:w="1893" w:type="pct"/>
            <w:tcBorders/>
            <w:shd w:val="clear" w:color="auto" w:fill="auto"/>
          </w:tcPr>
          <w:p>
            <w:pPr>
              <w:pStyle w:val="style0"/>
              <w:rPr>
                <w:sz w:val="22"/>
                <w:szCs w:val="22"/>
              </w:rPr>
            </w:pPr>
            <w:r>
              <w:rPr>
                <w:sz w:val="22"/>
                <w:szCs w:val="22"/>
              </w:rPr>
              <w:t>KOUSSE Lokou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75 14 50 01</w:t>
            </w:r>
          </w:p>
        </w:tc>
      </w:tr>
      <w:tr>
        <w:tblPrEx/>
        <w:trPr/>
        <w:tc>
          <w:tcPr>
            <w:tcW w:w="249" w:type="pct"/>
            <w:tcBorders/>
            <w:shd w:val="clear" w:color="auto" w:fill="auto"/>
          </w:tcPr>
          <w:p>
            <w:pPr>
              <w:pStyle w:val="style0"/>
              <w:jc w:val="center"/>
              <w:rPr>
                <w:sz w:val="22"/>
                <w:szCs w:val="22"/>
              </w:rPr>
            </w:pPr>
            <w:r>
              <w:rPr>
                <w:sz w:val="22"/>
                <w:szCs w:val="22"/>
              </w:rPr>
              <w:t>45</w:t>
            </w:r>
          </w:p>
        </w:tc>
        <w:tc>
          <w:tcPr>
            <w:tcW w:w="1893" w:type="pct"/>
            <w:tcBorders/>
            <w:shd w:val="clear" w:color="auto" w:fill="auto"/>
          </w:tcPr>
          <w:p>
            <w:pPr>
              <w:pStyle w:val="style0"/>
              <w:rPr>
                <w:sz w:val="22"/>
                <w:szCs w:val="22"/>
              </w:rPr>
            </w:pPr>
            <w:r>
              <w:rPr>
                <w:sz w:val="22"/>
                <w:szCs w:val="22"/>
              </w:rPr>
              <w:t>LEGUELEGUE Madi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76 47 30 32</w:t>
            </w:r>
          </w:p>
        </w:tc>
      </w:tr>
      <w:tr>
        <w:tblPrEx/>
        <w:trPr/>
        <w:tc>
          <w:tcPr>
            <w:tcW w:w="249" w:type="pct"/>
            <w:tcBorders/>
            <w:shd w:val="clear" w:color="auto" w:fill="auto"/>
          </w:tcPr>
          <w:p>
            <w:pPr>
              <w:pStyle w:val="style0"/>
              <w:jc w:val="center"/>
              <w:rPr>
                <w:sz w:val="22"/>
                <w:szCs w:val="22"/>
              </w:rPr>
            </w:pPr>
            <w:r>
              <w:rPr>
                <w:sz w:val="22"/>
                <w:szCs w:val="22"/>
              </w:rPr>
              <w:t>46</w:t>
            </w:r>
          </w:p>
        </w:tc>
        <w:tc>
          <w:tcPr>
            <w:tcW w:w="1893" w:type="pct"/>
            <w:tcBorders/>
            <w:shd w:val="clear" w:color="auto" w:fill="auto"/>
          </w:tcPr>
          <w:p>
            <w:pPr>
              <w:pStyle w:val="style0"/>
              <w:rPr>
                <w:sz w:val="22"/>
                <w:szCs w:val="22"/>
              </w:rPr>
            </w:pPr>
            <w:r>
              <w:rPr>
                <w:sz w:val="22"/>
                <w:szCs w:val="22"/>
              </w:rPr>
              <w:t>GANAME Amadé</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75 20 00 41</w:t>
            </w:r>
          </w:p>
        </w:tc>
      </w:tr>
      <w:tr>
        <w:tblPrEx/>
        <w:trPr/>
        <w:tc>
          <w:tcPr>
            <w:tcW w:w="249" w:type="pct"/>
            <w:tcBorders/>
            <w:shd w:val="clear" w:color="auto" w:fill="auto"/>
          </w:tcPr>
          <w:p>
            <w:pPr>
              <w:pStyle w:val="style0"/>
              <w:jc w:val="center"/>
              <w:rPr>
                <w:sz w:val="22"/>
                <w:szCs w:val="22"/>
              </w:rPr>
            </w:pPr>
            <w:r>
              <w:rPr>
                <w:sz w:val="22"/>
                <w:szCs w:val="22"/>
              </w:rPr>
              <w:t>47</w:t>
            </w:r>
          </w:p>
        </w:tc>
        <w:tc>
          <w:tcPr>
            <w:tcW w:w="1893" w:type="pct"/>
            <w:tcBorders/>
            <w:shd w:val="clear" w:color="auto" w:fill="auto"/>
          </w:tcPr>
          <w:p>
            <w:pPr>
              <w:pStyle w:val="style0"/>
              <w:rPr>
                <w:sz w:val="22"/>
                <w:szCs w:val="22"/>
              </w:rPr>
            </w:pPr>
            <w:r>
              <w:rPr>
                <w:sz w:val="22"/>
                <w:szCs w:val="22"/>
              </w:rPr>
              <w:t>TRAORE Abdou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76 22 04 57</w:t>
            </w:r>
          </w:p>
        </w:tc>
      </w:tr>
      <w:tr>
        <w:tblPrEx/>
        <w:trPr/>
        <w:tc>
          <w:tcPr>
            <w:tcW w:w="249" w:type="pct"/>
            <w:tcBorders/>
            <w:shd w:val="clear" w:color="auto" w:fill="auto"/>
          </w:tcPr>
          <w:p>
            <w:pPr>
              <w:pStyle w:val="style0"/>
              <w:jc w:val="center"/>
              <w:rPr>
                <w:sz w:val="22"/>
                <w:szCs w:val="22"/>
              </w:rPr>
            </w:pPr>
            <w:r>
              <w:rPr>
                <w:sz w:val="22"/>
                <w:szCs w:val="22"/>
              </w:rPr>
              <w:t>48</w:t>
            </w:r>
          </w:p>
        </w:tc>
        <w:tc>
          <w:tcPr>
            <w:tcW w:w="1893" w:type="pct"/>
            <w:tcBorders/>
            <w:shd w:val="clear" w:color="auto" w:fill="auto"/>
          </w:tcPr>
          <w:p>
            <w:pPr>
              <w:pStyle w:val="style0"/>
              <w:rPr>
                <w:sz w:val="22"/>
                <w:szCs w:val="22"/>
              </w:rPr>
            </w:pPr>
            <w:r>
              <w:rPr>
                <w:sz w:val="22"/>
                <w:szCs w:val="22"/>
              </w:rPr>
              <w:t>OUATTARA Ali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76 73 78 34</w:t>
            </w:r>
          </w:p>
        </w:tc>
      </w:tr>
      <w:tr>
        <w:tblPrEx/>
        <w:trPr/>
        <w:tc>
          <w:tcPr>
            <w:tcW w:w="249" w:type="pct"/>
            <w:tcBorders/>
            <w:shd w:val="clear" w:color="auto" w:fill="auto"/>
          </w:tcPr>
          <w:p>
            <w:pPr>
              <w:pStyle w:val="style0"/>
              <w:jc w:val="center"/>
              <w:rPr>
                <w:sz w:val="22"/>
                <w:szCs w:val="22"/>
              </w:rPr>
            </w:pPr>
            <w:r>
              <w:rPr>
                <w:sz w:val="22"/>
                <w:szCs w:val="22"/>
              </w:rPr>
              <w:t>49</w:t>
            </w:r>
          </w:p>
        </w:tc>
        <w:tc>
          <w:tcPr>
            <w:tcW w:w="1893" w:type="pct"/>
            <w:tcBorders/>
            <w:shd w:val="clear" w:color="auto" w:fill="auto"/>
          </w:tcPr>
          <w:p>
            <w:pPr>
              <w:pStyle w:val="style0"/>
              <w:rPr>
                <w:sz w:val="22"/>
                <w:szCs w:val="22"/>
              </w:rPr>
            </w:pPr>
            <w:r>
              <w:rPr>
                <w:sz w:val="22"/>
                <w:szCs w:val="22"/>
              </w:rPr>
              <w:t>ZABRE Pascal</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71 32 79 72</w:t>
            </w:r>
          </w:p>
        </w:tc>
      </w:tr>
      <w:tr>
        <w:tblPrEx/>
        <w:trPr/>
        <w:tc>
          <w:tcPr>
            <w:tcW w:w="249" w:type="pct"/>
            <w:tcBorders/>
            <w:shd w:val="clear" w:color="auto" w:fill="auto"/>
          </w:tcPr>
          <w:p>
            <w:pPr>
              <w:pStyle w:val="style0"/>
              <w:jc w:val="center"/>
              <w:rPr>
                <w:sz w:val="22"/>
                <w:szCs w:val="22"/>
              </w:rPr>
            </w:pPr>
            <w:r>
              <w:rPr>
                <w:sz w:val="22"/>
                <w:szCs w:val="22"/>
              </w:rPr>
              <w:t>50</w:t>
            </w:r>
          </w:p>
        </w:tc>
        <w:tc>
          <w:tcPr>
            <w:tcW w:w="1893" w:type="pct"/>
            <w:tcBorders/>
            <w:shd w:val="clear" w:color="auto" w:fill="auto"/>
          </w:tcPr>
          <w:p>
            <w:pPr>
              <w:pStyle w:val="style0"/>
              <w:rPr>
                <w:sz w:val="22"/>
                <w:szCs w:val="22"/>
              </w:rPr>
            </w:pPr>
            <w:r>
              <w:rPr>
                <w:sz w:val="22"/>
                <w:szCs w:val="22"/>
              </w:rPr>
              <w:t>TRAORE Amadou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65 61 36 61</w:t>
            </w:r>
          </w:p>
        </w:tc>
      </w:tr>
      <w:tr>
        <w:tblPrEx/>
        <w:trPr/>
        <w:tc>
          <w:tcPr>
            <w:tcW w:w="249" w:type="pct"/>
            <w:tcBorders/>
            <w:shd w:val="clear" w:color="auto" w:fill="auto"/>
          </w:tcPr>
          <w:p>
            <w:pPr>
              <w:pStyle w:val="style0"/>
              <w:jc w:val="center"/>
              <w:rPr>
                <w:sz w:val="22"/>
                <w:szCs w:val="22"/>
              </w:rPr>
            </w:pPr>
            <w:r>
              <w:rPr>
                <w:sz w:val="22"/>
                <w:szCs w:val="22"/>
              </w:rPr>
              <w:t>51</w:t>
            </w:r>
          </w:p>
        </w:tc>
        <w:tc>
          <w:tcPr>
            <w:tcW w:w="1893" w:type="pct"/>
            <w:tcBorders/>
            <w:shd w:val="clear" w:color="auto" w:fill="auto"/>
          </w:tcPr>
          <w:p>
            <w:pPr>
              <w:pStyle w:val="style0"/>
              <w:rPr>
                <w:sz w:val="22"/>
                <w:szCs w:val="22"/>
              </w:rPr>
            </w:pPr>
            <w:r>
              <w:rPr>
                <w:sz w:val="22"/>
                <w:szCs w:val="22"/>
              </w:rPr>
              <w:t>WARAMA Tiaro</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76 50 73 10</w:t>
            </w:r>
          </w:p>
        </w:tc>
      </w:tr>
      <w:tr>
        <w:tblPrEx/>
        <w:trPr/>
        <w:tc>
          <w:tcPr>
            <w:tcW w:w="249" w:type="pct"/>
            <w:tcBorders/>
            <w:shd w:val="clear" w:color="auto" w:fill="auto"/>
          </w:tcPr>
          <w:p>
            <w:pPr>
              <w:pStyle w:val="style0"/>
              <w:jc w:val="center"/>
              <w:rPr>
                <w:sz w:val="22"/>
                <w:szCs w:val="22"/>
              </w:rPr>
            </w:pPr>
            <w:r>
              <w:rPr>
                <w:sz w:val="22"/>
                <w:szCs w:val="22"/>
              </w:rPr>
              <w:t>52</w:t>
            </w:r>
          </w:p>
        </w:tc>
        <w:tc>
          <w:tcPr>
            <w:tcW w:w="1893" w:type="pct"/>
            <w:tcBorders/>
            <w:shd w:val="clear" w:color="auto" w:fill="auto"/>
          </w:tcPr>
          <w:p>
            <w:pPr>
              <w:pStyle w:val="style0"/>
              <w:rPr>
                <w:sz w:val="22"/>
                <w:szCs w:val="22"/>
              </w:rPr>
            </w:pPr>
            <w:r>
              <w:rPr>
                <w:sz w:val="22"/>
                <w:szCs w:val="22"/>
              </w:rPr>
              <w:t>SANOGO Sériba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75 02 87 21</w:t>
            </w:r>
          </w:p>
        </w:tc>
      </w:tr>
      <w:tr>
        <w:tblPrEx/>
        <w:trPr/>
        <w:tc>
          <w:tcPr>
            <w:tcW w:w="249" w:type="pct"/>
            <w:tcBorders/>
            <w:shd w:val="clear" w:color="auto" w:fill="auto"/>
          </w:tcPr>
          <w:p>
            <w:pPr>
              <w:pStyle w:val="style0"/>
              <w:jc w:val="center"/>
              <w:rPr>
                <w:sz w:val="22"/>
                <w:szCs w:val="22"/>
              </w:rPr>
            </w:pPr>
            <w:r>
              <w:rPr>
                <w:sz w:val="22"/>
                <w:szCs w:val="22"/>
              </w:rPr>
              <w:t>53</w:t>
            </w:r>
          </w:p>
        </w:tc>
        <w:tc>
          <w:tcPr>
            <w:tcW w:w="1893" w:type="pct"/>
            <w:tcBorders/>
            <w:shd w:val="clear" w:color="auto" w:fill="auto"/>
          </w:tcPr>
          <w:p>
            <w:pPr>
              <w:pStyle w:val="style0"/>
              <w:rPr>
                <w:sz w:val="22"/>
                <w:szCs w:val="22"/>
              </w:rPr>
            </w:pPr>
            <w:r>
              <w:rPr>
                <w:sz w:val="22"/>
                <w:szCs w:val="22"/>
              </w:rPr>
              <w:t>OUEDRAOGO Moussa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74 85 56 60</w:t>
            </w:r>
          </w:p>
        </w:tc>
      </w:tr>
      <w:tr>
        <w:tblPrEx/>
        <w:trPr/>
        <w:tc>
          <w:tcPr>
            <w:tcW w:w="249" w:type="pct"/>
            <w:tcBorders/>
            <w:shd w:val="clear" w:color="auto" w:fill="auto"/>
          </w:tcPr>
          <w:p>
            <w:pPr>
              <w:pStyle w:val="style0"/>
              <w:jc w:val="center"/>
              <w:rPr>
                <w:sz w:val="22"/>
                <w:szCs w:val="22"/>
              </w:rPr>
            </w:pPr>
            <w:r>
              <w:rPr>
                <w:sz w:val="22"/>
                <w:szCs w:val="22"/>
              </w:rPr>
              <w:t>54</w:t>
            </w:r>
          </w:p>
        </w:tc>
        <w:tc>
          <w:tcPr>
            <w:tcW w:w="1893" w:type="pct"/>
            <w:tcBorders/>
            <w:shd w:val="clear" w:color="auto" w:fill="auto"/>
          </w:tcPr>
          <w:p>
            <w:pPr>
              <w:pStyle w:val="style0"/>
              <w:rPr>
                <w:sz w:val="22"/>
                <w:szCs w:val="22"/>
              </w:rPr>
            </w:pPr>
            <w:r>
              <w:rPr>
                <w:sz w:val="22"/>
                <w:szCs w:val="22"/>
              </w:rPr>
              <w:t>OUATTARA Koko</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76 43 02 29</w:t>
            </w:r>
          </w:p>
        </w:tc>
      </w:tr>
      <w:tr>
        <w:tblPrEx/>
        <w:trPr/>
        <w:tc>
          <w:tcPr>
            <w:tcW w:w="249" w:type="pct"/>
            <w:tcBorders/>
            <w:shd w:val="clear" w:color="auto" w:fill="auto"/>
          </w:tcPr>
          <w:p>
            <w:pPr>
              <w:pStyle w:val="style0"/>
              <w:jc w:val="center"/>
              <w:rPr>
                <w:sz w:val="22"/>
                <w:szCs w:val="22"/>
              </w:rPr>
            </w:pPr>
            <w:r>
              <w:rPr>
                <w:sz w:val="22"/>
                <w:szCs w:val="22"/>
              </w:rPr>
              <w:t>55</w:t>
            </w:r>
          </w:p>
        </w:tc>
        <w:tc>
          <w:tcPr>
            <w:tcW w:w="1893" w:type="pct"/>
            <w:tcBorders/>
            <w:shd w:val="clear" w:color="auto" w:fill="auto"/>
          </w:tcPr>
          <w:p>
            <w:pPr>
              <w:pStyle w:val="style0"/>
              <w:rPr>
                <w:sz w:val="22"/>
                <w:szCs w:val="22"/>
              </w:rPr>
            </w:pPr>
            <w:r>
              <w:rPr>
                <w:sz w:val="22"/>
                <w:szCs w:val="22"/>
              </w:rPr>
              <w:t>TRAORE Mamadou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76 24 28 07</w:t>
            </w:r>
          </w:p>
        </w:tc>
      </w:tr>
      <w:tr>
        <w:tblPrEx/>
        <w:trPr/>
        <w:tc>
          <w:tcPr>
            <w:tcW w:w="249" w:type="pct"/>
            <w:tcBorders/>
            <w:shd w:val="clear" w:color="auto" w:fill="auto"/>
          </w:tcPr>
          <w:p>
            <w:pPr>
              <w:pStyle w:val="style0"/>
              <w:jc w:val="center"/>
              <w:rPr>
                <w:sz w:val="22"/>
                <w:szCs w:val="22"/>
              </w:rPr>
            </w:pPr>
            <w:r>
              <w:rPr>
                <w:sz w:val="22"/>
                <w:szCs w:val="22"/>
              </w:rPr>
              <w:t>56</w:t>
            </w:r>
          </w:p>
        </w:tc>
        <w:tc>
          <w:tcPr>
            <w:tcW w:w="1893" w:type="pct"/>
            <w:tcBorders/>
            <w:shd w:val="clear" w:color="auto" w:fill="auto"/>
          </w:tcPr>
          <w:p>
            <w:pPr>
              <w:pStyle w:val="style0"/>
              <w:rPr>
                <w:sz w:val="22"/>
                <w:szCs w:val="22"/>
              </w:rPr>
            </w:pPr>
            <w:r>
              <w:rPr>
                <w:sz w:val="22"/>
                <w:szCs w:val="22"/>
              </w:rPr>
              <w:t>KONE Pasteur</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76 29 64 69</w:t>
            </w:r>
          </w:p>
        </w:tc>
      </w:tr>
      <w:tr>
        <w:tblPrEx/>
        <w:trPr/>
        <w:tc>
          <w:tcPr>
            <w:tcW w:w="249" w:type="pct"/>
            <w:tcBorders/>
            <w:shd w:val="clear" w:color="auto" w:fill="auto"/>
          </w:tcPr>
          <w:p>
            <w:pPr>
              <w:pStyle w:val="style0"/>
              <w:jc w:val="center"/>
              <w:rPr>
                <w:sz w:val="22"/>
                <w:szCs w:val="22"/>
              </w:rPr>
            </w:pPr>
            <w:r>
              <w:rPr>
                <w:sz w:val="22"/>
                <w:szCs w:val="22"/>
              </w:rPr>
              <w:t>57</w:t>
            </w:r>
          </w:p>
        </w:tc>
        <w:tc>
          <w:tcPr>
            <w:tcW w:w="1893" w:type="pct"/>
            <w:tcBorders/>
            <w:shd w:val="clear" w:color="auto" w:fill="auto"/>
          </w:tcPr>
          <w:p>
            <w:pPr>
              <w:pStyle w:val="style0"/>
              <w:rPr>
                <w:sz w:val="22"/>
                <w:szCs w:val="22"/>
              </w:rPr>
            </w:pPr>
            <w:r>
              <w:rPr>
                <w:sz w:val="22"/>
                <w:szCs w:val="22"/>
              </w:rPr>
              <w:t>OUEDRAOGO Zakaria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Gestionnaire  - contrôles SCAB</w:t>
            </w:r>
          </w:p>
        </w:tc>
        <w:tc>
          <w:tcPr>
            <w:tcW w:w="774" w:type="pct"/>
            <w:tcBorders/>
            <w:shd w:val="clear" w:color="auto" w:fill="auto"/>
          </w:tcPr>
          <w:p>
            <w:pPr>
              <w:pStyle w:val="style0"/>
              <w:jc w:val="center"/>
              <w:rPr>
                <w:sz w:val="22"/>
                <w:szCs w:val="22"/>
              </w:rPr>
            </w:pPr>
            <w:r>
              <w:rPr>
                <w:sz w:val="22"/>
                <w:szCs w:val="22"/>
              </w:rPr>
              <w:t>76 53 11 03</w:t>
            </w:r>
          </w:p>
        </w:tc>
      </w:tr>
      <w:tr>
        <w:tblPrEx/>
        <w:trPr/>
        <w:tc>
          <w:tcPr>
            <w:tcW w:w="249" w:type="pct"/>
            <w:tcBorders/>
            <w:shd w:val="clear" w:color="auto" w:fill="auto"/>
          </w:tcPr>
          <w:p>
            <w:pPr>
              <w:pStyle w:val="style0"/>
              <w:jc w:val="center"/>
              <w:rPr>
                <w:sz w:val="22"/>
                <w:szCs w:val="22"/>
              </w:rPr>
            </w:pPr>
            <w:r>
              <w:rPr>
                <w:sz w:val="22"/>
                <w:szCs w:val="22"/>
              </w:rPr>
              <w:t>58</w:t>
            </w:r>
          </w:p>
        </w:tc>
        <w:tc>
          <w:tcPr>
            <w:tcW w:w="1893" w:type="pct"/>
            <w:tcBorders/>
            <w:shd w:val="clear" w:color="auto" w:fill="auto"/>
          </w:tcPr>
          <w:p>
            <w:pPr>
              <w:pStyle w:val="style0"/>
              <w:rPr>
                <w:sz w:val="22"/>
                <w:szCs w:val="22"/>
              </w:rPr>
            </w:pPr>
            <w:r>
              <w:rPr>
                <w:sz w:val="22"/>
                <w:szCs w:val="22"/>
              </w:rPr>
              <w:t>BALO Siaka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76 24 28 06</w:t>
            </w:r>
          </w:p>
        </w:tc>
      </w:tr>
      <w:tr>
        <w:tblPrEx/>
        <w:trPr/>
        <w:tc>
          <w:tcPr>
            <w:tcW w:w="249" w:type="pct"/>
            <w:tcBorders/>
            <w:shd w:val="clear" w:color="auto" w:fill="auto"/>
          </w:tcPr>
          <w:p>
            <w:pPr>
              <w:pStyle w:val="style0"/>
              <w:jc w:val="center"/>
              <w:rPr>
                <w:sz w:val="22"/>
                <w:szCs w:val="22"/>
              </w:rPr>
            </w:pPr>
            <w:r>
              <w:rPr>
                <w:sz w:val="22"/>
                <w:szCs w:val="22"/>
              </w:rPr>
              <w:t>59</w:t>
            </w:r>
          </w:p>
        </w:tc>
        <w:tc>
          <w:tcPr>
            <w:tcW w:w="1893" w:type="pct"/>
            <w:tcBorders/>
            <w:shd w:val="clear" w:color="auto" w:fill="auto"/>
          </w:tcPr>
          <w:p>
            <w:pPr>
              <w:pStyle w:val="style0"/>
              <w:rPr>
                <w:sz w:val="22"/>
                <w:szCs w:val="22"/>
              </w:rPr>
            </w:pPr>
            <w:r>
              <w:rPr>
                <w:sz w:val="22"/>
                <w:szCs w:val="22"/>
              </w:rPr>
              <w:t>TANOU Lassina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76 60 69 63</w:t>
            </w:r>
          </w:p>
        </w:tc>
      </w:tr>
      <w:tr>
        <w:tblPrEx/>
        <w:trPr/>
        <w:tc>
          <w:tcPr>
            <w:tcW w:w="249" w:type="pct"/>
            <w:tcBorders/>
            <w:shd w:val="clear" w:color="auto" w:fill="auto"/>
          </w:tcPr>
          <w:p>
            <w:pPr>
              <w:pStyle w:val="style0"/>
              <w:jc w:val="center"/>
              <w:rPr>
                <w:sz w:val="22"/>
                <w:szCs w:val="22"/>
              </w:rPr>
            </w:pPr>
            <w:r>
              <w:rPr>
                <w:sz w:val="22"/>
                <w:szCs w:val="22"/>
              </w:rPr>
              <w:t>60</w:t>
            </w:r>
          </w:p>
        </w:tc>
        <w:tc>
          <w:tcPr>
            <w:tcW w:w="1893" w:type="pct"/>
            <w:tcBorders/>
            <w:shd w:val="clear" w:color="auto" w:fill="auto"/>
          </w:tcPr>
          <w:p>
            <w:pPr>
              <w:pStyle w:val="style0"/>
              <w:rPr>
                <w:sz w:val="22"/>
                <w:szCs w:val="22"/>
              </w:rPr>
            </w:pPr>
            <w:r>
              <w:rPr>
                <w:sz w:val="22"/>
                <w:szCs w:val="22"/>
              </w:rPr>
              <w:t>OUATTARA Baselia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76 81 60 47</w:t>
            </w:r>
          </w:p>
        </w:tc>
      </w:tr>
      <w:tr>
        <w:tblPrEx/>
        <w:trPr/>
        <w:tc>
          <w:tcPr>
            <w:tcW w:w="249" w:type="pct"/>
            <w:tcBorders/>
            <w:shd w:val="clear" w:color="auto" w:fill="auto"/>
          </w:tcPr>
          <w:p>
            <w:pPr>
              <w:pStyle w:val="style0"/>
              <w:jc w:val="center"/>
              <w:rPr>
                <w:sz w:val="22"/>
                <w:szCs w:val="22"/>
              </w:rPr>
            </w:pPr>
            <w:r>
              <w:rPr>
                <w:sz w:val="22"/>
                <w:szCs w:val="22"/>
              </w:rPr>
              <w:t>61</w:t>
            </w:r>
          </w:p>
        </w:tc>
        <w:tc>
          <w:tcPr>
            <w:tcW w:w="1893" w:type="pct"/>
            <w:tcBorders/>
            <w:shd w:val="clear" w:color="auto" w:fill="auto"/>
          </w:tcPr>
          <w:p>
            <w:pPr>
              <w:pStyle w:val="style0"/>
              <w:rPr>
                <w:sz w:val="22"/>
                <w:szCs w:val="22"/>
              </w:rPr>
            </w:pPr>
            <w:r>
              <w:rPr>
                <w:sz w:val="22"/>
                <w:szCs w:val="22"/>
              </w:rPr>
              <w:t>SIDIBE Soumaîla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w:t>
            </w:r>
          </w:p>
        </w:tc>
      </w:tr>
      <w:tr>
        <w:tblPrEx/>
        <w:trPr/>
        <w:tc>
          <w:tcPr>
            <w:tcW w:w="249" w:type="pct"/>
            <w:tcBorders/>
            <w:shd w:val="clear" w:color="auto" w:fill="auto"/>
          </w:tcPr>
          <w:p>
            <w:pPr>
              <w:pStyle w:val="style0"/>
              <w:jc w:val="center"/>
              <w:rPr>
                <w:sz w:val="22"/>
                <w:szCs w:val="22"/>
              </w:rPr>
            </w:pPr>
            <w:r>
              <w:rPr>
                <w:sz w:val="22"/>
                <w:szCs w:val="22"/>
              </w:rPr>
              <w:t>62</w:t>
            </w:r>
          </w:p>
        </w:tc>
        <w:tc>
          <w:tcPr>
            <w:tcW w:w="1893" w:type="pct"/>
            <w:tcBorders/>
            <w:shd w:val="clear" w:color="auto" w:fill="auto"/>
          </w:tcPr>
          <w:p>
            <w:pPr>
              <w:pStyle w:val="style0"/>
              <w:rPr>
                <w:sz w:val="22"/>
                <w:szCs w:val="22"/>
              </w:rPr>
            </w:pPr>
            <w:r>
              <w:rPr>
                <w:sz w:val="22"/>
                <w:szCs w:val="22"/>
              </w:rPr>
              <w:t>OUEDRAOGO Bathélémy</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70 74 94 78</w:t>
            </w:r>
          </w:p>
        </w:tc>
      </w:tr>
      <w:tr>
        <w:tblPrEx/>
        <w:trPr/>
        <w:tc>
          <w:tcPr>
            <w:tcW w:w="249" w:type="pct"/>
            <w:tcBorders/>
            <w:shd w:val="clear" w:color="auto" w:fill="auto"/>
          </w:tcPr>
          <w:p>
            <w:pPr>
              <w:pStyle w:val="style0"/>
              <w:jc w:val="center"/>
              <w:rPr>
                <w:sz w:val="22"/>
                <w:szCs w:val="22"/>
              </w:rPr>
            </w:pPr>
            <w:r>
              <w:rPr>
                <w:sz w:val="22"/>
                <w:szCs w:val="22"/>
              </w:rPr>
              <w:t>63</w:t>
            </w:r>
          </w:p>
        </w:tc>
        <w:tc>
          <w:tcPr>
            <w:tcW w:w="1893" w:type="pct"/>
            <w:tcBorders/>
            <w:shd w:val="clear" w:color="auto" w:fill="auto"/>
          </w:tcPr>
          <w:p>
            <w:pPr>
              <w:pStyle w:val="style0"/>
              <w:rPr>
                <w:sz w:val="22"/>
                <w:szCs w:val="22"/>
              </w:rPr>
            </w:pPr>
            <w:r>
              <w:rPr>
                <w:sz w:val="22"/>
                <w:szCs w:val="22"/>
              </w:rPr>
              <w:t>OUEDRAOGO Boukari</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76 35 91 99</w:t>
            </w:r>
          </w:p>
        </w:tc>
      </w:tr>
      <w:tr>
        <w:tblPrEx/>
        <w:trPr/>
        <w:tc>
          <w:tcPr>
            <w:tcW w:w="249" w:type="pct"/>
            <w:tcBorders/>
            <w:shd w:val="clear" w:color="auto" w:fill="auto"/>
          </w:tcPr>
          <w:p>
            <w:pPr>
              <w:pStyle w:val="style0"/>
              <w:jc w:val="center"/>
              <w:rPr>
                <w:sz w:val="22"/>
                <w:szCs w:val="22"/>
              </w:rPr>
            </w:pPr>
            <w:r>
              <w:rPr>
                <w:sz w:val="22"/>
                <w:szCs w:val="22"/>
              </w:rPr>
              <w:t>64</w:t>
            </w:r>
          </w:p>
        </w:tc>
        <w:tc>
          <w:tcPr>
            <w:tcW w:w="1893" w:type="pct"/>
            <w:tcBorders/>
            <w:shd w:val="clear" w:color="auto" w:fill="auto"/>
          </w:tcPr>
          <w:p>
            <w:pPr>
              <w:pStyle w:val="style0"/>
              <w:rPr>
                <w:sz w:val="22"/>
                <w:szCs w:val="22"/>
              </w:rPr>
            </w:pPr>
            <w:r>
              <w:rPr>
                <w:sz w:val="22"/>
                <w:szCs w:val="22"/>
              </w:rPr>
              <w:t>SAWADOGO Zenabou</w:t>
            </w:r>
          </w:p>
        </w:tc>
        <w:tc>
          <w:tcPr>
            <w:tcW w:w="347" w:type="pct"/>
            <w:tcBorders/>
            <w:shd w:val="clear" w:color="auto" w:fill="auto"/>
          </w:tcPr>
          <w:p>
            <w:pPr>
              <w:pStyle w:val="style0"/>
              <w:jc w:val="center"/>
              <w:rPr>
                <w:sz w:val="22"/>
                <w:szCs w:val="22"/>
              </w:rPr>
            </w:pPr>
            <w:r>
              <w:rPr>
                <w:sz w:val="22"/>
                <w:szCs w:val="22"/>
              </w:rPr>
              <w:t>F</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76 70 18 17</w:t>
            </w:r>
          </w:p>
        </w:tc>
      </w:tr>
      <w:tr>
        <w:tblPrEx/>
        <w:trPr/>
        <w:tc>
          <w:tcPr>
            <w:tcW w:w="249" w:type="pct"/>
            <w:tcBorders/>
            <w:shd w:val="clear" w:color="auto" w:fill="auto"/>
          </w:tcPr>
          <w:p>
            <w:pPr>
              <w:pStyle w:val="style0"/>
              <w:jc w:val="center"/>
              <w:rPr>
                <w:sz w:val="22"/>
                <w:szCs w:val="22"/>
              </w:rPr>
            </w:pPr>
            <w:r>
              <w:rPr>
                <w:sz w:val="22"/>
                <w:szCs w:val="22"/>
              </w:rPr>
              <w:t>65</w:t>
            </w:r>
          </w:p>
        </w:tc>
        <w:tc>
          <w:tcPr>
            <w:tcW w:w="1893" w:type="pct"/>
            <w:tcBorders/>
            <w:shd w:val="clear" w:color="auto" w:fill="auto"/>
          </w:tcPr>
          <w:p>
            <w:pPr>
              <w:pStyle w:val="style0"/>
              <w:rPr>
                <w:sz w:val="22"/>
                <w:szCs w:val="22"/>
              </w:rPr>
            </w:pPr>
            <w:r>
              <w:rPr>
                <w:sz w:val="22"/>
                <w:szCs w:val="22"/>
              </w:rPr>
              <w:t>TRAORE Aboubacar</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 xml:space="preserve">76 19 64 07 </w:t>
            </w:r>
          </w:p>
        </w:tc>
      </w:tr>
      <w:tr>
        <w:tblPrEx/>
        <w:trPr/>
        <w:tc>
          <w:tcPr>
            <w:tcW w:w="249" w:type="pct"/>
            <w:tcBorders/>
            <w:shd w:val="clear" w:color="auto" w:fill="auto"/>
          </w:tcPr>
          <w:p>
            <w:pPr>
              <w:pStyle w:val="style0"/>
              <w:jc w:val="center"/>
              <w:rPr>
                <w:sz w:val="22"/>
                <w:szCs w:val="22"/>
              </w:rPr>
            </w:pPr>
            <w:r>
              <w:rPr>
                <w:sz w:val="22"/>
                <w:szCs w:val="22"/>
              </w:rPr>
              <w:t>66</w:t>
            </w:r>
          </w:p>
        </w:tc>
        <w:tc>
          <w:tcPr>
            <w:tcW w:w="1893" w:type="pct"/>
            <w:tcBorders/>
            <w:shd w:val="clear" w:color="auto" w:fill="auto"/>
          </w:tcPr>
          <w:p>
            <w:pPr>
              <w:pStyle w:val="style0"/>
              <w:rPr>
                <w:sz w:val="22"/>
                <w:szCs w:val="22"/>
              </w:rPr>
            </w:pPr>
            <w:r>
              <w:rPr>
                <w:sz w:val="22"/>
                <w:szCs w:val="22"/>
              </w:rPr>
              <w:t>OUEDRAOGO Souleymane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65 61 66 54</w:t>
            </w:r>
          </w:p>
        </w:tc>
      </w:tr>
      <w:tr>
        <w:tblPrEx/>
        <w:trPr/>
        <w:tc>
          <w:tcPr>
            <w:tcW w:w="249" w:type="pct"/>
            <w:tcBorders/>
            <w:shd w:val="clear" w:color="auto" w:fill="auto"/>
          </w:tcPr>
          <w:p>
            <w:pPr>
              <w:pStyle w:val="style0"/>
              <w:jc w:val="center"/>
              <w:rPr>
                <w:sz w:val="22"/>
                <w:szCs w:val="22"/>
              </w:rPr>
            </w:pPr>
            <w:r>
              <w:rPr>
                <w:sz w:val="22"/>
                <w:szCs w:val="22"/>
              </w:rPr>
              <w:t>67</w:t>
            </w:r>
          </w:p>
        </w:tc>
        <w:tc>
          <w:tcPr>
            <w:tcW w:w="1893" w:type="pct"/>
            <w:tcBorders/>
            <w:shd w:val="clear" w:color="auto" w:fill="auto"/>
          </w:tcPr>
          <w:p>
            <w:pPr>
              <w:pStyle w:val="style0"/>
              <w:rPr>
                <w:sz w:val="22"/>
                <w:szCs w:val="22"/>
              </w:rPr>
            </w:pPr>
            <w:r>
              <w:rPr>
                <w:sz w:val="22"/>
                <w:szCs w:val="22"/>
              </w:rPr>
              <w:t>OUEDRAOGO SAYOUBA</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71 96 31 46</w:t>
            </w:r>
          </w:p>
        </w:tc>
      </w:tr>
      <w:tr>
        <w:tblPrEx/>
        <w:trPr/>
        <w:tc>
          <w:tcPr>
            <w:tcW w:w="249" w:type="pct"/>
            <w:tcBorders/>
            <w:shd w:val="clear" w:color="auto" w:fill="auto"/>
          </w:tcPr>
          <w:p>
            <w:pPr>
              <w:pStyle w:val="style0"/>
              <w:jc w:val="center"/>
              <w:rPr>
                <w:sz w:val="22"/>
                <w:szCs w:val="22"/>
              </w:rPr>
            </w:pPr>
            <w:r>
              <w:rPr>
                <w:sz w:val="22"/>
                <w:szCs w:val="22"/>
              </w:rPr>
              <w:t>68</w:t>
            </w:r>
          </w:p>
        </w:tc>
        <w:tc>
          <w:tcPr>
            <w:tcW w:w="1893" w:type="pct"/>
            <w:tcBorders/>
            <w:shd w:val="clear" w:color="auto" w:fill="auto"/>
          </w:tcPr>
          <w:p>
            <w:pPr>
              <w:pStyle w:val="style0"/>
              <w:rPr>
                <w:sz w:val="22"/>
                <w:szCs w:val="22"/>
              </w:rPr>
            </w:pPr>
            <w:r>
              <w:rPr>
                <w:sz w:val="22"/>
                <w:szCs w:val="22"/>
              </w:rPr>
              <w:t>BELEM SALAM</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76 19 95 36</w:t>
            </w:r>
          </w:p>
        </w:tc>
      </w:tr>
      <w:tr>
        <w:tblPrEx/>
        <w:trPr/>
        <w:tc>
          <w:tcPr>
            <w:tcW w:w="249" w:type="pct"/>
            <w:tcBorders/>
            <w:shd w:val="clear" w:color="auto" w:fill="auto"/>
          </w:tcPr>
          <w:p>
            <w:pPr>
              <w:pStyle w:val="style0"/>
              <w:jc w:val="center"/>
              <w:rPr>
                <w:sz w:val="22"/>
                <w:szCs w:val="22"/>
              </w:rPr>
            </w:pPr>
            <w:r>
              <w:rPr>
                <w:sz w:val="22"/>
                <w:szCs w:val="22"/>
              </w:rPr>
              <w:t>69</w:t>
            </w:r>
          </w:p>
        </w:tc>
        <w:tc>
          <w:tcPr>
            <w:tcW w:w="1893" w:type="pct"/>
            <w:tcBorders/>
            <w:shd w:val="clear" w:color="auto" w:fill="auto"/>
          </w:tcPr>
          <w:p>
            <w:pPr>
              <w:pStyle w:val="style0"/>
              <w:rPr>
                <w:sz w:val="22"/>
                <w:szCs w:val="22"/>
              </w:rPr>
            </w:pPr>
            <w:r>
              <w:rPr>
                <w:sz w:val="22"/>
                <w:szCs w:val="22"/>
              </w:rPr>
              <w:t>DA KOUAKOU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w:t>
            </w:r>
          </w:p>
        </w:tc>
      </w:tr>
      <w:tr>
        <w:tblPrEx/>
        <w:trPr/>
        <w:tc>
          <w:tcPr>
            <w:tcW w:w="249" w:type="pct"/>
            <w:tcBorders/>
            <w:shd w:val="clear" w:color="auto" w:fill="auto"/>
          </w:tcPr>
          <w:p>
            <w:pPr>
              <w:pStyle w:val="style0"/>
              <w:jc w:val="center"/>
              <w:rPr>
                <w:sz w:val="22"/>
                <w:szCs w:val="22"/>
              </w:rPr>
            </w:pPr>
            <w:r>
              <w:rPr>
                <w:sz w:val="22"/>
                <w:szCs w:val="22"/>
              </w:rPr>
              <w:t>70</w:t>
            </w:r>
          </w:p>
        </w:tc>
        <w:tc>
          <w:tcPr>
            <w:tcW w:w="1893" w:type="pct"/>
            <w:tcBorders/>
            <w:shd w:val="clear" w:color="auto" w:fill="auto"/>
          </w:tcPr>
          <w:p>
            <w:pPr>
              <w:pStyle w:val="style0"/>
              <w:rPr>
                <w:sz w:val="22"/>
                <w:szCs w:val="22"/>
              </w:rPr>
            </w:pPr>
            <w:r>
              <w:rPr>
                <w:sz w:val="22"/>
                <w:szCs w:val="22"/>
              </w:rPr>
              <w:t>BISSIRI Ousmane</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74 07 87 21</w:t>
            </w:r>
          </w:p>
        </w:tc>
      </w:tr>
      <w:tr>
        <w:tblPrEx/>
        <w:trPr/>
        <w:tc>
          <w:tcPr>
            <w:tcW w:w="249" w:type="pct"/>
            <w:tcBorders/>
            <w:shd w:val="clear" w:color="auto" w:fill="auto"/>
          </w:tcPr>
          <w:p>
            <w:pPr>
              <w:pStyle w:val="style0"/>
              <w:jc w:val="center"/>
              <w:rPr>
                <w:sz w:val="22"/>
                <w:szCs w:val="22"/>
              </w:rPr>
            </w:pPr>
            <w:r>
              <w:rPr>
                <w:sz w:val="22"/>
                <w:szCs w:val="22"/>
              </w:rPr>
              <w:t>71</w:t>
            </w:r>
          </w:p>
        </w:tc>
        <w:tc>
          <w:tcPr>
            <w:tcW w:w="1893" w:type="pct"/>
            <w:tcBorders/>
            <w:shd w:val="clear" w:color="auto" w:fill="auto"/>
          </w:tcPr>
          <w:p>
            <w:pPr>
              <w:pStyle w:val="style0"/>
              <w:rPr>
                <w:sz w:val="22"/>
                <w:szCs w:val="22"/>
              </w:rPr>
            </w:pPr>
            <w:r>
              <w:rPr>
                <w:sz w:val="22"/>
                <w:szCs w:val="22"/>
              </w:rPr>
              <w:t>OUEDRAOGO Wahabou</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75 95 43 14</w:t>
            </w:r>
          </w:p>
        </w:tc>
      </w:tr>
      <w:tr>
        <w:tblPrEx/>
        <w:trPr/>
        <w:tc>
          <w:tcPr>
            <w:tcW w:w="249" w:type="pct"/>
            <w:tcBorders/>
            <w:shd w:val="clear" w:color="auto" w:fill="auto"/>
          </w:tcPr>
          <w:p>
            <w:pPr>
              <w:pStyle w:val="style0"/>
              <w:jc w:val="center"/>
              <w:rPr>
                <w:sz w:val="22"/>
                <w:szCs w:val="22"/>
              </w:rPr>
            </w:pPr>
            <w:r>
              <w:rPr>
                <w:sz w:val="22"/>
                <w:szCs w:val="22"/>
              </w:rPr>
              <w:t>72</w:t>
            </w:r>
          </w:p>
        </w:tc>
        <w:tc>
          <w:tcPr>
            <w:tcW w:w="1893" w:type="pct"/>
            <w:tcBorders/>
            <w:shd w:val="clear" w:color="auto" w:fill="auto"/>
          </w:tcPr>
          <w:p>
            <w:pPr>
              <w:pStyle w:val="style0"/>
              <w:rPr>
                <w:sz w:val="22"/>
                <w:szCs w:val="22"/>
              </w:rPr>
            </w:pPr>
            <w:r>
              <w:rPr>
                <w:sz w:val="22"/>
                <w:szCs w:val="22"/>
              </w:rPr>
              <w:t>KOLGA Michel</w:t>
            </w:r>
          </w:p>
        </w:tc>
        <w:tc>
          <w:tcPr>
            <w:tcW w:w="347" w:type="pct"/>
            <w:tcBorders/>
            <w:shd w:val="clear" w:color="auto" w:fill="auto"/>
          </w:tcPr>
          <w:p>
            <w:pPr>
              <w:pStyle w:val="style0"/>
              <w:jc w:val="center"/>
              <w:rPr>
                <w:sz w:val="22"/>
                <w:szCs w:val="22"/>
              </w:rPr>
            </w:pPr>
            <w:r>
              <w:rPr>
                <w:sz w:val="22"/>
                <w:szCs w:val="22"/>
              </w:rPr>
              <w:t>M</w:t>
            </w:r>
          </w:p>
        </w:tc>
        <w:tc>
          <w:tcPr>
            <w:tcW w:w="1737" w:type="pct"/>
            <w:tcBorders/>
            <w:shd w:val="clear" w:color="auto" w:fill="auto"/>
          </w:tcPr>
          <w:p>
            <w:pPr>
              <w:pStyle w:val="style0"/>
              <w:rPr>
                <w:sz w:val="22"/>
                <w:szCs w:val="22"/>
              </w:rPr>
            </w:pPr>
            <w:r>
              <w:rPr>
                <w:sz w:val="22"/>
                <w:szCs w:val="22"/>
              </w:rPr>
              <w:t>Producteur</w:t>
            </w:r>
          </w:p>
        </w:tc>
        <w:tc>
          <w:tcPr>
            <w:tcW w:w="774" w:type="pct"/>
            <w:tcBorders/>
            <w:shd w:val="clear" w:color="auto" w:fill="auto"/>
          </w:tcPr>
          <w:p>
            <w:pPr>
              <w:pStyle w:val="style0"/>
              <w:jc w:val="center"/>
              <w:rPr>
                <w:sz w:val="22"/>
                <w:szCs w:val="22"/>
              </w:rPr>
            </w:pPr>
            <w:r>
              <w:rPr>
                <w:sz w:val="22"/>
                <w:szCs w:val="22"/>
              </w:rPr>
              <w:t>75 10 23 52</w:t>
            </w:r>
          </w:p>
        </w:tc>
      </w:tr>
    </w:tbl>
    <w:p>
      <w:pPr>
        <w:pStyle w:val="style0"/>
        <w:jc w:val="center"/>
        <w:rPr>
          <w:b/>
          <w:sz w:val="22"/>
          <w:szCs w:val="22"/>
          <w:u w:val="dotted"/>
        </w:rPr>
      </w:pPr>
    </w:p>
    <w:p>
      <w:pPr>
        <w:pStyle w:val="style0"/>
        <w:jc w:val="center"/>
        <w:rPr>
          <w:b/>
          <w:sz w:val="22"/>
          <w:szCs w:val="22"/>
          <w:u w:val="dotted"/>
        </w:rPr>
      </w:pPr>
      <w:r>
        <w:rPr>
          <w:b/>
          <w:sz w:val="22"/>
          <w:szCs w:val="22"/>
          <w:u w:val="dotted"/>
        </w:rPr>
        <w:br w:type="page"/>
      </w: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HAUTS BASSINS</w:t>
      </w:r>
      <w:r>
        <w:rPr>
          <w:b/>
          <w:sz w:val="22"/>
          <w:szCs w:val="22"/>
        </w:rPr>
        <w:t>…………………………</w:t>
      </w:r>
      <w:r>
        <w:rPr>
          <w:b/>
          <w:sz w:val="22"/>
          <w:szCs w:val="22"/>
          <w:u w:val="dotted"/>
        </w:rPr>
        <w:t>Province</w:t>
      </w:r>
      <w:r>
        <w:rPr>
          <w:b/>
          <w:sz w:val="22"/>
          <w:szCs w:val="22"/>
        </w:rPr>
        <w:t xml:space="preserve"> : </w:t>
      </w:r>
      <w:r>
        <w:rPr>
          <w:b/>
          <w:sz w:val="22"/>
          <w:szCs w:val="22"/>
          <w:u w:val="dotted"/>
        </w:rPr>
        <w:t>KENEDOUGOU</w:t>
      </w:r>
      <w:r>
        <w:rPr>
          <w:b/>
          <w:sz w:val="22"/>
          <w:szCs w:val="22"/>
        </w:rPr>
        <w:t>…………………………….</w:t>
      </w:r>
      <w:r>
        <w:rPr>
          <w:b/>
          <w:sz w:val="22"/>
          <w:szCs w:val="22"/>
          <w:u w:val="dotted"/>
        </w:rPr>
        <w:t>Commune</w:t>
      </w:r>
      <w:r>
        <w:rPr>
          <w:b/>
          <w:sz w:val="22"/>
          <w:szCs w:val="22"/>
        </w:rPr>
        <w:t xml:space="preserve"> : </w:t>
      </w:r>
      <w:r>
        <w:rPr>
          <w:b/>
          <w:sz w:val="22"/>
          <w:szCs w:val="22"/>
          <w:u w:val="dotted"/>
        </w:rPr>
        <w:t>BANZON</w:t>
      </w:r>
      <w:r>
        <w:rPr>
          <w:b/>
          <w:sz w:val="22"/>
          <w:szCs w:val="22"/>
        </w:rPr>
        <w:t>…………………………..</w:t>
      </w:r>
    </w:p>
    <w:p>
      <w:pPr>
        <w:pStyle w:val="style0"/>
        <w:rPr>
          <w:b/>
          <w:sz w:val="22"/>
          <w:szCs w:val="22"/>
        </w:rPr>
      </w:pPr>
      <w:r>
        <w:rPr>
          <w:b/>
          <w:sz w:val="22"/>
          <w:szCs w:val="22"/>
        </w:rPr>
        <w:t xml:space="preserve">Village : </w:t>
      </w:r>
      <w:r>
        <w:rPr>
          <w:b/>
          <w:sz w:val="22"/>
          <w:szCs w:val="22"/>
          <w:u w:val="dotted"/>
        </w:rPr>
        <w:t>BANZON</w:t>
      </w:r>
      <w:r>
        <w:rPr>
          <w:b/>
          <w:sz w:val="22"/>
          <w:szCs w:val="22"/>
        </w:rPr>
        <w:t xml:space="preserve">………………………….Date : </w:t>
      </w:r>
      <w:r>
        <w:rPr>
          <w:b/>
          <w:sz w:val="22"/>
          <w:szCs w:val="22"/>
          <w:u w:val="dotted"/>
        </w:rPr>
        <w:t>10/01/2019</w:t>
      </w:r>
      <w:r>
        <w:rPr>
          <w:b/>
          <w:sz w:val="22"/>
          <w:szCs w:val="22"/>
        </w:rPr>
        <w:t>………………… Groupes cibles : Services techniques, Mairie/Préfectures…</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654"/>
        <w:gridCol w:w="2440"/>
      </w:tblGrid>
      <w:tr>
        <w:trPr/>
        <w:tc>
          <w:tcPr>
            <w:tcW w:w="259" w:type="pct"/>
            <w:tcBorders/>
            <w:shd w:val="clear" w:color="auto" w:fill="d9d9d9"/>
            <w:vAlign w:val="center"/>
          </w:tcPr>
          <w:p>
            <w:pPr>
              <w:pStyle w:val="style0"/>
              <w:rPr>
                <w:b/>
                <w:sz w:val="22"/>
                <w:szCs w:val="22"/>
              </w:rPr>
            </w:pPr>
            <w:r>
              <w:rPr>
                <w:b/>
                <w:sz w:val="22"/>
                <w:szCs w:val="22"/>
              </w:rPr>
              <w:t>N°</w:t>
            </w:r>
          </w:p>
        </w:tc>
        <w:tc>
          <w:tcPr>
            <w:tcW w:w="1907" w:type="pct"/>
            <w:tcBorders/>
            <w:shd w:val="clear" w:color="auto" w:fill="d9d9d9"/>
            <w:vAlign w:val="center"/>
          </w:tcPr>
          <w:p>
            <w:pPr>
              <w:pStyle w:val="style0"/>
              <w:rPr>
                <w:b/>
                <w:sz w:val="22"/>
                <w:szCs w:val="22"/>
              </w:rPr>
            </w:pPr>
            <w:r>
              <w:rPr>
                <w:b/>
                <w:sz w:val="22"/>
                <w:szCs w:val="22"/>
              </w:rPr>
              <w:t>Nom et prénom (s)</w:t>
            </w:r>
          </w:p>
        </w:tc>
        <w:tc>
          <w:tcPr>
            <w:tcW w:w="299" w:type="pct"/>
            <w:tcBorders/>
            <w:shd w:val="clear" w:color="auto" w:fill="d9d9d9"/>
            <w:vAlign w:val="center"/>
          </w:tcPr>
          <w:p>
            <w:pPr>
              <w:pStyle w:val="style0"/>
              <w:rPr>
                <w:b/>
                <w:sz w:val="22"/>
                <w:szCs w:val="22"/>
              </w:rPr>
            </w:pPr>
            <w:r>
              <w:rPr>
                <w:b/>
                <w:sz w:val="22"/>
                <w:szCs w:val="22"/>
              </w:rPr>
              <w:t>Sexe</w:t>
            </w:r>
          </w:p>
        </w:tc>
        <w:tc>
          <w:tcPr>
            <w:tcW w:w="1663" w:type="pct"/>
            <w:tcBorders/>
            <w:shd w:val="clear" w:color="auto" w:fill="d9d9d9"/>
            <w:vAlign w:val="center"/>
          </w:tcPr>
          <w:p>
            <w:pPr>
              <w:pStyle w:val="style0"/>
              <w:rPr>
                <w:b/>
                <w:sz w:val="22"/>
                <w:szCs w:val="22"/>
              </w:rPr>
            </w:pPr>
            <w:r>
              <w:rPr>
                <w:b/>
                <w:sz w:val="22"/>
                <w:szCs w:val="22"/>
              </w:rPr>
              <w:t>Profession</w:t>
            </w:r>
          </w:p>
        </w:tc>
        <w:tc>
          <w:tcPr>
            <w:tcW w:w="872" w:type="pct"/>
            <w:tcBorders/>
            <w:shd w:val="clear" w:color="auto" w:fill="d9d9d9"/>
            <w:vAlign w:val="center"/>
          </w:tcPr>
          <w:p>
            <w:pPr>
              <w:pStyle w:val="style0"/>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YERBANGA R. Ali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Agent d’Agriculture</w:t>
            </w:r>
          </w:p>
        </w:tc>
        <w:tc>
          <w:tcPr>
            <w:tcW w:w="872" w:type="pct"/>
            <w:tcBorders/>
            <w:shd w:val="clear" w:color="auto" w:fill="auto"/>
            <w:vAlign w:val="center"/>
          </w:tcPr>
          <w:p>
            <w:pPr>
              <w:pStyle w:val="style0"/>
              <w:jc w:val="center"/>
              <w:rPr>
                <w:sz w:val="22"/>
                <w:szCs w:val="22"/>
              </w:rPr>
            </w:pPr>
            <w:r>
              <w:rPr>
                <w:sz w:val="22"/>
                <w:szCs w:val="22"/>
              </w:rPr>
              <w:t>71 31 10 96</w:t>
            </w:r>
          </w:p>
          <w:p>
            <w:pPr>
              <w:pStyle w:val="style0"/>
              <w:jc w:val="center"/>
              <w:rPr>
                <w:sz w:val="22"/>
                <w:szCs w:val="22"/>
              </w:rPr>
            </w:pPr>
            <w:r>
              <w:rPr>
                <w:sz w:val="22"/>
                <w:szCs w:val="22"/>
              </w:rPr>
              <w:t>76 58 71 89</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rPr>
            </w:pPr>
            <w:r>
              <w:rPr>
                <w:sz w:val="22"/>
                <w:szCs w:val="22"/>
              </w:rPr>
              <w:t>TRAORE Gopé Noél</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Agent de plaine</w:t>
            </w:r>
          </w:p>
        </w:tc>
        <w:tc>
          <w:tcPr>
            <w:tcW w:w="872" w:type="pct"/>
            <w:tcBorders/>
            <w:shd w:val="clear" w:color="auto" w:fill="auto"/>
            <w:vAlign w:val="center"/>
          </w:tcPr>
          <w:p>
            <w:pPr>
              <w:pStyle w:val="style0"/>
              <w:jc w:val="center"/>
              <w:rPr>
                <w:sz w:val="22"/>
                <w:szCs w:val="22"/>
              </w:rPr>
            </w:pPr>
            <w:r>
              <w:rPr>
                <w:sz w:val="22"/>
                <w:szCs w:val="22"/>
              </w:rPr>
              <w:t>70 01 00 58</w:t>
            </w:r>
          </w:p>
          <w:p>
            <w:pPr>
              <w:pStyle w:val="style0"/>
              <w:jc w:val="center"/>
              <w:rPr>
                <w:sz w:val="22"/>
                <w:szCs w:val="22"/>
              </w:rPr>
            </w:pPr>
            <w:r>
              <w:rPr>
                <w:sz w:val="22"/>
                <w:szCs w:val="22"/>
              </w:rPr>
              <w:t>77 79 60 72</w:t>
            </w:r>
          </w:p>
        </w:tc>
      </w:tr>
      <w:tr>
        <w:tblPrEx/>
        <w:trPr/>
        <w:tc>
          <w:tcPr>
            <w:tcW w:w="259" w:type="pct"/>
            <w:tcBorders/>
            <w:shd w:val="clear" w:color="auto" w:fill="auto"/>
            <w:vAlign w:val="center"/>
          </w:tcPr>
          <w:p>
            <w:pPr>
              <w:pStyle w:val="style0"/>
              <w:jc w:val="center"/>
              <w:rPr>
                <w:sz w:val="22"/>
                <w:szCs w:val="22"/>
              </w:rPr>
            </w:pPr>
            <w:r>
              <w:rPr>
                <w:sz w:val="22"/>
                <w:szCs w:val="22"/>
              </w:rPr>
              <w:t>03</w:t>
            </w:r>
          </w:p>
        </w:tc>
        <w:tc>
          <w:tcPr>
            <w:tcW w:w="1907" w:type="pct"/>
            <w:tcBorders/>
            <w:shd w:val="clear" w:color="auto" w:fill="auto"/>
            <w:vAlign w:val="center"/>
          </w:tcPr>
          <w:p>
            <w:pPr>
              <w:pStyle w:val="style0"/>
              <w:rPr>
                <w:sz w:val="22"/>
                <w:szCs w:val="22"/>
              </w:rPr>
            </w:pPr>
            <w:r>
              <w:rPr>
                <w:sz w:val="22"/>
                <w:szCs w:val="22"/>
              </w:rPr>
              <w:t>TRA</w:t>
            </w:r>
            <w:r>
              <w:rPr>
                <w:sz w:val="22"/>
                <w:szCs w:val="22"/>
              </w:rPr>
              <w:t>ORE Souleymane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Agent d’Agriculture</w:t>
            </w:r>
          </w:p>
        </w:tc>
        <w:tc>
          <w:tcPr>
            <w:tcW w:w="872" w:type="pct"/>
            <w:tcBorders/>
            <w:shd w:val="clear" w:color="auto" w:fill="auto"/>
            <w:vAlign w:val="center"/>
          </w:tcPr>
          <w:p>
            <w:pPr>
              <w:pStyle w:val="style0"/>
              <w:jc w:val="center"/>
              <w:rPr>
                <w:sz w:val="22"/>
                <w:szCs w:val="22"/>
              </w:rPr>
            </w:pPr>
            <w:r>
              <w:rPr>
                <w:sz w:val="22"/>
                <w:szCs w:val="22"/>
              </w:rPr>
              <w:t>60 06 05 38</w:t>
            </w:r>
          </w:p>
        </w:tc>
      </w:tr>
      <w:tr>
        <w:tblPrEx/>
        <w:trPr/>
        <w:tc>
          <w:tcPr>
            <w:tcW w:w="259" w:type="pct"/>
            <w:tcBorders/>
            <w:shd w:val="clear" w:color="auto" w:fill="auto"/>
            <w:vAlign w:val="center"/>
          </w:tcPr>
          <w:p>
            <w:pPr>
              <w:pStyle w:val="style0"/>
              <w:jc w:val="center"/>
              <w:rPr>
                <w:sz w:val="22"/>
                <w:szCs w:val="22"/>
              </w:rPr>
            </w:pPr>
            <w:r>
              <w:rPr>
                <w:sz w:val="22"/>
                <w:szCs w:val="22"/>
              </w:rPr>
              <w:t>04</w:t>
            </w:r>
          </w:p>
        </w:tc>
        <w:tc>
          <w:tcPr>
            <w:tcW w:w="1907" w:type="pct"/>
            <w:tcBorders/>
            <w:shd w:val="clear" w:color="auto" w:fill="auto"/>
            <w:vAlign w:val="center"/>
          </w:tcPr>
          <w:p>
            <w:pPr>
              <w:pStyle w:val="style0"/>
              <w:rPr>
                <w:sz w:val="22"/>
                <w:szCs w:val="22"/>
              </w:rPr>
            </w:pPr>
            <w:r>
              <w:rPr>
                <w:sz w:val="22"/>
                <w:szCs w:val="22"/>
              </w:rPr>
              <w:t>KIENOU Ousséni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Agent d’Agriculture</w:t>
            </w:r>
          </w:p>
        </w:tc>
        <w:tc>
          <w:tcPr>
            <w:tcW w:w="872" w:type="pct"/>
            <w:tcBorders/>
            <w:shd w:val="clear" w:color="auto" w:fill="auto"/>
            <w:vAlign w:val="center"/>
          </w:tcPr>
          <w:p>
            <w:pPr>
              <w:pStyle w:val="style0"/>
              <w:jc w:val="center"/>
              <w:rPr>
                <w:sz w:val="22"/>
                <w:szCs w:val="22"/>
              </w:rPr>
            </w:pPr>
            <w:r>
              <w:rPr>
                <w:sz w:val="22"/>
                <w:szCs w:val="22"/>
              </w:rPr>
              <w:t>70 43 98 54</w:t>
            </w:r>
          </w:p>
        </w:tc>
      </w:tr>
      <w:tr>
        <w:tblPrEx/>
        <w:trPr/>
        <w:tc>
          <w:tcPr>
            <w:tcW w:w="259" w:type="pct"/>
            <w:tcBorders/>
            <w:shd w:val="clear" w:color="auto" w:fill="auto"/>
            <w:vAlign w:val="center"/>
          </w:tcPr>
          <w:p>
            <w:pPr>
              <w:pStyle w:val="style0"/>
              <w:jc w:val="center"/>
              <w:rPr>
                <w:sz w:val="22"/>
                <w:szCs w:val="22"/>
              </w:rPr>
            </w:pPr>
            <w:r>
              <w:rPr>
                <w:sz w:val="22"/>
                <w:szCs w:val="22"/>
              </w:rPr>
              <w:t>05</w:t>
            </w:r>
          </w:p>
        </w:tc>
        <w:tc>
          <w:tcPr>
            <w:tcW w:w="1907" w:type="pct"/>
            <w:tcBorders/>
            <w:shd w:val="clear" w:color="auto" w:fill="auto"/>
            <w:vAlign w:val="center"/>
          </w:tcPr>
          <w:p>
            <w:pPr>
              <w:pStyle w:val="style0"/>
              <w:rPr>
                <w:sz w:val="22"/>
                <w:szCs w:val="22"/>
              </w:rPr>
            </w:pPr>
            <w:r>
              <w:rPr>
                <w:sz w:val="22"/>
                <w:szCs w:val="22"/>
              </w:rPr>
              <w:t>TRAORE Mamadou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Chef du village</w:t>
            </w:r>
          </w:p>
        </w:tc>
        <w:tc>
          <w:tcPr>
            <w:tcW w:w="872" w:type="pct"/>
            <w:tcBorders/>
            <w:shd w:val="clear" w:color="auto" w:fill="auto"/>
            <w:vAlign w:val="center"/>
          </w:tcPr>
          <w:p>
            <w:pPr>
              <w:pStyle w:val="style0"/>
              <w:jc w:val="center"/>
              <w:rPr>
                <w:sz w:val="22"/>
                <w:szCs w:val="22"/>
              </w:rPr>
            </w:pPr>
            <w:r>
              <w:rPr>
                <w:sz w:val="22"/>
                <w:szCs w:val="22"/>
              </w:rPr>
              <w:t>76 24 28 07</w:t>
            </w:r>
          </w:p>
        </w:tc>
      </w:tr>
      <w:tr>
        <w:tblPrEx/>
        <w:trPr/>
        <w:tc>
          <w:tcPr>
            <w:tcW w:w="259" w:type="pct"/>
            <w:tcBorders/>
            <w:shd w:val="clear" w:color="auto" w:fill="auto"/>
            <w:vAlign w:val="center"/>
          </w:tcPr>
          <w:p>
            <w:pPr>
              <w:pStyle w:val="style0"/>
              <w:jc w:val="center"/>
              <w:rPr>
                <w:sz w:val="22"/>
                <w:szCs w:val="22"/>
              </w:rPr>
            </w:pPr>
            <w:r>
              <w:rPr>
                <w:sz w:val="22"/>
                <w:szCs w:val="22"/>
              </w:rPr>
              <w:t>06</w:t>
            </w:r>
          </w:p>
        </w:tc>
        <w:tc>
          <w:tcPr>
            <w:tcW w:w="1907" w:type="pct"/>
            <w:tcBorders/>
            <w:shd w:val="clear" w:color="auto" w:fill="auto"/>
            <w:vAlign w:val="center"/>
          </w:tcPr>
          <w:p>
            <w:pPr>
              <w:pStyle w:val="style0"/>
              <w:rPr>
                <w:sz w:val="22"/>
                <w:szCs w:val="22"/>
              </w:rPr>
            </w:pPr>
            <w:r>
              <w:rPr>
                <w:sz w:val="22"/>
                <w:szCs w:val="22"/>
              </w:rPr>
              <w:t>ZOMA Kouilga Emile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Chef SDEEVCC</w:t>
            </w:r>
          </w:p>
        </w:tc>
        <w:tc>
          <w:tcPr>
            <w:tcW w:w="872" w:type="pct"/>
            <w:tcBorders/>
            <w:shd w:val="clear" w:color="auto" w:fill="auto"/>
            <w:vAlign w:val="center"/>
          </w:tcPr>
          <w:p>
            <w:pPr>
              <w:pStyle w:val="style0"/>
              <w:jc w:val="center"/>
              <w:rPr>
                <w:sz w:val="22"/>
                <w:szCs w:val="22"/>
              </w:rPr>
            </w:pPr>
            <w:r>
              <w:rPr>
                <w:sz w:val="22"/>
                <w:szCs w:val="22"/>
              </w:rPr>
              <w:t>71 54 25 38</w:t>
            </w:r>
          </w:p>
        </w:tc>
      </w:tr>
      <w:tr>
        <w:tblPrEx/>
        <w:trPr/>
        <w:tc>
          <w:tcPr>
            <w:tcW w:w="259" w:type="pct"/>
            <w:tcBorders/>
            <w:shd w:val="clear" w:color="auto" w:fill="auto"/>
            <w:vAlign w:val="center"/>
          </w:tcPr>
          <w:p>
            <w:pPr>
              <w:pStyle w:val="style0"/>
              <w:jc w:val="center"/>
              <w:rPr>
                <w:sz w:val="22"/>
                <w:szCs w:val="22"/>
              </w:rPr>
            </w:pPr>
            <w:r>
              <w:rPr>
                <w:sz w:val="22"/>
                <w:szCs w:val="22"/>
              </w:rPr>
              <w:t>07</w:t>
            </w:r>
          </w:p>
        </w:tc>
        <w:tc>
          <w:tcPr>
            <w:tcW w:w="1907" w:type="pct"/>
            <w:tcBorders/>
            <w:shd w:val="clear" w:color="auto" w:fill="auto"/>
            <w:vAlign w:val="center"/>
          </w:tcPr>
          <w:p>
            <w:pPr>
              <w:pStyle w:val="style0"/>
              <w:rPr>
                <w:sz w:val="22"/>
                <w:szCs w:val="22"/>
              </w:rPr>
            </w:pPr>
            <w:r>
              <w:rPr>
                <w:sz w:val="22"/>
                <w:szCs w:val="22"/>
              </w:rPr>
              <w:t>SAWADOGO Souleymane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Police</w:t>
            </w:r>
          </w:p>
        </w:tc>
        <w:tc>
          <w:tcPr>
            <w:tcW w:w="872" w:type="pct"/>
            <w:tcBorders/>
            <w:shd w:val="clear" w:color="auto" w:fill="auto"/>
            <w:vAlign w:val="center"/>
          </w:tcPr>
          <w:p>
            <w:pPr>
              <w:pStyle w:val="style0"/>
              <w:jc w:val="center"/>
              <w:rPr>
                <w:sz w:val="22"/>
                <w:szCs w:val="22"/>
              </w:rPr>
            </w:pPr>
            <w:r>
              <w:rPr>
                <w:sz w:val="22"/>
                <w:szCs w:val="22"/>
              </w:rPr>
              <w:t>71 80 53 12</w:t>
            </w:r>
          </w:p>
        </w:tc>
      </w:tr>
      <w:tr>
        <w:tblPrEx/>
        <w:trPr/>
        <w:tc>
          <w:tcPr>
            <w:tcW w:w="259" w:type="pct"/>
            <w:tcBorders/>
            <w:shd w:val="clear" w:color="auto" w:fill="auto"/>
            <w:vAlign w:val="center"/>
          </w:tcPr>
          <w:p>
            <w:pPr>
              <w:pStyle w:val="style0"/>
              <w:jc w:val="center"/>
              <w:rPr>
                <w:sz w:val="22"/>
                <w:szCs w:val="22"/>
              </w:rPr>
            </w:pPr>
            <w:r>
              <w:rPr>
                <w:sz w:val="22"/>
                <w:szCs w:val="22"/>
              </w:rPr>
              <w:t>08</w:t>
            </w:r>
          </w:p>
        </w:tc>
        <w:tc>
          <w:tcPr>
            <w:tcW w:w="1907" w:type="pct"/>
            <w:tcBorders/>
            <w:shd w:val="clear" w:color="auto" w:fill="auto"/>
            <w:vAlign w:val="center"/>
          </w:tcPr>
          <w:p>
            <w:pPr>
              <w:pStyle w:val="style0"/>
              <w:rPr>
                <w:sz w:val="22"/>
                <w:szCs w:val="22"/>
              </w:rPr>
            </w:pPr>
            <w:r>
              <w:rPr>
                <w:sz w:val="22"/>
                <w:szCs w:val="22"/>
              </w:rPr>
              <w:t>RABO Z</w:t>
            </w:r>
            <w:r>
              <w:rPr>
                <w:sz w:val="22"/>
                <w:szCs w:val="22"/>
              </w:rPr>
              <w:t>akaria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Préfecture</w:t>
            </w:r>
          </w:p>
        </w:tc>
        <w:tc>
          <w:tcPr>
            <w:tcW w:w="872" w:type="pct"/>
            <w:tcBorders/>
            <w:shd w:val="clear" w:color="auto" w:fill="auto"/>
            <w:vAlign w:val="center"/>
          </w:tcPr>
          <w:p>
            <w:pPr>
              <w:pStyle w:val="style0"/>
              <w:jc w:val="center"/>
              <w:rPr>
                <w:sz w:val="22"/>
                <w:szCs w:val="22"/>
              </w:rPr>
            </w:pPr>
            <w:r>
              <w:rPr>
                <w:sz w:val="22"/>
                <w:szCs w:val="22"/>
              </w:rPr>
              <w:t>70 99 24 31</w:t>
            </w:r>
          </w:p>
        </w:tc>
      </w:tr>
      <w:tr>
        <w:tblPrEx/>
        <w:trPr/>
        <w:tc>
          <w:tcPr>
            <w:tcW w:w="259" w:type="pct"/>
            <w:tcBorders/>
            <w:shd w:val="clear" w:color="auto" w:fill="auto"/>
            <w:vAlign w:val="center"/>
          </w:tcPr>
          <w:p>
            <w:pPr>
              <w:pStyle w:val="style0"/>
              <w:jc w:val="center"/>
              <w:rPr>
                <w:sz w:val="22"/>
                <w:szCs w:val="22"/>
              </w:rPr>
            </w:pPr>
            <w:r>
              <w:rPr>
                <w:sz w:val="22"/>
                <w:szCs w:val="22"/>
              </w:rPr>
              <w:t>09</w:t>
            </w:r>
          </w:p>
        </w:tc>
        <w:tc>
          <w:tcPr>
            <w:tcW w:w="1907" w:type="pct"/>
            <w:tcBorders/>
            <w:shd w:val="clear" w:color="auto" w:fill="auto"/>
            <w:vAlign w:val="center"/>
          </w:tcPr>
          <w:p>
            <w:pPr>
              <w:pStyle w:val="style0"/>
              <w:rPr>
                <w:sz w:val="22"/>
                <w:szCs w:val="22"/>
              </w:rPr>
            </w:pPr>
            <w:r>
              <w:rPr>
                <w:sz w:val="22"/>
                <w:szCs w:val="22"/>
              </w:rPr>
              <w:t>TRAORE Yaya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vAlign w:val="center"/>
          </w:tcPr>
          <w:p>
            <w:pPr>
              <w:pStyle w:val="style0"/>
              <w:rPr>
                <w:sz w:val="22"/>
                <w:szCs w:val="22"/>
              </w:rPr>
            </w:pPr>
            <w:r>
              <w:rPr>
                <w:sz w:val="22"/>
                <w:szCs w:val="22"/>
              </w:rPr>
              <w:t>Vice de la S.CAB</w:t>
            </w:r>
          </w:p>
        </w:tc>
        <w:tc>
          <w:tcPr>
            <w:tcW w:w="872" w:type="pct"/>
            <w:tcBorders/>
            <w:shd w:val="clear" w:color="auto" w:fill="auto"/>
            <w:vAlign w:val="center"/>
          </w:tcPr>
          <w:p>
            <w:pPr>
              <w:pStyle w:val="style0"/>
              <w:jc w:val="center"/>
              <w:rPr>
                <w:sz w:val="22"/>
                <w:szCs w:val="22"/>
              </w:rPr>
            </w:pPr>
            <w:r>
              <w:rPr>
                <w:sz w:val="22"/>
                <w:szCs w:val="22"/>
              </w:rPr>
              <w:t>76 19 87 02</w:t>
            </w:r>
          </w:p>
        </w:tc>
      </w:tr>
    </w:tbl>
    <w:p>
      <w:pPr>
        <w:pStyle w:val="style0"/>
        <w:rPr>
          <w:b/>
          <w:sz w:val="22"/>
          <w:szCs w:val="22"/>
        </w:rPr>
      </w:pPr>
      <w:r>
        <w:rPr>
          <w:b/>
          <w:sz w:val="22"/>
          <w:szCs w:val="22"/>
        </w:rPr>
        <w:t xml:space="preserve">              </w:t>
      </w:r>
    </w:p>
    <w:p>
      <w:pPr>
        <w:pStyle w:val="style0"/>
        <w:rPr>
          <w:b/>
          <w:sz w:val="22"/>
          <w:szCs w:val="22"/>
        </w:rPr>
      </w:pPr>
      <w:r>
        <w:rPr>
          <w:b/>
          <w:sz w:val="22"/>
          <w:szCs w:val="22"/>
        </w:rPr>
        <w:br w:type="page"/>
      </w:r>
    </w:p>
    <w:p>
      <w:pPr>
        <w:pStyle w:val="style0"/>
        <w:jc w:val="center"/>
        <w:rPr>
          <w:b/>
          <w:sz w:val="22"/>
          <w:szCs w:val="22"/>
          <w:u w:val="dotted"/>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HAUTS BASSINS</w:t>
      </w:r>
      <w:r>
        <w:rPr>
          <w:b/>
          <w:sz w:val="22"/>
          <w:szCs w:val="22"/>
        </w:rPr>
        <w:t>…………………………</w:t>
      </w:r>
      <w:r>
        <w:rPr>
          <w:b/>
          <w:sz w:val="22"/>
          <w:szCs w:val="22"/>
          <w:u w:val="dotted"/>
        </w:rPr>
        <w:t>Province</w:t>
      </w:r>
      <w:r>
        <w:rPr>
          <w:b/>
          <w:sz w:val="22"/>
          <w:szCs w:val="22"/>
        </w:rPr>
        <w:t xml:space="preserve"> : </w:t>
      </w:r>
      <w:r>
        <w:rPr>
          <w:b/>
          <w:sz w:val="22"/>
          <w:szCs w:val="22"/>
          <w:u w:val="dotted"/>
        </w:rPr>
        <w:t>KENEDOUGOU</w:t>
      </w:r>
      <w:r>
        <w:rPr>
          <w:b/>
          <w:sz w:val="22"/>
          <w:szCs w:val="22"/>
        </w:rPr>
        <w:t>…………………………….</w:t>
      </w:r>
      <w:r>
        <w:rPr>
          <w:b/>
          <w:sz w:val="22"/>
          <w:szCs w:val="22"/>
          <w:u w:val="dotted"/>
        </w:rPr>
        <w:t>Commune</w:t>
      </w:r>
      <w:r>
        <w:rPr>
          <w:b/>
          <w:sz w:val="22"/>
          <w:szCs w:val="22"/>
        </w:rPr>
        <w:t xml:space="preserve"> : </w:t>
      </w:r>
      <w:r>
        <w:rPr>
          <w:b/>
          <w:sz w:val="22"/>
          <w:szCs w:val="22"/>
          <w:u w:val="dotted"/>
        </w:rPr>
        <w:t>ORODARA</w:t>
      </w:r>
      <w:r>
        <w:rPr>
          <w:b/>
          <w:sz w:val="22"/>
          <w:szCs w:val="22"/>
        </w:rPr>
        <w:t>…………………………..</w:t>
      </w:r>
    </w:p>
    <w:p>
      <w:pPr>
        <w:pStyle w:val="style0"/>
        <w:rPr>
          <w:b/>
          <w:sz w:val="22"/>
          <w:szCs w:val="22"/>
        </w:rPr>
      </w:pPr>
      <w:r>
        <w:rPr>
          <w:b/>
          <w:sz w:val="22"/>
          <w:szCs w:val="22"/>
        </w:rPr>
        <w:t xml:space="preserve">Village : </w:t>
      </w:r>
      <w:r>
        <w:rPr>
          <w:b/>
          <w:sz w:val="22"/>
          <w:szCs w:val="22"/>
          <w:u w:val="dotted"/>
        </w:rPr>
        <w:t>ORODARA</w:t>
      </w:r>
      <w:r>
        <w:rPr>
          <w:b/>
          <w:sz w:val="22"/>
          <w:szCs w:val="22"/>
        </w:rPr>
        <w:t xml:space="preserve">………………………….Date : </w:t>
      </w:r>
      <w:r>
        <w:rPr>
          <w:b/>
          <w:sz w:val="22"/>
          <w:szCs w:val="22"/>
          <w:u w:val="dotted"/>
        </w:rPr>
        <w:t>09/01/2019</w:t>
      </w:r>
      <w:r>
        <w:rPr>
          <w:b/>
          <w:sz w:val="22"/>
          <w:szCs w:val="22"/>
        </w:rPr>
        <w:t>………………… Groupes cibles : Services techniques, Mairie/Préfecture</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654"/>
        <w:gridCol w:w="2440"/>
      </w:tblGrid>
      <w:tr>
        <w:trPr/>
        <w:tc>
          <w:tcPr>
            <w:tcW w:w="259" w:type="pct"/>
            <w:tcBorders/>
            <w:shd w:val="clear" w:color="auto" w:fill="d9d9d9"/>
            <w:vAlign w:val="center"/>
          </w:tcPr>
          <w:p>
            <w:pPr>
              <w:pStyle w:val="style0"/>
              <w:rPr>
                <w:b/>
                <w:sz w:val="22"/>
                <w:szCs w:val="22"/>
              </w:rPr>
            </w:pPr>
            <w:r>
              <w:rPr>
                <w:b/>
                <w:sz w:val="22"/>
                <w:szCs w:val="22"/>
              </w:rPr>
              <w:t>N°</w:t>
            </w:r>
          </w:p>
        </w:tc>
        <w:tc>
          <w:tcPr>
            <w:tcW w:w="1907" w:type="pct"/>
            <w:tcBorders/>
            <w:shd w:val="clear" w:color="auto" w:fill="d9d9d9"/>
            <w:vAlign w:val="center"/>
          </w:tcPr>
          <w:p>
            <w:pPr>
              <w:pStyle w:val="style0"/>
              <w:rPr>
                <w:b/>
                <w:sz w:val="22"/>
                <w:szCs w:val="22"/>
              </w:rPr>
            </w:pPr>
            <w:r>
              <w:rPr>
                <w:b/>
                <w:sz w:val="22"/>
                <w:szCs w:val="22"/>
              </w:rPr>
              <w:t>Nom et prénom (s)</w:t>
            </w:r>
          </w:p>
        </w:tc>
        <w:tc>
          <w:tcPr>
            <w:tcW w:w="299" w:type="pct"/>
            <w:tcBorders/>
            <w:shd w:val="clear" w:color="auto" w:fill="d9d9d9"/>
            <w:vAlign w:val="center"/>
          </w:tcPr>
          <w:p>
            <w:pPr>
              <w:pStyle w:val="style0"/>
              <w:rPr>
                <w:b/>
                <w:sz w:val="22"/>
                <w:szCs w:val="22"/>
              </w:rPr>
            </w:pPr>
            <w:r>
              <w:rPr>
                <w:b/>
                <w:sz w:val="22"/>
                <w:szCs w:val="22"/>
              </w:rPr>
              <w:t>Sexe</w:t>
            </w:r>
          </w:p>
        </w:tc>
        <w:tc>
          <w:tcPr>
            <w:tcW w:w="1663" w:type="pct"/>
            <w:tcBorders/>
            <w:shd w:val="clear" w:color="auto" w:fill="d9d9d9"/>
            <w:vAlign w:val="center"/>
          </w:tcPr>
          <w:p>
            <w:pPr>
              <w:pStyle w:val="style0"/>
              <w:rPr>
                <w:b/>
                <w:sz w:val="22"/>
                <w:szCs w:val="22"/>
              </w:rPr>
            </w:pPr>
            <w:r>
              <w:rPr>
                <w:b/>
                <w:sz w:val="22"/>
                <w:szCs w:val="22"/>
              </w:rPr>
              <w:t>Profession</w:t>
            </w:r>
          </w:p>
        </w:tc>
        <w:tc>
          <w:tcPr>
            <w:tcW w:w="872" w:type="pct"/>
            <w:tcBorders/>
            <w:shd w:val="clear" w:color="auto" w:fill="d9d9d9"/>
            <w:vAlign w:val="center"/>
          </w:tcPr>
          <w:p>
            <w:pPr>
              <w:pStyle w:val="style0"/>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YARO Haoua</w:t>
            </w:r>
          </w:p>
        </w:tc>
        <w:tc>
          <w:tcPr>
            <w:tcW w:w="299" w:type="pct"/>
            <w:tcBorders/>
            <w:shd w:val="clear" w:color="auto" w:fill="auto"/>
          </w:tcPr>
          <w:p>
            <w:pPr>
              <w:pStyle w:val="style0"/>
              <w:jc w:val="center"/>
              <w:rPr>
                <w:sz w:val="22"/>
                <w:szCs w:val="22"/>
              </w:rPr>
            </w:pPr>
            <w:r>
              <w:rPr>
                <w:sz w:val="22"/>
                <w:szCs w:val="22"/>
              </w:rPr>
              <w:t>F</w:t>
            </w:r>
          </w:p>
        </w:tc>
        <w:tc>
          <w:tcPr>
            <w:tcW w:w="1663" w:type="pct"/>
            <w:tcBorders/>
            <w:shd w:val="clear" w:color="auto" w:fill="auto"/>
            <w:vAlign w:val="center"/>
          </w:tcPr>
          <w:p>
            <w:pPr>
              <w:pStyle w:val="style0"/>
              <w:rPr>
                <w:sz w:val="22"/>
                <w:szCs w:val="22"/>
              </w:rPr>
            </w:pPr>
            <w:r>
              <w:rPr>
                <w:sz w:val="22"/>
                <w:szCs w:val="22"/>
              </w:rPr>
              <w:t>Conseillère d’Agriculture</w:t>
            </w:r>
          </w:p>
        </w:tc>
        <w:tc>
          <w:tcPr>
            <w:tcW w:w="872" w:type="pct"/>
            <w:tcBorders/>
            <w:shd w:val="clear" w:color="auto" w:fill="auto"/>
            <w:vAlign w:val="center"/>
          </w:tcPr>
          <w:p>
            <w:pPr>
              <w:pStyle w:val="style0"/>
              <w:jc w:val="center"/>
              <w:rPr>
                <w:sz w:val="22"/>
                <w:szCs w:val="22"/>
              </w:rPr>
            </w:pPr>
            <w:r>
              <w:rPr>
                <w:sz w:val="22"/>
                <w:szCs w:val="22"/>
              </w:rPr>
              <w:t>70 34 40 23</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lang w:val="de-DE"/>
              </w:rPr>
            </w:pPr>
            <w:r>
              <w:rPr>
                <w:sz w:val="22"/>
                <w:szCs w:val="22"/>
                <w:lang w:val="de-DE"/>
              </w:rPr>
              <w:t>SANGARE A. Pathé</w:t>
            </w:r>
          </w:p>
        </w:tc>
        <w:tc>
          <w:tcPr>
            <w:tcW w:w="299" w:type="pct"/>
            <w:tcBorders/>
            <w:shd w:val="clear" w:color="auto" w:fill="auto"/>
          </w:tcPr>
          <w:p>
            <w:pPr>
              <w:pStyle w:val="style0"/>
              <w:jc w:val="center"/>
              <w:rPr>
                <w:sz w:val="22"/>
                <w:szCs w:val="22"/>
                <w:lang w:val="de-DE"/>
              </w:rPr>
            </w:pPr>
            <w:r>
              <w:rPr>
                <w:sz w:val="22"/>
                <w:szCs w:val="22"/>
                <w:lang w:val="de-DE"/>
              </w:rPr>
              <w:t>M</w:t>
            </w:r>
          </w:p>
        </w:tc>
        <w:tc>
          <w:tcPr>
            <w:tcW w:w="1663" w:type="pct"/>
            <w:tcBorders/>
            <w:shd w:val="clear" w:color="auto" w:fill="auto"/>
            <w:vAlign w:val="center"/>
          </w:tcPr>
          <w:p>
            <w:pPr>
              <w:pStyle w:val="style0"/>
              <w:rPr>
                <w:sz w:val="22"/>
                <w:szCs w:val="22"/>
              </w:rPr>
            </w:pPr>
            <w:r>
              <w:rPr>
                <w:sz w:val="22"/>
                <w:szCs w:val="22"/>
              </w:rPr>
              <w:t>Administrateur Civil</w:t>
            </w:r>
          </w:p>
        </w:tc>
        <w:tc>
          <w:tcPr>
            <w:tcW w:w="872" w:type="pct"/>
            <w:tcBorders/>
            <w:shd w:val="clear" w:color="auto" w:fill="auto"/>
            <w:vAlign w:val="center"/>
          </w:tcPr>
          <w:p>
            <w:pPr>
              <w:pStyle w:val="style0"/>
              <w:jc w:val="center"/>
              <w:rPr>
                <w:sz w:val="22"/>
                <w:szCs w:val="22"/>
                <w:lang w:val="de-DE"/>
              </w:rPr>
            </w:pPr>
            <w:r>
              <w:rPr>
                <w:sz w:val="22"/>
                <w:szCs w:val="22"/>
                <w:lang w:val="de-DE"/>
              </w:rPr>
              <w:t>60 74 44 78</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03</w:t>
            </w:r>
          </w:p>
        </w:tc>
        <w:tc>
          <w:tcPr>
            <w:tcW w:w="1907" w:type="pct"/>
            <w:tcBorders/>
            <w:shd w:val="clear" w:color="auto" w:fill="auto"/>
            <w:vAlign w:val="center"/>
          </w:tcPr>
          <w:p>
            <w:pPr>
              <w:pStyle w:val="style0"/>
              <w:rPr>
                <w:sz w:val="22"/>
                <w:szCs w:val="22"/>
                <w:lang w:val="de-DE"/>
              </w:rPr>
            </w:pPr>
            <w:r>
              <w:rPr>
                <w:sz w:val="22"/>
                <w:szCs w:val="22"/>
                <w:lang w:val="de-DE"/>
              </w:rPr>
              <w:t>TRAORE F. Mamadou</w:t>
            </w:r>
          </w:p>
        </w:tc>
        <w:tc>
          <w:tcPr>
            <w:tcW w:w="299" w:type="pct"/>
            <w:tcBorders/>
            <w:shd w:val="clear" w:color="auto" w:fill="auto"/>
          </w:tcPr>
          <w:p>
            <w:pPr>
              <w:pStyle w:val="style0"/>
              <w:jc w:val="center"/>
              <w:rPr>
                <w:sz w:val="22"/>
                <w:szCs w:val="22"/>
                <w:lang w:val="de-DE"/>
              </w:rPr>
            </w:pPr>
            <w:r>
              <w:rPr>
                <w:sz w:val="22"/>
                <w:szCs w:val="22"/>
                <w:lang w:val="de-DE"/>
              </w:rPr>
              <w:t>M</w:t>
            </w:r>
          </w:p>
        </w:tc>
        <w:tc>
          <w:tcPr>
            <w:tcW w:w="1663" w:type="pct"/>
            <w:tcBorders/>
            <w:shd w:val="clear" w:color="auto" w:fill="auto"/>
            <w:vAlign w:val="center"/>
          </w:tcPr>
          <w:p>
            <w:pPr>
              <w:pStyle w:val="style0"/>
              <w:rPr>
                <w:sz w:val="22"/>
                <w:szCs w:val="22"/>
                <w:lang w:val="de-DE"/>
              </w:rPr>
            </w:pPr>
            <w:r>
              <w:rPr>
                <w:sz w:val="22"/>
                <w:szCs w:val="22"/>
                <w:lang w:val="de-DE"/>
              </w:rPr>
              <w:t xml:space="preserve">Conseiller d’élévage </w:t>
            </w:r>
          </w:p>
        </w:tc>
        <w:tc>
          <w:tcPr>
            <w:tcW w:w="872" w:type="pct"/>
            <w:tcBorders/>
            <w:shd w:val="clear" w:color="auto" w:fill="auto"/>
            <w:vAlign w:val="center"/>
          </w:tcPr>
          <w:p>
            <w:pPr>
              <w:pStyle w:val="style0"/>
              <w:jc w:val="center"/>
              <w:rPr>
                <w:sz w:val="22"/>
                <w:szCs w:val="22"/>
                <w:lang w:val="de-DE"/>
              </w:rPr>
            </w:pPr>
            <w:r>
              <w:rPr>
                <w:sz w:val="22"/>
                <w:szCs w:val="22"/>
                <w:lang w:val="de-DE"/>
              </w:rPr>
              <w:t>60 00 84 15</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04</w:t>
            </w:r>
          </w:p>
        </w:tc>
        <w:tc>
          <w:tcPr>
            <w:tcW w:w="1907" w:type="pct"/>
            <w:tcBorders/>
            <w:shd w:val="clear" w:color="auto" w:fill="auto"/>
            <w:vAlign w:val="center"/>
          </w:tcPr>
          <w:p>
            <w:pPr>
              <w:pStyle w:val="style0"/>
              <w:rPr>
                <w:sz w:val="22"/>
                <w:szCs w:val="22"/>
                <w:lang w:val="de-DE"/>
              </w:rPr>
            </w:pPr>
            <w:r>
              <w:rPr>
                <w:sz w:val="22"/>
                <w:szCs w:val="22"/>
                <w:lang w:val="de-DE"/>
              </w:rPr>
              <w:t>BAKOAN Honorine</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vAlign w:val="center"/>
          </w:tcPr>
          <w:p>
            <w:pPr>
              <w:pStyle w:val="style0"/>
              <w:rPr>
                <w:sz w:val="22"/>
                <w:szCs w:val="22"/>
                <w:lang w:val="de-DE"/>
              </w:rPr>
            </w:pPr>
            <w:r>
              <w:rPr>
                <w:sz w:val="22"/>
                <w:szCs w:val="22"/>
                <w:lang w:val="de-DE"/>
              </w:rPr>
              <w:t>Technicien Supérieur d’élevage</w:t>
            </w:r>
          </w:p>
        </w:tc>
        <w:tc>
          <w:tcPr>
            <w:tcW w:w="872" w:type="pct"/>
            <w:tcBorders/>
            <w:shd w:val="clear" w:color="auto" w:fill="auto"/>
            <w:vAlign w:val="center"/>
          </w:tcPr>
          <w:p>
            <w:pPr>
              <w:pStyle w:val="style0"/>
              <w:jc w:val="center"/>
              <w:rPr>
                <w:sz w:val="22"/>
                <w:szCs w:val="22"/>
              </w:rPr>
            </w:pPr>
            <w:r>
              <w:rPr>
                <w:sz w:val="22"/>
                <w:szCs w:val="22"/>
              </w:rPr>
              <w:t>71 97 55 76</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05</w:t>
            </w:r>
          </w:p>
        </w:tc>
        <w:tc>
          <w:tcPr>
            <w:tcW w:w="1907" w:type="pct"/>
            <w:tcBorders/>
            <w:shd w:val="clear" w:color="auto" w:fill="auto"/>
            <w:vAlign w:val="center"/>
          </w:tcPr>
          <w:p>
            <w:pPr>
              <w:pStyle w:val="style0"/>
              <w:rPr>
                <w:sz w:val="22"/>
                <w:szCs w:val="22"/>
                <w:lang w:val="de-DE"/>
              </w:rPr>
            </w:pPr>
            <w:r>
              <w:rPr>
                <w:sz w:val="22"/>
                <w:szCs w:val="22"/>
                <w:lang w:val="de-DE"/>
              </w:rPr>
              <w:t>MILLOGO Aminata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vAlign w:val="center"/>
          </w:tcPr>
          <w:p>
            <w:pPr>
              <w:pStyle w:val="style0"/>
              <w:rPr>
                <w:sz w:val="22"/>
                <w:szCs w:val="22"/>
              </w:rPr>
            </w:pPr>
            <w:r>
              <w:rPr>
                <w:sz w:val="22"/>
                <w:szCs w:val="22"/>
              </w:rPr>
              <w:t>Inspectrice des Eau et Forêts</w:t>
            </w:r>
          </w:p>
        </w:tc>
        <w:tc>
          <w:tcPr>
            <w:tcW w:w="872" w:type="pct"/>
            <w:tcBorders/>
            <w:shd w:val="clear" w:color="auto" w:fill="auto"/>
            <w:vAlign w:val="center"/>
          </w:tcPr>
          <w:p>
            <w:pPr>
              <w:pStyle w:val="style0"/>
              <w:jc w:val="center"/>
              <w:rPr>
                <w:sz w:val="22"/>
                <w:szCs w:val="22"/>
              </w:rPr>
            </w:pPr>
            <w:r>
              <w:rPr>
                <w:sz w:val="22"/>
                <w:szCs w:val="22"/>
              </w:rPr>
              <w:t>70 12 43 20</w:t>
            </w:r>
          </w:p>
        </w:tc>
      </w:tr>
    </w:tbl>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sz w:val="22"/>
          <w:szCs w:val="22"/>
        </w:rPr>
      </w:pPr>
    </w:p>
    <w:p>
      <w:pPr>
        <w:pStyle w:val="style0"/>
        <w:rPr>
          <w:b/>
          <w:sz w:val="22"/>
          <w:szCs w:val="22"/>
        </w:rPr>
      </w:pPr>
      <w:r>
        <w:rPr>
          <w:b/>
          <w:sz w:val="22"/>
          <w:szCs w:val="22"/>
        </w:rPr>
        <w:t xml:space="preserve">                    </w:t>
      </w:r>
    </w:p>
    <w:p>
      <w:pPr>
        <w:pStyle w:val="style0"/>
        <w:rPr>
          <w:b/>
          <w:sz w:val="22"/>
          <w:szCs w:val="22"/>
        </w:rPr>
      </w:pPr>
      <w:r>
        <w:rPr>
          <w:b/>
          <w:sz w:val="22"/>
          <w:szCs w:val="22"/>
        </w:rPr>
        <w:br w:type="page"/>
      </w:r>
    </w:p>
    <w:p>
      <w:pPr>
        <w:pStyle w:val="style0"/>
        <w:jc w:val="center"/>
        <w:rPr>
          <w:b/>
          <w:sz w:val="22"/>
          <w:szCs w:val="22"/>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BOUCLE DU MOUHOUN</w:t>
      </w:r>
      <w:r>
        <w:rPr>
          <w:b/>
          <w:sz w:val="22"/>
          <w:szCs w:val="22"/>
        </w:rPr>
        <w:t>…………………………</w:t>
      </w:r>
      <w:r>
        <w:rPr>
          <w:b/>
          <w:sz w:val="22"/>
          <w:szCs w:val="22"/>
          <w:u w:val="dotted"/>
        </w:rPr>
        <w:t>Province</w:t>
      </w:r>
      <w:r>
        <w:rPr>
          <w:b/>
          <w:sz w:val="22"/>
          <w:szCs w:val="22"/>
        </w:rPr>
        <w:t xml:space="preserve"> : </w:t>
      </w:r>
      <w:r>
        <w:rPr>
          <w:b/>
          <w:sz w:val="22"/>
          <w:szCs w:val="22"/>
          <w:u w:val="dotted"/>
        </w:rPr>
        <w:t>KOSSI</w:t>
      </w:r>
      <w:r>
        <w:rPr>
          <w:b/>
          <w:sz w:val="22"/>
          <w:szCs w:val="22"/>
        </w:rPr>
        <w:t>…………………………….</w:t>
      </w:r>
      <w:r>
        <w:rPr>
          <w:b/>
          <w:sz w:val="22"/>
          <w:szCs w:val="22"/>
          <w:u w:val="dotted"/>
        </w:rPr>
        <w:t>Commune</w:t>
      </w:r>
      <w:r>
        <w:rPr>
          <w:b/>
          <w:sz w:val="22"/>
          <w:szCs w:val="22"/>
        </w:rPr>
        <w:t xml:space="preserve"> : </w:t>
      </w:r>
      <w:r>
        <w:rPr>
          <w:b/>
          <w:sz w:val="22"/>
          <w:szCs w:val="22"/>
          <w:u w:val="dotted"/>
        </w:rPr>
        <w:t>SONO</w:t>
      </w:r>
      <w:r>
        <w:rPr>
          <w:b/>
          <w:sz w:val="22"/>
          <w:szCs w:val="22"/>
        </w:rPr>
        <w:t>…………………………..</w:t>
      </w:r>
    </w:p>
    <w:p>
      <w:pPr>
        <w:pStyle w:val="style0"/>
        <w:rPr>
          <w:b/>
          <w:sz w:val="22"/>
          <w:szCs w:val="22"/>
        </w:rPr>
      </w:pPr>
      <w:r>
        <w:rPr>
          <w:b/>
          <w:sz w:val="22"/>
          <w:szCs w:val="22"/>
        </w:rPr>
        <w:t xml:space="preserve">Village : </w:t>
      </w:r>
      <w:r>
        <w:rPr>
          <w:b/>
          <w:sz w:val="22"/>
          <w:szCs w:val="22"/>
          <w:u w:val="dotted"/>
        </w:rPr>
        <w:t>DANGOUMANA</w:t>
      </w:r>
      <w:r>
        <w:rPr>
          <w:b/>
          <w:sz w:val="22"/>
          <w:szCs w:val="22"/>
        </w:rPr>
        <w:t xml:space="preserve">………………………….Date : </w:t>
      </w:r>
      <w:r>
        <w:rPr>
          <w:b/>
          <w:sz w:val="22"/>
          <w:szCs w:val="22"/>
          <w:u w:val="dotted"/>
        </w:rPr>
        <w:t>12/01/2019</w:t>
      </w:r>
      <w:r>
        <w:rPr>
          <w:b/>
          <w:sz w:val="22"/>
          <w:szCs w:val="22"/>
        </w:rPr>
        <w:t>………………… Groupes cibles : Producteurs</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654"/>
        <w:gridCol w:w="2440"/>
      </w:tblGrid>
      <w:tr>
        <w:trPr>
          <w:tblHeader/>
        </w:trPr>
        <w:tc>
          <w:tcPr>
            <w:tcW w:w="259" w:type="pct"/>
            <w:tcBorders/>
            <w:shd w:val="clear" w:color="auto" w:fill="d9d9d9"/>
            <w:vAlign w:val="center"/>
          </w:tcPr>
          <w:p>
            <w:pPr>
              <w:pStyle w:val="style0"/>
              <w:rPr>
                <w:b/>
                <w:sz w:val="22"/>
                <w:szCs w:val="22"/>
              </w:rPr>
            </w:pPr>
            <w:r>
              <w:rPr>
                <w:b/>
                <w:sz w:val="22"/>
                <w:szCs w:val="22"/>
              </w:rPr>
              <w:t>N°</w:t>
            </w:r>
          </w:p>
        </w:tc>
        <w:tc>
          <w:tcPr>
            <w:tcW w:w="1907" w:type="pct"/>
            <w:tcBorders/>
            <w:shd w:val="clear" w:color="auto" w:fill="d9d9d9"/>
            <w:vAlign w:val="center"/>
          </w:tcPr>
          <w:p>
            <w:pPr>
              <w:pStyle w:val="style0"/>
              <w:jc w:val="center"/>
              <w:rPr>
                <w:b/>
                <w:sz w:val="22"/>
                <w:szCs w:val="22"/>
              </w:rPr>
            </w:pPr>
            <w:r>
              <w:rPr>
                <w:b/>
                <w:sz w:val="22"/>
                <w:szCs w:val="22"/>
              </w:rPr>
              <w:t>Nom et prénom (</w:t>
            </w:r>
            <w:r>
              <w:rPr>
                <w:b/>
                <w:sz w:val="22"/>
                <w:szCs w:val="22"/>
              </w:rPr>
              <w:t>s)</w:t>
            </w:r>
          </w:p>
        </w:tc>
        <w:tc>
          <w:tcPr>
            <w:tcW w:w="299" w:type="pct"/>
            <w:tcBorders/>
            <w:shd w:val="clear" w:color="auto" w:fill="d9d9d9"/>
            <w:vAlign w:val="center"/>
          </w:tcPr>
          <w:p>
            <w:pPr>
              <w:pStyle w:val="style0"/>
              <w:jc w:val="center"/>
              <w:rPr>
                <w:b/>
                <w:sz w:val="22"/>
                <w:szCs w:val="22"/>
              </w:rPr>
            </w:pPr>
            <w:r>
              <w:rPr>
                <w:b/>
                <w:sz w:val="22"/>
                <w:szCs w:val="22"/>
              </w:rPr>
              <w:t>Sexe</w:t>
            </w:r>
          </w:p>
        </w:tc>
        <w:tc>
          <w:tcPr>
            <w:tcW w:w="1663" w:type="pct"/>
            <w:tcBorders/>
            <w:shd w:val="clear" w:color="auto" w:fill="d9d9d9"/>
            <w:vAlign w:val="center"/>
          </w:tcPr>
          <w:p>
            <w:pPr>
              <w:pStyle w:val="style0"/>
              <w:jc w:val="center"/>
              <w:rPr>
                <w:b/>
                <w:sz w:val="22"/>
                <w:szCs w:val="22"/>
              </w:rPr>
            </w:pPr>
            <w:r>
              <w:rPr>
                <w:b/>
                <w:sz w:val="22"/>
                <w:szCs w:val="22"/>
              </w:rPr>
              <w:t>Profession</w:t>
            </w:r>
          </w:p>
        </w:tc>
        <w:tc>
          <w:tcPr>
            <w:tcW w:w="872" w:type="pct"/>
            <w:tcBorders/>
            <w:shd w:val="clear" w:color="auto" w:fill="d9d9d9"/>
            <w:vAlign w:val="center"/>
          </w:tcPr>
          <w:p>
            <w:pPr>
              <w:pStyle w:val="style0"/>
              <w:jc w:val="center"/>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ZOROME Madi</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vAlign w:val="center"/>
          </w:tcPr>
          <w:p>
            <w:pPr>
              <w:pStyle w:val="style0"/>
              <w:rPr>
                <w:sz w:val="22"/>
                <w:szCs w:val="22"/>
              </w:rPr>
            </w:pPr>
            <w:r>
              <w:rPr>
                <w:sz w:val="22"/>
                <w:szCs w:val="22"/>
              </w:rPr>
              <w:t>Chef de Terre</w:t>
            </w:r>
          </w:p>
        </w:tc>
        <w:tc>
          <w:tcPr>
            <w:tcW w:w="872" w:type="pct"/>
            <w:tcBorders/>
            <w:shd w:val="clear" w:color="auto" w:fill="auto"/>
            <w:vAlign w:val="center"/>
          </w:tcPr>
          <w:p>
            <w:pPr>
              <w:pStyle w:val="style0"/>
              <w:jc w:val="center"/>
              <w:rPr>
                <w:sz w:val="22"/>
                <w:szCs w:val="22"/>
              </w:rPr>
            </w:pP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lang w:val="de-DE"/>
              </w:rPr>
            </w:pPr>
            <w:r>
              <w:rPr>
                <w:sz w:val="22"/>
                <w:szCs w:val="22"/>
                <w:lang w:val="de-DE"/>
              </w:rPr>
              <w:t>BANGORO Madou</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vAlign w:val="center"/>
          </w:tcPr>
          <w:p>
            <w:pPr>
              <w:pStyle w:val="style0"/>
              <w:rPr>
                <w:sz w:val="22"/>
                <w:szCs w:val="22"/>
              </w:rPr>
            </w:pPr>
            <w:r>
              <w:rPr>
                <w:sz w:val="22"/>
                <w:szCs w:val="22"/>
              </w:rPr>
              <w:t>Cultivateur</w:t>
            </w:r>
          </w:p>
        </w:tc>
        <w:tc>
          <w:tcPr>
            <w:tcW w:w="872" w:type="pct"/>
            <w:tcBorders/>
            <w:shd w:val="clear" w:color="auto" w:fill="auto"/>
            <w:vAlign w:val="center"/>
          </w:tcPr>
          <w:p>
            <w:pPr>
              <w:pStyle w:val="style0"/>
              <w:jc w:val="center"/>
              <w:rPr>
                <w:sz w:val="22"/>
                <w:szCs w:val="22"/>
                <w:lang w:val="de-DE"/>
              </w:rPr>
            </w:pPr>
            <w:r>
              <w:rPr>
                <w:sz w:val="22"/>
                <w:szCs w:val="22"/>
                <w:lang w:val="de-DE"/>
              </w:rPr>
              <w:t>76 08 12 66</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03</w:t>
            </w:r>
          </w:p>
        </w:tc>
        <w:tc>
          <w:tcPr>
            <w:tcW w:w="1907" w:type="pct"/>
            <w:tcBorders/>
            <w:shd w:val="clear" w:color="auto" w:fill="auto"/>
            <w:vAlign w:val="center"/>
          </w:tcPr>
          <w:p>
            <w:pPr>
              <w:pStyle w:val="style0"/>
              <w:rPr>
                <w:sz w:val="22"/>
                <w:szCs w:val="22"/>
                <w:lang w:val="de-DE"/>
              </w:rPr>
            </w:pPr>
            <w:r>
              <w:rPr>
                <w:sz w:val="22"/>
                <w:szCs w:val="22"/>
                <w:lang w:val="de-DE"/>
              </w:rPr>
              <w:t>KONATE Madou</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vAlign w:val="center"/>
          </w:tcPr>
          <w:p>
            <w:pPr>
              <w:pStyle w:val="style0"/>
              <w:jc w:val="center"/>
              <w:rPr>
                <w:sz w:val="22"/>
                <w:szCs w:val="22"/>
                <w:lang w:val="de-DE"/>
              </w:rPr>
            </w:pPr>
            <w:r>
              <w:rPr>
                <w:sz w:val="22"/>
                <w:szCs w:val="22"/>
                <w:lang w:val="de-DE"/>
              </w:rPr>
              <w:t>71 14 69 36</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04</w:t>
            </w:r>
          </w:p>
        </w:tc>
        <w:tc>
          <w:tcPr>
            <w:tcW w:w="1907" w:type="pct"/>
            <w:tcBorders/>
            <w:shd w:val="clear" w:color="auto" w:fill="auto"/>
            <w:vAlign w:val="center"/>
          </w:tcPr>
          <w:p>
            <w:pPr>
              <w:pStyle w:val="style0"/>
              <w:rPr>
                <w:sz w:val="22"/>
                <w:szCs w:val="22"/>
                <w:lang w:val="de-DE"/>
              </w:rPr>
            </w:pPr>
            <w:r>
              <w:rPr>
                <w:sz w:val="22"/>
                <w:szCs w:val="22"/>
                <w:lang w:val="de-DE"/>
              </w:rPr>
              <w:t>ZOROME Zoumana</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vAlign w:val="center"/>
          </w:tcPr>
          <w:p>
            <w:pPr>
              <w:pStyle w:val="style0"/>
              <w:jc w:val="center"/>
              <w:rPr>
                <w:sz w:val="22"/>
                <w:szCs w:val="22"/>
              </w:rPr>
            </w:pPr>
            <w:r>
              <w:rPr>
                <w:sz w:val="22"/>
                <w:szCs w:val="22"/>
              </w:rPr>
              <w:t>51 18 84 32</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05</w:t>
            </w:r>
          </w:p>
        </w:tc>
        <w:tc>
          <w:tcPr>
            <w:tcW w:w="1907" w:type="pct"/>
            <w:tcBorders/>
            <w:shd w:val="clear" w:color="auto" w:fill="auto"/>
            <w:vAlign w:val="center"/>
          </w:tcPr>
          <w:p>
            <w:pPr>
              <w:pStyle w:val="style0"/>
              <w:rPr>
                <w:sz w:val="22"/>
                <w:szCs w:val="22"/>
                <w:lang w:val="de-DE"/>
              </w:rPr>
            </w:pPr>
            <w:r>
              <w:rPr>
                <w:sz w:val="22"/>
                <w:szCs w:val="22"/>
                <w:lang w:val="de-DE"/>
              </w:rPr>
              <w:t>ZOROME Bakri</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vAlign w:val="center"/>
          </w:tcPr>
          <w:p>
            <w:pPr>
              <w:pStyle w:val="style0"/>
              <w:jc w:val="center"/>
              <w:rPr>
                <w:sz w:val="22"/>
                <w:szCs w:val="22"/>
              </w:rPr>
            </w:pPr>
          </w:p>
        </w:tc>
      </w:tr>
      <w:tr>
        <w:tblPrEx/>
        <w:trPr/>
        <w:tc>
          <w:tcPr>
            <w:tcW w:w="259" w:type="pct"/>
            <w:tcBorders/>
            <w:shd w:val="clear" w:color="auto" w:fill="auto"/>
          </w:tcPr>
          <w:p>
            <w:pPr>
              <w:pStyle w:val="style0"/>
              <w:jc w:val="center"/>
              <w:rPr>
                <w:sz w:val="22"/>
                <w:szCs w:val="22"/>
              </w:rPr>
            </w:pPr>
            <w:r>
              <w:rPr>
                <w:sz w:val="22"/>
                <w:szCs w:val="22"/>
              </w:rPr>
              <w:t>06</w:t>
            </w:r>
          </w:p>
        </w:tc>
        <w:tc>
          <w:tcPr>
            <w:tcW w:w="1907" w:type="pct"/>
            <w:tcBorders/>
            <w:shd w:val="clear" w:color="auto" w:fill="auto"/>
          </w:tcPr>
          <w:p>
            <w:pPr>
              <w:pStyle w:val="style0"/>
              <w:rPr>
                <w:sz w:val="22"/>
                <w:szCs w:val="22"/>
              </w:rPr>
            </w:pPr>
            <w:r>
              <w:rPr>
                <w:sz w:val="22"/>
                <w:szCs w:val="22"/>
              </w:rPr>
              <w:t>ZOROME Lassina</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72 32 25 39</w:t>
            </w:r>
          </w:p>
        </w:tc>
      </w:tr>
      <w:tr>
        <w:tblPrEx/>
        <w:trPr/>
        <w:tc>
          <w:tcPr>
            <w:tcW w:w="259" w:type="pct"/>
            <w:tcBorders/>
            <w:shd w:val="clear" w:color="auto" w:fill="auto"/>
          </w:tcPr>
          <w:p>
            <w:pPr>
              <w:pStyle w:val="style0"/>
              <w:jc w:val="center"/>
              <w:rPr>
                <w:sz w:val="22"/>
                <w:szCs w:val="22"/>
              </w:rPr>
            </w:pPr>
            <w:r>
              <w:rPr>
                <w:sz w:val="22"/>
                <w:szCs w:val="22"/>
              </w:rPr>
              <w:t>07</w:t>
            </w:r>
          </w:p>
        </w:tc>
        <w:tc>
          <w:tcPr>
            <w:tcW w:w="1907" w:type="pct"/>
            <w:tcBorders/>
            <w:shd w:val="clear" w:color="auto" w:fill="auto"/>
          </w:tcPr>
          <w:p>
            <w:pPr>
              <w:pStyle w:val="style0"/>
              <w:rPr>
                <w:sz w:val="22"/>
                <w:szCs w:val="22"/>
                <w:lang w:val="de-DE"/>
              </w:rPr>
            </w:pPr>
            <w:r>
              <w:rPr>
                <w:sz w:val="22"/>
                <w:szCs w:val="22"/>
                <w:lang w:val="de-DE"/>
              </w:rPr>
              <w:t>ZOROME Boureima</w:t>
            </w:r>
          </w:p>
        </w:tc>
        <w:tc>
          <w:tcPr>
            <w:tcW w:w="299" w:type="pct"/>
            <w:tcBorders/>
            <w:shd w:val="clear" w:color="auto" w:fill="auto"/>
          </w:tcPr>
          <w:p>
            <w:pPr>
              <w:pStyle w:val="style0"/>
              <w:jc w:val="center"/>
              <w:rPr>
                <w:sz w:val="22"/>
                <w:szCs w:val="22"/>
              </w:rPr>
            </w:pPr>
            <w:r>
              <w:rPr>
                <w:sz w:val="22"/>
                <w:szCs w:val="22"/>
                <w:lang w:val="de-DE"/>
              </w:rPr>
              <w:t>M</w:t>
            </w:r>
          </w:p>
        </w:tc>
        <w:tc>
          <w:tcPr>
            <w:tcW w:w="1663" w:type="pct"/>
            <w:tcBorders/>
            <w:shd w:val="clear" w:color="auto" w:fill="auto"/>
          </w:tcPr>
          <w:p>
            <w:pPr>
              <w:pStyle w:val="style0"/>
              <w:rPr>
                <w:sz w:val="22"/>
                <w:szCs w:val="22"/>
              </w:rPr>
            </w:pPr>
            <w:r>
              <w:rPr>
                <w:sz w:val="22"/>
                <w:szCs w:val="22"/>
              </w:rPr>
              <w:t>Conseiller</w:t>
            </w:r>
          </w:p>
        </w:tc>
        <w:tc>
          <w:tcPr>
            <w:tcW w:w="872" w:type="pct"/>
            <w:tcBorders/>
            <w:shd w:val="clear" w:color="auto" w:fill="auto"/>
          </w:tcPr>
          <w:p>
            <w:pPr>
              <w:pStyle w:val="style0"/>
              <w:jc w:val="center"/>
              <w:rPr>
                <w:sz w:val="22"/>
                <w:szCs w:val="22"/>
                <w:lang w:val="de-DE"/>
              </w:rPr>
            </w:pPr>
            <w:r>
              <w:rPr>
                <w:sz w:val="22"/>
                <w:szCs w:val="22"/>
                <w:lang w:val="de-DE"/>
              </w:rPr>
              <w:t>73 05 91 74</w:t>
            </w:r>
          </w:p>
        </w:tc>
      </w:tr>
      <w:tr>
        <w:tblPrEx/>
        <w:trPr/>
        <w:tc>
          <w:tcPr>
            <w:tcW w:w="259" w:type="pct"/>
            <w:tcBorders/>
            <w:shd w:val="clear" w:color="auto" w:fill="auto"/>
          </w:tcPr>
          <w:p>
            <w:pPr>
              <w:pStyle w:val="style0"/>
              <w:jc w:val="center"/>
              <w:rPr>
                <w:sz w:val="22"/>
                <w:szCs w:val="22"/>
                <w:lang w:val="de-DE"/>
              </w:rPr>
            </w:pPr>
            <w:r>
              <w:rPr>
                <w:sz w:val="22"/>
                <w:szCs w:val="22"/>
                <w:lang w:val="de-DE"/>
              </w:rPr>
              <w:t>08</w:t>
            </w:r>
          </w:p>
        </w:tc>
        <w:tc>
          <w:tcPr>
            <w:tcW w:w="1907" w:type="pct"/>
            <w:tcBorders/>
            <w:shd w:val="clear" w:color="auto" w:fill="auto"/>
          </w:tcPr>
          <w:p>
            <w:pPr>
              <w:pStyle w:val="style0"/>
              <w:rPr>
                <w:sz w:val="22"/>
                <w:szCs w:val="22"/>
                <w:lang w:val="de-DE"/>
              </w:rPr>
            </w:pPr>
            <w:r>
              <w:rPr>
                <w:sz w:val="22"/>
                <w:szCs w:val="22"/>
                <w:lang w:val="de-DE"/>
              </w:rPr>
              <w:t>DEME Bakari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71 49 32 46</w:t>
            </w:r>
          </w:p>
        </w:tc>
      </w:tr>
      <w:tr>
        <w:tblPrEx/>
        <w:trPr/>
        <w:tc>
          <w:tcPr>
            <w:tcW w:w="259" w:type="pct"/>
            <w:tcBorders/>
            <w:shd w:val="clear" w:color="auto" w:fill="auto"/>
          </w:tcPr>
          <w:p>
            <w:pPr>
              <w:pStyle w:val="style0"/>
              <w:jc w:val="center"/>
              <w:rPr>
                <w:sz w:val="22"/>
                <w:szCs w:val="22"/>
                <w:lang w:val="de-DE"/>
              </w:rPr>
            </w:pPr>
            <w:r>
              <w:rPr>
                <w:sz w:val="22"/>
                <w:szCs w:val="22"/>
                <w:lang w:val="de-DE"/>
              </w:rPr>
              <w:t>09</w:t>
            </w:r>
          </w:p>
        </w:tc>
        <w:tc>
          <w:tcPr>
            <w:tcW w:w="1907" w:type="pct"/>
            <w:tcBorders/>
            <w:shd w:val="clear" w:color="auto" w:fill="auto"/>
          </w:tcPr>
          <w:p>
            <w:pPr>
              <w:pStyle w:val="style0"/>
              <w:rPr>
                <w:sz w:val="22"/>
                <w:szCs w:val="22"/>
                <w:lang w:val="de-DE"/>
              </w:rPr>
            </w:pPr>
            <w:r>
              <w:rPr>
                <w:sz w:val="22"/>
                <w:szCs w:val="22"/>
                <w:lang w:val="de-DE"/>
              </w:rPr>
              <w:t>DRAME Lassana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70 49 31 96</w:t>
            </w:r>
          </w:p>
        </w:tc>
      </w:tr>
      <w:tr>
        <w:tblPrEx/>
        <w:trPr/>
        <w:tc>
          <w:tcPr>
            <w:tcW w:w="259" w:type="pct"/>
            <w:tcBorders/>
            <w:shd w:val="clear" w:color="auto" w:fill="auto"/>
          </w:tcPr>
          <w:p>
            <w:pPr>
              <w:pStyle w:val="style0"/>
              <w:jc w:val="center"/>
              <w:rPr>
                <w:sz w:val="22"/>
                <w:szCs w:val="22"/>
                <w:lang w:val="de-DE"/>
              </w:rPr>
            </w:pPr>
            <w:r>
              <w:rPr>
                <w:sz w:val="22"/>
                <w:szCs w:val="22"/>
                <w:lang w:val="de-DE"/>
              </w:rPr>
              <w:t>10</w:t>
            </w:r>
          </w:p>
        </w:tc>
        <w:tc>
          <w:tcPr>
            <w:tcW w:w="1907" w:type="pct"/>
            <w:tcBorders/>
            <w:shd w:val="clear" w:color="auto" w:fill="auto"/>
          </w:tcPr>
          <w:p>
            <w:pPr>
              <w:pStyle w:val="style0"/>
              <w:rPr>
                <w:sz w:val="22"/>
                <w:szCs w:val="22"/>
                <w:lang w:val="de-DE"/>
              </w:rPr>
            </w:pPr>
            <w:r>
              <w:rPr>
                <w:sz w:val="22"/>
                <w:szCs w:val="22"/>
                <w:lang w:val="de-DE"/>
              </w:rPr>
              <w:t>KONATE Nouhou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51 35 97 43</w:t>
            </w:r>
          </w:p>
        </w:tc>
      </w:tr>
      <w:tr>
        <w:tblPrEx/>
        <w:trPr/>
        <w:tc>
          <w:tcPr>
            <w:tcW w:w="259" w:type="pct"/>
            <w:tcBorders/>
            <w:shd w:val="clear" w:color="auto" w:fill="auto"/>
          </w:tcPr>
          <w:p>
            <w:pPr>
              <w:pStyle w:val="style0"/>
              <w:jc w:val="center"/>
              <w:rPr>
                <w:sz w:val="22"/>
                <w:szCs w:val="22"/>
              </w:rPr>
            </w:pPr>
            <w:r>
              <w:rPr>
                <w:sz w:val="22"/>
                <w:szCs w:val="22"/>
              </w:rPr>
              <w:t>11</w:t>
            </w:r>
          </w:p>
        </w:tc>
        <w:tc>
          <w:tcPr>
            <w:tcW w:w="1907" w:type="pct"/>
            <w:tcBorders/>
            <w:shd w:val="clear" w:color="auto" w:fill="auto"/>
          </w:tcPr>
          <w:p>
            <w:pPr>
              <w:pStyle w:val="style0"/>
              <w:rPr>
                <w:sz w:val="22"/>
                <w:szCs w:val="22"/>
              </w:rPr>
            </w:pPr>
            <w:r>
              <w:rPr>
                <w:sz w:val="22"/>
                <w:szCs w:val="22"/>
              </w:rPr>
              <w:t>ZONGO Rahingsom</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54 85 49 38</w:t>
            </w:r>
          </w:p>
        </w:tc>
      </w:tr>
      <w:tr>
        <w:tblPrEx/>
        <w:trPr/>
        <w:tc>
          <w:tcPr>
            <w:tcW w:w="259" w:type="pct"/>
            <w:tcBorders/>
            <w:shd w:val="clear" w:color="auto" w:fill="auto"/>
          </w:tcPr>
          <w:p>
            <w:pPr>
              <w:pStyle w:val="style0"/>
              <w:jc w:val="center"/>
              <w:rPr>
                <w:sz w:val="22"/>
                <w:szCs w:val="22"/>
              </w:rPr>
            </w:pPr>
            <w:r>
              <w:rPr>
                <w:sz w:val="22"/>
                <w:szCs w:val="22"/>
              </w:rPr>
              <w:t>12</w:t>
            </w:r>
          </w:p>
        </w:tc>
        <w:tc>
          <w:tcPr>
            <w:tcW w:w="1907" w:type="pct"/>
            <w:tcBorders/>
            <w:shd w:val="clear" w:color="auto" w:fill="auto"/>
          </w:tcPr>
          <w:p>
            <w:pPr>
              <w:pStyle w:val="style0"/>
              <w:rPr>
                <w:sz w:val="22"/>
                <w:szCs w:val="22"/>
                <w:lang w:val="de-DE"/>
              </w:rPr>
            </w:pPr>
            <w:r>
              <w:rPr>
                <w:sz w:val="22"/>
                <w:szCs w:val="22"/>
                <w:lang w:val="de-DE"/>
              </w:rPr>
              <w:t>ZOUON Issouf</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57 02 30 26</w:t>
            </w:r>
          </w:p>
        </w:tc>
      </w:tr>
      <w:tr>
        <w:tblPrEx/>
        <w:trPr/>
        <w:tc>
          <w:tcPr>
            <w:tcW w:w="259" w:type="pct"/>
            <w:tcBorders/>
            <w:shd w:val="clear" w:color="auto" w:fill="auto"/>
          </w:tcPr>
          <w:p>
            <w:pPr>
              <w:pStyle w:val="style0"/>
              <w:jc w:val="center"/>
              <w:rPr>
                <w:sz w:val="22"/>
                <w:szCs w:val="22"/>
                <w:lang w:val="de-DE"/>
              </w:rPr>
            </w:pPr>
            <w:r>
              <w:rPr>
                <w:sz w:val="22"/>
                <w:szCs w:val="22"/>
                <w:lang w:val="de-DE"/>
              </w:rPr>
              <w:t>13</w:t>
            </w:r>
          </w:p>
        </w:tc>
        <w:tc>
          <w:tcPr>
            <w:tcW w:w="1907" w:type="pct"/>
            <w:tcBorders/>
            <w:shd w:val="clear" w:color="auto" w:fill="auto"/>
          </w:tcPr>
          <w:p>
            <w:pPr>
              <w:pStyle w:val="style0"/>
              <w:rPr>
                <w:sz w:val="22"/>
                <w:szCs w:val="22"/>
                <w:lang w:val="de-DE"/>
              </w:rPr>
            </w:pPr>
            <w:r>
              <w:rPr>
                <w:sz w:val="22"/>
                <w:szCs w:val="22"/>
                <w:lang w:val="de-DE"/>
              </w:rPr>
              <w:t>BANGORO Siaka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57 22 90 93</w:t>
            </w:r>
          </w:p>
        </w:tc>
      </w:tr>
      <w:tr>
        <w:tblPrEx/>
        <w:trPr/>
        <w:tc>
          <w:tcPr>
            <w:tcW w:w="259" w:type="pct"/>
            <w:tcBorders/>
            <w:shd w:val="clear" w:color="auto" w:fill="auto"/>
          </w:tcPr>
          <w:p>
            <w:pPr>
              <w:pStyle w:val="style0"/>
              <w:jc w:val="center"/>
              <w:rPr>
                <w:sz w:val="22"/>
                <w:szCs w:val="22"/>
                <w:lang w:val="de-DE"/>
              </w:rPr>
            </w:pPr>
            <w:r>
              <w:rPr>
                <w:sz w:val="22"/>
                <w:szCs w:val="22"/>
                <w:lang w:val="de-DE"/>
              </w:rPr>
              <w:t>14</w:t>
            </w:r>
          </w:p>
        </w:tc>
        <w:tc>
          <w:tcPr>
            <w:tcW w:w="1907" w:type="pct"/>
            <w:tcBorders/>
            <w:shd w:val="clear" w:color="auto" w:fill="auto"/>
          </w:tcPr>
          <w:p>
            <w:pPr>
              <w:pStyle w:val="style0"/>
              <w:rPr>
                <w:sz w:val="22"/>
                <w:szCs w:val="22"/>
                <w:lang w:val="de-DE"/>
              </w:rPr>
            </w:pPr>
            <w:r>
              <w:rPr>
                <w:sz w:val="22"/>
                <w:szCs w:val="22"/>
                <w:lang w:val="de-DE"/>
              </w:rPr>
              <w:t>ZOUON Fatoumata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15</w:t>
            </w:r>
          </w:p>
        </w:tc>
        <w:tc>
          <w:tcPr>
            <w:tcW w:w="1907" w:type="pct"/>
            <w:tcBorders/>
            <w:shd w:val="clear" w:color="auto" w:fill="auto"/>
          </w:tcPr>
          <w:p>
            <w:pPr>
              <w:pStyle w:val="style0"/>
              <w:rPr>
                <w:sz w:val="22"/>
                <w:szCs w:val="22"/>
                <w:lang w:val="de-DE"/>
              </w:rPr>
            </w:pPr>
            <w:r>
              <w:rPr>
                <w:sz w:val="22"/>
                <w:szCs w:val="22"/>
                <w:lang w:val="de-DE"/>
              </w:rPr>
              <w:t>SANGARE Djénéba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16</w:t>
            </w:r>
          </w:p>
        </w:tc>
        <w:tc>
          <w:tcPr>
            <w:tcW w:w="1907" w:type="pct"/>
            <w:tcBorders/>
            <w:shd w:val="clear" w:color="auto" w:fill="auto"/>
          </w:tcPr>
          <w:p>
            <w:pPr>
              <w:pStyle w:val="style0"/>
              <w:rPr>
                <w:sz w:val="22"/>
                <w:szCs w:val="22"/>
              </w:rPr>
            </w:pPr>
            <w:r>
              <w:rPr>
                <w:sz w:val="22"/>
                <w:szCs w:val="22"/>
              </w:rPr>
              <w:t>DIARRA Soulemane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73 31 96 89</w:t>
            </w:r>
          </w:p>
        </w:tc>
      </w:tr>
      <w:tr>
        <w:tblPrEx/>
        <w:trPr/>
        <w:tc>
          <w:tcPr>
            <w:tcW w:w="259" w:type="pct"/>
            <w:tcBorders/>
            <w:shd w:val="clear" w:color="auto" w:fill="auto"/>
          </w:tcPr>
          <w:p>
            <w:pPr>
              <w:pStyle w:val="style0"/>
              <w:jc w:val="center"/>
              <w:rPr>
                <w:sz w:val="22"/>
                <w:szCs w:val="22"/>
              </w:rPr>
            </w:pPr>
            <w:r>
              <w:rPr>
                <w:sz w:val="22"/>
                <w:szCs w:val="22"/>
              </w:rPr>
              <w:t>17</w:t>
            </w:r>
          </w:p>
        </w:tc>
        <w:tc>
          <w:tcPr>
            <w:tcW w:w="1907" w:type="pct"/>
            <w:tcBorders/>
            <w:shd w:val="clear" w:color="auto" w:fill="auto"/>
          </w:tcPr>
          <w:p>
            <w:pPr>
              <w:pStyle w:val="style0"/>
              <w:rPr>
                <w:sz w:val="22"/>
                <w:szCs w:val="22"/>
                <w:lang w:val="de-DE"/>
              </w:rPr>
            </w:pPr>
            <w:r>
              <w:rPr>
                <w:sz w:val="22"/>
                <w:szCs w:val="22"/>
                <w:lang w:val="de-DE"/>
              </w:rPr>
              <w:t>DIARRA Fatoumata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18</w:t>
            </w:r>
          </w:p>
        </w:tc>
        <w:tc>
          <w:tcPr>
            <w:tcW w:w="1907" w:type="pct"/>
            <w:tcBorders/>
            <w:shd w:val="clear" w:color="auto" w:fill="auto"/>
          </w:tcPr>
          <w:p>
            <w:pPr>
              <w:pStyle w:val="style0"/>
              <w:rPr>
                <w:sz w:val="22"/>
                <w:szCs w:val="22"/>
                <w:lang w:val="de-DE"/>
              </w:rPr>
            </w:pPr>
            <w:r>
              <w:rPr>
                <w:sz w:val="22"/>
                <w:szCs w:val="22"/>
                <w:lang w:val="de-DE"/>
              </w:rPr>
              <w:t>DIARRA Djéneba</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lang w:val="de-DE"/>
              </w:rPr>
            </w:pPr>
            <w:r>
              <w:rPr>
                <w:sz w:val="22"/>
                <w:szCs w:val="22"/>
                <w:lang w:val="de-DE"/>
              </w:rPr>
              <w:t>Cultivatrice</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19</w:t>
            </w:r>
          </w:p>
        </w:tc>
        <w:tc>
          <w:tcPr>
            <w:tcW w:w="1907" w:type="pct"/>
            <w:tcBorders/>
            <w:shd w:val="clear" w:color="auto" w:fill="auto"/>
          </w:tcPr>
          <w:p>
            <w:pPr>
              <w:pStyle w:val="style0"/>
              <w:rPr>
                <w:sz w:val="22"/>
                <w:szCs w:val="22"/>
                <w:lang w:val="de-DE"/>
              </w:rPr>
            </w:pPr>
            <w:r>
              <w:rPr>
                <w:sz w:val="22"/>
                <w:szCs w:val="22"/>
                <w:lang w:val="de-DE"/>
              </w:rPr>
              <w:t>KONATE Aboussita</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rPr>
            </w:pPr>
            <w:r>
              <w:rPr>
                <w:sz w:val="22"/>
                <w:szCs w:val="22"/>
                <w:lang w:val="de-DE"/>
              </w:rPr>
              <w:t>Cultivatrice</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20</w:t>
            </w:r>
          </w:p>
        </w:tc>
        <w:tc>
          <w:tcPr>
            <w:tcW w:w="1907" w:type="pct"/>
            <w:tcBorders/>
            <w:shd w:val="clear" w:color="auto" w:fill="auto"/>
          </w:tcPr>
          <w:p>
            <w:pPr>
              <w:pStyle w:val="style0"/>
              <w:rPr>
                <w:sz w:val="22"/>
                <w:szCs w:val="22"/>
                <w:lang w:val="de-DE"/>
              </w:rPr>
            </w:pPr>
            <w:r>
              <w:rPr>
                <w:sz w:val="22"/>
                <w:szCs w:val="22"/>
                <w:lang w:val="de-DE"/>
              </w:rPr>
              <w:t>ZOROME Sanata</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rPr>
            </w:pPr>
            <w:r>
              <w:rPr>
                <w:sz w:val="22"/>
                <w:szCs w:val="22"/>
                <w:lang w:val="de-DE"/>
              </w:rPr>
              <w:t>Cultivatrice</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21</w:t>
            </w:r>
          </w:p>
        </w:tc>
        <w:tc>
          <w:tcPr>
            <w:tcW w:w="1907" w:type="pct"/>
            <w:tcBorders/>
            <w:shd w:val="clear" w:color="auto" w:fill="auto"/>
          </w:tcPr>
          <w:p>
            <w:pPr>
              <w:pStyle w:val="style0"/>
              <w:rPr>
                <w:sz w:val="22"/>
                <w:szCs w:val="22"/>
              </w:rPr>
            </w:pPr>
            <w:r>
              <w:rPr>
                <w:sz w:val="22"/>
                <w:szCs w:val="22"/>
              </w:rPr>
              <w:t>BNHORO Sita</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rPr>
            </w:pPr>
            <w:r>
              <w:rPr>
                <w:sz w:val="22"/>
                <w:szCs w:val="22"/>
                <w:lang w:val="de-DE"/>
              </w:rPr>
              <w:t>Cultivatrice</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22</w:t>
            </w:r>
          </w:p>
        </w:tc>
        <w:tc>
          <w:tcPr>
            <w:tcW w:w="1907" w:type="pct"/>
            <w:tcBorders/>
            <w:shd w:val="clear" w:color="auto" w:fill="auto"/>
          </w:tcPr>
          <w:p>
            <w:pPr>
              <w:pStyle w:val="style0"/>
              <w:rPr>
                <w:sz w:val="22"/>
                <w:szCs w:val="22"/>
                <w:lang w:val="de-DE"/>
              </w:rPr>
            </w:pPr>
            <w:r>
              <w:rPr>
                <w:sz w:val="22"/>
                <w:szCs w:val="22"/>
                <w:lang w:val="de-DE"/>
              </w:rPr>
              <w:t>SANOGO Daouda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23</w:t>
            </w:r>
          </w:p>
        </w:tc>
        <w:tc>
          <w:tcPr>
            <w:tcW w:w="1907" w:type="pct"/>
            <w:tcBorders/>
            <w:shd w:val="clear" w:color="auto" w:fill="auto"/>
          </w:tcPr>
          <w:p>
            <w:pPr>
              <w:pStyle w:val="style0"/>
              <w:rPr>
                <w:sz w:val="22"/>
                <w:szCs w:val="22"/>
                <w:lang w:val="de-DE"/>
              </w:rPr>
            </w:pPr>
            <w:r>
              <w:rPr>
                <w:sz w:val="22"/>
                <w:szCs w:val="22"/>
                <w:lang w:val="de-DE"/>
              </w:rPr>
              <w:t>ZOROME 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lang w:val="de-DE"/>
              </w:rPr>
            </w:pPr>
            <w:r>
              <w:rPr>
                <w:sz w:val="22"/>
                <w:szCs w:val="22"/>
                <w:lang w:val="de-DE"/>
              </w:rPr>
              <w:t>Chef du village</w:t>
            </w:r>
          </w:p>
        </w:tc>
        <w:tc>
          <w:tcPr>
            <w:tcW w:w="872" w:type="pct"/>
            <w:tcBorders/>
            <w:shd w:val="clear" w:color="auto" w:fill="auto"/>
          </w:tcPr>
          <w:p>
            <w:pPr>
              <w:pStyle w:val="style0"/>
              <w:jc w:val="center"/>
              <w:rPr>
                <w:sz w:val="22"/>
                <w:szCs w:val="22"/>
                <w:lang w:val="de-DE"/>
              </w:rPr>
            </w:pPr>
            <w:r>
              <w:rPr>
                <w:sz w:val="22"/>
                <w:szCs w:val="22"/>
                <w:lang w:val="de-DE"/>
              </w:rPr>
              <w:t>60 98 70 78</w:t>
            </w:r>
          </w:p>
        </w:tc>
      </w:tr>
      <w:tr>
        <w:tblPrEx/>
        <w:trPr/>
        <w:tc>
          <w:tcPr>
            <w:tcW w:w="259" w:type="pct"/>
            <w:tcBorders/>
            <w:shd w:val="clear" w:color="auto" w:fill="auto"/>
          </w:tcPr>
          <w:p>
            <w:pPr>
              <w:pStyle w:val="style0"/>
              <w:jc w:val="center"/>
              <w:rPr>
                <w:sz w:val="22"/>
                <w:szCs w:val="22"/>
                <w:lang w:val="de-DE"/>
              </w:rPr>
            </w:pPr>
            <w:r>
              <w:rPr>
                <w:sz w:val="22"/>
                <w:szCs w:val="22"/>
                <w:lang w:val="de-DE"/>
              </w:rPr>
              <w:t>24</w:t>
            </w:r>
          </w:p>
        </w:tc>
        <w:tc>
          <w:tcPr>
            <w:tcW w:w="1907" w:type="pct"/>
            <w:tcBorders/>
            <w:shd w:val="clear" w:color="auto" w:fill="auto"/>
          </w:tcPr>
          <w:p>
            <w:pPr>
              <w:pStyle w:val="style0"/>
              <w:rPr>
                <w:sz w:val="22"/>
                <w:szCs w:val="22"/>
                <w:lang w:val="de-DE"/>
              </w:rPr>
            </w:pPr>
            <w:r>
              <w:rPr>
                <w:sz w:val="22"/>
                <w:szCs w:val="22"/>
                <w:lang w:val="de-DE"/>
              </w:rPr>
              <w:t>TRAORE Abdoulaye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lang w:val="de-DE"/>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25</w:t>
            </w:r>
          </w:p>
        </w:tc>
        <w:tc>
          <w:tcPr>
            <w:tcW w:w="1907" w:type="pct"/>
            <w:tcBorders/>
            <w:shd w:val="clear" w:color="auto" w:fill="auto"/>
          </w:tcPr>
          <w:p>
            <w:pPr>
              <w:pStyle w:val="style0"/>
              <w:rPr>
                <w:sz w:val="22"/>
                <w:szCs w:val="22"/>
                <w:lang w:val="de-DE"/>
              </w:rPr>
            </w:pPr>
            <w:r>
              <w:rPr>
                <w:sz w:val="22"/>
                <w:szCs w:val="22"/>
                <w:lang w:val="de-DE"/>
              </w:rPr>
              <w:t>ZOROME Zakaria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CDV</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26</w:t>
            </w:r>
          </w:p>
        </w:tc>
        <w:tc>
          <w:tcPr>
            <w:tcW w:w="1907" w:type="pct"/>
            <w:tcBorders/>
            <w:shd w:val="clear" w:color="auto" w:fill="auto"/>
          </w:tcPr>
          <w:p>
            <w:pPr>
              <w:pStyle w:val="style0"/>
              <w:rPr>
                <w:sz w:val="22"/>
                <w:szCs w:val="22"/>
              </w:rPr>
            </w:pPr>
            <w:r>
              <w:rPr>
                <w:sz w:val="22"/>
                <w:szCs w:val="22"/>
              </w:rPr>
              <w:t>TRAORE Drissa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56 10 23 62</w:t>
            </w:r>
          </w:p>
        </w:tc>
      </w:tr>
      <w:tr>
        <w:tblPrEx/>
        <w:trPr/>
        <w:tc>
          <w:tcPr>
            <w:tcW w:w="259" w:type="pct"/>
            <w:tcBorders/>
            <w:shd w:val="clear" w:color="auto" w:fill="auto"/>
          </w:tcPr>
          <w:p>
            <w:pPr>
              <w:pStyle w:val="style0"/>
              <w:jc w:val="center"/>
              <w:rPr>
                <w:sz w:val="22"/>
                <w:szCs w:val="22"/>
              </w:rPr>
            </w:pPr>
            <w:r>
              <w:rPr>
                <w:sz w:val="22"/>
                <w:szCs w:val="22"/>
              </w:rPr>
              <w:t>27</w:t>
            </w:r>
          </w:p>
        </w:tc>
        <w:tc>
          <w:tcPr>
            <w:tcW w:w="1907" w:type="pct"/>
            <w:tcBorders/>
            <w:shd w:val="clear" w:color="auto" w:fill="auto"/>
          </w:tcPr>
          <w:p>
            <w:pPr>
              <w:pStyle w:val="style0"/>
              <w:rPr>
                <w:sz w:val="22"/>
                <w:szCs w:val="22"/>
                <w:lang w:val="de-DE"/>
              </w:rPr>
            </w:pPr>
            <w:r>
              <w:rPr>
                <w:sz w:val="22"/>
                <w:szCs w:val="22"/>
                <w:lang w:val="de-DE"/>
              </w:rPr>
              <w:t>KONATE Abi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28</w:t>
            </w:r>
          </w:p>
        </w:tc>
        <w:tc>
          <w:tcPr>
            <w:tcW w:w="1907" w:type="pct"/>
            <w:tcBorders/>
            <w:shd w:val="clear" w:color="auto" w:fill="auto"/>
          </w:tcPr>
          <w:p>
            <w:pPr>
              <w:pStyle w:val="style0"/>
              <w:rPr>
                <w:sz w:val="22"/>
                <w:szCs w:val="22"/>
                <w:lang w:val="de-DE"/>
              </w:rPr>
            </w:pPr>
            <w:r>
              <w:rPr>
                <w:sz w:val="22"/>
                <w:szCs w:val="22"/>
                <w:lang w:val="de-DE"/>
              </w:rPr>
              <w:t>TRAORE Somono</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lang w:val="de-DE"/>
              </w:rPr>
            </w:pPr>
            <w:r>
              <w:rPr>
                <w:sz w:val="22"/>
                <w:szCs w:val="22"/>
                <w:lang w:val="de-DE"/>
              </w:rPr>
              <w:t>Cultivatrice</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29</w:t>
            </w:r>
          </w:p>
        </w:tc>
        <w:tc>
          <w:tcPr>
            <w:tcW w:w="1907" w:type="pct"/>
            <w:tcBorders/>
            <w:shd w:val="clear" w:color="auto" w:fill="auto"/>
          </w:tcPr>
          <w:p>
            <w:pPr>
              <w:pStyle w:val="style0"/>
              <w:rPr>
                <w:sz w:val="22"/>
                <w:szCs w:val="22"/>
                <w:lang w:val="de-DE"/>
              </w:rPr>
            </w:pPr>
            <w:r>
              <w:rPr>
                <w:sz w:val="22"/>
                <w:szCs w:val="22"/>
                <w:lang w:val="de-DE"/>
              </w:rPr>
              <w:t>KONATE Lassina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60 20 35 89</w:t>
            </w:r>
          </w:p>
        </w:tc>
      </w:tr>
      <w:tr>
        <w:tblPrEx/>
        <w:trPr/>
        <w:tc>
          <w:tcPr>
            <w:tcW w:w="259" w:type="pct"/>
            <w:tcBorders/>
            <w:shd w:val="clear" w:color="auto" w:fill="auto"/>
          </w:tcPr>
          <w:p>
            <w:pPr>
              <w:pStyle w:val="style0"/>
              <w:jc w:val="center"/>
              <w:rPr>
                <w:sz w:val="22"/>
                <w:szCs w:val="22"/>
                <w:lang w:val="de-DE"/>
              </w:rPr>
            </w:pPr>
            <w:r>
              <w:rPr>
                <w:sz w:val="22"/>
                <w:szCs w:val="22"/>
                <w:lang w:val="de-DE"/>
              </w:rPr>
              <w:t>30</w:t>
            </w:r>
          </w:p>
        </w:tc>
        <w:tc>
          <w:tcPr>
            <w:tcW w:w="1907" w:type="pct"/>
            <w:tcBorders/>
            <w:shd w:val="clear" w:color="auto" w:fill="auto"/>
          </w:tcPr>
          <w:p>
            <w:pPr>
              <w:pStyle w:val="style0"/>
              <w:rPr>
                <w:sz w:val="22"/>
                <w:szCs w:val="22"/>
                <w:lang w:val="de-DE"/>
              </w:rPr>
            </w:pPr>
            <w:r>
              <w:rPr>
                <w:sz w:val="22"/>
                <w:szCs w:val="22"/>
                <w:lang w:val="de-DE"/>
              </w:rPr>
              <w:t>DRAME Modou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71 47 66 47</w:t>
            </w:r>
          </w:p>
        </w:tc>
      </w:tr>
      <w:tr>
        <w:tblPrEx/>
        <w:trPr/>
        <w:tc>
          <w:tcPr>
            <w:tcW w:w="259" w:type="pct"/>
            <w:tcBorders/>
            <w:shd w:val="clear" w:color="auto" w:fill="auto"/>
          </w:tcPr>
          <w:p>
            <w:pPr>
              <w:pStyle w:val="style0"/>
              <w:jc w:val="center"/>
              <w:rPr>
                <w:sz w:val="22"/>
                <w:szCs w:val="22"/>
              </w:rPr>
            </w:pPr>
            <w:r>
              <w:rPr>
                <w:sz w:val="22"/>
                <w:szCs w:val="22"/>
              </w:rPr>
              <w:t>31</w:t>
            </w:r>
          </w:p>
        </w:tc>
        <w:tc>
          <w:tcPr>
            <w:tcW w:w="1907" w:type="pct"/>
            <w:tcBorders/>
            <w:shd w:val="clear" w:color="auto" w:fill="auto"/>
          </w:tcPr>
          <w:p>
            <w:pPr>
              <w:pStyle w:val="style0"/>
              <w:rPr>
                <w:sz w:val="22"/>
                <w:szCs w:val="22"/>
              </w:rPr>
            </w:pPr>
            <w:r>
              <w:rPr>
                <w:sz w:val="22"/>
                <w:szCs w:val="22"/>
              </w:rPr>
              <w:t>ZOROME Lassina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63 34 58 56</w:t>
            </w:r>
          </w:p>
        </w:tc>
      </w:tr>
      <w:tr>
        <w:tblPrEx/>
        <w:trPr/>
        <w:tc>
          <w:tcPr>
            <w:tcW w:w="259" w:type="pct"/>
            <w:tcBorders/>
            <w:shd w:val="clear" w:color="auto" w:fill="auto"/>
          </w:tcPr>
          <w:p>
            <w:pPr>
              <w:pStyle w:val="style0"/>
              <w:jc w:val="center"/>
              <w:rPr>
                <w:sz w:val="22"/>
                <w:szCs w:val="22"/>
              </w:rPr>
            </w:pPr>
            <w:r>
              <w:rPr>
                <w:sz w:val="22"/>
                <w:szCs w:val="22"/>
              </w:rPr>
              <w:t>32</w:t>
            </w:r>
          </w:p>
        </w:tc>
        <w:tc>
          <w:tcPr>
            <w:tcW w:w="1907" w:type="pct"/>
            <w:tcBorders/>
            <w:shd w:val="clear" w:color="auto" w:fill="auto"/>
          </w:tcPr>
          <w:p>
            <w:pPr>
              <w:pStyle w:val="style0"/>
              <w:rPr>
                <w:sz w:val="22"/>
                <w:szCs w:val="22"/>
                <w:lang w:val="de-DE"/>
              </w:rPr>
            </w:pPr>
            <w:r>
              <w:rPr>
                <w:sz w:val="22"/>
                <w:szCs w:val="22"/>
                <w:lang w:val="de-DE"/>
              </w:rPr>
              <w:t>ZOROME Djéneb</w:t>
            </w:r>
            <w:r>
              <w:rPr>
                <w:sz w:val="22"/>
                <w:szCs w:val="22"/>
                <w:lang w:val="de-DE"/>
              </w:rPr>
              <w:t>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33</w:t>
            </w:r>
          </w:p>
        </w:tc>
        <w:tc>
          <w:tcPr>
            <w:tcW w:w="1907" w:type="pct"/>
            <w:tcBorders/>
            <w:shd w:val="clear" w:color="auto" w:fill="auto"/>
          </w:tcPr>
          <w:p>
            <w:pPr>
              <w:pStyle w:val="style0"/>
              <w:rPr>
                <w:sz w:val="22"/>
                <w:szCs w:val="22"/>
                <w:lang w:val="de-DE"/>
              </w:rPr>
            </w:pPr>
            <w:r>
              <w:rPr>
                <w:sz w:val="22"/>
                <w:szCs w:val="22"/>
                <w:lang w:val="de-DE"/>
              </w:rPr>
              <w:t>ZOUON Seydou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72 66 56 43</w:t>
            </w:r>
          </w:p>
        </w:tc>
      </w:tr>
      <w:tr>
        <w:tblPrEx/>
        <w:trPr/>
        <w:tc>
          <w:tcPr>
            <w:tcW w:w="259" w:type="pct"/>
            <w:tcBorders/>
            <w:shd w:val="clear" w:color="auto" w:fill="auto"/>
          </w:tcPr>
          <w:p>
            <w:pPr>
              <w:pStyle w:val="style0"/>
              <w:jc w:val="center"/>
              <w:rPr>
                <w:sz w:val="22"/>
                <w:szCs w:val="22"/>
                <w:lang w:val="de-DE"/>
              </w:rPr>
            </w:pPr>
            <w:r>
              <w:rPr>
                <w:sz w:val="22"/>
                <w:szCs w:val="22"/>
                <w:lang w:val="de-DE"/>
              </w:rPr>
              <w:t>34</w:t>
            </w:r>
          </w:p>
        </w:tc>
        <w:tc>
          <w:tcPr>
            <w:tcW w:w="1907" w:type="pct"/>
            <w:tcBorders/>
            <w:shd w:val="clear" w:color="auto" w:fill="auto"/>
          </w:tcPr>
          <w:p>
            <w:pPr>
              <w:pStyle w:val="style0"/>
              <w:rPr>
                <w:sz w:val="22"/>
                <w:szCs w:val="22"/>
                <w:lang w:val="de-DE"/>
              </w:rPr>
            </w:pPr>
            <w:r>
              <w:rPr>
                <w:sz w:val="22"/>
                <w:szCs w:val="22"/>
                <w:lang w:val="de-DE"/>
              </w:rPr>
              <w:t>KONATE Bakari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35</w:t>
            </w:r>
          </w:p>
        </w:tc>
        <w:tc>
          <w:tcPr>
            <w:tcW w:w="1907" w:type="pct"/>
            <w:tcBorders/>
            <w:shd w:val="clear" w:color="auto" w:fill="auto"/>
          </w:tcPr>
          <w:p>
            <w:pPr>
              <w:pStyle w:val="style0"/>
              <w:rPr>
                <w:sz w:val="22"/>
                <w:szCs w:val="22"/>
                <w:lang w:val="de-DE"/>
              </w:rPr>
            </w:pPr>
            <w:r>
              <w:rPr>
                <w:sz w:val="22"/>
                <w:szCs w:val="22"/>
                <w:lang w:val="de-DE"/>
              </w:rPr>
              <w:t>ZOROME Nouké</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71 69 13 62</w:t>
            </w:r>
          </w:p>
        </w:tc>
      </w:tr>
      <w:tr>
        <w:tblPrEx/>
        <w:trPr/>
        <w:tc>
          <w:tcPr>
            <w:tcW w:w="259" w:type="pct"/>
            <w:tcBorders/>
            <w:shd w:val="clear" w:color="auto" w:fill="auto"/>
          </w:tcPr>
          <w:p>
            <w:pPr>
              <w:pStyle w:val="style0"/>
              <w:jc w:val="center"/>
              <w:rPr>
                <w:sz w:val="22"/>
                <w:szCs w:val="22"/>
              </w:rPr>
            </w:pPr>
            <w:r>
              <w:rPr>
                <w:sz w:val="22"/>
                <w:szCs w:val="22"/>
              </w:rPr>
              <w:t>36</w:t>
            </w:r>
          </w:p>
        </w:tc>
        <w:tc>
          <w:tcPr>
            <w:tcW w:w="1907" w:type="pct"/>
            <w:tcBorders/>
            <w:shd w:val="clear" w:color="auto" w:fill="auto"/>
          </w:tcPr>
          <w:p>
            <w:pPr>
              <w:pStyle w:val="style0"/>
              <w:rPr>
                <w:sz w:val="22"/>
                <w:szCs w:val="22"/>
              </w:rPr>
            </w:pPr>
            <w:r>
              <w:rPr>
                <w:sz w:val="22"/>
                <w:szCs w:val="22"/>
              </w:rPr>
              <w:t>TRAORE Oumarou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60 71 54 34</w:t>
            </w:r>
          </w:p>
        </w:tc>
      </w:tr>
      <w:tr>
        <w:tblPrEx/>
        <w:trPr/>
        <w:tc>
          <w:tcPr>
            <w:tcW w:w="259" w:type="pct"/>
            <w:tcBorders/>
            <w:shd w:val="clear" w:color="auto" w:fill="auto"/>
          </w:tcPr>
          <w:p>
            <w:pPr>
              <w:pStyle w:val="style0"/>
              <w:jc w:val="center"/>
              <w:rPr>
                <w:sz w:val="22"/>
                <w:szCs w:val="22"/>
              </w:rPr>
            </w:pPr>
            <w:r>
              <w:rPr>
                <w:sz w:val="22"/>
                <w:szCs w:val="22"/>
              </w:rPr>
              <w:t>37</w:t>
            </w:r>
          </w:p>
        </w:tc>
        <w:tc>
          <w:tcPr>
            <w:tcW w:w="1907" w:type="pct"/>
            <w:tcBorders/>
            <w:shd w:val="clear" w:color="auto" w:fill="auto"/>
          </w:tcPr>
          <w:p>
            <w:pPr>
              <w:pStyle w:val="style0"/>
              <w:rPr>
                <w:sz w:val="22"/>
                <w:szCs w:val="22"/>
                <w:lang w:val="de-DE"/>
              </w:rPr>
            </w:pPr>
            <w:r>
              <w:rPr>
                <w:sz w:val="22"/>
                <w:szCs w:val="22"/>
                <w:lang w:val="de-DE"/>
              </w:rPr>
              <w:t>ZONGO Dominique</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63 19 16 99</w:t>
            </w:r>
          </w:p>
        </w:tc>
      </w:tr>
      <w:tr>
        <w:tblPrEx/>
        <w:trPr/>
        <w:tc>
          <w:tcPr>
            <w:tcW w:w="259" w:type="pct"/>
            <w:tcBorders/>
            <w:shd w:val="clear" w:color="auto" w:fill="auto"/>
          </w:tcPr>
          <w:p>
            <w:pPr>
              <w:pStyle w:val="style0"/>
              <w:jc w:val="center"/>
              <w:rPr>
                <w:sz w:val="22"/>
                <w:szCs w:val="22"/>
                <w:lang w:val="de-DE"/>
              </w:rPr>
            </w:pPr>
            <w:r>
              <w:rPr>
                <w:sz w:val="22"/>
                <w:szCs w:val="22"/>
                <w:lang w:val="de-DE"/>
              </w:rPr>
              <w:t>38</w:t>
            </w:r>
          </w:p>
        </w:tc>
        <w:tc>
          <w:tcPr>
            <w:tcW w:w="1907" w:type="pct"/>
            <w:tcBorders/>
            <w:shd w:val="clear" w:color="auto" w:fill="auto"/>
          </w:tcPr>
          <w:p>
            <w:pPr>
              <w:pStyle w:val="style0"/>
              <w:rPr>
                <w:sz w:val="22"/>
                <w:szCs w:val="22"/>
                <w:lang w:val="de-DE"/>
              </w:rPr>
            </w:pPr>
            <w:r>
              <w:rPr>
                <w:sz w:val="22"/>
                <w:szCs w:val="22"/>
                <w:lang w:val="de-DE"/>
              </w:rPr>
              <w:t>ZOROME Modou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60 52 43 13</w:t>
            </w:r>
          </w:p>
        </w:tc>
      </w:tr>
      <w:tr>
        <w:tblPrEx/>
        <w:trPr/>
        <w:tc>
          <w:tcPr>
            <w:tcW w:w="259" w:type="pct"/>
            <w:tcBorders/>
            <w:shd w:val="clear" w:color="auto" w:fill="auto"/>
          </w:tcPr>
          <w:p>
            <w:pPr>
              <w:pStyle w:val="style0"/>
              <w:jc w:val="center"/>
              <w:rPr>
                <w:sz w:val="22"/>
                <w:szCs w:val="22"/>
                <w:lang w:val="de-DE"/>
              </w:rPr>
            </w:pPr>
            <w:r>
              <w:rPr>
                <w:sz w:val="22"/>
                <w:szCs w:val="22"/>
                <w:lang w:val="de-DE"/>
              </w:rPr>
              <w:t>39</w:t>
            </w:r>
          </w:p>
        </w:tc>
        <w:tc>
          <w:tcPr>
            <w:tcW w:w="1907" w:type="pct"/>
            <w:tcBorders/>
            <w:shd w:val="clear" w:color="auto" w:fill="auto"/>
          </w:tcPr>
          <w:p>
            <w:pPr>
              <w:pStyle w:val="style0"/>
              <w:rPr>
                <w:sz w:val="22"/>
                <w:szCs w:val="22"/>
                <w:lang w:val="de-DE"/>
              </w:rPr>
            </w:pPr>
            <w:r>
              <w:rPr>
                <w:sz w:val="22"/>
                <w:szCs w:val="22"/>
                <w:lang w:val="de-DE"/>
              </w:rPr>
              <w:t>ZOROME Modou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60 37 60 19</w:t>
            </w:r>
          </w:p>
        </w:tc>
      </w:tr>
      <w:tr>
        <w:tblPrEx/>
        <w:trPr/>
        <w:tc>
          <w:tcPr>
            <w:tcW w:w="259" w:type="pct"/>
            <w:tcBorders/>
            <w:shd w:val="clear" w:color="auto" w:fill="auto"/>
          </w:tcPr>
          <w:p>
            <w:pPr>
              <w:pStyle w:val="style0"/>
              <w:jc w:val="center"/>
              <w:rPr>
                <w:sz w:val="22"/>
                <w:szCs w:val="22"/>
                <w:lang w:val="de-DE"/>
              </w:rPr>
            </w:pPr>
            <w:r>
              <w:rPr>
                <w:sz w:val="22"/>
                <w:szCs w:val="22"/>
                <w:lang w:val="de-DE"/>
              </w:rPr>
              <w:t>40</w:t>
            </w:r>
          </w:p>
        </w:tc>
        <w:tc>
          <w:tcPr>
            <w:tcW w:w="1907" w:type="pct"/>
            <w:tcBorders/>
            <w:shd w:val="clear" w:color="auto" w:fill="auto"/>
          </w:tcPr>
          <w:p>
            <w:pPr>
              <w:pStyle w:val="style0"/>
              <w:rPr>
                <w:sz w:val="22"/>
                <w:szCs w:val="22"/>
                <w:lang w:val="de-DE"/>
              </w:rPr>
            </w:pPr>
            <w:r>
              <w:rPr>
                <w:sz w:val="22"/>
                <w:szCs w:val="22"/>
                <w:lang w:val="de-DE"/>
              </w:rPr>
              <w:t>KONATE 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41</w:t>
            </w:r>
          </w:p>
        </w:tc>
        <w:tc>
          <w:tcPr>
            <w:tcW w:w="1907" w:type="pct"/>
            <w:tcBorders/>
            <w:shd w:val="clear" w:color="auto" w:fill="auto"/>
          </w:tcPr>
          <w:p>
            <w:pPr>
              <w:pStyle w:val="style0"/>
              <w:rPr>
                <w:sz w:val="22"/>
                <w:szCs w:val="22"/>
              </w:rPr>
            </w:pPr>
            <w:r>
              <w:rPr>
                <w:sz w:val="22"/>
                <w:szCs w:val="22"/>
              </w:rPr>
              <w:t>ZONGO Zoudaogo</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73 23 04 33</w:t>
            </w:r>
          </w:p>
        </w:tc>
      </w:tr>
      <w:tr>
        <w:tblPrEx/>
        <w:trPr/>
        <w:tc>
          <w:tcPr>
            <w:tcW w:w="259" w:type="pct"/>
            <w:tcBorders/>
            <w:shd w:val="clear" w:color="auto" w:fill="auto"/>
          </w:tcPr>
          <w:p>
            <w:pPr>
              <w:pStyle w:val="style0"/>
              <w:jc w:val="center"/>
              <w:rPr>
                <w:sz w:val="22"/>
                <w:szCs w:val="22"/>
              </w:rPr>
            </w:pPr>
            <w:r>
              <w:rPr>
                <w:sz w:val="22"/>
                <w:szCs w:val="22"/>
              </w:rPr>
              <w:t>42</w:t>
            </w:r>
          </w:p>
        </w:tc>
        <w:tc>
          <w:tcPr>
            <w:tcW w:w="1907" w:type="pct"/>
            <w:tcBorders/>
            <w:shd w:val="clear" w:color="auto" w:fill="auto"/>
          </w:tcPr>
          <w:p>
            <w:pPr>
              <w:pStyle w:val="style0"/>
              <w:rPr>
                <w:sz w:val="22"/>
                <w:szCs w:val="22"/>
                <w:lang w:val="de-DE"/>
              </w:rPr>
            </w:pPr>
            <w:r>
              <w:rPr>
                <w:sz w:val="22"/>
                <w:szCs w:val="22"/>
                <w:lang w:val="de-DE"/>
              </w:rPr>
              <w:t>KONATE Soumeila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52 40 29 46</w:t>
            </w:r>
          </w:p>
        </w:tc>
      </w:tr>
      <w:tr>
        <w:tblPrEx/>
        <w:trPr/>
        <w:tc>
          <w:tcPr>
            <w:tcW w:w="259" w:type="pct"/>
            <w:tcBorders/>
            <w:shd w:val="clear" w:color="auto" w:fill="auto"/>
          </w:tcPr>
          <w:p>
            <w:pPr>
              <w:pStyle w:val="style0"/>
              <w:jc w:val="center"/>
              <w:rPr>
                <w:sz w:val="22"/>
                <w:szCs w:val="22"/>
                <w:lang w:val="de-DE"/>
              </w:rPr>
            </w:pPr>
            <w:r>
              <w:rPr>
                <w:sz w:val="22"/>
                <w:szCs w:val="22"/>
                <w:lang w:val="de-DE"/>
              </w:rPr>
              <w:t>43</w:t>
            </w:r>
          </w:p>
        </w:tc>
        <w:tc>
          <w:tcPr>
            <w:tcW w:w="1907" w:type="pct"/>
            <w:tcBorders/>
            <w:shd w:val="clear" w:color="auto" w:fill="auto"/>
          </w:tcPr>
          <w:p>
            <w:pPr>
              <w:pStyle w:val="style0"/>
              <w:rPr>
                <w:sz w:val="22"/>
                <w:szCs w:val="22"/>
                <w:lang w:val="de-DE"/>
              </w:rPr>
            </w:pPr>
            <w:r>
              <w:rPr>
                <w:sz w:val="22"/>
                <w:szCs w:val="22"/>
                <w:lang w:val="de-DE"/>
              </w:rPr>
              <w:t>TRAORE Adama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71 03 36 61</w:t>
            </w:r>
          </w:p>
        </w:tc>
      </w:tr>
      <w:tr>
        <w:tblPrEx/>
        <w:trPr/>
        <w:tc>
          <w:tcPr>
            <w:tcW w:w="259" w:type="pct"/>
            <w:tcBorders/>
            <w:shd w:val="clear" w:color="auto" w:fill="auto"/>
          </w:tcPr>
          <w:p>
            <w:pPr>
              <w:pStyle w:val="style0"/>
              <w:jc w:val="center"/>
              <w:rPr>
                <w:sz w:val="22"/>
                <w:szCs w:val="22"/>
                <w:lang w:val="de-DE"/>
              </w:rPr>
            </w:pPr>
            <w:r>
              <w:rPr>
                <w:sz w:val="22"/>
                <w:szCs w:val="22"/>
                <w:lang w:val="de-DE"/>
              </w:rPr>
              <w:t>44</w:t>
            </w:r>
          </w:p>
        </w:tc>
        <w:tc>
          <w:tcPr>
            <w:tcW w:w="1907" w:type="pct"/>
            <w:tcBorders/>
            <w:shd w:val="clear" w:color="auto" w:fill="auto"/>
          </w:tcPr>
          <w:p>
            <w:pPr>
              <w:pStyle w:val="style0"/>
              <w:rPr>
                <w:sz w:val="22"/>
                <w:szCs w:val="22"/>
                <w:lang w:val="de-DE"/>
              </w:rPr>
            </w:pPr>
            <w:r>
              <w:rPr>
                <w:sz w:val="22"/>
                <w:szCs w:val="22"/>
                <w:lang w:val="de-DE"/>
              </w:rPr>
              <w:t>DRAME Sali</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45</w:t>
            </w:r>
          </w:p>
        </w:tc>
        <w:tc>
          <w:tcPr>
            <w:tcW w:w="1907" w:type="pct"/>
            <w:tcBorders/>
            <w:shd w:val="clear" w:color="auto" w:fill="auto"/>
          </w:tcPr>
          <w:p>
            <w:pPr>
              <w:pStyle w:val="style0"/>
              <w:rPr>
                <w:sz w:val="22"/>
                <w:szCs w:val="22"/>
                <w:lang w:val="de-DE"/>
              </w:rPr>
            </w:pPr>
            <w:r>
              <w:rPr>
                <w:sz w:val="22"/>
                <w:szCs w:val="22"/>
                <w:lang w:val="de-DE"/>
              </w:rPr>
              <w:t>KONATE Mazeneba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46</w:t>
            </w:r>
          </w:p>
        </w:tc>
        <w:tc>
          <w:tcPr>
            <w:tcW w:w="1907" w:type="pct"/>
            <w:tcBorders/>
            <w:shd w:val="clear" w:color="auto" w:fill="auto"/>
          </w:tcPr>
          <w:p>
            <w:pPr>
              <w:pStyle w:val="style0"/>
              <w:rPr>
                <w:sz w:val="22"/>
                <w:szCs w:val="22"/>
              </w:rPr>
            </w:pPr>
            <w:r>
              <w:rPr>
                <w:sz w:val="22"/>
                <w:szCs w:val="22"/>
              </w:rPr>
              <w:t>KONATE Yacouba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66 60 40 56</w:t>
            </w:r>
          </w:p>
        </w:tc>
      </w:tr>
      <w:tr>
        <w:tblPrEx/>
        <w:trPr/>
        <w:tc>
          <w:tcPr>
            <w:tcW w:w="259" w:type="pct"/>
            <w:tcBorders/>
            <w:shd w:val="clear" w:color="auto" w:fill="auto"/>
          </w:tcPr>
          <w:p>
            <w:pPr>
              <w:pStyle w:val="style0"/>
              <w:jc w:val="center"/>
              <w:rPr>
                <w:sz w:val="22"/>
                <w:szCs w:val="22"/>
              </w:rPr>
            </w:pPr>
            <w:r>
              <w:rPr>
                <w:sz w:val="22"/>
                <w:szCs w:val="22"/>
              </w:rPr>
              <w:t>47</w:t>
            </w:r>
          </w:p>
        </w:tc>
        <w:tc>
          <w:tcPr>
            <w:tcW w:w="1907" w:type="pct"/>
            <w:tcBorders/>
            <w:shd w:val="clear" w:color="auto" w:fill="auto"/>
          </w:tcPr>
          <w:p>
            <w:pPr>
              <w:pStyle w:val="style0"/>
              <w:rPr>
                <w:sz w:val="22"/>
                <w:szCs w:val="22"/>
                <w:lang w:val="de-DE"/>
              </w:rPr>
            </w:pPr>
            <w:r>
              <w:rPr>
                <w:sz w:val="22"/>
                <w:szCs w:val="22"/>
                <w:lang w:val="de-DE"/>
              </w:rPr>
              <w:t>DIARRA Lassina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48</w:t>
            </w:r>
          </w:p>
        </w:tc>
        <w:tc>
          <w:tcPr>
            <w:tcW w:w="1907" w:type="pct"/>
            <w:tcBorders/>
            <w:shd w:val="clear" w:color="auto" w:fill="auto"/>
          </w:tcPr>
          <w:p>
            <w:pPr>
              <w:pStyle w:val="style0"/>
              <w:rPr>
                <w:sz w:val="22"/>
                <w:szCs w:val="22"/>
                <w:lang w:val="de-DE"/>
              </w:rPr>
            </w:pPr>
            <w:r>
              <w:rPr>
                <w:sz w:val="22"/>
                <w:szCs w:val="22"/>
                <w:lang w:val="de-DE"/>
              </w:rPr>
              <w:t>SANE Adama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77 49 79 94</w:t>
            </w:r>
          </w:p>
        </w:tc>
      </w:tr>
      <w:tr>
        <w:tblPrEx/>
        <w:trPr/>
        <w:tc>
          <w:tcPr>
            <w:tcW w:w="259" w:type="pct"/>
            <w:tcBorders/>
            <w:shd w:val="clear" w:color="auto" w:fill="auto"/>
          </w:tcPr>
          <w:p>
            <w:pPr>
              <w:pStyle w:val="style0"/>
              <w:jc w:val="center"/>
              <w:rPr>
                <w:sz w:val="22"/>
                <w:szCs w:val="22"/>
                <w:lang w:val="de-DE"/>
              </w:rPr>
            </w:pPr>
            <w:r>
              <w:rPr>
                <w:sz w:val="22"/>
                <w:szCs w:val="22"/>
                <w:lang w:val="de-DE"/>
              </w:rPr>
              <w:t>49</w:t>
            </w:r>
          </w:p>
        </w:tc>
        <w:tc>
          <w:tcPr>
            <w:tcW w:w="1907" w:type="pct"/>
            <w:tcBorders/>
            <w:shd w:val="clear" w:color="auto" w:fill="auto"/>
          </w:tcPr>
          <w:p>
            <w:pPr>
              <w:pStyle w:val="style0"/>
              <w:rPr>
                <w:sz w:val="22"/>
                <w:szCs w:val="22"/>
                <w:lang w:val="de-DE"/>
              </w:rPr>
            </w:pPr>
            <w:r>
              <w:rPr>
                <w:sz w:val="22"/>
                <w:szCs w:val="22"/>
                <w:lang w:val="de-DE"/>
              </w:rPr>
              <w:t>SOUMA Rahmané</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67 48 74 20</w:t>
            </w:r>
          </w:p>
        </w:tc>
      </w:tr>
      <w:tr>
        <w:tblPrEx/>
        <w:trPr/>
        <w:tc>
          <w:tcPr>
            <w:tcW w:w="259" w:type="pct"/>
            <w:tcBorders/>
            <w:shd w:val="clear" w:color="auto" w:fill="auto"/>
          </w:tcPr>
          <w:p>
            <w:pPr>
              <w:pStyle w:val="style0"/>
              <w:jc w:val="center"/>
              <w:rPr>
                <w:sz w:val="22"/>
                <w:szCs w:val="22"/>
                <w:lang w:val="de-DE"/>
              </w:rPr>
            </w:pPr>
            <w:r>
              <w:rPr>
                <w:sz w:val="22"/>
                <w:szCs w:val="22"/>
                <w:lang w:val="de-DE"/>
              </w:rPr>
              <w:t>50</w:t>
            </w:r>
          </w:p>
        </w:tc>
        <w:tc>
          <w:tcPr>
            <w:tcW w:w="1907" w:type="pct"/>
            <w:tcBorders/>
            <w:shd w:val="clear" w:color="auto" w:fill="auto"/>
          </w:tcPr>
          <w:p>
            <w:pPr>
              <w:pStyle w:val="style0"/>
              <w:rPr>
                <w:sz w:val="22"/>
                <w:szCs w:val="22"/>
                <w:lang w:val="de-DE"/>
              </w:rPr>
            </w:pPr>
            <w:r>
              <w:rPr>
                <w:sz w:val="22"/>
                <w:szCs w:val="22"/>
                <w:lang w:val="de-DE"/>
              </w:rPr>
              <w:t>DIALLO Moumouni</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70 87 39 38</w:t>
            </w:r>
          </w:p>
        </w:tc>
      </w:tr>
      <w:tr>
        <w:tblPrEx/>
        <w:trPr/>
        <w:tc>
          <w:tcPr>
            <w:tcW w:w="259" w:type="pct"/>
            <w:tcBorders/>
            <w:shd w:val="clear" w:color="auto" w:fill="auto"/>
          </w:tcPr>
          <w:p>
            <w:pPr>
              <w:pStyle w:val="style0"/>
              <w:jc w:val="center"/>
              <w:rPr>
                <w:sz w:val="22"/>
                <w:szCs w:val="22"/>
              </w:rPr>
            </w:pPr>
            <w:r>
              <w:rPr>
                <w:sz w:val="22"/>
                <w:szCs w:val="22"/>
              </w:rPr>
              <w:t>51</w:t>
            </w:r>
          </w:p>
        </w:tc>
        <w:tc>
          <w:tcPr>
            <w:tcW w:w="1907" w:type="pct"/>
            <w:tcBorders/>
            <w:shd w:val="clear" w:color="auto" w:fill="auto"/>
          </w:tcPr>
          <w:p>
            <w:pPr>
              <w:pStyle w:val="style0"/>
              <w:rPr>
                <w:sz w:val="22"/>
                <w:szCs w:val="22"/>
              </w:rPr>
            </w:pPr>
            <w:r>
              <w:rPr>
                <w:sz w:val="22"/>
                <w:szCs w:val="22"/>
              </w:rPr>
              <w:t>KONATE Adama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56 11 20 44</w:t>
            </w:r>
          </w:p>
        </w:tc>
      </w:tr>
      <w:tr>
        <w:tblPrEx/>
        <w:trPr/>
        <w:tc>
          <w:tcPr>
            <w:tcW w:w="259" w:type="pct"/>
            <w:tcBorders/>
            <w:shd w:val="clear" w:color="auto" w:fill="auto"/>
          </w:tcPr>
          <w:p>
            <w:pPr>
              <w:pStyle w:val="style0"/>
              <w:jc w:val="center"/>
              <w:rPr>
                <w:sz w:val="22"/>
                <w:szCs w:val="22"/>
              </w:rPr>
            </w:pPr>
            <w:r>
              <w:rPr>
                <w:sz w:val="22"/>
                <w:szCs w:val="22"/>
              </w:rPr>
              <w:t>52</w:t>
            </w:r>
          </w:p>
        </w:tc>
        <w:tc>
          <w:tcPr>
            <w:tcW w:w="1907" w:type="pct"/>
            <w:tcBorders/>
            <w:shd w:val="clear" w:color="auto" w:fill="auto"/>
          </w:tcPr>
          <w:p>
            <w:pPr>
              <w:pStyle w:val="style0"/>
              <w:rPr>
                <w:sz w:val="22"/>
                <w:szCs w:val="22"/>
                <w:lang w:val="de-DE"/>
              </w:rPr>
            </w:pPr>
            <w:r>
              <w:rPr>
                <w:sz w:val="22"/>
                <w:szCs w:val="22"/>
                <w:lang w:val="de-DE"/>
              </w:rPr>
              <w:t>ZOROME Abi</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53</w:t>
            </w:r>
          </w:p>
        </w:tc>
        <w:tc>
          <w:tcPr>
            <w:tcW w:w="1907" w:type="pct"/>
            <w:tcBorders/>
            <w:shd w:val="clear" w:color="auto" w:fill="auto"/>
          </w:tcPr>
          <w:p>
            <w:pPr>
              <w:pStyle w:val="style0"/>
              <w:rPr>
                <w:sz w:val="22"/>
                <w:szCs w:val="22"/>
                <w:lang w:val="de-DE"/>
              </w:rPr>
            </w:pPr>
            <w:r>
              <w:rPr>
                <w:sz w:val="22"/>
                <w:szCs w:val="22"/>
                <w:lang w:val="de-DE"/>
              </w:rPr>
              <w:t>SAWADOGO Nemata</w:t>
            </w:r>
          </w:p>
        </w:tc>
        <w:tc>
          <w:tcPr>
            <w:tcW w:w="299" w:type="pct"/>
            <w:tcBorders/>
            <w:shd w:val="clear" w:color="auto" w:fill="auto"/>
          </w:tcPr>
          <w:p>
            <w:pPr>
              <w:pStyle w:val="style0"/>
              <w:jc w:val="center"/>
              <w:rPr>
                <w:sz w:val="22"/>
                <w:szCs w:val="22"/>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54</w:t>
            </w:r>
          </w:p>
        </w:tc>
        <w:tc>
          <w:tcPr>
            <w:tcW w:w="1907" w:type="pct"/>
            <w:tcBorders/>
            <w:shd w:val="clear" w:color="auto" w:fill="auto"/>
          </w:tcPr>
          <w:p>
            <w:pPr>
              <w:pStyle w:val="style0"/>
              <w:rPr>
                <w:sz w:val="22"/>
                <w:szCs w:val="22"/>
                <w:lang w:val="de-DE"/>
              </w:rPr>
            </w:pPr>
            <w:r>
              <w:rPr>
                <w:sz w:val="22"/>
                <w:szCs w:val="22"/>
                <w:lang w:val="de-DE"/>
              </w:rPr>
              <w:t>ZOROME Sayouba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55</w:t>
            </w:r>
          </w:p>
        </w:tc>
        <w:tc>
          <w:tcPr>
            <w:tcW w:w="1907" w:type="pct"/>
            <w:tcBorders/>
            <w:shd w:val="clear" w:color="auto" w:fill="auto"/>
          </w:tcPr>
          <w:p>
            <w:pPr>
              <w:pStyle w:val="style0"/>
              <w:rPr>
                <w:sz w:val="22"/>
                <w:szCs w:val="22"/>
                <w:lang w:val="de-DE"/>
              </w:rPr>
            </w:pPr>
            <w:r>
              <w:rPr>
                <w:sz w:val="22"/>
                <w:szCs w:val="22"/>
                <w:lang w:val="de-DE"/>
              </w:rPr>
              <w:t>KONATE Kassim</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61 91 67 95</w:t>
            </w:r>
          </w:p>
        </w:tc>
      </w:tr>
      <w:tr>
        <w:tblPrEx/>
        <w:trPr/>
        <w:tc>
          <w:tcPr>
            <w:tcW w:w="259" w:type="pct"/>
            <w:tcBorders/>
            <w:shd w:val="clear" w:color="auto" w:fill="auto"/>
          </w:tcPr>
          <w:p>
            <w:pPr>
              <w:pStyle w:val="style0"/>
              <w:jc w:val="center"/>
              <w:rPr>
                <w:sz w:val="22"/>
                <w:szCs w:val="22"/>
              </w:rPr>
            </w:pPr>
            <w:r>
              <w:rPr>
                <w:sz w:val="22"/>
                <w:szCs w:val="22"/>
              </w:rPr>
              <w:t>56</w:t>
            </w:r>
          </w:p>
        </w:tc>
        <w:tc>
          <w:tcPr>
            <w:tcW w:w="1907" w:type="pct"/>
            <w:tcBorders/>
            <w:shd w:val="clear" w:color="auto" w:fill="auto"/>
          </w:tcPr>
          <w:p>
            <w:pPr>
              <w:pStyle w:val="style0"/>
              <w:rPr>
                <w:sz w:val="22"/>
                <w:szCs w:val="22"/>
              </w:rPr>
            </w:pPr>
            <w:r>
              <w:rPr>
                <w:sz w:val="22"/>
                <w:szCs w:val="22"/>
              </w:rPr>
              <w:t>BANHORO Lassina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72 51 22 79</w:t>
            </w:r>
          </w:p>
        </w:tc>
      </w:tr>
      <w:tr>
        <w:tblPrEx/>
        <w:trPr/>
        <w:tc>
          <w:tcPr>
            <w:tcW w:w="259" w:type="pct"/>
            <w:tcBorders/>
            <w:shd w:val="clear" w:color="auto" w:fill="auto"/>
          </w:tcPr>
          <w:p>
            <w:pPr>
              <w:pStyle w:val="style0"/>
              <w:jc w:val="center"/>
              <w:rPr>
                <w:sz w:val="22"/>
                <w:szCs w:val="22"/>
              </w:rPr>
            </w:pPr>
            <w:r>
              <w:rPr>
                <w:sz w:val="22"/>
                <w:szCs w:val="22"/>
              </w:rPr>
              <w:t>57</w:t>
            </w:r>
          </w:p>
        </w:tc>
        <w:tc>
          <w:tcPr>
            <w:tcW w:w="1907" w:type="pct"/>
            <w:tcBorders/>
            <w:shd w:val="clear" w:color="auto" w:fill="auto"/>
          </w:tcPr>
          <w:p>
            <w:pPr>
              <w:pStyle w:val="style0"/>
              <w:rPr>
                <w:sz w:val="22"/>
                <w:szCs w:val="22"/>
                <w:lang w:val="de-DE"/>
              </w:rPr>
            </w:pPr>
            <w:r>
              <w:rPr>
                <w:sz w:val="22"/>
                <w:szCs w:val="22"/>
                <w:lang w:val="de-DE"/>
              </w:rPr>
              <w:t>ZOUON Drissa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72 55 45 74</w:t>
            </w:r>
          </w:p>
        </w:tc>
      </w:tr>
      <w:tr>
        <w:tblPrEx/>
        <w:trPr/>
        <w:tc>
          <w:tcPr>
            <w:tcW w:w="259" w:type="pct"/>
            <w:tcBorders/>
            <w:shd w:val="clear" w:color="auto" w:fill="auto"/>
          </w:tcPr>
          <w:p>
            <w:pPr>
              <w:pStyle w:val="style0"/>
              <w:jc w:val="center"/>
              <w:rPr>
                <w:sz w:val="22"/>
                <w:szCs w:val="22"/>
                <w:lang w:val="de-DE"/>
              </w:rPr>
            </w:pPr>
            <w:r>
              <w:rPr>
                <w:sz w:val="22"/>
                <w:szCs w:val="22"/>
                <w:lang w:val="de-DE"/>
              </w:rPr>
              <w:t>58</w:t>
            </w:r>
          </w:p>
        </w:tc>
        <w:tc>
          <w:tcPr>
            <w:tcW w:w="1907" w:type="pct"/>
            <w:tcBorders/>
            <w:shd w:val="clear" w:color="auto" w:fill="auto"/>
          </w:tcPr>
          <w:p>
            <w:pPr>
              <w:pStyle w:val="style0"/>
              <w:rPr>
                <w:sz w:val="22"/>
                <w:szCs w:val="22"/>
                <w:lang w:val="de-DE"/>
              </w:rPr>
            </w:pPr>
            <w:r>
              <w:rPr>
                <w:sz w:val="22"/>
                <w:szCs w:val="22"/>
                <w:lang w:val="de-DE"/>
              </w:rPr>
              <w:t>DEME Modou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71 15 61 49</w:t>
            </w:r>
          </w:p>
        </w:tc>
      </w:tr>
      <w:tr>
        <w:tblPrEx/>
        <w:trPr/>
        <w:tc>
          <w:tcPr>
            <w:tcW w:w="259" w:type="pct"/>
            <w:tcBorders/>
            <w:shd w:val="clear" w:color="auto" w:fill="auto"/>
          </w:tcPr>
          <w:p>
            <w:pPr>
              <w:pStyle w:val="style0"/>
              <w:jc w:val="center"/>
              <w:rPr>
                <w:sz w:val="22"/>
                <w:szCs w:val="22"/>
                <w:lang w:val="de-DE"/>
              </w:rPr>
            </w:pPr>
            <w:r>
              <w:rPr>
                <w:sz w:val="22"/>
                <w:szCs w:val="22"/>
                <w:lang w:val="de-DE"/>
              </w:rPr>
              <w:t>59</w:t>
            </w:r>
          </w:p>
        </w:tc>
        <w:tc>
          <w:tcPr>
            <w:tcW w:w="1907" w:type="pct"/>
            <w:tcBorders/>
            <w:shd w:val="clear" w:color="auto" w:fill="auto"/>
          </w:tcPr>
          <w:p>
            <w:pPr>
              <w:pStyle w:val="style0"/>
              <w:rPr>
                <w:sz w:val="22"/>
                <w:szCs w:val="22"/>
                <w:lang w:val="de-DE"/>
              </w:rPr>
            </w:pPr>
            <w:r>
              <w:rPr>
                <w:sz w:val="22"/>
                <w:szCs w:val="22"/>
                <w:lang w:val="de-DE"/>
              </w:rPr>
              <w:t>KONATE Adama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lang w:val="de-DE"/>
              </w:rPr>
            </w:pPr>
            <w:r>
              <w:rPr>
                <w:sz w:val="22"/>
                <w:szCs w:val="22"/>
                <w:lang w:val="de-DE"/>
              </w:rPr>
              <w:t>60</w:t>
            </w:r>
          </w:p>
        </w:tc>
        <w:tc>
          <w:tcPr>
            <w:tcW w:w="1907" w:type="pct"/>
            <w:tcBorders/>
            <w:shd w:val="clear" w:color="auto" w:fill="auto"/>
          </w:tcPr>
          <w:p>
            <w:pPr>
              <w:pStyle w:val="style0"/>
              <w:rPr>
                <w:sz w:val="22"/>
                <w:szCs w:val="22"/>
                <w:lang w:val="de-DE"/>
              </w:rPr>
            </w:pPr>
            <w:r>
              <w:rPr>
                <w:sz w:val="22"/>
                <w:szCs w:val="22"/>
                <w:lang w:val="de-DE"/>
              </w:rPr>
              <w:t>KONATE Modou</w:t>
            </w:r>
          </w:p>
        </w:tc>
        <w:tc>
          <w:tcPr>
            <w:tcW w:w="299" w:type="pct"/>
            <w:tcBorders/>
            <w:shd w:val="clear" w:color="auto" w:fill="auto"/>
          </w:tcPr>
          <w:p>
            <w:pPr>
              <w:pStyle w:val="style0"/>
              <w:jc w:val="center"/>
              <w:rPr>
                <w:sz w:val="22"/>
                <w:szCs w:val="22"/>
                <w:lang w:val="de-DE"/>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r>
        <w:tblPrEx/>
        <w:trPr/>
        <w:tc>
          <w:tcPr>
            <w:tcW w:w="259" w:type="pct"/>
            <w:tcBorders/>
            <w:shd w:val="clear" w:color="auto" w:fill="auto"/>
          </w:tcPr>
          <w:p>
            <w:pPr>
              <w:pStyle w:val="style0"/>
              <w:jc w:val="center"/>
              <w:rPr>
                <w:sz w:val="22"/>
                <w:szCs w:val="22"/>
              </w:rPr>
            </w:pPr>
            <w:r>
              <w:rPr>
                <w:sz w:val="22"/>
                <w:szCs w:val="22"/>
              </w:rPr>
              <w:t>61</w:t>
            </w:r>
          </w:p>
        </w:tc>
        <w:tc>
          <w:tcPr>
            <w:tcW w:w="1907" w:type="pct"/>
            <w:tcBorders/>
            <w:shd w:val="clear" w:color="auto" w:fill="auto"/>
          </w:tcPr>
          <w:p>
            <w:pPr>
              <w:pStyle w:val="style0"/>
              <w:rPr>
                <w:sz w:val="22"/>
                <w:szCs w:val="22"/>
              </w:rPr>
            </w:pPr>
            <w:r>
              <w:rPr>
                <w:sz w:val="22"/>
                <w:szCs w:val="22"/>
              </w:rPr>
              <w:t>TRAORE Kalinou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73 80 74 97</w:t>
            </w:r>
          </w:p>
        </w:tc>
      </w:tr>
      <w:tr>
        <w:tblPrEx/>
        <w:trPr/>
        <w:tc>
          <w:tcPr>
            <w:tcW w:w="259" w:type="pct"/>
            <w:tcBorders/>
            <w:shd w:val="clear" w:color="auto" w:fill="auto"/>
          </w:tcPr>
          <w:p>
            <w:pPr>
              <w:pStyle w:val="style0"/>
              <w:jc w:val="center"/>
              <w:rPr>
                <w:sz w:val="22"/>
                <w:szCs w:val="22"/>
              </w:rPr>
            </w:pPr>
            <w:r>
              <w:rPr>
                <w:sz w:val="22"/>
                <w:szCs w:val="22"/>
              </w:rPr>
              <w:t>62</w:t>
            </w:r>
          </w:p>
        </w:tc>
        <w:tc>
          <w:tcPr>
            <w:tcW w:w="1907" w:type="pct"/>
            <w:tcBorders/>
            <w:shd w:val="clear" w:color="auto" w:fill="auto"/>
          </w:tcPr>
          <w:p>
            <w:pPr>
              <w:pStyle w:val="style0"/>
              <w:rPr>
                <w:sz w:val="22"/>
                <w:szCs w:val="22"/>
                <w:lang w:val="de-DE"/>
              </w:rPr>
            </w:pPr>
            <w:r>
              <w:rPr>
                <w:sz w:val="22"/>
                <w:szCs w:val="22"/>
                <w:lang w:val="de-DE"/>
              </w:rPr>
              <w:t>DIARRA Yaya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73 91 79 14</w:t>
            </w:r>
          </w:p>
        </w:tc>
      </w:tr>
      <w:tr>
        <w:tblPrEx/>
        <w:trPr/>
        <w:tc>
          <w:tcPr>
            <w:tcW w:w="259" w:type="pct"/>
            <w:tcBorders/>
            <w:shd w:val="clear" w:color="auto" w:fill="auto"/>
          </w:tcPr>
          <w:p>
            <w:pPr>
              <w:pStyle w:val="style0"/>
              <w:jc w:val="center"/>
              <w:rPr>
                <w:sz w:val="22"/>
                <w:szCs w:val="22"/>
                <w:lang w:val="de-DE"/>
              </w:rPr>
            </w:pPr>
            <w:r>
              <w:rPr>
                <w:sz w:val="22"/>
                <w:szCs w:val="22"/>
                <w:lang w:val="de-DE"/>
              </w:rPr>
              <w:t>63</w:t>
            </w:r>
          </w:p>
        </w:tc>
        <w:tc>
          <w:tcPr>
            <w:tcW w:w="1907" w:type="pct"/>
            <w:tcBorders/>
            <w:shd w:val="clear" w:color="auto" w:fill="auto"/>
          </w:tcPr>
          <w:p>
            <w:pPr>
              <w:pStyle w:val="style0"/>
              <w:rPr>
                <w:sz w:val="22"/>
                <w:szCs w:val="22"/>
                <w:lang w:val="de-DE"/>
              </w:rPr>
            </w:pPr>
            <w:r>
              <w:rPr>
                <w:sz w:val="22"/>
                <w:szCs w:val="22"/>
                <w:lang w:val="de-DE"/>
              </w:rPr>
              <w:t>DIARRA Zoumana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75 43 36 24</w:t>
            </w:r>
          </w:p>
        </w:tc>
      </w:tr>
      <w:tr>
        <w:tblPrEx/>
        <w:trPr/>
        <w:tc>
          <w:tcPr>
            <w:tcW w:w="259" w:type="pct"/>
            <w:tcBorders/>
            <w:shd w:val="clear" w:color="auto" w:fill="auto"/>
          </w:tcPr>
          <w:p>
            <w:pPr>
              <w:pStyle w:val="style0"/>
              <w:jc w:val="center"/>
              <w:rPr>
                <w:sz w:val="22"/>
                <w:szCs w:val="22"/>
                <w:lang w:val="de-DE"/>
              </w:rPr>
            </w:pPr>
            <w:r>
              <w:rPr>
                <w:sz w:val="22"/>
                <w:szCs w:val="22"/>
                <w:lang w:val="de-DE"/>
              </w:rPr>
              <w:t>64</w:t>
            </w:r>
          </w:p>
        </w:tc>
        <w:tc>
          <w:tcPr>
            <w:tcW w:w="1907" w:type="pct"/>
            <w:tcBorders/>
            <w:shd w:val="clear" w:color="auto" w:fill="auto"/>
          </w:tcPr>
          <w:p>
            <w:pPr>
              <w:pStyle w:val="style0"/>
              <w:rPr>
                <w:sz w:val="22"/>
                <w:szCs w:val="22"/>
                <w:lang w:val="de-DE"/>
              </w:rPr>
            </w:pPr>
            <w:r>
              <w:rPr>
                <w:sz w:val="22"/>
                <w:szCs w:val="22"/>
                <w:lang w:val="de-DE"/>
              </w:rPr>
              <w:t>ZOUON Karim</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61 52 53 43</w:t>
            </w:r>
          </w:p>
        </w:tc>
      </w:tr>
      <w:tr>
        <w:tblPrEx/>
        <w:trPr/>
        <w:tc>
          <w:tcPr>
            <w:tcW w:w="259" w:type="pct"/>
            <w:tcBorders/>
            <w:shd w:val="clear" w:color="auto" w:fill="auto"/>
          </w:tcPr>
          <w:p>
            <w:pPr>
              <w:pStyle w:val="style0"/>
              <w:jc w:val="center"/>
              <w:rPr>
                <w:sz w:val="22"/>
                <w:szCs w:val="22"/>
                <w:lang w:val="de-DE"/>
              </w:rPr>
            </w:pPr>
            <w:r>
              <w:rPr>
                <w:sz w:val="22"/>
                <w:szCs w:val="22"/>
                <w:lang w:val="de-DE"/>
              </w:rPr>
              <w:t>65</w:t>
            </w:r>
          </w:p>
        </w:tc>
        <w:tc>
          <w:tcPr>
            <w:tcW w:w="1907" w:type="pct"/>
            <w:tcBorders/>
            <w:shd w:val="clear" w:color="auto" w:fill="auto"/>
          </w:tcPr>
          <w:p>
            <w:pPr>
              <w:pStyle w:val="style0"/>
              <w:rPr>
                <w:sz w:val="22"/>
                <w:szCs w:val="22"/>
                <w:lang w:val="de-DE"/>
              </w:rPr>
            </w:pPr>
            <w:r>
              <w:rPr>
                <w:sz w:val="22"/>
                <w:szCs w:val="22"/>
                <w:lang w:val="de-DE"/>
              </w:rPr>
              <w:t>TRAORE Seydou</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73 42 82 47</w:t>
            </w:r>
          </w:p>
        </w:tc>
      </w:tr>
      <w:tr>
        <w:tblPrEx/>
        <w:trPr/>
        <w:tc>
          <w:tcPr>
            <w:tcW w:w="259" w:type="pct"/>
            <w:tcBorders/>
            <w:shd w:val="clear" w:color="auto" w:fill="auto"/>
          </w:tcPr>
          <w:p>
            <w:pPr>
              <w:pStyle w:val="style0"/>
              <w:jc w:val="center"/>
              <w:rPr>
                <w:sz w:val="22"/>
                <w:szCs w:val="22"/>
              </w:rPr>
            </w:pPr>
            <w:r>
              <w:rPr>
                <w:sz w:val="22"/>
                <w:szCs w:val="22"/>
              </w:rPr>
              <w:t>66</w:t>
            </w:r>
          </w:p>
        </w:tc>
        <w:tc>
          <w:tcPr>
            <w:tcW w:w="1907" w:type="pct"/>
            <w:tcBorders/>
            <w:shd w:val="clear" w:color="auto" w:fill="auto"/>
          </w:tcPr>
          <w:p>
            <w:pPr>
              <w:pStyle w:val="style0"/>
              <w:rPr>
                <w:sz w:val="22"/>
                <w:szCs w:val="22"/>
              </w:rPr>
            </w:pPr>
            <w:r>
              <w:rPr>
                <w:sz w:val="22"/>
                <w:szCs w:val="22"/>
              </w:rPr>
              <w:t>ZOUON Drissa</w:t>
            </w:r>
          </w:p>
        </w:tc>
        <w:tc>
          <w:tcPr>
            <w:tcW w:w="299" w:type="pct"/>
            <w:tcBorders/>
            <w:shd w:val="clear" w:color="auto" w:fill="auto"/>
          </w:tcPr>
          <w:p>
            <w:pPr>
              <w:pStyle w:val="style0"/>
              <w:jc w:val="center"/>
              <w:rPr>
                <w:sz w:val="22"/>
                <w:szCs w:val="22"/>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70 95 15 35</w:t>
            </w:r>
          </w:p>
        </w:tc>
      </w:tr>
      <w:tr>
        <w:tblPrEx/>
        <w:trPr/>
        <w:tc>
          <w:tcPr>
            <w:tcW w:w="259" w:type="pct"/>
            <w:tcBorders/>
            <w:shd w:val="clear" w:color="auto" w:fill="auto"/>
          </w:tcPr>
          <w:p>
            <w:pPr>
              <w:pStyle w:val="style0"/>
              <w:jc w:val="center"/>
              <w:rPr>
                <w:sz w:val="22"/>
                <w:szCs w:val="22"/>
              </w:rPr>
            </w:pPr>
            <w:r>
              <w:rPr>
                <w:sz w:val="22"/>
                <w:szCs w:val="22"/>
              </w:rPr>
              <w:t>67</w:t>
            </w:r>
          </w:p>
        </w:tc>
        <w:tc>
          <w:tcPr>
            <w:tcW w:w="1907" w:type="pct"/>
            <w:tcBorders/>
            <w:shd w:val="clear" w:color="auto" w:fill="auto"/>
          </w:tcPr>
          <w:p>
            <w:pPr>
              <w:pStyle w:val="style0"/>
              <w:rPr>
                <w:sz w:val="22"/>
                <w:szCs w:val="22"/>
                <w:lang w:val="de-DE"/>
              </w:rPr>
            </w:pPr>
            <w:r>
              <w:rPr>
                <w:sz w:val="22"/>
                <w:szCs w:val="22"/>
                <w:lang w:val="de-DE"/>
              </w:rPr>
              <w:t>DIELO Adjéta</w:t>
            </w:r>
          </w:p>
        </w:tc>
        <w:tc>
          <w:tcPr>
            <w:tcW w:w="299" w:type="pct"/>
            <w:tcBorders/>
            <w:shd w:val="clear" w:color="auto" w:fill="auto"/>
          </w:tcPr>
          <w:p>
            <w:pPr>
              <w:pStyle w:val="style0"/>
              <w:jc w:val="center"/>
              <w:rPr>
                <w:sz w:val="22"/>
                <w:szCs w:val="22"/>
                <w:lang w:val="de-DE"/>
              </w:rPr>
            </w:pPr>
            <w:r>
              <w:rPr>
                <w:sz w:val="22"/>
                <w:szCs w:val="22"/>
                <w:lang w:val="de-DE"/>
              </w:rPr>
              <w:t>F</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63 34 48 68</w:t>
            </w:r>
          </w:p>
        </w:tc>
      </w:tr>
      <w:tr>
        <w:tblPrEx/>
        <w:trPr/>
        <w:tc>
          <w:tcPr>
            <w:tcW w:w="259" w:type="pct"/>
            <w:tcBorders/>
            <w:shd w:val="clear" w:color="auto" w:fill="auto"/>
          </w:tcPr>
          <w:p>
            <w:pPr>
              <w:pStyle w:val="style0"/>
              <w:jc w:val="center"/>
              <w:rPr>
                <w:sz w:val="22"/>
                <w:szCs w:val="22"/>
                <w:lang w:val="de-DE"/>
              </w:rPr>
            </w:pPr>
            <w:r>
              <w:rPr>
                <w:sz w:val="22"/>
                <w:szCs w:val="22"/>
                <w:lang w:val="de-DE"/>
              </w:rPr>
              <w:t>68</w:t>
            </w:r>
          </w:p>
        </w:tc>
        <w:tc>
          <w:tcPr>
            <w:tcW w:w="1907" w:type="pct"/>
            <w:tcBorders/>
            <w:shd w:val="clear" w:color="auto" w:fill="auto"/>
          </w:tcPr>
          <w:p>
            <w:pPr>
              <w:pStyle w:val="style0"/>
              <w:rPr>
                <w:sz w:val="22"/>
                <w:szCs w:val="22"/>
                <w:lang w:val="de-DE"/>
              </w:rPr>
            </w:pPr>
            <w:r>
              <w:rPr>
                <w:sz w:val="22"/>
                <w:szCs w:val="22"/>
                <w:lang w:val="de-DE"/>
              </w:rPr>
              <w:t>DAO Mamounata</w:t>
            </w:r>
          </w:p>
        </w:tc>
        <w:tc>
          <w:tcPr>
            <w:tcW w:w="299" w:type="pct"/>
            <w:tcBorders/>
            <w:shd w:val="clear" w:color="auto" w:fill="auto"/>
          </w:tcPr>
          <w:p>
            <w:pPr>
              <w:pStyle w:val="style0"/>
              <w:jc w:val="center"/>
              <w:rPr>
                <w:sz w:val="22"/>
                <w:szCs w:val="22"/>
                <w:lang w:val="de-DE"/>
              </w:rPr>
            </w:pPr>
            <w:r>
              <w:rPr>
                <w:sz w:val="22"/>
                <w:szCs w:val="22"/>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lang w:val="de-DE"/>
              </w:rPr>
            </w:pPr>
            <w:r>
              <w:rPr>
                <w:sz w:val="22"/>
                <w:szCs w:val="22"/>
                <w:lang w:val="de-DE"/>
              </w:rPr>
              <w:t>-</w:t>
            </w:r>
          </w:p>
        </w:tc>
      </w:tr>
      <w:tr>
        <w:tblPrEx/>
        <w:trPr/>
        <w:tc>
          <w:tcPr>
            <w:tcW w:w="259" w:type="pct"/>
            <w:tcBorders/>
            <w:shd w:val="clear" w:color="auto" w:fill="auto"/>
          </w:tcPr>
          <w:p>
            <w:pPr>
              <w:pStyle w:val="style0"/>
              <w:jc w:val="center"/>
              <w:rPr>
                <w:sz w:val="22"/>
                <w:szCs w:val="22"/>
                <w:lang w:val="de-DE"/>
              </w:rPr>
            </w:pPr>
            <w:r>
              <w:rPr>
                <w:sz w:val="22"/>
                <w:szCs w:val="22"/>
                <w:lang w:val="de-DE"/>
              </w:rPr>
              <w:t>69</w:t>
            </w:r>
          </w:p>
        </w:tc>
        <w:tc>
          <w:tcPr>
            <w:tcW w:w="1907" w:type="pct"/>
            <w:tcBorders/>
            <w:shd w:val="clear" w:color="auto" w:fill="auto"/>
          </w:tcPr>
          <w:p>
            <w:pPr>
              <w:pStyle w:val="style0"/>
              <w:rPr>
                <w:sz w:val="22"/>
                <w:szCs w:val="22"/>
                <w:lang w:val="de-DE"/>
              </w:rPr>
            </w:pPr>
            <w:r>
              <w:rPr>
                <w:sz w:val="22"/>
                <w:szCs w:val="22"/>
                <w:lang w:val="de-DE"/>
              </w:rPr>
              <w:t>TRAORE Seydou</w:t>
            </w:r>
          </w:p>
        </w:tc>
        <w:tc>
          <w:tcPr>
            <w:tcW w:w="299" w:type="pct"/>
            <w:tcBorders/>
            <w:shd w:val="clear" w:color="auto" w:fill="auto"/>
          </w:tcPr>
          <w:p>
            <w:pPr>
              <w:pStyle w:val="style0"/>
              <w:jc w:val="center"/>
              <w:rPr>
                <w:sz w:val="22"/>
                <w:szCs w:val="22"/>
                <w:lang w:val="de-DE"/>
              </w:rPr>
            </w:pPr>
            <w:r>
              <w:rPr>
                <w:sz w:val="22"/>
                <w:szCs w:val="22"/>
                <w:lang w:val="de-DE"/>
              </w:rPr>
              <w:t>M</w:t>
            </w:r>
          </w:p>
        </w:tc>
        <w:tc>
          <w:tcPr>
            <w:tcW w:w="1663" w:type="pct"/>
            <w:tcBorders/>
            <w:shd w:val="clear" w:color="auto" w:fill="auto"/>
          </w:tcPr>
          <w:p>
            <w:pPr>
              <w:pStyle w:val="style0"/>
              <w:rPr>
                <w:sz w:val="22"/>
                <w:szCs w:val="22"/>
                <w:lang w:val="de-DE"/>
              </w:rPr>
            </w:pPr>
            <w:r>
              <w:rPr>
                <w:sz w:val="22"/>
                <w:szCs w:val="22"/>
                <w:lang w:val="de-DE"/>
              </w:rPr>
              <w:t>Cultivateur</w:t>
            </w:r>
          </w:p>
        </w:tc>
        <w:tc>
          <w:tcPr>
            <w:tcW w:w="872" w:type="pct"/>
            <w:tcBorders/>
            <w:shd w:val="clear" w:color="auto" w:fill="auto"/>
          </w:tcPr>
          <w:p>
            <w:pPr>
              <w:pStyle w:val="style0"/>
              <w:jc w:val="center"/>
              <w:rPr>
                <w:sz w:val="22"/>
                <w:szCs w:val="22"/>
              </w:rPr>
            </w:pPr>
            <w:r>
              <w:rPr>
                <w:sz w:val="22"/>
                <w:szCs w:val="22"/>
              </w:rPr>
              <w:t>71 03 45 75</w:t>
            </w:r>
          </w:p>
        </w:tc>
      </w:tr>
      <w:tr>
        <w:tblPrEx/>
        <w:trPr/>
        <w:tc>
          <w:tcPr>
            <w:tcW w:w="259" w:type="pct"/>
            <w:tcBorders/>
            <w:shd w:val="clear" w:color="auto" w:fill="auto"/>
          </w:tcPr>
          <w:p>
            <w:pPr>
              <w:pStyle w:val="style0"/>
              <w:jc w:val="center"/>
              <w:rPr>
                <w:sz w:val="22"/>
                <w:szCs w:val="22"/>
                <w:lang w:val="de-DE"/>
              </w:rPr>
            </w:pPr>
            <w:r>
              <w:rPr>
                <w:sz w:val="22"/>
                <w:szCs w:val="22"/>
                <w:lang w:val="de-DE"/>
              </w:rPr>
              <w:t>70</w:t>
            </w:r>
          </w:p>
        </w:tc>
        <w:tc>
          <w:tcPr>
            <w:tcW w:w="1907" w:type="pct"/>
            <w:tcBorders/>
            <w:shd w:val="clear" w:color="auto" w:fill="auto"/>
          </w:tcPr>
          <w:p>
            <w:pPr>
              <w:pStyle w:val="style0"/>
              <w:rPr>
                <w:sz w:val="22"/>
                <w:szCs w:val="22"/>
                <w:lang w:val="de-DE"/>
              </w:rPr>
            </w:pPr>
            <w:r>
              <w:rPr>
                <w:sz w:val="22"/>
                <w:szCs w:val="22"/>
                <w:lang w:val="de-DE"/>
              </w:rPr>
              <w:t>ZOROME Lassina</w:t>
            </w:r>
          </w:p>
        </w:tc>
        <w:tc>
          <w:tcPr>
            <w:tcW w:w="299" w:type="pct"/>
            <w:tcBorders/>
            <w:shd w:val="clear" w:color="auto" w:fill="auto"/>
          </w:tcPr>
          <w:p>
            <w:pPr>
              <w:pStyle w:val="style0"/>
              <w:jc w:val="center"/>
              <w:rPr>
                <w:sz w:val="22"/>
                <w:szCs w:val="22"/>
                <w:lang w:val="de-DE"/>
              </w:rPr>
            </w:pPr>
            <w:r>
              <w:rPr>
                <w:sz w:val="22"/>
                <w:szCs w:val="22"/>
                <w:lang w:val="de-DE"/>
              </w:rPr>
              <w:t>M</w:t>
            </w:r>
          </w:p>
        </w:tc>
        <w:tc>
          <w:tcPr>
            <w:tcW w:w="1663" w:type="pct"/>
            <w:tcBorders/>
            <w:shd w:val="clear" w:color="auto" w:fill="auto"/>
          </w:tcPr>
          <w:p>
            <w:pPr>
              <w:pStyle w:val="style0"/>
              <w:rPr>
                <w:sz w:val="22"/>
                <w:szCs w:val="22"/>
              </w:rPr>
            </w:pPr>
            <w:r>
              <w:rPr>
                <w:sz w:val="22"/>
                <w:szCs w:val="22"/>
              </w:rPr>
              <w:t>Cultivateur</w:t>
            </w:r>
          </w:p>
        </w:tc>
        <w:tc>
          <w:tcPr>
            <w:tcW w:w="872" w:type="pct"/>
            <w:tcBorders/>
            <w:shd w:val="clear" w:color="auto" w:fill="auto"/>
          </w:tcPr>
          <w:p>
            <w:pPr>
              <w:pStyle w:val="style0"/>
              <w:jc w:val="center"/>
              <w:rPr>
                <w:sz w:val="22"/>
                <w:szCs w:val="22"/>
              </w:rPr>
            </w:pPr>
            <w:r>
              <w:rPr>
                <w:sz w:val="22"/>
                <w:szCs w:val="22"/>
              </w:rPr>
              <w:t>-</w:t>
            </w:r>
          </w:p>
        </w:tc>
      </w:tr>
    </w:tbl>
    <w:p>
      <w:pPr>
        <w:pStyle w:val="style0"/>
        <w:rPr>
          <w:sz w:val="22"/>
          <w:szCs w:val="22"/>
        </w:rPr>
      </w:pPr>
    </w:p>
    <w:p>
      <w:pPr>
        <w:pStyle w:val="style0"/>
        <w:rPr>
          <w:sz w:val="22"/>
          <w:szCs w:val="22"/>
        </w:rPr>
      </w:pPr>
      <w:r>
        <w:rPr>
          <w:sz w:val="22"/>
          <w:szCs w:val="22"/>
        </w:rPr>
        <w:br w:type="page"/>
      </w:r>
    </w:p>
    <w:p>
      <w:pPr>
        <w:pStyle w:val="style0"/>
        <w:jc w:val="center"/>
        <w:rPr>
          <w:b/>
          <w:sz w:val="22"/>
          <w:szCs w:val="22"/>
        </w:rPr>
      </w:pPr>
      <w:r>
        <w:rPr>
          <w:b/>
          <w:sz w:val="22"/>
          <w:szCs w:val="22"/>
          <w:u w:val="single"/>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BOUCLE DU MOUHOUN</w:t>
      </w:r>
      <w:r>
        <w:rPr>
          <w:b/>
          <w:sz w:val="22"/>
          <w:szCs w:val="22"/>
        </w:rPr>
        <w:t>…………………………</w:t>
      </w:r>
      <w:r>
        <w:rPr>
          <w:b/>
          <w:sz w:val="22"/>
          <w:szCs w:val="22"/>
          <w:u w:val="dotted"/>
        </w:rPr>
        <w:t>Province</w:t>
      </w:r>
      <w:r>
        <w:rPr>
          <w:b/>
          <w:sz w:val="22"/>
          <w:szCs w:val="22"/>
        </w:rPr>
        <w:t xml:space="preserve"> : </w:t>
      </w:r>
      <w:r>
        <w:rPr>
          <w:b/>
          <w:sz w:val="22"/>
          <w:szCs w:val="22"/>
          <w:u w:val="dotted"/>
        </w:rPr>
        <w:t>SOUROU</w:t>
      </w:r>
      <w:r>
        <w:rPr>
          <w:b/>
          <w:sz w:val="22"/>
          <w:szCs w:val="22"/>
        </w:rPr>
        <w:t>…………………………….</w:t>
      </w:r>
      <w:r>
        <w:rPr>
          <w:b/>
          <w:sz w:val="22"/>
          <w:szCs w:val="22"/>
          <w:u w:val="dotted"/>
        </w:rPr>
        <w:t>Commune</w:t>
      </w:r>
      <w:r>
        <w:rPr>
          <w:b/>
          <w:sz w:val="22"/>
          <w:szCs w:val="22"/>
        </w:rPr>
        <w:t xml:space="preserve"> : </w:t>
      </w:r>
      <w:r>
        <w:rPr>
          <w:b/>
          <w:sz w:val="22"/>
          <w:szCs w:val="22"/>
          <w:u w:val="dotted"/>
        </w:rPr>
        <w:t>GASSAN</w:t>
      </w:r>
      <w:r>
        <w:rPr>
          <w:b/>
          <w:sz w:val="22"/>
          <w:szCs w:val="22"/>
        </w:rPr>
        <w:t>…………………………..</w:t>
      </w:r>
    </w:p>
    <w:p>
      <w:pPr>
        <w:pStyle w:val="style0"/>
        <w:rPr>
          <w:b/>
          <w:sz w:val="22"/>
          <w:szCs w:val="22"/>
        </w:rPr>
      </w:pPr>
      <w:r>
        <w:rPr>
          <w:b/>
          <w:sz w:val="22"/>
          <w:szCs w:val="22"/>
        </w:rPr>
        <w:t xml:space="preserve">Village : DE </w:t>
      </w:r>
      <w:r>
        <w:rPr>
          <w:b/>
          <w:sz w:val="22"/>
          <w:szCs w:val="22"/>
          <w:u w:val="dotted"/>
        </w:rPr>
        <w:t>BISSAN</w:t>
      </w:r>
      <w:r>
        <w:rPr>
          <w:b/>
          <w:sz w:val="22"/>
          <w:szCs w:val="22"/>
        </w:rPr>
        <w:t>………………………….Date : 12 janvier 2019……… Groupes cibles : Producteurs</w:t>
      </w:r>
    </w:p>
    <w:p>
      <w:pPr>
        <w:pStyle w:val="style0"/>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37"/>
        <w:gridCol w:w="837"/>
        <w:gridCol w:w="4349"/>
        <w:gridCol w:w="2745"/>
      </w:tblGrid>
      <w:tr>
        <w:trPr/>
        <w:tc>
          <w:tcPr>
            <w:tcW w:w="259" w:type="pct"/>
            <w:tcBorders/>
            <w:shd w:val="clear" w:color="auto" w:fill="d9d9d9"/>
            <w:vAlign w:val="center"/>
          </w:tcPr>
          <w:p>
            <w:pPr>
              <w:pStyle w:val="style0"/>
              <w:jc w:val="center"/>
              <w:rPr>
                <w:b/>
                <w:sz w:val="22"/>
                <w:szCs w:val="22"/>
              </w:rPr>
            </w:pPr>
            <w:r>
              <w:rPr>
                <w:b/>
                <w:sz w:val="22"/>
                <w:szCs w:val="22"/>
              </w:rPr>
              <w:t>N°</w:t>
            </w:r>
          </w:p>
        </w:tc>
        <w:tc>
          <w:tcPr>
            <w:tcW w:w="1907" w:type="pct"/>
            <w:tcBorders/>
            <w:shd w:val="clear" w:color="auto" w:fill="d9d9d9"/>
            <w:vAlign w:val="center"/>
          </w:tcPr>
          <w:p>
            <w:pPr>
              <w:pStyle w:val="style0"/>
              <w:jc w:val="center"/>
              <w:rPr>
                <w:b/>
                <w:sz w:val="22"/>
                <w:szCs w:val="22"/>
              </w:rPr>
            </w:pPr>
            <w:r>
              <w:rPr>
                <w:b/>
                <w:sz w:val="22"/>
                <w:szCs w:val="22"/>
              </w:rPr>
              <w:t>Nom et prénom (s)</w:t>
            </w:r>
          </w:p>
        </w:tc>
        <w:tc>
          <w:tcPr>
            <w:tcW w:w="299" w:type="pct"/>
            <w:tcBorders/>
            <w:shd w:val="clear" w:color="auto" w:fill="d9d9d9"/>
            <w:vAlign w:val="center"/>
          </w:tcPr>
          <w:p>
            <w:pPr>
              <w:pStyle w:val="style0"/>
              <w:jc w:val="center"/>
              <w:rPr>
                <w:b/>
                <w:sz w:val="22"/>
                <w:szCs w:val="22"/>
              </w:rPr>
            </w:pPr>
            <w:r>
              <w:rPr>
                <w:b/>
                <w:sz w:val="22"/>
                <w:szCs w:val="22"/>
              </w:rPr>
              <w:t>Sexe</w:t>
            </w:r>
          </w:p>
        </w:tc>
        <w:tc>
          <w:tcPr>
            <w:tcW w:w="1554" w:type="pct"/>
            <w:tcBorders/>
            <w:shd w:val="clear" w:color="auto" w:fill="d9d9d9"/>
            <w:vAlign w:val="center"/>
          </w:tcPr>
          <w:p>
            <w:pPr>
              <w:pStyle w:val="style0"/>
              <w:jc w:val="center"/>
              <w:rPr>
                <w:b/>
                <w:sz w:val="22"/>
                <w:szCs w:val="22"/>
              </w:rPr>
            </w:pPr>
            <w:r>
              <w:rPr>
                <w:b/>
                <w:sz w:val="22"/>
                <w:szCs w:val="22"/>
              </w:rPr>
              <w:t>Profession</w:t>
            </w:r>
          </w:p>
        </w:tc>
        <w:tc>
          <w:tcPr>
            <w:tcW w:w="981" w:type="pct"/>
            <w:tcBorders/>
            <w:shd w:val="clear" w:color="auto" w:fill="d9d9d9"/>
            <w:vAlign w:val="center"/>
          </w:tcPr>
          <w:p>
            <w:pPr>
              <w:pStyle w:val="style0"/>
              <w:jc w:val="center"/>
              <w:rPr>
                <w:b/>
                <w:sz w:val="22"/>
                <w:szCs w:val="22"/>
              </w:rPr>
            </w:pPr>
            <w:r>
              <w:rPr>
                <w:b/>
                <w:sz w:val="22"/>
                <w:szCs w:val="22"/>
              </w:rPr>
              <w:t>Téléphone</w:t>
            </w:r>
          </w:p>
        </w:tc>
      </w:tr>
      <w:tr>
        <w:tblPrEx/>
        <w:trPr/>
        <w:tc>
          <w:tcPr>
            <w:tcW w:w="259" w:type="pct"/>
            <w:tcBorders/>
            <w:shd w:val="clear" w:color="auto" w:fill="auto"/>
            <w:vAlign w:val="center"/>
          </w:tcPr>
          <w:p>
            <w:pPr>
              <w:pStyle w:val="style0"/>
              <w:jc w:val="center"/>
              <w:rPr>
                <w:sz w:val="22"/>
                <w:szCs w:val="22"/>
              </w:rPr>
            </w:pPr>
            <w:r>
              <w:rPr>
                <w:sz w:val="22"/>
                <w:szCs w:val="22"/>
              </w:rPr>
              <w:t>01</w:t>
            </w:r>
          </w:p>
        </w:tc>
        <w:tc>
          <w:tcPr>
            <w:tcW w:w="1907" w:type="pct"/>
            <w:tcBorders/>
            <w:shd w:val="clear" w:color="auto" w:fill="auto"/>
            <w:vAlign w:val="center"/>
          </w:tcPr>
          <w:p>
            <w:pPr>
              <w:pStyle w:val="style0"/>
              <w:rPr>
                <w:sz w:val="22"/>
                <w:szCs w:val="22"/>
              </w:rPr>
            </w:pPr>
            <w:r>
              <w:rPr>
                <w:sz w:val="22"/>
                <w:szCs w:val="22"/>
              </w:rPr>
              <w:t>KONATE Mamadou</w:t>
            </w:r>
          </w:p>
        </w:tc>
        <w:tc>
          <w:tcPr>
            <w:tcW w:w="299" w:type="pct"/>
            <w:tcBorders/>
            <w:shd w:val="clear" w:color="auto" w:fill="auto"/>
          </w:tcPr>
          <w:p>
            <w:pPr>
              <w:pStyle w:val="style0"/>
              <w:jc w:val="center"/>
              <w:rPr>
                <w:sz w:val="22"/>
                <w:szCs w:val="22"/>
              </w:rPr>
            </w:pPr>
            <w:r>
              <w:rPr>
                <w:sz w:val="22"/>
                <w:szCs w:val="22"/>
              </w:rPr>
              <w:t>M</w:t>
            </w:r>
          </w:p>
        </w:tc>
        <w:tc>
          <w:tcPr>
            <w:tcW w:w="1554" w:type="pct"/>
            <w:tcBorders/>
            <w:shd w:val="clear" w:color="auto" w:fill="auto"/>
            <w:vAlign w:val="center"/>
          </w:tcPr>
          <w:p>
            <w:pPr>
              <w:pStyle w:val="style0"/>
              <w:rPr>
                <w:sz w:val="22"/>
                <w:szCs w:val="22"/>
              </w:rPr>
            </w:pPr>
            <w:r>
              <w:rPr>
                <w:sz w:val="22"/>
                <w:szCs w:val="22"/>
              </w:rPr>
              <w:t>CVD</w:t>
            </w:r>
          </w:p>
        </w:tc>
        <w:tc>
          <w:tcPr>
            <w:tcW w:w="981" w:type="pct"/>
            <w:tcBorders/>
            <w:shd w:val="clear" w:color="auto" w:fill="auto"/>
            <w:vAlign w:val="center"/>
          </w:tcPr>
          <w:p>
            <w:pPr>
              <w:pStyle w:val="style0"/>
              <w:jc w:val="center"/>
              <w:rPr>
                <w:sz w:val="22"/>
                <w:szCs w:val="22"/>
              </w:rPr>
            </w:pPr>
            <w:r>
              <w:rPr>
                <w:sz w:val="22"/>
                <w:szCs w:val="22"/>
              </w:rPr>
              <w:t>61 08 62 18</w:t>
            </w:r>
          </w:p>
        </w:tc>
      </w:tr>
      <w:tr>
        <w:tblPrEx/>
        <w:trPr/>
        <w:tc>
          <w:tcPr>
            <w:tcW w:w="259" w:type="pct"/>
            <w:tcBorders/>
            <w:shd w:val="clear" w:color="auto" w:fill="auto"/>
            <w:vAlign w:val="center"/>
          </w:tcPr>
          <w:p>
            <w:pPr>
              <w:pStyle w:val="style0"/>
              <w:jc w:val="center"/>
              <w:rPr>
                <w:sz w:val="22"/>
                <w:szCs w:val="22"/>
              </w:rPr>
            </w:pPr>
            <w:r>
              <w:rPr>
                <w:sz w:val="22"/>
                <w:szCs w:val="22"/>
              </w:rPr>
              <w:t>02</w:t>
            </w:r>
          </w:p>
        </w:tc>
        <w:tc>
          <w:tcPr>
            <w:tcW w:w="1907" w:type="pct"/>
            <w:tcBorders/>
            <w:shd w:val="clear" w:color="auto" w:fill="auto"/>
            <w:vAlign w:val="center"/>
          </w:tcPr>
          <w:p>
            <w:pPr>
              <w:pStyle w:val="style0"/>
              <w:rPr>
                <w:sz w:val="22"/>
                <w:szCs w:val="22"/>
                <w:lang w:val="de-DE"/>
              </w:rPr>
            </w:pPr>
            <w:r>
              <w:rPr>
                <w:sz w:val="22"/>
                <w:szCs w:val="22"/>
                <w:lang w:val="de-DE"/>
              </w:rPr>
              <w:t>SIMBRI Lasina</w:t>
            </w:r>
          </w:p>
        </w:tc>
        <w:tc>
          <w:tcPr>
            <w:tcW w:w="299" w:type="pct"/>
            <w:tcBorders/>
            <w:shd w:val="clear" w:color="auto" w:fill="auto"/>
          </w:tcPr>
          <w:p>
            <w:pPr>
              <w:pStyle w:val="style0"/>
              <w:jc w:val="center"/>
              <w:rPr>
                <w:sz w:val="22"/>
                <w:szCs w:val="22"/>
              </w:rPr>
            </w:pPr>
            <w:r>
              <w:rPr>
                <w:sz w:val="22"/>
                <w:szCs w:val="22"/>
              </w:rPr>
              <w:t>M</w:t>
            </w:r>
          </w:p>
        </w:tc>
        <w:tc>
          <w:tcPr>
            <w:tcW w:w="1554" w:type="pct"/>
            <w:tcBorders/>
            <w:shd w:val="clear" w:color="auto" w:fill="auto"/>
            <w:vAlign w:val="center"/>
          </w:tcPr>
          <w:p>
            <w:pPr>
              <w:pStyle w:val="style0"/>
              <w:rPr>
                <w:sz w:val="22"/>
                <w:szCs w:val="22"/>
              </w:rPr>
            </w:pPr>
            <w:r>
              <w:rPr>
                <w:sz w:val="22"/>
                <w:szCs w:val="22"/>
              </w:rPr>
              <w:t>Vice Président CVD</w:t>
            </w:r>
          </w:p>
        </w:tc>
        <w:tc>
          <w:tcPr>
            <w:tcW w:w="981" w:type="pct"/>
            <w:tcBorders/>
            <w:shd w:val="clear" w:color="auto" w:fill="auto"/>
            <w:vAlign w:val="center"/>
          </w:tcPr>
          <w:p>
            <w:pPr>
              <w:pStyle w:val="style0"/>
              <w:jc w:val="center"/>
              <w:rPr>
                <w:sz w:val="22"/>
                <w:szCs w:val="22"/>
              </w:rPr>
            </w:pPr>
            <w:r>
              <w:rPr>
                <w:sz w:val="22"/>
                <w:szCs w:val="22"/>
              </w:rPr>
              <w:t>77 75 53 36</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03</w:t>
            </w:r>
          </w:p>
        </w:tc>
        <w:tc>
          <w:tcPr>
            <w:tcW w:w="1907" w:type="pct"/>
            <w:tcBorders/>
            <w:shd w:val="clear" w:color="auto" w:fill="auto"/>
            <w:vAlign w:val="center"/>
          </w:tcPr>
          <w:p>
            <w:pPr>
              <w:pStyle w:val="style0"/>
              <w:rPr>
                <w:sz w:val="22"/>
                <w:szCs w:val="22"/>
                <w:lang w:val="de-DE"/>
              </w:rPr>
            </w:pPr>
            <w:r>
              <w:rPr>
                <w:sz w:val="22"/>
                <w:szCs w:val="22"/>
                <w:lang w:val="de-DE"/>
              </w:rPr>
              <w:t>KAMBIRE Tangui</w:t>
            </w:r>
          </w:p>
        </w:tc>
        <w:tc>
          <w:tcPr>
            <w:tcW w:w="299" w:type="pct"/>
            <w:tcBorders/>
            <w:shd w:val="clear" w:color="auto" w:fill="auto"/>
          </w:tcPr>
          <w:p>
            <w:pPr>
              <w:pStyle w:val="style0"/>
              <w:jc w:val="center"/>
              <w:rPr>
                <w:sz w:val="22"/>
                <w:szCs w:val="22"/>
              </w:rPr>
            </w:pPr>
            <w:r>
              <w:rPr>
                <w:sz w:val="22"/>
                <w:szCs w:val="22"/>
              </w:rPr>
              <w:t>M</w:t>
            </w:r>
          </w:p>
        </w:tc>
        <w:tc>
          <w:tcPr>
            <w:tcW w:w="1554" w:type="pct"/>
            <w:tcBorders/>
            <w:shd w:val="clear" w:color="auto" w:fill="auto"/>
            <w:vAlign w:val="center"/>
          </w:tcPr>
          <w:p>
            <w:pPr>
              <w:pStyle w:val="style0"/>
              <w:rPr>
                <w:sz w:val="22"/>
                <w:szCs w:val="22"/>
              </w:rPr>
            </w:pPr>
            <w:r>
              <w:rPr>
                <w:sz w:val="22"/>
                <w:szCs w:val="22"/>
              </w:rPr>
              <w:t>Producteur</w:t>
            </w:r>
          </w:p>
        </w:tc>
        <w:tc>
          <w:tcPr>
            <w:tcW w:w="981" w:type="pct"/>
            <w:tcBorders/>
            <w:shd w:val="clear" w:color="auto" w:fill="auto"/>
            <w:vAlign w:val="center"/>
          </w:tcPr>
          <w:p>
            <w:pPr>
              <w:pStyle w:val="style0"/>
              <w:jc w:val="center"/>
              <w:rPr>
                <w:sz w:val="22"/>
                <w:szCs w:val="22"/>
                <w:lang w:val="de-DE"/>
              </w:rPr>
            </w:pPr>
            <w:r>
              <w:rPr>
                <w:sz w:val="22"/>
                <w:szCs w:val="22"/>
                <w:lang w:val="de-DE"/>
              </w:rPr>
              <w:t>76 91 39 16</w:t>
            </w:r>
          </w:p>
        </w:tc>
      </w:tr>
      <w:tr>
        <w:tblPrEx/>
        <w:trPr/>
        <w:tc>
          <w:tcPr>
            <w:tcW w:w="259" w:type="pct"/>
            <w:tcBorders/>
            <w:shd w:val="clear" w:color="auto" w:fill="auto"/>
            <w:vAlign w:val="center"/>
          </w:tcPr>
          <w:p>
            <w:pPr>
              <w:pStyle w:val="style0"/>
              <w:jc w:val="center"/>
              <w:rPr>
                <w:sz w:val="22"/>
                <w:szCs w:val="22"/>
                <w:lang w:val="de-DE"/>
              </w:rPr>
            </w:pPr>
            <w:r>
              <w:rPr>
                <w:sz w:val="22"/>
                <w:szCs w:val="22"/>
                <w:lang w:val="de-DE"/>
              </w:rPr>
              <w:t>04</w:t>
            </w:r>
          </w:p>
        </w:tc>
        <w:tc>
          <w:tcPr>
            <w:tcW w:w="1907" w:type="pct"/>
            <w:tcBorders/>
            <w:shd w:val="clear" w:color="auto" w:fill="auto"/>
            <w:vAlign w:val="center"/>
          </w:tcPr>
          <w:p>
            <w:pPr>
              <w:pStyle w:val="style0"/>
              <w:rPr>
                <w:sz w:val="22"/>
                <w:szCs w:val="22"/>
                <w:lang w:val="de-DE"/>
              </w:rPr>
            </w:pPr>
            <w:r>
              <w:rPr>
                <w:sz w:val="22"/>
                <w:szCs w:val="22"/>
                <w:lang w:val="de-DE"/>
              </w:rPr>
              <w:t>SAO Nounbi</w:t>
            </w:r>
          </w:p>
        </w:tc>
        <w:tc>
          <w:tcPr>
            <w:tcW w:w="299" w:type="pct"/>
            <w:tcBorders/>
            <w:shd w:val="clear" w:color="auto" w:fill="auto"/>
          </w:tcPr>
          <w:p>
            <w:pPr>
              <w:pStyle w:val="style0"/>
              <w:jc w:val="center"/>
              <w:rPr>
                <w:sz w:val="22"/>
                <w:szCs w:val="22"/>
              </w:rPr>
            </w:pPr>
            <w:r>
              <w:rPr>
                <w:sz w:val="22"/>
                <w:szCs w:val="22"/>
              </w:rPr>
              <w:t>M</w:t>
            </w:r>
          </w:p>
        </w:tc>
        <w:tc>
          <w:tcPr>
            <w:tcW w:w="1554" w:type="pct"/>
            <w:tcBorders/>
            <w:shd w:val="clear" w:color="auto" w:fill="auto"/>
          </w:tcPr>
          <w:p>
            <w:pPr>
              <w:pStyle w:val="style0"/>
              <w:rPr>
                <w:sz w:val="22"/>
                <w:szCs w:val="22"/>
              </w:rPr>
            </w:pPr>
            <w:r>
              <w:rPr>
                <w:sz w:val="22"/>
                <w:szCs w:val="22"/>
              </w:rPr>
              <w:t>Producteur</w:t>
            </w:r>
          </w:p>
        </w:tc>
        <w:tc>
          <w:tcPr>
            <w:tcW w:w="981" w:type="pct"/>
            <w:tcBorders/>
            <w:shd w:val="clear" w:color="auto" w:fill="auto"/>
            <w:vAlign w:val="center"/>
          </w:tcPr>
          <w:p>
            <w:pPr>
              <w:pStyle w:val="style0"/>
              <w:jc w:val="center"/>
              <w:rPr>
                <w:sz w:val="22"/>
                <w:szCs w:val="22"/>
              </w:rPr>
            </w:pPr>
            <w:r>
              <w:rPr>
                <w:sz w:val="22"/>
                <w:szCs w:val="22"/>
              </w:rPr>
              <w:t>70 05 83 21</w:t>
            </w:r>
          </w:p>
        </w:tc>
      </w:tr>
      <w:tr>
        <w:tblPrEx/>
        <w:trPr/>
        <w:tc>
          <w:tcPr>
            <w:tcW w:w="259" w:type="pct"/>
            <w:tcBorders/>
            <w:shd w:val="clear" w:color="auto" w:fill="auto"/>
            <w:vAlign w:val="center"/>
          </w:tcPr>
          <w:p>
            <w:pPr>
              <w:pStyle w:val="style0"/>
              <w:jc w:val="center"/>
              <w:rPr>
                <w:sz w:val="22"/>
                <w:szCs w:val="22"/>
              </w:rPr>
            </w:pPr>
            <w:r>
              <w:rPr>
                <w:sz w:val="22"/>
                <w:szCs w:val="22"/>
              </w:rPr>
              <w:t>05</w:t>
            </w:r>
          </w:p>
        </w:tc>
        <w:tc>
          <w:tcPr>
            <w:tcW w:w="1907" w:type="pct"/>
            <w:tcBorders/>
            <w:shd w:val="clear" w:color="auto" w:fill="auto"/>
            <w:vAlign w:val="center"/>
          </w:tcPr>
          <w:p>
            <w:pPr>
              <w:pStyle w:val="style0"/>
              <w:rPr>
                <w:sz w:val="22"/>
                <w:szCs w:val="22"/>
                <w:lang w:val="de-DE"/>
              </w:rPr>
            </w:pPr>
            <w:r>
              <w:rPr>
                <w:sz w:val="22"/>
                <w:szCs w:val="22"/>
                <w:lang w:val="de-DE"/>
              </w:rPr>
              <w:t>SAO Salif</w:t>
            </w:r>
          </w:p>
        </w:tc>
        <w:tc>
          <w:tcPr>
            <w:tcW w:w="299" w:type="pct"/>
            <w:tcBorders/>
            <w:shd w:val="clear" w:color="auto" w:fill="auto"/>
          </w:tcPr>
          <w:p>
            <w:pPr>
              <w:pStyle w:val="style0"/>
              <w:jc w:val="center"/>
              <w:rPr>
                <w:sz w:val="22"/>
                <w:szCs w:val="22"/>
              </w:rPr>
            </w:pPr>
            <w:r>
              <w:rPr>
                <w:sz w:val="22"/>
                <w:szCs w:val="22"/>
              </w:rPr>
              <w:t>M</w:t>
            </w:r>
          </w:p>
        </w:tc>
        <w:tc>
          <w:tcPr>
            <w:tcW w:w="1554" w:type="pct"/>
            <w:tcBorders/>
            <w:shd w:val="clear" w:color="auto" w:fill="auto"/>
          </w:tcPr>
          <w:p>
            <w:pPr>
              <w:pStyle w:val="style0"/>
              <w:rPr>
                <w:sz w:val="22"/>
                <w:szCs w:val="22"/>
              </w:rPr>
            </w:pPr>
            <w:r>
              <w:rPr>
                <w:sz w:val="22"/>
                <w:szCs w:val="22"/>
              </w:rPr>
              <w:t>Producteur</w:t>
            </w:r>
          </w:p>
        </w:tc>
        <w:tc>
          <w:tcPr>
            <w:tcW w:w="981" w:type="pct"/>
            <w:tcBorders/>
            <w:shd w:val="clear" w:color="auto" w:fill="auto"/>
            <w:vAlign w:val="center"/>
          </w:tcPr>
          <w:p>
            <w:pPr>
              <w:pStyle w:val="style0"/>
              <w:jc w:val="center"/>
              <w:rPr>
                <w:sz w:val="22"/>
                <w:szCs w:val="22"/>
              </w:rPr>
            </w:pPr>
            <w:r>
              <w:rPr>
                <w:sz w:val="22"/>
                <w:szCs w:val="22"/>
              </w:rPr>
              <w:t>55 91 78 82</w:t>
            </w:r>
          </w:p>
        </w:tc>
      </w:tr>
    </w:tbl>
    <w:p>
      <w:pPr>
        <w:pStyle w:val="style0"/>
        <w:rPr>
          <w:sz w:val="22"/>
          <w:szCs w:val="22"/>
        </w:rPr>
      </w:pPr>
    </w:p>
    <w:p>
      <w:pPr>
        <w:pStyle w:val="style0"/>
        <w:rPr>
          <w:sz w:val="22"/>
          <w:szCs w:val="22"/>
        </w:rPr>
      </w:pPr>
    </w:p>
    <w:p>
      <w:pPr>
        <w:pStyle w:val="style0"/>
        <w:jc w:val="center"/>
        <w:rPr>
          <w:b/>
          <w:sz w:val="22"/>
          <w:szCs w:val="22"/>
        </w:rPr>
      </w:pPr>
      <w:r>
        <w:rPr>
          <w:b/>
          <w:sz w:val="22"/>
          <w:szCs w:val="22"/>
          <w:u w:val="dotted"/>
        </w:rPr>
        <w:t>INTITULE DU PROJET/PROGRAMME</w:t>
      </w:r>
      <w:r>
        <w:rPr>
          <w:b/>
          <w:sz w:val="22"/>
          <w:szCs w:val="22"/>
        </w:rPr>
        <w:t xml:space="preserve"> : </w:t>
      </w:r>
      <w:r>
        <w:rPr>
          <w:b/>
          <w:sz w:val="22"/>
          <w:szCs w:val="22"/>
          <w:u w:val="dotted"/>
        </w:rPr>
        <w:t>PROGRAMME DE DEVELOPPEMENT ET DE COMPETITIVITE AGRICOLE (PDCA)</w:t>
      </w:r>
    </w:p>
    <w:p>
      <w:pPr>
        <w:pStyle w:val="style0"/>
        <w:jc w:val="center"/>
        <w:rPr>
          <w:b/>
          <w:sz w:val="22"/>
          <w:szCs w:val="22"/>
        </w:rPr>
      </w:pPr>
      <w:r>
        <w:rPr>
          <w:b/>
          <w:sz w:val="22"/>
          <w:szCs w:val="22"/>
        </w:rPr>
        <w:t>LISTE DES PARTICIPANTS AUX SEANCES DE CONSULTATIONS PUBLIQUES EN VUE DE L’ELABORATION DU CGES/PGPP/CPR</w:t>
      </w:r>
    </w:p>
    <w:p>
      <w:pPr>
        <w:pStyle w:val="style0"/>
        <w:rPr>
          <w:b/>
          <w:sz w:val="22"/>
          <w:szCs w:val="22"/>
        </w:rPr>
      </w:pPr>
      <w:r>
        <w:rPr>
          <w:b/>
          <w:sz w:val="22"/>
          <w:szCs w:val="22"/>
        </w:rPr>
        <w:t xml:space="preserve">Région : </w:t>
      </w:r>
      <w:r>
        <w:rPr>
          <w:b/>
          <w:sz w:val="22"/>
          <w:szCs w:val="22"/>
          <w:u w:val="dotted"/>
        </w:rPr>
        <w:t>BOUCLE DU MOUHOUN</w:t>
      </w:r>
      <w:r>
        <w:rPr>
          <w:b/>
          <w:sz w:val="22"/>
          <w:szCs w:val="22"/>
        </w:rPr>
        <w:t>…………………………</w:t>
      </w:r>
      <w:r>
        <w:rPr>
          <w:b/>
          <w:sz w:val="22"/>
          <w:szCs w:val="22"/>
          <w:u w:val="dotted"/>
        </w:rPr>
        <w:t>Province</w:t>
      </w:r>
      <w:r>
        <w:rPr>
          <w:b/>
          <w:sz w:val="22"/>
          <w:szCs w:val="22"/>
        </w:rPr>
        <w:t xml:space="preserve"> : </w:t>
      </w:r>
      <w:r>
        <w:rPr>
          <w:b/>
          <w:sz w:val="22"/>
          <w:szCs w:val="22"/>
          <w:u w:val="dotted"/>
        </w:rPr>
        <w:t>KOSSI</w:t>
      </w:r>
      <w:r>
        <w:rPr>
          <w:b/>
          <w:sz w:val="22"/>
          <w:szCs w:val="22"/>
        </w:rPr>
        <w:t>…………………………….</w:t>
      </w:r>
      <w:r>
        <w:rPr>
          <w:b/>
          <w:sz w:val="22"/>
          <w:szCs w:val="22"/>
          <w:u w:val="dotted"/>
        </w:rPr>
        <w:t>Commune</w:t>
      </w:r>
      <w:r>
        <w:rPr>
          <w:b/>
          <w:sz w:val="22"/>
          <w:szCs w:val="22"/>
        </w:rPr>
        <w:t xml:space="preserve"> : </w:t>
      </w:r>
      <w:r>
        <w:rPr>
          <w:b/>
          <w:sz w:val="22"/>
          <w:szCs w:val="22"/>
          <w:u w:val="dotted"/>
        </w:rPr>
        <w:t>NOUNA</w:t>
      </w:r>
      <w:r>
        <w:rPr>
          <w:b/>
          <w:sz w:val="22"/>
          <w:szCs w:val="22"/>
        </w:rPr>
        <w:t>…………………………..</w:t>
      </w:r>
    </w:p>
    <w:p>
      <w:pPr>
        <w:pStyle w:val="style0"/>
        <w:rPr>
          <w:b/>
          <w:sz w:val="22"/>
          <w:szCs w:val="22"/>
        </w:rPr>
      </w:pPr>
      <w:r>
        <w:rPr>
          <w:b/>
          <w:sz w:val="22"/>
          <w:szCs w:val="22"/>
        </w:rPr>
        <w:t xml:space="preserve">Village : </w:t>
      </w:r>
      <w:r>
        <w:rPr>
          <w:b/>
          <w:sz w:val="22"/>
          <w:szCs w:val="22"/>
          <w:u w:val="dotted"/>
        </w:rPr>
        <w:t>NOUNA</w:t>
      </w:r>
      <w:r>
        <w:rPr>
          <w:b/>
          <w:sz w:val="22"/>
          <w:szCs w:val="22"/>
        </w:rPr>
        <w:t xml:space="preserve">………………………….Date : </w:t>
      </w:r>
      <w:r>
        <w:rPr>
          <w:b/>
          <w:sz w:val="22"/>
          <w:szCs w:val="22"/>
          <w:u w:val="dotted"/>
        </w:rPr>
        <w:t>11/01/2019</w:t>
      </w:r>
      <w:r>
        <w:rPr>
          <w:b/>
          <w:sz w:val="22"/>
          <w:szCs w:val="22"/>
        </w:rPr>
        <w:t>………………… Groupes cibles : Services techniques, Mairie/Préfectures…</w:t>
      </w:r>
    </w:p>
    <w:p>
      <w:pPr>
        <w:pStyle w:val="style0"/>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3534"/>
        <w:gridCol w:w="949"/>
        <w:gridCol w:w="4782"/>
        <w:gridCol w:w="4030"/>
      </w:tblGrid>
      <w:tr>
        <w:trPr>
          <w:tblHeader/>
        </w:trPr>
        <w:tc>
          <w:tcPr>
            <w:tcW w:w="249" w:type="pct"/>
            <w:tcBorders/>
            <w:shd w:val="clear" w:color="auto" w:fill="d9d9d9"/>
            <w:vAlign w:val="center"/>
          </w:tcPr>
          <w:p>
            <w:pPr>
              <w:pStyle w:val="style0"/>
              <w:jc w:val="center"/>
              <w:rPr>
                <w:b/>
                <w:sz w:val="22"/>
                <w:szCs w:val="22"/>
              </w:rPr>
            </w:pPr>
            <w:r>
              <w:rPr>
                <w:b/>
                <w:sz w:val="22"/>
                <w:szCs w:val="22"/>
              </w:rPr>
              <w:t>N°</w:t>
            </w:r>
          </w:p>
        </w:tc>
        <w:tc>
          <w:tcPr>
            <w:tcW w:w="1263" w:type="pct"/>
            <w:tcBorders/>
            <w:shd w:val="clear" w:color="auto" w:fill="d9d9d9"/>
            <w:vAlign w:val="center"/>
          </w:tcPr>
          <w:p>
            <w:pPr>
              <w:pStyle w:val="style0"/>
              <w:rPr>
                <w:b/>
                <w:sz w:val="22"/>
                <w:szCs w:val="22"/>
              </w:rPr>
            </w:pPr>
            <w:r>
              <w:rPr>
                <w:b/>
                <w:sz w:val="22"/>
                <w:szCs w:val="22"/>
              </w:rPr>
              <w:t>Nom et prénom (s)</w:t>
            </w:r>
          </w:p>
        </w:tc>
        <w:tc>
          <w:tcPr>
            <w:tcW w:w="339" w:type="pct"/>
            <w:tcBorders/>
            <w:shd w:val="clear" w:color="auto" w:fill="d9d9d9"/>
            <w:vAlign w:val="center"/>
          </w:tcPr>
          <w:p>
            <w:pPr>
              <w:pStyle w:val="style0"/>
              <w:rPr>
                <w:b/>
                <w:sz w:val="22"/>
                <w:szCs w:val="22"/>
              </w:rPr>
            </w:pPr>
            <w:r>
              <w:rPr>
                <w:b/>
                <w:sz w:val="22"/>
                <w:szCs w:val="22"/>
              </w:rPr>
              <w:t>Sexe</w:t>
            </w:r>
          </w:p>
        </w:tc>
        <w:tc>
          <w:tcPr>
            <w:tcW w:w="1709" w:type="pct"/>
            <w:tcBorders/>
            <w:shd w:val="clear" w:color="auto" w:fill="d9d9d9"/>
            <w:vAlign w:val="center"/>
          </w:tcPr>
          <w:p>
            <w:pPr>
              <w:pStyle w:val="style0"/>
              <w:rPr>
                <w:b/>
                <w:sz w:val="22"/>
                <w:szCs w:val="22"/>
              </w:rPr>
            </w:pPr>
            <w:r>
              <w:rPr>
                <w:b/>
                <w:sz w:val="22"/>
                <w:szCs w:val="22"/>
              </w:rPr>
              <w:t>Profession</w:t>
            </w:r>
          </w:p>
        </w:tc>
        <w:tc>
          <w:tcPr>
            <w:tcW w:w="1440" w:type="pct"/>
            <w:tcBorders/>
            <w:shd w:val="clear" w:color="auto" w:fill="d9d9d9"/>
            <w:vAlign w:val="center"/>
          </w:tcPr>
          <w:p>
            <w:pPr>
              <w:pStyle w:val="style0"/>
              <w:rPr>
                <w:b/>
                <w:sz w:val="22"/>
                <w:szCs w:val="22"/>
              </w:rPr>
            </w:pPr>
            <w:r>
              <w:rPr>
                <w:b/>
                <w:sz w:val="22"/>
                <w:szCs w:val="22"/>
              </w:rPr>
              <w:t>Téléphone</w:t>
            </w:r>
          </w:p>
        </w:tc>
      </w:tr>
      <w:tr>
        <w:tblPrEx/>
        <w:trPr/>
        <w:tc>
          <w:tcPr>
            <w:tcW w:w="249" w:type="pct"/>
            <w:tcBorders/>
            <w:shd w:val="clear" w:color="auto" w:fill="auto"/>
            <w:vAlign w:val="center"/>
          </w:tcPr>
          <w:p>
            <w:pPr>
              <w:pStyle w:val="style0"/>
              <w:jc w:val="center"/>
              <w:rPr>
                <w:sz w:val="22"/>
                <w:szCs w:val="22"/>
              </w:rPr>
            </w:pPr>
            <w:r>
              <w:rPr>
                <w:sz w:val="22"/>
                <w:szCs w:val="22"/>
              </w:rPr>
              <w:t>06</w:t>
            </w:r>
          </w:p>
        </w:tc>
        <w:tc>
          <w:tcPr>
            <w:tcW w:w="1263" w:type="pct"/>
            <w:tcBorders/>
            <w:shd w:val="clear" w:color="auto" w:fill="auto"/>
            <w:vAlign w:val="center"/>
          </w:tcPr>
          <w:p>
            <w:pPr>
              <w:pStyle w:val="style0"/>
              <w:rPr>
                <w:sz w:val="22"/>
                <w:szCs w:val="22"/>
              </w:rPr>
            </w:pPr>
            <w:r>
              <w:rPr>
                <w:sz w:val="22"/>
                <w:szCs w:val="22"/>
              </w:rPr>
              <w:t>DEMBELE Bazani</w:t>
            </w:r>
          </w:p>
        </w:tc>
        <w:tc>
          <w:tcPr>
            <w:tcW w:w="339" w:type="pct"/>
            <w:tcBorders/>
            <w:shd w:val="clear" w:color="auto" w:fill="auto"/>
          </w:tcPr>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rPr>
            </w:pPr>
            <w:r>
              <w:rPr>
                <w:sz w:val="22"/>
                <w:szCs w:val="22"/>
              </w:rPr>
              <w:t>Agronome DPAAH/Kossi</w:t>
            </w:r>
          </w:p>
        </w:tc>
        <w:tc>
          <w:tcPr>
            <w:tcW w:w="1440" w:type="pct"/>
            <w:tcBorders/>
            <w:shd w:val="clear" w:color="auto" w:fill="auto"/>
            <w:vAlign w:val="center"/>
          </w:tcPr>
          <w:p>
            <w:pPr>
              <w:pStyle w:val="style0"/>
              <w:jc w:val="center"/>
              <w:rPr>
                <w:sz w:val="22"/>
                <w:szCs w:val="22"/>
              </w:rPr>
            </w:pPr>
            <w:r>
              <w:rPr/>
              <w:fldChar w:fldCharType="begin"/>
            </w:r>
            <w:r>
              <w:instrText xml:space="preserve"> HYPERLINK "mailto:bazani_@yahoo.fr" </w:instrText>
            </w:r>
            <w:r>
              <w:rPr/>
              <w:fldChar w:fldCharType="separate"/>
            </w:r>
            <w:r>
              <w:rPr>
                <w:rStyle w:val="style85"/>
                <w:sz w:val="22"/>
                <w:szCs w:val="22"/>
              </w:rPr>
              <w:t>bazani_@yahoo.fr</w:t>
            </w:r>
            <w:r>
              <w:rPr/>
              <w:fldChar w:fldCharType="end"/>
            </w:r>
          </w:p>
          <w:p>
            <w:pPr>
              <w:pStyle w:val="style0"/>
              <w:jc w:val="center"/>
              <w:rPr>
                <w:sz w:val="22"/>
                <w:szCs w:val="22"/>
              </w:rPr>
            </w:pPr>
            <w:r>
              <w:rPr>
                <w:sz w:val="22"/>
                <w:szCs w:val="22"/>
              </w:rPr>
              <w:t>70 11 09 22</w:t>
            </w:r>
          </w:p>
        </w:tc>
      </w:tr>
      <w:tr>
        <w:tblPrEx/>
        <w:trPr/>
        <w:tc>
          <w:tcPr>
            <w:tcW w:w="249" w:type="pct"/>
            <w:tcBorders/>
            <w:shd w:val="clear" w:color="auto" w:fill="auto"/>
            <w:vAlign w:val="center"/>
          </w:tcPr>
          <w:p>
            <w:pPr>
              <w:pStyle w:val="style0"/>
              <w:jc w:val="center"/>
              <w:rPr>
                <w:sz w:val="22"/>
                <w:szCs w:val="22"/>
              </w:rPr>
            </w:pPr>
            <w:r>
              <w:rPr>
                <w:sz w:val="22"/>
                <w:szCs w:val="22"/>
              </w:rPr>
              <w:t>07</w:t>
            </w:r>
          </w:p>
        </w:tc>
        <w:tc>
          <w:tcPr>
            <w:tcW w:w="1263" w:type="pct"/>
            <w:tcBorders/>
            <w:shd w:val="clear" w:color="auto" w:fill="auto"/>
            <w:vAlign w:val="center"/>
          </w:tcPr>
          <w:p>
            <w:pPr>
              <w:pStyle w:val="style0"/>
              <w:rPr>
                <w:sz w:val="22"/>
                <w:szCs w:val="22"/>
                <w:lang w:val="de-DE"/>
              </w:rPr>
            </w:pPr>
            <w:r>
              <w:rPr>
                <w:sz w:val="22"/>
                <w:szCs w:val="22"/>
                <w:lang w:val="de-DE"/>
              </w:rPr>
              <w:t>KARAMBIRI René</w:t>
            </w:r>
          </w:p>
        </w:tc>
        <w:tc>
          <w:tcPr>
            <w:tcW w:w="339" w:type="pct"/>
            <w:tcBorders/>
            <w:shd w:val="clear" w:color="auto" w:fill="auto"/>
          </w:tcPr>
          <w:p>
            <w:pPr>
              <w:pStyle w:val="style0"/>
              <w:jc w:val="center"/>
              <w:rPr>
                <w:sz w:val="22"/>
                <w:szCs w:val="22"/>
                <w:lang w:val="de-DE"/>
              </w:rPr>
            </w:pPr>
          </w:p>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rPr>
            </w:pPr>
            <w:r>
              <w:rPr>
                <w:sz w:val="22"/>
                <w:szCs w:val="22"/>
              </w:rPr>
              <w:t xml:space="preserve">Administrateur civil </w:t>
            </w:r>
          </w:p>
          <w:p>
            <w:pPr>
              <w:pStyle w:val="style0"/>
              <w:rPr>
                <w:sz w:val="22"/>
                <w:szCs w:val="22"/>
              </w:rPr>
            </w:pPr>
            <w:r>
              <w:rPr>
                <w:sz w:val="22"/>
                <w:szCs w:val="22"/>
              </w:rPr>
              <w:t>Rep</w:t>
            </w:r>
            <w:r>
              <w:rPr>
                <w:sz w:val="22"/>
                <w:szCs w:val="22"/>
              </w:rPr>
              <w:t>résentant HC Kossi</w:t>
            </w:r>
          </w:p>
        </w:tc>
        <w:tc>
          <w:tcPr>
            <w:tcW w:w="1440" w:type="pct"/>
            <w:tcBorders/>
            <w:shd w:val="clear" w:color="auto" w:fill="auto"/>
            <w:vAlign w:val="center"/>
          </w:tcPr>
          <w:p>
            <w:pPr>
              <w:pStyle w:val="style0"/>
              <w:jc w:val="center"/>
              <w:rPr>
                <w:sz w:val="22"/>
                <w:szCs w:val="22"/>
              </w:rPr>
            </w:pPr>
            <w:r>
              <w:rPr>
                <w:sz w:val="22"/>
                <w:szCs w:val="22"/>
              </w:rPr>
              <w:t>70 40 02 34</w:t>
            </w:r>
          </w:p>
        </w:tc>
      </w:tr>
      <w:tr>
        <w:tblPrEx/>
        <w:trPr/>
        <w:tc>
          <w:tcPr>
            <w:tcW w:w="249" w:type="pct"/>
            <w:tcBorders/>
            <w:shd w:val="clear" w:color="auto" w:fill="auto"/>
            <w:vAlign w:val="center"/>
          </w:tcPr>
          <w:p>
            <w:pPr>
              <w:pStyle w:val="style0"/>
              <w:jc w:val="center"/>
              <w:rPr>
                <w:sz w:val="22"/>
                <w:szCs w:val="22"/>
                <w:lang w:val="de-DE"/>
              </w:rPr>
            </w:pPr>
            <w:r>
              <w:rPr>
                <w:sz w:val="22"/>
                <w:szCs w:val="22"/>
                <w:lang w:val="de-DE"/>
              </w:rPr>
              <w:t>08</w:t>
            </w:r>
          </w:p>
        </w:tc>
        <w:tc>
          <w:tcPr>
            <w:tcW w:w="1263" w:type="pct"/>
            <w:tcBorders/>
            <w:shd w:val="clear" w:color="auto" w:fill="auto"/>
            <w:vAlign w:val="center"/>
          </w:tcPr>
          <w:p>
            <w:pPr>
              <w:pStyle w:val="style0"/>
              <w:rPr>
                <w:sz w:val="22"/>
                <w:szCs w:val="22"/>
                <w:lang w:val="de-DE"/>
              </w:rPr>
            </w:pPr>
            <w:r>
              <w:rPr>
                <w:sz w:val="22"/>
                <w:szCs w:val="22"/>
                <w:lang w:val="de-DE"/>
              </w:rPr>
              <w:t>GO Drissa</w:t>
            </w:r>
          </w:p>
        </w:tc>
        <w:tc>
          <w:tcPr>
            <w:tcW w:w="339" w:type="pct"/>
            <w:tcBorders/>
            <w:shd w:val="clear" w:color="auto" w:fill="auto"/>
          </w:tcPr>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lang w:val="de-DE"/>
              </w:rPr>
            </w:pPr>
            <w:r>
              <w:rPr>
                <w:sz w:val="22"/>
                <w:szCs w:val="22"/>
                <w:lang w:val="de-DE"/>
              </w:rPr>
              <w:t>Forestier DPEEVCC Kossi</w:t>
            </w:r>
          </w:p>
        </w:tc>
        <w:tc>
          <w:tcPr>
            <w:tcW w:w="1440" w:type="pct"/>
            <w:tcBorders/>
            <w:shd w:val="clear" w:color="auto" w:fill="auto"/>
            <w:vAlign w:val="center"/>
          </w:tcPr>
          <w:p>
            <w:pPr>
              <w:pStyle w:val="style0"/>
              <w:jc w:val="center"/>
              <w:rPr>
                <w:sz w:val="22"/>
                <w:szCs w:val="22"/>
                <w:lang w:val="de-DE"/>
              </w:rPr>
            </w:pPr>
            <w:r>
              <w:rPr/>
              <w:fldChar w:fldCharType="begin"/>
            </w:r>
            <w:r>
              <w:instrText xml:space="preserve"> HYPERLINK "mailto:zomagodrissa7@gmail.com" </w:instrText>
            </w:r>
            <w:r>
              <w:rPr/>
              <w:fldChar w:fldCharType="separate"/>
            </w:r>
            <w:r>
              <w:rPr>
                <w:rStyle w:val="style85"/>
                <w:sz w:val="22"/>
                <w:szCs w:val="22"/>
                <w:lang w:val="de-DE"/>
              </w:rPr>
              <w:t>zomagodrissa7@gmail.com</w:t>
            </w:r>
            <w:r>
              <w:rPr/>
              <w:fldChar w:fldCharType="end"/>
            </w:r>
            <w:r>
              <w:rPr>
                <w:sz w:val="22"/>
                <w:szCs w:val="22"/>
                <w:lang w:val="de-DE"/>
              </w:rPr>
              <w:t xml:space="preserve"> 70 16 82 53</w:t>
            </w:r>
          </w:p>
        </w:tc>
      </w:tr>
      <w:tr>
        <w:tblPrEx/>
        <w:trPr/>
        <w:tc>
          <w:tcPr>
            <w:tcW w:w="249" w:type="pct"/>
            <w:tcBorders/>
            <w:shd w:val="clear" w:color="auto" w:fill="auto"/>
            <w:vAlign w:val="center"/>
          </w:tcPr>
          <w:p>
            <w:pPr>
              <w:pStyle w:val="style0"/>
              <w:jc w:val="center"/>
              <w:rPr>
                <w:sz w:val="22"/>
                <w:szCs w:val="22"/>
                <w:lang w:val="de-DE"/>
              </w:rPr>
            </w:pPr>
            <w:r>
              <w:rPr>
                <w:sz w:val="22"/>
                <w:szCs w:val="22"/>
                <w:lang w:val="de-DE"/>
              </w:rPr>
              <w:t>09</w:t>
            </w:r>
          </w:p>
        </w:tc>
        <w:tc>
          <w:tcPr>
            <w:tcW w:w="1263" w:type="pct"/>
            <w:tcBorders/>
            <w:shd w:val="clear" w:color="auto" w:fill="auto"/>
            <w:vAlign w:val="center"/>
          </w:tcPr>
          <w:p>
            <w:pPr>
              <w:pStyle w:val="style0"/>
              <w:rPr>
                <w:sz w:val="22"/>
                <w:szCs w:val="22"/>
                <w:lang w:val="de-DE"/>
              </w:rPr>
            </w:pPr>
            <w:r>
              <w:rPr>
                <w:sz w:val="22"/>
                <w:szCs w:val="22"/>
                <w:lang w:val="de-DE"/>
              </w:rPr>
              <w:t>COULIBALY Issouf</w:t>
            </w:r>
          </w:p>
        </w:tc>
        <w:tc>
          <w:tcPr>
            <w:tcW w:w="339" w:type="pct"/>
            <w:tcBorders/>
            <w:shd w:val="clear" w:color="auto" w:fill="auto"/>
          </w:tcPr>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lang w:val="de-DE"/>
              </w:rPr>
            </w:pPr>
            <w:r>
              <w:rPr>
                <w:sz w:val="22"/>
                <w:szCs w:val="22"/>
                <w:lang w:val="de-DE"/>
              </w:rPr>
              <w:t xml:space="preserve">Conseiller d’Elevage </w:t>
            </w:r>
          </w:p>
          <w:p>
            <w:pPr>
              <w:pStyle w:val="style0"/>
              <w:rPr>
                <w:sz w:val="22"/>
                <w:szCs w:val="22"/>
                <w:lang w:val="de-DE"/>
              </w:rPr>
            </w:pPr>
            <w:r>
              <w:rPr>
                <w:sz w:val="22"/>
                <w:szCs w:val="22"/>
                <w:lang w:val="de-DE"/>
              </w:rPr>
              <w:t>Service Production</w:t>
            </w:r>
          </w:p>
        </w:tc>
        <w:tc>
          <w:tcPr>
            <w:tcW w:w="1440" w:type="pct"/>
            <w:tcBorders/>
            <w:shd w:val="clear" w:color="auto" w:fill="auto"/>
            <w:vAlign w:val="center"/>
          </w:tcPr>
          <w:p>
            <w:pPr>
              <w:pStyle w:val="style0"/>
              <w:jc w:val="center"/>
              <w:rPr>
                <w:sz w:val="22"/>
                <w:szCs w:val="22"/>
              </w:rPr>
            </w:pPr>
            <w:r>
              <w:rPr>
                <w:sz w:val="22"/>
                <w:szCs w:val="22"/>
              </w:rPr>
              <w:t>72 87 16 17</w:t>
            </w:r>
          </w:p>
          <w:p>
            <w:pPr>
              <w:pStyle w:val="style0"/>
              <w:jc w:val="center"/>
              <w:rPr>
                <w:sz w:val="22"/>
                <w:szCs w:val="22"/>
              </w:rPr>
            </w:pPr>
            <w:r>
              <w:rPr>
                <w:sz w:val="22"/>
                <w:szCs w:val="22"/>
              </w:rPr>
              <w:t>issouf_85@yahoo.fr</w:t>
            </w:r>
          </w:p>
        </w:tc>
      </w:tr>
      <w:tr>
        <w:tblPrEx/>
        <w:trPr/>
        <w:tc>
          <w:tcPr>
            <w:tcW w:w="249" w:type="pct"/>
            <w:tcBorders/>
            <w:shd w:val="clear" w:color="auto" w:fill="auto"/>
            <w:vAlign w:val="center"/>
          </w:tcPr>
          <w:p>
            <w:pPr>
              <w:pStyle w:val="style0"/>
              <w:jc w:val="center"/>
              <w:rPr>
                <w:sz w:val="22"/>
                <w:szCs w:val="22"/>
                <w:lang w:val="de-DE"/>
              </w:rPr>
            </w:pPr>
            <w:r>
              <w:rPr>
                <w:sz w:val="22"/>
                <w:szCs w:val="22"/>
                <w:lang w:val="de-DE"/>
              </w:rPr>
              <w:t>10</w:t>
            </w:r>
          </w:p>
        </w:tc>
        <w:tc>
          <w:tcPr>
            <w:tcW w:w="1263" w:type="pct"/>
            <w:tcBorders/>
            <w:shd w:val="clear" w:color="auto" w:fill="auto"/>
            <w:vAlign w:val="center"/>
          </w:tcPr>
          <w:p>
            <w:pPr>
              <w:pStyle w:val="style0"/>
              <w:rPr>
                <w:sz w:val="22"/>
                <w:szCs w:val="22"/>
                <w:lang w:val="de-DE"/>
              </w:rPr>
            </w:pPr>
            <w:r>
              <w:rPr>
                <w:sz w:val="22"/>
                <w:szCs w:val="22"/>
                <w:lang w:val="de-DE"/>
              </w:rPr>
              <w:t>GNOUMOU Casimir</w:t>
            </w:r>
          </w:p>
        </w:tc>
        <w:tc>
          <w:tcPr>
            <w:tcW w:w="339" w:type="pct"/>
            <w:tcBorders/>
            <w:shd w:val="clear" w:color="auto" w:fill="auto"/>
          </w:tcPr>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rPr>
            </w:pPr>
            <w:r>
              <w:rPr>
                <w:sz w:val="22"/>
                <w:szCs w:val="22"/>
              </w:rPr>
              <w:t xml:space="preserve">Technicien Supérieur </w:t>
            </w:r>
          </w:p>
          <w:p>
            <w:pPr>
              <w:pStyle w:val="style0"/>
              <w:rPr>
                <w:sz w:val="22"/>
                <w:szCs w:val="22"/>
              </w:rPr>
            </w:pPr>
            <w:r>
              <w:rPr>
                <w:sz w:val="22"/>
                <w:szCs w:val="22"/>
              </w:rPr>
              <w:t xml:space="preserve">d’Elevage Régisseur </w:t>
            </w:r>
          </w:p>
        </w:tc>
        <w:tc>
          <w:tcPr>
            <w:tcW w:w="1440" w:type="pct"/>
            <w:tcBorders/>
            <w:shd w:val="clear" w:color="auto" w:fill="auto"/>
            <w:vAlign w:val="center"/>
          </w:tcPr>
          <w:p>
            <w:pPr>
              <w:pStyle w:val="style0"/>
              <w:jc w:val="center"/>
              <w:rPr>
                <w:sz w:val="22"/>
                <w:szCs w:val="22"/>
              </w:rPr>
            </w:pPr>
            <w:r>
              <w:rPr>
                <w:sz w:val="22"/>
                <w:szCs w:val="22"/>
              </w:rPr>
              <w:t>70 44 40 04</w:t>
            </w:r>
          </w:p>
        </w:tc>
      </w:tr>
      <w:tr>
        <w:tblPrEx/>
        <w:trPr/>
        <w:tc>
          <w:tcPr>
            <w:tcW w:w="249" w:type="pct"/>
            <w:tcBorders/>
            <w:shd w:val="clear" w:color="auto" w:fill="auto"/>
            <w:vAlign w:val="center"/>
          </w:tcPr>
          <w:p>
            <w:pPr>
              <w:pStyle w:val="style0"/>
              <w:jc w:val="center"/>
              <w:rPr>
                <w:sz w:val="22"/>
                <w:szCs w:val="22"/>
                <w:lang w:val="de-DE"/>
              </w:rPr>
            </w:pPr>
            <w:r>
              <w:rPr>
                <w:sz w:val="22"/>
                <w:szCs w:val="22"/>
                <w:lang w:val="de-DE"/>
              </w:rPr>
              <w:t>11</w:t>
            </w:r>
          </w:p>
        </w:tc>
        <w:tc>
          <w:tcPr>
            <w:tcW w:w="1263" w:type="pct"/>
            <w:tcBorders/>
            <w:shd w:val="clear" w:color="auto" w:fill="auto"/>
            <w:vAlign w:val="center"/>
          </w:tcPr>
          <w:p>
            <w:pPr>
              <w:pStyle w:val="style0"/>
              <w:rPr>
                <w:sz w:val="22"/>
                <w:szCs w:val="22"/>
                <w:lang w:val="de-DE"/>
              </w:rPr>
            </w:pPr>
            <w:r>
              <w:rPr>
                <w:sz w:val="22"/>
                <w:szCs w:val="22"/>
                <w:lang w:val="de-DE"/>
              </w:rPr>
              <w:t>KABORE Sébastien</w:t>
            </w:r>
          </w:p>
        </w:tc>
        <w:tc>
          <w:tcPr>
            <w:tcW w:w="339" w:type="pct"/>
            <w:tcBorders/>
            <w:shd w:val="clear" w:color="auto" w:fill="auto"/>
          </w:tcPr>
          <w:p>
            <w:pPr>
              <w:pStyle w:val="style0"/>
              <w:jc w:val="center"/>
              <w:rPr>
                <w:sz w:val="22"/>
                <w:szCs w:val="22"/>
              </w:rPr>
            </w:pPr>
            <w:r>
              <w:rPr>
                <w:sz w:val="22"/>
                <w:szCs w:val="22"/>
                <w:lang w:val="de-DE"/>
              </w:rPr>
              <w:t>M</w:t>
            </w:r>
          </w:p>
        </w:tc>
        <w:tc>
          <w:tcPr>
            <w:tcW w:w="1709" w:type="pct"/>
            <w:tcBorders/>
            <w:shd w:val="clear" w:color="auto" w:fill="auto"/>
            <w:vAlign w:val="center"/>
          </w:tcPr>
          <w:p>
            <w:pPr>
              <w:pStyle w:val="style0"/>
              <w:rPr>
                <w:sz w:val="22"/>
                <w:szCs w:val="22"/>
              </w:rPr>
            </w:pPr>
            <w:r>
              <w:rPr>
                <w:sz w:val="22"/>
                <w:szCs w:val="22"/>
              </w:rPr>
              <w:t>Préfet/Sono</w:t>
            </w:r>
          </w:p>
        </w:tc>
        <w:tc>
          <w:tcPr>
            <w:tcW w:w="1440" w:type="pct"/>
            <w:tcBorders/>
            <w:shd w:val="clear" w:color="auto" w:fill="auto"/>
            <w:vAlign w:val="center"/>
          </w:tcPr>
          <w:p>
            <w:pPr>
              <w:pStyle w:val="style0"/>
              <w:jc w:val="center"/>
              <w:rPr>
                <w:sz w:val="22"/>
                <w:szCs w:val="22"/>
              </w:rPr>
            </w:pPr>
            <w:r>
              <w:rPr>
                <w:sz w:val="22"/>
                <w:szCs w:val="22"/>
              </w:rPr>
              <w:t>70 68 15 61</w:t>
            </w:r>
          </w:p>
        </w:tc>
      </w:tr>
    </w:tbl>
    <w:p>
      <w:pPr>
        <w:pStyle w:val="style0"/>
        <w:rPr>
          <w:sz w:val="22"/>
          <w:szCs w:val="22"/>
        </w:rPr>
      </w:pPr>
    </w:p>
    <w:p>
      <w:pPr>
        <w:pStyle w:val="style0"/>
        <w:rPr>
          <w:rFonts w:eastAsia="Calibri"/>
        </w:rPr>
      </w:pPr>
    </w:p>
    <w:sectPr>
      <w:pgSz w:w="16838" w:h="11906" w:orient="landscape"/>
      <w:pgMar w:top="1418" w:right="1418" w:bottom="1418" w:left="141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Calibri">
    <w:altName w:val="Calibri"/>
    <w:panose1 w:val="020f0502020002030204"/>
    <w:charset w:val="00"/>
    <w:family w:val="swiss"/>
    <w:pitch w:val="variable"/>
    <w:sig w:usb0="E0002AFF" w:usb1="C000247B"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entury Gothic">
    <w:altName w:val="Century Gothic"/>
    <w:panose1 w:val="020b0502020002020204"/>
    <w:charset w:val="00"/>
    <w:family w:val="swiss"/>
    <w:pitch w:val="variable"/>
    <w:sig w:usb0="00000287" w:usb1="00000000" w:usb2="00000000" w:usb3="00000000" w:csb0="0000009F" w:csb1="00000000"/>
  </w:font>
  <w:font w:name="Garamond">
    <w:altName w:val="Garamond"/>
    <w:panose1 w:val="02020404030003010803"/>
    <w:charset w:val="00"/>
    <w:family w:val="roman"/>
    <w:pitch w:val="variable"/>
    <w:sig w:usb0="00000287" w:usb1="00000000" w:usb2="00000000" w:usb3="00000000" w:csb0="0000009F" w:csb1="00000000"/>
  </w:font>
  <w:font w:name="Arial Unicode MS">
    <w:altName w:val="Arial Unicode MS"/>
    <w:panose1 w:val="020b0604020002020204"/>
    <w:charset w:val="80"/>
    <w:family w:val="swiss"/>
    <w:pitch w:val="variable"/>
    <w:sig w:usb0="F7FFAFFF" w:usb1="E9DFFFFF" w:usb2="0000003F" w:usb3="00000000" w:csb0="003F01FF" w:csb1="00000000"/>
  </w:font>
  <w:font w:name="Comic Sans MS">
    <w:altName w:val="Comic Sans MS"/>
    <w:panose1 w:val="030f0702030003020204"/>
    <w:charset w:val="00"/>
    <w:family w:val="script"/>
    <w:pitch w:val="variable"/>
    <w:sig w:usb0="00000287" w:usb1="00000013"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Book Antiqua">
    <w:altName w:val="Book Antiqua"/>
    <w:panose1 w:val="02040602050003030304"/>
    <w:charset w:val="00"/>
    <w:family w:val="roman"/>
    <w:pitch w:val="variable"/>
    <w:sig w:usb0="00000287" w:usb1="00000000" w:usb2="00000000" w:usb3="00000000" w:csb0="0000009F" w:csb1="00000000"/>
  </w:font>
  <w:font w:name="Verdana">
    <w:altName w:val="Verdana"/>
    <w:panose1 w:val="020b0604030005040204"/>
    <w:charset w:val="00"/>
    <w:family w:val="swiss"/>
    <w:pitch w:val="variable"/>
    <w:sig w:usb0="A10006FF" w:usb1="4000205B" w:usb2="00000010" w:usb3="00000000" w:csb0="0000019F" w:csb1="00000000"/>
  </w:font>
  <w:font w:name="Maiandra GD">
    <w:altName w:val="Maiandra GD"/>
    <w:panose1 w:val="020e0502030003020204"/>
    <w:charset w:val="00"/>
    <w:family w:val="swiss"/>
    <w:pitch w:val="variable"/>
    <w:sig w:usb0="00000003" w:usb1="00000000" w:usb2="00000000" w:usb3="00000000" w:csb0="00000001" w:csb1="00000000"/>
  </w:font>
  <w:font w:name="Trebuchet MS">
    <w:altName w:val="Trebuchet MS"/>
    <w:panose1 w:val="020b0603020002020204"/>
    <w:charset w:val="00"/>
    <w:family w:val="swiss"/>
    <w:pitch w:val="variable"/>
    <w:sig w:usb0="00000687" w:usb1="00000000" w:usb2="00000000" w:usb3="00000000" w:csb0="0000009F" w:csb1="00000000"/>
  </w:font>
  <w:font w:name="Batang">
    <w:altName w:val="바탕"/>
    <w:panose1 w:val="02030600000001010101"/>
    <w:charset w:val="81"/>
    <w:family w:val="roman"/>
    <w:pitch w:val="variable"/>
    <w:sig w:usb0="B00002AF" w:usb1="69D77CFB" w:usb2="00000030" w:usb3="00000000" w:csb0="0008009F" w:csb1="00000000"/>
  </w:font>
  <w:font w:name="Century Schoolbook">
    <w:altName w:val="Century Schoolbook"/>
    <w:panose1 w:val="02040604050005020304"/>
    <w:charset w:val="00"/>
    <w:family w:val="roman"/>
    <w:pitch w:val="variable"/>
    <w:sig w:usb0="00000287" w:usb1="00000000" w:usb2="00000000" w:usb3="00000000" w:csb0="0000009F" w:csb1="00000000"/>
  </w:font>
  <w:font w:name="Cambria">
    <w:altName w:val="Cambria"/>
    <w:panose1 w:val="02040503050004030204"/>
    <w:charset w:val="00"/>
    <w:family w:val="roman"/>
    <w:pitch w:val="variable"/>
    <w:sig w:usb0="E00006FF" w:usb1="400004FF" w:usb2="00000000" w:usb3="00000000" w:csb0="0000019F" w:csb1="00000000"/>
  </w:font>
  <w:font w:name="Arial Narrow">
    <w:altName w:val="Arial Narrow"/>
    <w:panose1 w:val="020b0606020002030204"/>
    <w:charset w:val="00"/>
    <w:family w:val="swiss"/>
    <w:pitch w:val="variable"/>
    <w:sig w:usb0="00000287" w:usb1="00000800" w:usb2="00000000" w:usb3="00000000" w:csb0="0000009F" w:csb1="00000000"/>
  </w:font>
  <w:font w:name="KLKDLB+Garamond">
    <w:altName w:val="Garamond"/>
    <w:panose1 w:val="00000000000000000000"/>
    <w:charset w:val="00"/>
    <w:family w:val="roman"/>
    <w:pitch w:val="default"/>
    <w:sig w:usb0="00000003" w:usb1="00000000" w:usb2="00000000" w:usb3="00000000" w:csb0="00000001" w:csb1="00000000"/>
  </w:font>
  <w:font w:name="Univers (W1)">
    <w:altName w:val="Arial"/>
    <w:panose1 w:val="000000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auto"/>
    <w:pitch w:val="variable"/>
    <w:sig w:usb0="E0002AEF" w:usb1="C0007841" w:usb2="00000009" w:usb3="00000000" w:csb0="000001FF" w:csb1="00000000"/>
  </w:font>
  <w:font w:name="Times">
    <w:altName w:val="Times"/>
    <w:panose1 w:val="02020603050004020304"/>
    <w:charset w:val="00"/>
    <w:family w:val="auto"/>
    <w:pitch w:val="variable"/>
    <w:sig w:usb0="E00002FF" w:usb1="5000205A" w:usb2="00000000" w:usb3="00000000" w:csb0="0000019F" w:csb1="00000000"/>
  </w:font>
  <w:font w:name="MS Mincho">
    <w:altName w:val="ＭＳ 明朝"/>
    <w:panose1 w:val="02020609040002080304"/>
    <w:charset w:val="80"/>
    <w:family w:val="modern"/>
    <w:pitch w:val="fixed"/>
    <w:sig w:usb0="E00002FF" w:usb1="6AC7FDFB" w:usb2="08000012" w:usb3="00000000" w:csb0="0002009F" w:csb1="00000000"/>
  </w:font>
  <w:font w:name="Microsoft JhengHei">
    <w:altName w:val="Microsoft JhengHei"/>
    <w:panose1 w:val="020b0604030005040204"/>
    <w:charset w:val="88"/>
    <w:family w:val="swiss"/>
    <w:pitch w:val="variable"/>
    <w:sig w:usb0="000002A7" w:usb1="28CF4400" w:usb2="00000016" w:usb3="00000000" w:csb0="00100009" w:csb1="00000000"/>
  </w:font>
  <w:font w:name="Proxima Nova">
    <w:altName w:val="ＭＳ ゴシック"/>
    <w:panose1 w:val="00000000000000000000"/>
    <w:charset w:val="80"/>
    <w:family w:val="auto"/>
    <w:pitch w:val="default"/>
    <w:sig w:usb0="00000000" w:usb1="08070000" w:usb2="00000010" w:usb3="00000000" w:csb0="00020000"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after="107"/>
      <w:jc w:val="right"/>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sz w:val="22"/>
      </w:rPr>
      <w:t>2</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sz w:val="22"/>
      </w:rPr>
      <w:fldChar w:fldCharType="begin"/>
    </w:r>
    <w:r>
      <w:rPr>
        <w:rFonts w:ascii="Calibri" w:cs="Calibri" w:eastAsia="Calibri" w:hAnsi="Calibri"/>
        <w:b/>
        <w:sz w:val="22"/>
      </w:rPr>
      <w:instrText xml:space="preserve"> NUMPAGES   \* MERGEFORMAT </w:instrText>
    </w:r>
    <w:r>
      <w:rPr>
        <w:rFonts w:ascii="Calibri" w:cs="Calibri" w:eastAsia="Calibri" w:hAnsi="Calibri"/>
        <w:b/>
        <w:sz w:val="22"/>
      </w:rPr>
      <w:fldChar w:fldCharType="separate"/>
    </w:r>
    <w:r>
      <w:rPr>
        <w:rFonts w:ascii="Calibri" w:cs="Calibri" w:eastAsia="Calibri" w:hAnsi="Calibri"/>
        <w:b/>
        <w:noProof/>
        <w:sz w:val="22"/>
      </w:rPr>
      <w:t>139</w:t>
    </w:r>
    <w:r>
      <w:rPr>
        <w:rFonts w:ascii="Calibri" w:cs="Calibri" w:eastAsia="Calibri" w:hAnsi="Calibri"/>
        <w:b/>
        <w:sz w:val="22"/>
      </w:rPr>
      <w:fldChar w:fldCharType="end"/>
    </w:r>
    <w:r>
      <w:rPr>
        <w:rFonts w:ascii="Calibri" w:cs="Calibri" w:eastAsia="Calibri" w:hAnsi="Calibri"/>
        <w:sz w:val="22"/>
      </w:rPr>
      <w:t xml:space="preserve">  </w:t>
    </w:r>
  </w:p>
  <w:p>
    <w:pPr>
      <w:pStyle w:val="style0"/>
      <w:rPr/>
    </w:pPr>
    <w:r>
      <w:rPr>
        <w:rFonts w:ascii="Calibri" w:cs="Calibri" w:eastAsia="Calibri" w:hAnsi="Calibri"/>
        <w:sz w:val="22"/>
      </w:rPr>
      <w:t xml:space="preserve">  </w:t>
    </w: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spacing w:after="107"/>
      <w:jc w:val="center"/>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139</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139</w:t>
    </w:r>
    <w:r>
      <w:rPr>
        <w:rFonts w:ascii="Calibri" w:cs="Calibri" w:eastAsia="Calibri" w:hAnsi="Calibri"/>
        <w:b/>
        <w:noProof/>
        <w:sz w:val="22"/>
      </w:rPr>
      <w:fldChar w:fldCharType="end"/>
    </w:r>
  </w:p>
  <w:p>
    <w:pPr>
      <w:pStyle w:val="style0"/>
      <w:rPr/>
    </w:pPr>
    <w:r>
      <w:rPr>
        <w:rFonts w:ascii="Calibri" w:cs="Calibri" w:eastAsia="Calibri" w:hAnsi="Calibri"/>
        <w:sz w:val="22"/>
      </w:rPr>
      <w:t xml:space="preserve">  </w: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lineRule="auto" w:line="276"/>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spacing w:after="107"/>
      <w:jc w:val="center"/>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81</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139</w:t>
    </w:r>
    <w:r>
      <w:rPr>
        <w:rFonts w:ascii="Calibri" w:cs="Calibri" w:eastAsia="Calibri" w:hAnsi="Calibri"/>
        <w:b/>
        <w:noProof/>
        <w:sz w:val="22"/>
      </w:rPr>
      <w:fldChar w:fldCharType="end"/>
    </w:r>
  </w:p>
  <w:p>
    <w:pPr>
      <w:pStyle w:val="style0"/>
      <w:rPr/>
    </w:pPr>
    <w:r>
      <w:rPr>
        <w:rFonts w:ascii="Calibri" w:cs="Calibri" w:eastAsia="Calibri" w:hAnsi="Calibri"/>
        <w:sz w:val="22"/>
      </w:rPr>
      <w:t xml:space="preserve">  </w: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lineRule="auto" w:line="276"/>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tabs>
        <w:tab w:val="center" w:leader="none" w:pos="4535"/>
        <w:tab w:val="left" w:leader="none" w:pos="6900"/>
      </w:tabs>
      <w:spacing w:after="107"/>
      <w:rPr/>
    </w:pPr>
    <w:r>
      <w:rPr>
        <w:rFonts w:ascii="Calibri" w:cs="Calibri" w:eastAsia="Calibri" w:hAnsi="Calibri"/>
        <w:sz w:val="22"/>
      </w:rPr>
      <w:tab/>
    </w: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20</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139</w:t>
    </w:r>
    <w:r>
      <w:rPr>
        <w:rFonts w:ascii="Calibri" w:cs="Calibri" w:eastAsia="Calibri" w:hAnsi="Calibri"/>
        <w:b/>
        <w:noProof/>
        <w:sz w:val="22"/>
      </w:rPr>
      <w:fldChar w:fldCharType="end"/>
    </w:r>
    <w:r>
      <w:rPr>
        <w:rFonts w:ascii="Calibri" w:cs="Calibri" w:eastAsia="Calibri" w:hAnsi="Calibri"/>
        <w:b/>
        <w:noProof/>
        <w:sz w:val="22"/>
      </w:rPr>
      <w:tab/>
    </w:r>
  </w:p>
  <w:p>
    <w:pPr>
      <w:pStyle w:val="style0"/>
      <w:rPr/>
    </w:pPr>
    <w:r>
      <w:rPr>
        <w:rFonts w:ascii="Calibri" w:cs="Calibri" w:eastAsia="Calibri" w:hAnsi="Calibri"/>
        <w:sz w:val="22"/>
      </w:rPr>
      <w:t xml:space="preserve">  </w: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tabs>
        <w:tab w:val="center" w:leader="none" w:pos="4535"/>
        <w:tab w:val="left" w:leader="none" w:pos="6900"/>
      </w:tabs>
      <w:spacing w:after="107"/>
      <w:rPr/>
    </w:pPr>
    <w:r>
      <w:rPr>
        <w:rFonts w:ascii="Calibri" w:cs="Calibri" w:eastAsia="Calibri" w:hAnsi="Calibri"/>
        <w:sz w:val="22"/>
      </w:rPr>
      <w:tab/>
    </w: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41</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109</w:t>
    </w:r>
    <w:r>
      <w:rPr>
        <w:rFonts w:ascii="Calibri" w:cs="Calibri" w:eastAsia="Calibri" w:hAnsi="Calibri"/>
        <w:b/>
        <w:noProof/>
        <w:sz w:val="22"/>
      </w:rPr>
      <w:fldChar w:fldCharType="end"/>
    </w:r>
    <w:r>
      <w:rPr>
        <w:rFonts w:ascii="Calibri" w:cs="Calibri" w:eastAsia="Calibri" w:hAnsi="Calibri"/>
        <w:b/>
        <w:noProof/>
        <w:sz w:val="22"/>
      </w:rPr>
      <w:tab/>
    </w:r>
  </w:p>
  <w:p>
    <w:pPr>
      <w:pStyle w:val="style0"/>
      <w:rPr/>
    </w:pPr>
    <w:r>
      <w:rPr>
        <w:rFonts w:ascii="Calibri" w:cs="Calibri" w:eastAsia="Calibri" w:hAnsi="Calibri"/>
        <w:sz w:val="22"/>
      </w:rPr>
      <w:t xml:space="preserve">  </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tabs>
        <w:tab w:val="center" w:leader="none" w:pos="4535"/>
        <w:tab w:val="left" w:leader="none" w:pos="6900"/>
      </w:tabs>
      <w:spacing w:after="107"/>
      <w:jc w:val="center"/>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85</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109</w:t>
    </w:r>
    <w:r>
      <w:rPr>
        <w:rFonts w:ascii="Calibri" w:cs="Calibri" w:eastAsia="Calibri" w:hAnsi="Calibri"/>
        <w:b/>
        <w:noProof/>
        <w:sz w:val="22"/>
      </w:rPr>
      <w:fldChar w:fldCharType="end"/>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pBdr>
        <w:top w:val="single" w:sz="4" w:space="1" w:color="auto"/>
      </w:pBdr>
      <w:tabs>
        <w:tab w:val="center" w:leader="none" w:pos="4535"/>
        <w:tab w:val="left" w:leader="none" w:pos="6900"/>
      </w:tabs>
      <w:spacing w:after="107"/>
      <w:jc w:val="center"/>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noProof/>
        <w:sz w:val="22"/>
      </w:rPr>
      <w:t>67</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109</w:t>
    </w:r>
    <w:r>
      <w:rPr>
        <w:rFonts w:ascii="Calibri" w:cs="Calibri" w:eastAsia="Calibri" w:hAnsi="Calibri"/>
        <w:b/>
        <w:noProof/>
        <w:sz w:val="22"/>
      </w:rPr>
      <w:fldChar w:fldCharType="end"/>
    </w:r>
  </w:p>
  <w:p>
    <w:pPr>
      <w:pStyle w:val="style32"/>
      <w:jc w:val="center"/>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after="107"/>
      <w:jc w:val="right"/>
      <w:rPr/>
    </w:pPr>
    <w:r>
      <w:rPr>
        <w:rFonts w:ascii="Calibri" w:cs="Calibri" w:eastAsia="Calibri" w:hAnsi="Calibri"/>
        <w:sz w:val="22"/>
      </w:rPr>
      <w:t xml:space="preserve">Page </w:t>
    </w:r>
    <w:r>
      <w:rPr/>
      <w:fldChar w:fldCharType="begin"/>
    </w:r>
    <w:r>
      <w:instrText xml:space="preserve"> PAGE   \* MERGEFORMAT </w:instrText>
    </w:r>
    <w:r>
      <w:rPr/>
      <w:fldChar w:fldCharType="separate"/>
    </w:r>
    <w:r>
      <w:rPr>
        <w:rFonts w:ascii="Calibri" w:cs="Calibri" w:eastAsia="Calibri" w:hAnsi="Calibri"/>
        <w:b/>
        <w:sz w:val="22"/>
      </w:rPr>
      <w:t>2</w:t>
    </w:r>
    <w:r>
      <w:rPr>
        <w:rFonts w:ascii="Calibri" w:cs="Calibri" w:eastAsia="Calibri" w:hAnsi="Calibri"/>
        <w:b/>
        <w:sz w:val="22"/>
      </w:rPr>
      <w:fldChar w:fldCharType="end"/>
    </w:r>
    <w:r>
      <w:rPr>
        <w:rFonts w:ascii="Calibri" w:cs="Calibri" w:eastAsia="Calibri" w:hAnsi="Calibri"/>
        <w:sz w:val="22"/>
      </w:rPr>
      <w:t xml:space="preserve"> sur </w:t>
    </w:r>
    <w:r>
      <w:rPr>
        <w:rFonts w:ascii="Calibri" w:cs="Calibri" w:eastAsia="Calibri" w:hAnsi="Calibri"/>
        <w:b/>
        <w:noProof/>
        <w:sz w:val="22"/>
      </w:rPr>
      <w:fldChar w:fldCharType="begin"/>
    </w:r>
    <w:r>
      <w:rPr>
        <w:rFonts w:ascii="Calibri" w:cs="Calibri" w:eastAsia="Calibri" w:hAnsi="Calibri"/>
        <w:b/>
        <w:noProof/>
        <w:sz w:val="22"/>
      </w:rPr>
      <w:instrText xml:space="preserve"> NUMPAGES   \* MERGEFORMAT </w:instrText>
    </w:r>
    <w:r>
      <w:rPr>
        <w:rFonts w:ascii="Calibri" w:cs="Calibri" w:eastAsia="Calibri" w:hAnsi="Calibri"/>
        <w:b/>
        <w:noProof/>
        <w:sz w:val="22"/>
      </w:rPr>
      <w:fldChar w:fldCharType="separate"/>
    </w:r>
    <w:r>
      <w:rPr>
        <w:rFonts w:ascii="Calibri" w:cs="Calibri" w:eastAsia="Calibri" w:hAnsi="Calibri"/>
        <w:b/>
        <w:noProof/>
        <w:sz w:val="22"/>
      </w:rPr>
      <w:t>139</w:t>
    </w:r>
    <w:r>
      <w:rPr>
        <w:rFonts w:ascii="Calibri" w:cs="Calibri" w:eastAsia="Calibri" w:hAnsi="Calibri"/>
        <w:b/>
        <w:noProof/>
        <w:sz w:val="22"/>
      </w:rPr>
      <w:fldChar w:fldCharType="end"/>
    </w:r>
    <w:r>
      <w:rPr>
        <w:rFonts w:ascii="Calibri" w:cs="Calibri" w:eastAsia="Calibri" w:hAnsi="Calibri"/>
        <w:sz w:val="22"/>
      </w:rPr>
      <w:t xml:space="preserve">  </w:t>
    </w:r>
  </w:p>
  <w:p>
    <w:pPr>
      <w:pStyle w:val="style0"/>
      <w:rPr/>
    </w:pPr>
    <w:r>
      <w:rPr>
        <w:rFonts w:ascii="Calibri" w:cs="Calibri" w:eastAsia="Calibri" w:hAnsi="Calibri"/>
        <w:sz w:val="22"/>
      </w:rPr>
      <w:t xml:space="preserve">  </w:t>
    </w: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rPr/>
      </w:pPr>
      <w:r>
        <w:rPr>
          <w:rStyle w:val="style38"/>
        </w:rPr>
        <w:footnoteRef/>
      </w:r>
      <w:r>
        <w:t xml:space="preserve"> </w:t>
      </w:r>
      <w:r>
        <w:t>Composition non figée et à adapter selon les circonstances du terrain</w:t>
      </w:r>
    </w:p>
  </w:footnote>
</w:footnotes>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6D3027C2"/>
    <w:lvl w:ilvl="0">
      <w:start w:val="3"/>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hybridMultilevel"/>
    <w:tmpl w:val="3DC07FDA"/>
    <w:lvl w:ilvl="0" w:tplc="040C0017">
      <w:start w:val="4"/>
      <w:numFmt w:val="bullet"/>
      <w:lvlText w:val="-"/>
      <w:lvlJc w:val="left"/>
      <w:pPr>
        <w:ind w:left="720" w:hanging="360"/>
      </w:pPr>
      <w:rPr>
        <w:rFonts w:ascii="Times New Roman" w:cs="Times New Roman" w:eastAsia="Times New Roman"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21541A2C"/>
    <w:lvl w:ilvl="0" w:tplc="23D29D56">
      <w:start w:val="1"/>
      <w:numFmt w:val="lowerLetter"/>
      <w:pStyle w:val="style3"/>
      <w:lvlText w:val="%1."/>
      <w:lvlJc w:val="left"/>
      <w:pPr>
        <w:ind w:left="644" w:hanging="360"/>
      </w:pPr>
      <w:rPr>
        <w:rFonts w:hint="default"/>
        <w:b w:val="false"/>
      </w:rPr>
    </w:lvl>
    <w:lvl w:ilvl="1" w:tplc="0C0694C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0000003"/>
    <w:multiLevelType w:val="hybridMultilevel"/>
    <w:tmpl w:val="3D9A8A16"/>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3076A9E2"/>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9CC82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8F87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23BAF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4282FE86"/>
    <w:lvl w:ilvl="0" w:tplc="5CE05F1A">
      <w:start w:val="1"/>
      <w:numFmt w:val="bullet"/>
      <w:lvlText w:val="-"/>
      <w:lvlJc w:val="left"/>
      <w:pPr>
        <w:ind w:left="720" w:hanging="360"/>
      </w:pPr>
      <w:rPr>
        <w:rFonts w:ascii="Century Gothic" w:cs="Century Gothic" w:eastAsia="Calibri" w:hAnsi="Century Gothic" w:hint="default"/>
      </w:rPr>
    </w:lvl>
    <w:lvl w:ilvl="1" w:tplc="A6A6B9C8" w:tentative="1">
      <w:start w:val="1"/>
      <w:numFmt w:val="bullet"/>
      <w:lvlText w:val="o"/>
      <w:lvlJc w:val="left"/>
      <w:pPr>
        <w:ind w:left="1440" w:hanging="360"/>
      </w:pPr>
      <w:rPr>
        <w:rFonts w:ascii="Courier New" w:cs="Courier New" w:hAnsi="Courier New" w:hint="default"/>
      </w:rPr>
    </w:lvl>
    <w:lvl w:ilvl="2" w:tplc="AA948CE2" w:tentative="1">
      <w:start w:val="1"/>
      <w:numFmt w:val="bullet"/>
      <w:lvlText w:val=""/>
      <w:lvlJc w:val="left"/>
      <w:pPr>
        <w:ind w:left="2160" w:hanging="360"/>
      </w:pPr>
      <w:rPr>
        <w:rFonts w:ascii="Wingdings" w:hAnsi="Wingdings" w:hint="default"/>
      </w:rPr>
    </w:lvl>
    <w:lvl w:ilvl="3" w:tplc="2B7E07CC" w:tentative="1">
      <w:start w:val="1"/>
      <w:numFmt w:val="bullet"/>
      <w:lvlText w:val=""/>
      <w:lvlJc w:val="left"/>
      <w:pPr>
        <w:ind w:left="2880" w:hanging="360"/>
      </w:pPr>
      <w:rPr>
        <w:rFonts w:ascii="Symbol" w:hAnsi="Symbol" w:hint="default"/>
      </w:rPr>
    </w:lvl>
    <w:lvl w:ilvl="4" w:tplc="80641154" w:tentative="1">
      <w:start w:val="1"/>
      <w:numFmt w:val="bullet"/>
      <w:lvlText w:val="o"/>
      <w:lvlJc w:val="left"/>
      <w:pPr>
        <w:ind w:left="3600" w:hanging="360"/>
      </w:pPr>
      <w:rPr>
        <w:rFonts w:ascii="Courier New" w:cs="Courier New" w:hAnsi="Courier New" w:hint="default"/>
      </w:rPr>
    </w:lvl>
    <w:lvl w:ilvl="5" w:tplc="06D2217C" w:tentative="1">
      <w:start w:val="1"/>
      <w:numFmt w:val="bullet"/>
      <w:lvlText w:val=""/>
      <w:lvlJc w:val="left"/>
      <w:pPr>
        <w:ind w:left="4320" w:hanging="360"/>
      </w:pPr>
      <w:rPr>
        <w:rFonts w:ascii="Wingdings" w:hAnsi="Wingdings" w:hint="default"/>
      </w:rPr>
    </w:lvl>
    <w:lvl w:ilvl="6" w:tplc="14FAFEE0" w:tentative="1">
      <w:start w:val="1"/>
      <w:numFmt w:val="bullet"/>
      <w:lvlText w:val=""/>
      <w:lvlJc w:val="left"/>
      <w:pPr>
        <w:ind w:left="5040" w:hanging="360"/>
      </w:pPr>
      <w:rPr>
        <w:rFonts w:ascii="Symbol" w:hAnsi="Symbol" w:hint="default"/>
      </w:rPr>
    </w:lvl>
    <w:lvl w:ilvl="7" w:tplc="7F78AE84" w:tentative="1">
      <w:start w:val="1"/>
      <w:numFmt w:val="bullet"/>
      <w:lvlText w:val="o"/>
      <w:lvlJc w:val="left"/>
      <w:pPr>
        <w:ind w:left="5760" w:hanging="360"/>
      </w:pPr>
      <w:rPr>
        <w:rFonts w:ascii="Courier New" w:cs="Courier New" w:hAnsi="Courier New" w:hint="default"/>
      </w:rPr>
    </w:lvl>
    <w:lvl w:ilvl="8" w:tplc="7E70F84A"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FF54E294"/>
    <w:lvl w:ilvl="0" w:tplc="24842482">
      <w:start w:val="1"/>
      <w:numFmt w:val="bullet"/>
      <w:pStyle w:val="style4286"/>
      <w:lvlText w:val=""/>
      <w:lvlJc w:val="left"/>
      <w:pPr>
        <w:tabs>
          <w:tab w:val="left" w:leader="none" w:pos="765"/>
        </w:tabs>
        <w:ind w:left="765" w:hanging="360"/>
      </w:pPr>
      <w:rPr>
        <w:rFonts w:ascii="Symbol" w:hAnsi="Symbol" w:hint="default"/>
      </w:rPr>
    </w:lvl>
    <w:lvl w:ilvl="1" w:tplc="040C000D">
      <w:start w:val="1"/>
      <w:numFmt w:val="bullet"/>
      <w:lvlText w:val=""/>
      <w:lvlJc w:val="left"/>
      <w:pPr>
        <w:tabs>
          <w:tab w:val="left" w:leader="none" w:pos="1485"/>
        </w:tabs>
        <w:ind w:left="1485" w:hanging="360"/>
      </w:pPr>
      <w:rPr>
        <w:rFonts w:ascii="Wingdings" w:hAnsi="Wingdings" w:hint="default"/>
      </w:rPr>
    </w:lvl>
    <w:lvl w:ilvl="2" w:tplc="040C0005" w:tentative="1">
      <w:start w:val="1"/>
      <w:numFmt w:val="bullet"/>
      <w:lvlText w:val=""/>
      <w:lvlJc w:val="left"/>
      <w:pPr>
        <w:tabs>
          <w:tab w:val="left" w:leader="none" w:pos="2205"/>
        </w:tabs>
        <w:ind w:left="2205" w:hanging="360"/>
      </w:pPr>
      <w:rPr>
        <w:rFonts w:ascii="Wingdings" w:hAnsi="Wingdings" w:hint="default"/>
      </w:rPr>
    </w:lvl>
    <w:lvl w:ilvl="3" w:tplc="040C0001" w:tentative="1">
      <w:start w:val="1"/>
      <w:numFmt w:val="bullet"/>
      <w:lvlText w:val=""/>
      <w:lvlJc w:val="left"/>
      <w:pPr>
        <w:tabs>
          <w:tab w:val="left" w:leader="none" w:pos="2925"/>
        </w:tabs>
        <w:ind w:left="2925" w:hanging="360"/>
      </w:pPr>
      <w:rPr>
        <w:rFonts w:ascii="Symbol" w:hAnsi="Symbol" w:hint="default"/>
      </w:rPr>
    </w:lvl>
    <w:lvl w:ilvl="4" w:tplc="040C0003" w:tentative="1">
      <w:start w:val="1"/>
      <w:numFmt w:val="bullet"/>
      <w:lvlText w:val="o"/>
      <w:lvlJc w:val="left"/>
      <w:pPr>
        <w:tabs>
          <w:tab w:val="left" w:leader="none" w:pos="3645"/>
        </w:tabs>
        <w:ind w:left="3645" w:hanging="360"/>
      </w:pPr>
      <w:rPr>
        <w:rFonts w:ascii="Courier New" w:cs="Courier New" w:hAnsi="Courier New" w:hint="default"/>
      </w:rPr>
    </w:lvl>
    <w:lvl w:ilvl="5" w:tplc="040C0005" w:tentative="1">
      <w:start w:val="1"/>
      <w:numFmt w:val="bullet"/>
      <w:lvlText w:val=""/>
      <w:lvlJc w:val="left"/>
      <w:pPr>
        <w:tabs>
          <w:tab w:val="left" w:leader="none" w:pos="4365"/>
        </w:tabs>
        <w:ind w:left="4365" w:hanging="360"/>
      </w:pPr>
      <w:rPr>
        <w:rFonts w:ascii="Wingdings" w:hAnsi="Wingdings" w:hint="default"/>
      </w:rPr>
    </w:lvl>
    <w:lvl w:ilvl="6" w:tplc="040C0001" w:tentative="1">
      <w:start w:val="1"/>
      <w:numFmt w:val="bullet"/>
      <w:lvlText w:val=""/>
      <w:lvlJc w:val="left"/>
      <w:pPr>
        <w:tabs>
          <w:tab w:val="left" w:leader="none" w:pos="5085"/>
        </w:tabs>
        <w:ind w:left="5085" w:hanging="360"/>
      </w:pPr>
      <w:rPr>
        <w:rFonts w:ascii="Symbol" w:hAnsi="Symbol" w:hint="default"/>
      </w:rPr>
    </w:lvl>
    <w:lvl w:ilvl="7" w:tplc="040C0003" w:tentative="1">
      <w:start w:val="1"/>
      <w:numFmt w:val="bullet"/>
      <w:lvlText w:val="o"/>
      <w:lvlJc w:val="left"/>
      <w:pPr>
        <w:tabs>
          <w:tab w:val="left" w:leader="none" w:pos="5805"/>
        </w:tabs>
        <w:ind w:left="5805" w:hanging="360"/>
      </w:pPr>
      <w:rPr>
        <w:rFonts w:ascii="Courier New" w:cs="Courier New" w:hAnsi="Courier New" w:hint="default"/>
      </w:rPr>
    </w:lvl>
    <w:lvl w:ilvl="8" w:tplc="040C0005" w:tentative="1">
      <w:start w:val="1"/>
      <w:numFmt w:val="bullet"/>
      <w:lvlText w:val=""/>
      <w:lvlJc w:val="left"/>
      <w:pPr>
        <w:tabs>
          <w:tab w:val="left" w:leader="none" w:pos="6525"/>
        </w:tabs>
        <w:ind w:left="6525" w:hanging="360"/>
      </w:pPr>
      <w:rPr>
        <w:rFonts w:ascii="Wingdings" w:hAnsi="Wingdings" w:hint="default"/>
      </w:rPr>
    </w:lvl>
  </w:abstractNum>
  <w:abstractNum w:abstractNumId="10">
    <w:nsid w:val="0000000A"/>
    <w:multiLevelType w:val="hybridMultilevel"/>
    <w:tmpl w:val="A5E4B318"/>
    <w:lvl w:ilvl="0" w:tplc="21007B3A">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8EE458EC"/>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D5EC70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cs="Arial"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Arial"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Arial"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000000D"/>
    <w:multiLevelType w:val="hybridMultilevel"/>
    <w:tmpl w:val="02C0E760"/>
    <w:lvl w:ilvl="0" w:tplc="46DA8DFC">
      <w:start w:val="1"/>
      <w:numFmt w:val="bullet"/>
      <w:lvlText w:val="-"/>
      <w:lvlJc w:val="left"/>
      <w:pPr>
        <w:ind w:left="360" w:hanging="360"/>
      </w:pPr>
      <w:rPr>
        <w:rFonts w:ascii="Calibri" w:cs="Calibri" w:eastAsia="Calibri" w:hAnsi="Calibri" w:hint="default"/>
      </w:rPr>
    </w:lvl>
    <w:lvl w:ilvl="1" w:tplc="040C0003">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0000000E"/>
    <w:multiLevelType w:val="hybridMultilevel"/>
    <w:tmpl w:val="748A55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0000000F"/>
    <w:multiLevelType w:val="hybridMultilevel"/>
    <w:tmpl w:val="D84EB180"/>
    <w:lvl w:ilvl="0" w:tplc="22A0D8B6">
      <w:start w:val="1"/>
      <w:numFmt w:val="bullet"/>
      <w:lvlText w:val="-"/>
      <w:lvlJc w:val="left"/>
      <w:pPr>
        <w:ind w:left="360" w:hanging="360"/>
      </w:pPr>
      <w:rPr>
        <w:rFonts w:ascii="Arial" w:cs="Arial" w:eastAsia="Times New Roman" w:hAnsi="Arial"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0000010"/>
    <w:multiLevelType w:val="hybridMultilevel"/>
    <w:tmpl w:val="385C9F36"/>
    <w:lvl w:ilvl="0">
      <w:start w:val="1"/>
      <w:numFmt w:val="bullet"/>
      <w:lvlText w:val="-"/>
      <w:lvlJc w:val="left"/>
      <w:pPr>
        <w:tabs>
          <w:tab w:val="left" w:leader="none" w:pos="786"/>
        </w:tabs>
        <w:ind w:left="786" w:hanging="360"/>
      </w:pPr>
      <w:rPr>
        <w:rFonts w:ascii="Times New Roman" w:cs="Times New Roman" w:eastAsia="Times New Roman" w:hAnsi="Times New Roman" w:hint="default"/>
      </w:rPr>
    </w:lvl>
    <w:lvl w:ilvl="1" w:tplc="040C0003">
      <w:start w:val="1"/>
      <w:numFmt w:val="decimal"/>
      <w:lvlText w:val="%2."/>
      <w:lvlJc w:val="left"/>
      <w:pPr>
        <w:tabs>
          <w:tab w:val="left" w:leader="none" w:pos="1440"/>
        </w:tabs>
        <w:ind w:left="1440" w:hanging="360"/>
      </w:pPr>
    </w:lvl>
    <w:lvl w:ilvl="2" w:tplc="040C0005">
      <w:start w:val="1"/>
      <w:numFmt w:val="decimal"/>
      <w:lvlText w:val="%3."/>
      <w:lvlJc w:val="left"/>
      <w:pPr>
        <w:tabs>
          <w:tab w:val="left" w:leader="none" w:pos="2160"/>
        </w:tabs>
        <w:ind w:left="2160" w:hanging="360"/>
      </w:pPr>
    </w:lvl>
    <w:lvl w:ilvl="3" w:tplc="040C0001">
      <w:start w:val="1"/>
      <w:numFmt w:val="decimal"/>
      <w:lvlText w:val="%4."/>
      <w:lvlJc w:val="left"/>
      <w:pPr>
        <w:tabs>
          <w:tab w:val="left" w:leader="none" w:pos="2880"/>
        </w:tabs>
        <w:ind w:left="2880" w:hanging="360"/>
      </w:pPr>
    </w:lvl>
    <w:lvl w:ilvl="4" w:tplc="040C0003">
      <w:start w:val="1"/>
      <w:numFmt w:val="decimal"/>
      <w:lvlText w:val="%5."/>
      <w:lvlJc w:val="left"/>
      <w:pPr>
        <w:tabs>
          <w:tab w:val="left" w:leader="none" w:pos="3600"/>
        </w:tabs>
        <w:ind w:left="3600" w:hanging="360"/>
      </w:pPr>
    </w:lvl>
    <w:lvl w:ilvl="5" w:tplc="040C0005">
      <w:start w:val="1"/>
      <w:numFmt w:val="decimal"/>
      <w:lvlText w:val="%6."/>
      <w:lvlJc w:val="left"/>
      <w:pPr>
        <w:tabs>
          <w:tab w:val="left" w:leader="none" w:pos="4320"/>
        </w:tabs>
        <w:ind w:left="4320" w:hanging="360"/>
      </w:pPr>
    </w:lvl>
    <w:lvl w:ilvl="6" w:tplc="040C0001">
      <w:start w:val="1"/>
      <w:numFmt w:val="decimal"/>
      <w:lvlText w:val="%7."/>
      <w:lvlJc w:val="left"/>
      <w:pPr>
        <w:tabs>
          <w:tab w:val="left" w:leader="none" w:pos="5040"/>
        </w:tabs>
        <w:ind w:left="5040" w:hanging="360"/>
      </w:pPr>
    </w:lvl>
    <w:lvl w:ilvl="7" w:tplc="040C0003">
      <w:start w:val="1"/>
      <w:numFmt w:val="decimal"/>
      <w:lvlText w:val="%8."/>
      <w:lvlJc w:val="left"/>
      <w:pPr>
        <w:tabs>
          <w:tab w:val="left" w:leader="none" w:pos="5760"/>
        </w:tabs>
        <w:ind w:left="5760" w:hanging="360"/>
      </w:pPr>
    </w:lvl>
    <w:lvl w:ilvl="8" w:tplc="040C0005">
      <w:start w:val="1"/>
      <w:numFmt w:val="decimal"/>
      <w:lvlText w:val="%9."/>
      <w:lvlJc w:val="left"/>
      <w:pPr>
        <w:tabs>
          <w:tab w:val="left" w:leader="none" w:pos="6480"/>
        </w:tabs>
        <w:ind w:left="6480" w:hanging="360"/>
      </w:pPr>
    </w:lvl>
  </w:abstractNum>
  <w:abstractNum w:abstractNumId="17">
    <w:nsid w:val="00000011"/>
    <w:multiLevelType w:val="hybridMultilevel"/>
    <w:tmpl w:val="80829F12"/>
    <w:lvl w:ilvl="0" w:tplc="5CE05F1A">
      <w:start w:val="1"/>
      <w:numFmt w:val="bullet"/>
      <w:lvlText w:val="-"/>
      <w:lvlJc w:val="left"/>
      <w:pPr>
        <w:ind w:left="720" w:hanging="360"/>
      </w:pPr>
      <w:rPr>
        <w:rFonts w:ascii="Century Gothic" w:cs="Century Gothic" w:eastAsia="Calibri" w:hAnsi="Century Gothic" w:hint="default"/>
      </w:rPr>
    </w:lvl>
    <w:lvl w:ilvl="1" w:tplc="A6A6B9C8" w:tentative="1">
      <w:start w:val="1"/>
      <w:numFmt w:val="bullet"/>
      <w:lvlText w:val="o"/>
      <w:lvlJc w:val="left"/>
      <w:pPr>
        <w:ind w:left="1440" w:hanging="360"/>
      </w:pPr>
      <w:rPr>
        <w:rFonts w:ascii="Courier New" w:cs="Courier New" w:hAnsi="Courier New" w:hint="default"/>
      </w:rPr>
    </w:lvl>
    <w:lvl w:ilvl="2" w:tplc="AA948CE2" w:tentative="1">
      <w:start w:val="1"/>
      <w:numFmt w:val="bullet"/>
      <w:lvlText w:val=""/>
      <w:lvlJc w:val="left"/>
      <w:pPr>
        <w:ind w:left="2160" w:hanging="360"/>
      </w:pPr>
      <w:rPr>
        <w:rFonts w:ascii="Wingdings" w:hAnsi="Wingdings" w:hint="default"/>
      </w:rPr>
    </w:lvl>
    <w:lvl w:ilvl="3" w:tplc="2B7E07CC" w:tentative="1">
      <w:start w:val="1"/>
      <w:numFmt w:val="bullet"/>
      <w:lvlText w:val=""/>
      <w:lvlJc w:val="left"/>
      <w:pPr>
        <w:ind w:left="2880" w:hanging="360"/>
      </w:pPr>
      <w:rPr>
        <w:rFonts w:ascii="Symbol" w:hAnsi="Symbol" w:hint="default"/>
      </w:rPr>
    </w:lvl>
    <w:lvl w:ilvl="4" w:tplc="80641154" w:tentative="1">
      <w:start w:val="1"/>
      <w:numFmt w:val="bullet"/>
      <w:lvlText w:val="o"/>
      <w:lvlJc w:val="left"/>
      <w:pPr>
        <w:ind w:left="3600" w:hanging="360"/>
      </w:pPr>
      <w:rPr>
        <w:rFonts w:ascii="Courier New" w:cs="Courier New" w:hAnsi="Courier New" w:hint="default"/>
      </w:rPr>
    </w:lvl>
    <w:lvl w:ilvl="5" w:tplc="06D2217C" w:tentative="1">
      <w:start w:val="1"/>
      <w:numFmt w:val="bullet"/>
      <w:lvlText w:val=""/>
      <w:lvlJc w:val="left"/>
      <w:pPr>
        <w:ind w:left="4320" w:hanging="360"/>
      </w:pPr>
      <w:rPr>
        <w:rFonts w:ascii="Wingdings" w:hAnsi="Wingdings" w:hint="default"/>
      </w:rPr>
    </w:lvl>
    <w:lvl w:ilvl="6" w:tplc="14FAFEE0" w:tentative="1">
      <w:start w:val="1"/>
      <w:numFmt w:val="bullet"/>
      <w:lvlText w:val=""/>
      <w:lvlJc w:val="left"/>
      <w:pPr>
        <w:ind w:left="5040" w:hanging="360"/>
      </w:pPr>
      <w:rPr>
        <w:rFonts w:ascii="Symbol" w:hAnsi="Symbol" w:hint="default"/>
      </w:rPr>
    </w:lvl>
    <w:lvl w:ilvl="7" w:tplc="7F78AE84" w:tentative="1">
      <w:start w:val="1"/>
      <w:numFmt w:val="bullet"/>
      <w:lvlText w:val="o"/>
      <w:lvlJc w:val="left"/>
      <w:pPr>
        <w:ind w:left="5760" w:hanging="360"/>
      </w:pPr>
      <w:rPr>
        <w:rFonts w:ascii="Courier New" w:cs="Courier New" w:hAnsi="Courier New" w:hint="default"/>
      </w:rPr>
    </w:lvl>
    <w:lvl w:ilvl="8" w:tplc="7E70F84A" w:tentative="1">
      <w:start w:val="1"/>
      <w:numFmt w:val="bullet"/>
      <w:lvlText w:val=""/>
      <w:lvlJc w:val="left"/>
      <w:pPr>
        <w:ind w:left="6480" w:hanging="360"/>
      </w:pPr>
      <w:rPr>
        <w:rFonts w:ascii="Wingdings" w:hAnsi="Wingdings" w:hint="default"/>
      </w:rPr>
    </w:lvl>
  </w:abstractNum>
  <w:abstractNum w:abstractNumId="18">
    <w:nsid w:val="00000012"/>
    <w:multiLevelType w:val="singleLevel"/>
    <w:tmpl w:val="05C22872"/>
    <w:lvl w:ilvl="0">
      <w:start w:val="1"/>
      <w:numFmt w:val="bullet"/>
      <w:pStyle w:val="style48"/>
      <w:lvlText w:val=""/>
      <w:lvlJc w:val="left"/>
      <w:pPr>
        <w:tabs>
          <w:tab w:val="left" w:leader="none" w:pos="360"/>
        </w:tabs>
        <w:ind w:left="360" w:hanging="360"/>
      </w:pPr>
      <w:rPr>
        <w:rFonts w:ascii="Symbol" w:hAnsi="Symbol" w:hint="default"/>
      </w:rPr>
    </w:lvl>
  </w:abstractNum>
  <w:abstractNum w:abstractNumId="19">
    <w:nsid w:val="00000013"/>
    <w:multiLevelType w:val="hybridMultilevel"/>
    <w:tmpl w:val="F9A6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26FABDB6"/>
    <w:lvl w:ilvl="0" w:tplc="44A82DCA">
      <w:start w:val="1"/>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A03E061A"/>
    <w:lvl w:ilvl="0" w:tplc="50E85716">
      <w:start w:val="4"/>
      <w:numFmt w:val="bullet"/>
      <w:lvlText w:val="-"/>
      <w:lvlJc w:val="left"/>
      <w:pPr>
        <w:ind w:left="720" w:hanging="360"/>
      </w:pPr>
      <w:rPr>
        <w:rFonts w:ascii="Calibri" w:cs="Times New Roman"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FD2A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CA1C4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2D886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24A8A6F6"/>
    <w:lvl w:ilvl="0" w:tplc="040C0017">
      <w:start w:val="4"/>
      <w:numFmt w:val="bullet"/>
      <w:lvlText w:val="-"/>
      <w:lvlJc w:val="left"/>
      <w:pPr>
        <w:ind w:left="720" w:hanging="360"/>
      </w:pPr>
      <w:rPr>
        <w:rFonts w:ascii="Times New Roman" w:cs="Times New Roman" w:eastAsia="Times New Roman" w:hAnsi="Times New Roman" w:hint="default"/>
      </w:rPr>
    </w:lvl>
    <w:lvl w:ilvl="1" w:tplc="040C0019">
      <w:start w:val="1"/>
      <w:numFmt w:val="bullet"/>
      <w:lvlText w:val="o"/>
      <w:lvlJc w:val="left"/>
      <w:pPr>
        <w:ind w:left="1440" w:hanging="360"/>
      </w:pPr>
      <w:rPr>
        <w:rFonts w:ascii="Courier New" w:cs="Courier New" w:hAnsi="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cs="Courier New" w:hAnsi="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cs="Courier New" w:hAnsi="Courier New" w:hint="default"/>
      </w:rPr>
    </w:lvl>
    <w:lvl w:ilvl="8" w:tplc="040C001B">
      <w:start w:val="1"/>
      <w:numFmt w:val="bullet"/>
      <w:lvlText w:val=""/>
      <w:lvlJc w:val="left"/>
      <w:pPr>
        <w:ind w:left="6480" w:hanging="360"/>
      </w:pPr>
      <w:rPr>
        <w:rFonts w:ascii="Wingdings" w:hAnsi="Wingdings" w:hint="default"/>
      </w:rPr>
    </w:lvl>
  </w:abstractNum>
  <w:abstractNum w:abstractNumId="26">
    <w:nsid w:val="0000001A"/>
    <w:multiLevelType w:val="hybridMultilevel"/>
    <w:tmpl w:val="1E1C8A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F79806B6"/>
    <w:lvl w:ilvl="0" w:tplc="46DA8DFC">
      <w:start w:val="1"/>
      <w:numFmt w:val="bullet"/>
      <w:lvlText w:val="-"/>
      <w:lvlJc w:val="left"/>
      <w:pPr>
        <w:ind w:left="720" w:hanging="360"/>
      </w:pPr>
      <w:rPr>
        <w:rFonts w:ascii="Calibri" w:cs="Calibri" w:eastAsia="Calibri" w:hAnsi="Calibri"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1A2EC626"/>
    <w:lvl w:ilvl="0" w:tplc="040C0009">
      <w:start w:val="1"/>
      <w:numFmt w:val="bullet"/>
      <w:lvlText w:val=""/>
      <w:lvlJc w:val="left"/>
      <w:pPr>
        <w:ind w:left="502" w:hanging="360"/>
      </w:pPr>
      <w:rPr>
        <w:rFonts w:ascii="Wingdings" w:hAnsi="Wingdings" w:hint="default"/>
        <w:color w:val="auto"/>
      </w:rPr>
    </w:lvl>
    <w:lvl w:ilvl="1" w:tplc="040C0003" w:tentative="1">
      <w:start w:val="1"/>
      <w:numFmt w:val="bullet"/>
      <w:lvlText w:val="o"/>
      <w:lvlJc w:val="left"/>
      <w:pPr>
        <w:ind w:left="1222" w:hanging="360"/>
      </w:pPr>
      <w:rPr>
        <w:rFonts w:ascii="Courier New" w:cs="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cs="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cs="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nsid w:val="0000001D"/>
    <w:multiLevelType w:val="hybridMultilevel"/>
    <w:tmpl w:val="BD8ACAAA"/>
    <w:lvl w:ilvl="0" w:tplc="040C000D">
      <w:start w:val="1"/>
      <w:numFmt w:val="bullet"/>
      <w:lvlText w:val=""/>
      <w:lvlJc w:val="left"/>
      <w:pPr>
        <w:tabs>
          <w:tab w:val="left" w:leader="none" w:pos="720"/>
        </w:tabs>
        <w:ind w:left="720" w:hanging="360"/>
      </w:pPr>
      <w:rPr>
        <w:rFonts w:ascii="Wingdings" w:hAnsi="Wingdings"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30">
    <w:nsid w:val="0000001E"/>
    <w:multiLevelType w:val="hybridMultilevel"/>
    <w:tmpl w:val="90A237AC"/>
    <w:lvl w:ilvl="0" w:tplc="3098C26C">
      <w:start w:val="1"/>
      <w:numFmt w:val="bullet"/>
      <w:pStyle w:val="style4250"/>
      <w:lvlText w:val=""/>
      <w:lvlJc w:val="left"/>
      <w:pPr>
        <w:tabs>
          <w:tab w:val="left" w:leader="none" w:pos="652"/>
        </w:tabs>
        <w:ind w:left="652" w:hanging="368"/>
      </w:pPr>
      <w:rPr>
        <w:rFonts w:ascii="Wingdings" w:hAnsi="Wingdings" w:hint="default"/>
        <w:b/>
        <w:i w:val="false"/>
        <w:color w:val="0000ff"/>
        <w:sz w:val="14"/>
      </w:rPr>
    </w:lvl>
    <w:lvl w:ilvl="1" w:tplc="4A82D2B2">
      <w:start w:val="1"/>
      <w:numFmt w:val="bullet"/>
      <w:lvlText w:val="-"/>
      <w:lvlJc w:val="left"/>
      <w:pPr>
        <w:tabs>
          <w:tab w:val="left" w:leader="none" w:pos="1440"/>
        </w:tabs>
        <w:ind w:left="1440" w:hanging="360"/>
      </w:pPr>
      <w:rPr>
        <w:rFonts w:ascii="Times New Roman" w:eastAsia="Times New Roman" w:hAnsi="Times New Roman"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31">
    <w:nsid w:val="0000001F"/>
    <w:multiLevelType w:val="hybridMultilevel"/>
    <w:tmpl w:val="2D6A926E"/>
    <w:lvl w:ilvl="0" w:tplc="25BCE31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00000020"/>
    <w:multiLevelType w:val="hybridMultilevel"/>
    <w:tmpl w:val="3ACE5524"/>
    <w:lvl w:ilvl="0" w:tplc="A44EC41E">
      <w:start w:val="1"/>
      <w:numFmt w:val="bullet"/>
      <w:lvlText w:val="-"/>
      <w:lvlJc w:val="left"/>
      <w:pPr>
        <w:ind w:left="720" w:hanging="360"/>
      </w:pPr>
      <w:rPr>
        <w:rFonts w:ascii="Arial" w:cs="Arial" w:eastAsia="SimSun" w:hAnsi="Aria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523C4EE0"/>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cs="Courier New" w:hAnsi="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cs="Courier New" w:hAnsi="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cs="Courier New" w:hAnsi="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34">
    <w:nsid w:val="00000022"/>
    <w:multiLevelType w:val="hybridMultilevel"/>
    <w:tmpl w:val="76D42876"/>
    <w:lvl w:ilvl="0" w:tplc="040C0001">
      <w:start w:val="2"/>
      <w:numFmt w:val="bullet"/>
      <w:pStyle w:val="style4225"/>
      <w:lvlText w:val="-"/>
      <w:lvlJc w:val="left"/>
      <w:pPr>
        <w:ind w:left="1080" w:hanging="360"/>
      </w:pPr>
      <w:rPr>
        <w:rFonts w:ascii="Times New Roman" w:cs="Times New Roman" w:eastAsia="Times New Roman" w:hAnsi="Times New Roman" w:hint="default"/>
      </w:rPr>
    </w:lvl>
    <w:lvl w:ilvl="1" w:tplc="040C0003">
      <w:start w:val="1"/>
      <w:numFmt w:val="bullet"/>
      <w:pStyle w:val="style4226"/>
      <w:lvlText w:val="o"/>
      <w:lvlJc w:val="left"/>
      <w:pPr>
        <w:ind w:left="1800" w:hanging="360"/>
      </w:pPr>
      <w:rPr>
        <w:rFonts w:ascii="Courier New" w:cs="Symbol" w:hAnsi="Courier New" w:hint="default"/>
      </w:rPr>
    </w:lvl>
    <w:lvl w:ilvl="2" w:tplc="040C0005" w:tentative="1">
      <w:start w:val="1"/>
      <w:numFmt w:val="bullet"/>
      <w:pStyle w:val="style4227"/>
      <w:lvlText w:val=""/>
      <w:lvlJc w:val="left"/>
      <w:pPr>
        <w:ind w:left="2520" w:hanging="360"/>
      </w:pPr>
      <w:rPr>
        <w:rFonts w:ascii="Wingdings" w:hAnsi="Wingdings" w:hint="default"/>
      </w:rPr>
    </w:lvl>
    <w:lvl w:ilvl="3" w:tplc="040C0001" w:tentative="1">
      <w:start w:val="1"/>
      <w:numFmt w:val="bullet"/>
      <w:pStyle w:val="style4228"/>
      <w:lvlText w:val=""/>
      <w:lvlJc w:val="left"/>
      <w:pPr>
        <w:ind w:left="3240" w:hanging="360"/>
      </w:pPr>
      <w:rPr>
        <w:rFonts w:ascii="Symbol" w:hAnsi="Symbol" w:hint="default"/>
      </w:rPr>
    </w:lvl>
    <w:lvl w:ilvl="4" w:tplc="040C0003" w:tentative="1">
      <w:start w:val="1"/>
      <w:numFmt w:val="bullet"/>
      <w:pStyle w:val="style4229"/>
      <w:lvlText w:val="o"/>
      <w:lvlJc w:val="left"/>
      <w:pPr>
        <w:ind w:left="3960" w:hanging="360"/>
      </w:pPr>
      <w:rPr>
        <w:rFonts w:ascii="Courier New" w:cs="Symbol"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cs="Symbol"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00000023"/>
    <w:multiLevelType w:val="hybridMultilevel"/>
    <w:tmpl w:val="D8DE7AFA"/>
    <w:lvl w:ilvl="0" w:tplc="6BCE38F0">
      <w:start w:val="1"/>
      <w:numFmt w:val="bullet"/>
      <w:lvlText w:val="-"/>
      <w:lvlJc w:val="left"/>
      <w:pPr>
        <w:ind w:left="720" w:hanging="360"/>
      </w:pPr>
      <w:rPr>
        <w:rFonts w:ascii="Calibri" w:cs="Calibri"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0000024"/>
    <w:multiLevelType w:val="multilevel"/>
    <w:tmpl w:val="1A048D38"/>
    <w:lvl w:ilvl="0">
      <w:start w:val="6"/>
      <w:numFmt w:val="decimal"/>
      <w:lvlText w:val="%1."/>
      <w:lvlJc w:val="left"/>
      <w:pPr>
        <w:ind w:left="360" w:hanging="360"/>
      </w:pPr>
      <w:rPr>
        <w:rFonts w:hint="default"/>
        <w:color w:val="auto"/>
      </w:rPr>
    </w:lvl>
    <w:lvl w:ilvl="1">
      <w:start w:val="6"/>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7">
    <w:nsid w:val="00000025"/>
    <w:multiLevelType w:val="hybridMultilevel"/>
    <w:tmpl w:val="E2FC722A"/>
    <w:lvl w:ilvl="0" w:tplc="21007B3A">
      <w:start w:val="1"/>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ACD84B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9D485E36"/>
    <w:lvl w:ilvl="0" w:tplc="A80682E8">
      <w:start w:val="1"/>
      <w:numFmt w:val="upperRoman"/>
      <w:pStyle w:val="style4133"/>
      <w:lvlText w:val="Tableau %1."/>
      <w:lvlJc w:val="left"/>
      <w:pPr>
        <w:ind w:left="900" w:hanging="360"/>
      </w:pPr>
      <w:rPr>
        <w:rFonts w:cs="Times New Roman" w:hint="default"/>
      </w:rPr>
    </w:lvl>
    <w:lvl w:ilvl="1" w:tplc="040C0019">
      <w:start w:val="1"/>
      <w:numFmt w:val="bullet"/>
      <w:lvlText w:val=""/>
      <w:lvlJc w:val="left"/>
      <w:pPr>
        <w:tabs>
          <w:tab w:val="left" w:leader="none" w:pos="1620"/>
        </w:tabs>
        <w:ind w:left="1620" w:hanging="360"/>
      </w:pPr>
      <w:rPr>
        <w:rFonts w:ascii="Symbol" w:hAnsi="Symbol" w:hint="default"/>
      </w:rPr>
    </w:lvl>
    <w:lvl w:ilvl="2" w:tplc="040C001B" w:tentative="1">
      <w:start w:val="1"/>
      <w:numFmt w:val="lowerRoman"/>
      <w:lvlText w:val="%3."/>
      <w:lvlJc w:val="right"/>
      <w:pPr>
        <w:ind w:left="2340" w:hanging="180"/>
      </w:pPr>
      <w:rPr>
        <w:rFonts w:cs="Times New Roman"/>
      </w:rPr>
    </w:lvl>
    <w:lvl w:ilvl="3" w:tplc="040C000F" w:tentative="1">
      <w:start w:val="1"/>
      <w:numFmt w:val="decimal"/>
      <w:lvlText w:val="%4."/>
      <w:lvlJc w:val="left"/>
      <w:pPr>
        <w:ind w:left="3060" w:hanging="360"/>
      </w:pPr>
      <w:rPr>
        <w:rFonts w:cs="Times New Roman"/>
      </w:rPr>
    </w:lvl>
    <w:lvl w:ilvl="4" w:tplc="040C0019" w:tentative="1">
      <w:start w:val="1"/>
      <w:numFmt w:val="lowerLetter"/>
      <w:lvlText w:val="%5."/>
      <w:lvlJc w:val="left"/>
      <w:pPr>
        <w:ind w:left="3780" w:hanging="360"/>
      </w:pPr>
      <w:rPr>
        <w:rFonts w:cs="Times New Roman"/>
      </w:rPr>
    </w:lvl>
    <w:lvl w:ilvl="5" w:tplc="040C001B" w:tentative="1">
      <w:start w:val="1"/>
      <w:numFmt w:val="lowerRoman"/>
      <w:lvlText w:val="%6."/>
      <w:lvlJc w:val="right"/>
      <w:pPr>
        <w:ind w:left="4500" w:hanging="180"/>
      </w:pPr>
      <w:rPr>
        <w:rFonts w:cs="Times New Roman"/>
      </w:rPr>
    </w:lvl>
    <w:lvl w:ilvl="6" w:tplc="040C000F" w:tentative="1">
      <w:start w:val="1"/>
      <w:numFmt w:val="decimal"/>
      <w:lvlText w:val="%7."/>
      <w:lvlJc w:val="left"/>
      <w:pPr>
        <w:ind w:left="5220" w:hanging="360"/>
      </w:pPr>
      <w:rPr>
        <w:rFonts w:cs="Times New Roman"/>
      </w:rPr>
    </w:lvl>
    <w:lvl w:ilvl="7" w:tplc="040C0019" w:tentative="1">
      <w:start w:val="1"/>
      <w:numFmt w:val="lowerLetter"/>
      <w:lvlText w:val="%8."/>
      <w:lvlJc w:val="left"/>
      <w:pPr>
        <w:ind w:left="5940" w:hanging="360"/>
      </w:pPr>
      <w:rPr>
        <w:rFonts w:cs="Times New Roman"/>
      </w:rPr>
    </w:lvl>
    <w:lvl w:ilvl="8" w:tplc="040C001B" w:tentative="1">
      <w:start w:val="1"/>
      <w:numFmt w:val="lowerRoman"/>
      <w:lvlText w:val="%9."/>
      <w:lvlJc w:val="right"/>
      <w:pPr>
        <w:ind w:left="6660" w:hanging="180"/>
      </w:pPr>
      <w:rPr>
        <w:rFonts w:cs="Times New Roman"/>
      </w:rPr>
    </w:lvl>
  </w:abstractNum>
  <w:abstractNum w:abstractNumId="40">
    <w:nsid w:val="00000028"/>
    <w:multiLevelType w:val="singleLevel"/>
    <w:tmpl w:val="C5FE576A"/>
    <w:lvl w:ilvl="0">
      <w:start w:val="1"/>
      <w:numFmt w:val="decimal"/>
      <w:pStyle w:val="style59"/>
      <w:lvlText w:val=""/>
      <w:lvlJc w:val="left"/>
      <w:pPr>
        <w:tabs>
          <w:tab w:val="left" w:leader="none" w:pos="360"/>
        </w:tabs>
      </w:pPr>
    </w:lvl>
  </w:abstractNum>
  <w:abstractNum w:abstractNumId="41">
    <w:nsid w:val="00000029"/>
    <w:multiLevelType w:val="hybridMultilevel"/>
    <w:tmpl w:val="3A3C6988"/>
    <w:lvl w:ilvl="0" w:tplc="040C0001">
      <w:start w:val="1"/>
      <w:numFmt w:val="bullet"/>
      <w:lvlText w:val=""/>
      <w:lvlJc w:val="left"/>
      <w:pPr>
        <w:tabs>
          <w:tab w:val="left" w:leader="none" w:pos="360"/>
        </w:tabs>
        <w:ind w:left="360" w:hanging="360"/>
      </w:pPr>
      <w:rPr>
        <w:rFonts w:ascii="Symbol" w:hAnsi="Symbol" w:hint="default"/>
      </w:rPr>
    </w:lvl>
    <w:lvl w:ilvl="1" w:tplc="040C0003" w:tentative="1">
      <w:start w:val="1"/>
      <w:numFmt w:val="bullet"/>
      <w:lvlText w:val="o"/>
      <w:lvlJc w:val="left"/>
      <w:pPr>
        <w:tabs>
          <w:tab w:val="left" w:leader="none" w:pos="1080"/>
        </w:tabs>
        <w:ind w:left="1080" w:hanging="360"/>
      </w:pPr>
      <w:rPr>
        <w:rFonts w:ascii="Courier New" w:cs="Courier New" w:hAnsi="Courier New" w:hint="default"/>
      </w:rPr>
    </w:lvl>
    <w:lvl w:ilvl="2" w:tplc="040C0005" w:tentative="1">
      <w:start w:val="1"/>
      <w:numFmt w:val="bullet"/>
      <w:lvlText w:val=""/>
      <w:lvlJc w:val="left"/>
      <w:pPr>
        <w:tabs>
          <w:tab w:val="left" w:leader="none" w:pos="1800"/>
        </w:tabs>
        <w:ind w:left="1800" w:hanging="360"/>
      </w:pPr>
      <w:rPr>
        <w:rFonts w:ascii="Wingdings" w:hAnsi="Wingdings" w:hint="default"/>
      </w:rPr>
    </w:lvl>
    <w:lvl w:ilvl="3" w:tplc="040C0001" w:tentative="1">
      <w:start w:val="1"/>
      <w:numFmt w:val="bullet"/>
      <w:lvlText w:val=""/>
      <w:lvlJc w:val="left"/>
      <w:pPr>
        <w:tabs>
          <w:tab w:val="left" w:leader="none" w:pos="2520"/>
        </w:tabs>
        <w:ind w:left="2520" w:hanging="360"/>
      </w:pPr>
      <w:rPr>
        <w:rFonts w:ascii="Symbol" w:hAnsi="Symbol" w:hint="default"/>
      </w:rPr>
    </w:lvl>
    <w:lvl w:ilvl="4" w:tplc="040C0003" w:tentative="1">
      <w:start w:val="1"/>
      <w:numFmt w:val="bullet"/>
      <w:lvlText w:val="o"/>
      <w:lvlJc w:val="left"/>
      <w:pPr>
        <w:tabs>
          <w:tab w:val="left" w:leader="none" w:pos="3240"/>
        </w:tabs>
        <w:ind w:left="3240" w:hanging="360"/>
      </w:pPr>
      <w:rPr>
        <w:rFonts w:ascii="Courier New" w:cs="Courier New" w:hAnsi="Courier New" w:hint="default"/>
      </w:rPr>
    </w:lvl>
    <w:lvl w:ilvl="5" w:tplc="040C0005" w:tentative="1">
      <w:start w:val="1"/>
      <w:numFmt w:val="bullet"/>
      <w:lvlText w:val=""/>
      <w:lvlJc w:val="left"/>
      <w:pPr>
        <w:tabs>
          <w:tab w:val="left" w:leader="none" w:pos="3960"/>
        </w:tabs>
        <w:ind w:left="3960" w:hanging="360"/>
      </w:pPr>
      <w:rPr>
        <w:rFonts w:ascii="Wingdings" w:hAnsi="Wingdings" w:hint="default"/>
      </w:rPr>
    </w:lvl>
    <w:lvl w:ilvl="6" w:tplc="040C0001" w:tentative="1">
      <w:start w:val="1"/>
      <w:numFmt w:val="bullet"/>
      <w:lvlText w:val=""/>
      <w:lvlJc w:val="left"/>
      <w:pPr>
        <w:tabs>
          <w:tab w:val="left" w:leader="none" w:pos="4680"/>
        </w:tabs>
        <w:ind w:left="4680" w:hanging="360"/>
      </w:pPr>
      <w:rPr>
        <w:rFonts w:ascii="Symbol" w:hAnsi="Symbol" w:hint="default"/>
      </w:rPr>
    </w:lvl>
    <w:lvl w:ilvl="7" w:tplc="040C0003" w:tentative="1">
      <w:start w:val="1"/>
      <w:numFmt w:val="bullet"/>
      <w:lvlText w:val="o"/>
      <w:lvlJc w:val="left"/>
      <w:pPr>
        <w:tabs>
          <w:tab w:val="left" w:leader="none" w:pos="5400"/>
        </w:tabs>
        <w:ind w:left="5400" w:hanging="360"/>
      </w:pPr>
      <w:rPr>
        <w:rFonts w:ascii="Courier New" w:cs="Courier New" w:hAnsi="Courier New" w:hint="default"/>
      </w:rPr>
    </w:lvl>
    <w:lvl w:ilvl="8" w:tplc="040C0005" w:tentative="1">
      <w:start w:val="1"/>
      <w:numFmt w:val="bullet"/>
      <w:lvlText w:val=""/>
      <w:lvlJc w:val="left"/>
      <w:pPr>
        <w:tabs>
          <w:tab w:val="left" w:leader="none" w:pos="6120"/>
        </w:tabs>
        <w:ind w:left="6120" w:hanging="360"/>
      </w:pPr>
      <w:rPr>
        <w:rFonts w:ascii="Wingdings" w:hAnsi="Wingdings" w:hint="default"/>
      </w:rPr>
    </w:lvl>
  </w:abstractNum>
  <w:abstractNum w:abstractNumId="42">
    <w:nsid w:val="0000002A"/>
    <w:multiLevelType w:val="hybridMultilevel"/>
    <w:tmpl w:val="B79C503A"/>
    <w:lvl w:ilvl="0" w:tplc="040C0001">
      <w:start w:val="1"/>
      <w:numFmt w:val="bullet"/>
      <w:lvlText w:val=""/>
      <w:lvlJc w:val="left"/>
      <w:pPr>
        <w:tabs>
          <w:tab w:val="left" w:leader="none" w:pos="360"/>
        </w:tabs>
        <w:ind w:left="360" w:hanging="360"/>
      </w:pPr>
      <w:rPr>
        <w:rFonts w:ascii="Symbol" w:hAnsi="Symbol" w:hint="default"/>
      </w:rPr>
    </w:lvl>
    <w:lvl w:ilvl="1" w:tplc="040C0003" w:tentative="1">
      <w:start w:val="1"/>
      <w:numFmt w:val="bullet"/>
      <w:lvlText w:val="o"/>
      <w:lvlJc w:val="left"/>
      <w:pPr>
        <w:tabs>
          <w:tab w:val="left" w:leader="none" w:pos="1080"/>
        </w:tabs>
        <w:ind w:left="1080" w:hanging="360"/>
      </w:pPr>
      <w:rPr>
        <w:rFonts w:ascii="Courier New" w:cs="Courier New" w:hAnsi="Courier New" w:hint="default"/>
      </w:rPr>
    </w:lvl>
    <w:lvl w:ilvl="2" w:tplc="040C0005" w:tentative="1">
      <w:start w:val="1"/>
      <w:numFmt w:val="bullet"/>
      <w:lvlText w:val=""/>
      <w:lvlJc w:val="left"/>
      <w:pPr>
        <w:tabs>
          <w:tab w:val="left" w:leader="none" w:pos="1800"/>
        </w:tabs>
        <w:ind w:left="1800" w:hanging="360"/>
      </w:pPr>
      <w:rPr>
        <w:rFonts w:ascii="Wingdings" w:hAnsi="Wingdings" w:hint="default"/>
      </w:rPr>
    </w:lvl>
    <w:lvl w:ilvl="3" w:tplc="040C0001" w:tentative="1">
      <w:start w:val="1"/>
      <w:numFmt w:val="bullet"/>
      <w:lvlText w:val=""/>
      <w:lvlJc w:val="left"/>
      <w:pPr>
        <w:tabs>
          <w:tab w:val="left" w:leader="none" w:pos="2520"/>
        </w:tabs>
        <w:ind w:left="2520" w:hanging="360"/>
      </w:pPr>
      <w:rPr>
        <w:rFonts w:ascii="Symbol" w:hAnsi="Symbol" w:hint="default"/>
      </w:rPr>
    </w:lvl>
    <w:lvl w:ilvl="4" w:tplc="040C0003" w:tentative="1">
      <w:start w:val="1"/>
      <w:numFmt w:val="bullet"/>
      <w:lvlText w:val="o"/>
      <w:lvlJc w:val="left"/>
      <w:pPr>
        <w:tabs>
          <w:tab w:val="left" w:leader="none" w:pos="3240"/>
        </w:tabs>
        <w:ind w:left="3240" w:hanging="360"/>
      </w:pPr>
      <w:rPr>
        <w:rFonts w:ascii="Courier New" w:cs="Courier New" w:hAnsi="Courier New" w:hint="default"/>
      </w:rPr>
    </w:lvl>
    <w:lvl w:ilvl="5" w:tplc="040C0005" w:tentative="1">
      <w:start w:val="1"/>
      <w:numFmt w:val="bullet"/>
      <w:lvlText w:val=""/>
      <w:lvlJc w:val="left"/>
      <w:pPr>
        <w:tabs>
          <w:tab w:val="left" w:leader="none" w:pos="3960"/>
        </w:tabs>
        <w:ind w:left="3960" w:hanging="360"/>
      </w:pPr>
      <w:rPr>
        <w:rFonts w:ascii="Wingdings" w:hAnsi="Wingdings" w:hint="default"/>
      </w:rPr>
    </w:lvl>
    <w:lvl w:ilvl="6" w:tplc="040C0001" w:tentative="1">
      <w:start w:val="1"/>
      <w:numFmt w:val="bullet"/>
      <w:lvlText w:val=""/>
      <w:lvlJc w:val="left"/>
      <w:pPr>
        <w:tabs>
          <w:tab w:val="left" w:leader="none" w:pos="4680"/>
        </w:tabs>
        <w:ind w:left="4680" w:hanging="360"/>
      </w:pPr>
      <w:rPr>
        <w:rFonts w:ascii="Symbol" w:hAnsi="Symbol" w:hint="default"/>
      </w:rPr>
    </w:lvl>
    <w:lvl w:ilvl="7" w:tplc="040C0003" w:tentative="1">
      <w:start w:val="1"/>
      <w:numFmt w:val="bullet"/>
      <w:lvlText w:val="o"/>
      <w:lvlJc w:val="left"/>
      <w:pPr>
        <w:tabs>
          <w:tab w:val="left" w:leader="none" w:pos="5400"/>
        </w:tabs>
        <w:ind w:left="5400" w:hanging="360"/>
      </w:pPr>
      <w:rPr>
        <w:rFonts w:ascii="Courier New" w:cs="Courier New" w:hAnsi="Courier New" w:hint="default"/>
      </w:rPr>
    </w:lvl>
    <w:lvl w:ilvl="8" w:tplc="040C0005" w:tentative="1">
      <w:start w:val="1"/>
      <w:numFmt w:val="bullet"/>
      <w:lvlText w:val=""/>
      <w:lvlJc w:val="left"/>
      <w:pPr>
        <w:tabs>
          <w:tab w:val="left" w:leader="none" w:pos="6120"/>
        </w:tabs>
        <w:ind w:left="6120" w:hanging="360"/>
      </w:pPr>
      <w:rPr>
        <w:rFonts w:ascii="Wingdings" w:hAnsi="Wingdings" w:hint="default"/>
      </w:rPr>
    </w:lvl>
  </w:abstractNum>
  <w:abstractNum w:abstractNumId="43">
    <w:nsid w:val="0000002B"/>
    <w:multiLevelType w:val="hybridMultilevel"/>
    <w:tmpl w:val="878C7956"/>
    <w:lvl w:ilvl="0" w:tplc="040C0001">
      <w:start w:val="1"/>
      <w:numFmt w:val="bullet"/>
      <w:lvlText w:val=""/>
      <w:lvlJc w:val="left"/>
      <w:pPr>
        <w:tabs>
          <w:tab w:val="left" w:leader="none" w:pos="1068"/>
        </w:tabs>
        <w:ind w:left="1068" w:hanging="360"/>
      </w:pPr>
      <w:rPr>
        <w:rFonts w:ascii="Symbol" w:hAnsi="Symbol" w:hint="default"/>
      </w:rPr>
    </w:lvl>
    <w:lvl w:ilvl="1" w:tplc="040C0003" w:tentative="1">
      <w:start w:val="1"/>
      <w:numFmt w:val="bullet"/>
      <w:lvlText w:val="o"/>
      <w:lvlJc w:val="left"/>
      <w:pPr>
        <w:tabs>
          <w:tab w:val="left" w:leader="none" w:pos="1788"/>
        </w:tabs>
        <w:ind w:left="1788" w:hanging="360"/>
      </w:pPr>
      <w:rPr>
        <w:rFonts w:ascii="Courier New" w:cs="Courier New" w:hAnsi="Courier New" w:hint="default"/>
      </w:rPr>
    </w:lvl>
    <w:lvl w:ilvl="2" w:tplc="040C0005" w:tentative="1">
      <w:start w:val="1"/>
      <w:numFmt w:val="bullet"/>
      <w:lvlText w:val=""/>
      <w:lvlJc w:val="left"/>
      <w:pPr>
        <w:tabs>
          <w:tab w:val="left" w:leader="none" w:pos="2508"/>
        </w:tabs>
        <w:ind w:left="2508" w:hanging="360"/>
      </w:pPr>
      <w:rPr>
        <w:rFonts w:ascii="Wingdings" w:hAnsi="Wingdings" w:hint="default"/>
      </w:rPr>
    </w:lvl>
    <w:lvl w:ilvl="3" w:tplc="040C0001" w:tentative="1">
      <w:start w:val="1"/>
      <w:numFmt w:val="bullet"/>
      <w:lvlText w:val=""/>
      <w:lvlJc w:val="left"/>
      <w:pPr>
        <w:tabs>
          <w:tab w:val="left" w:leader="none" w:pos="3228"/>
        </w:tabs>
        <w:ind w:left="3228" w:hanging="360"/>
      </w:pPr>
      <w:rPr>
        <w:rFonts w:ascii="Symbol" w:hAnsi="Symbol" w:hint="default"/>
      </w:rPr>
    </w:lvl>
    <w:lvl w:ilvl="4" w:tplc="040C0003" w:tentative="1">
      <w:start w:val="1"/>
      <w:numFmt w:val="bullet"/>
      <w:lvlText w:val="o"/>
      <w:lvlJc w:val="left"/>
      <w:pPr>
        <w:tabs>
          <w:tab w:val="left" w:leader="none" w:pos="3948"/>
        </w:tabs>
        <w:ind w:left="3948" w:hanging="360"/>
      </w:pPr>
      <w:rPr>
        <w:rFonts w:ascii="Courier New" w:cs="Courier New" w:hAnsi="Courier New" w:hint="default"/>
      </w:rPr>
    </w:lvl>
    <w:lvl w:ilvl="5" w:tplc="040C0005" w:tentative="1">
      <w:start w:val="1"/>
      <w:numFmt w:val="bullet"/>
      <w:lvlText w:val=""/>
      <w:lvlJc w:val="left"/>
      <w:pPr>
        <w:tabs>
          <w:tab w:val="left" w:leader="none" w:pos="4668"/>
        </w:tabs>
        <w:ind w:left="4668" w:hanging="360"/>
      </w:pPr>
      <w:rPr>
        <w:rFonts w:ascii="Wingdings" w:hAnsi="Wingdings" w:hint="default"/>
      </w:rPr>
    </w:lvl>
    <w:lvl w:ilvl="6" w:tplc="040C0001" w:tentative="1">
      <w:start w:val="1"/>
      <w:numFmt w:val="bullet"/>
      <w:lvlText w:val=""/>
      <w:lvlJc w:val="left"/>
      <w:pPr>
        <w:tabs>
          <w:tab w:val="left" w:leader="none" w:pos="5388"/>
        </w:tabs>
        <w:ind w:left="5388" w:hanging="360"/>
      </w:pPr>
      <w:rPr>
        <w:rFonts w:ascii="Symbol" w:hAnsi="Symbol" w:hint="default"/>
      </w:rPr>
    </w:lvl>
    <w:lvl w:ilvl="7" w:tplc="040C0003" w:tentative="1">
      <w:start w:val="1"/>
      <w:numFmt w:val="bullet"/>
      <w:lvlText w:val="o"/>
      <w:lvlJc w:val="left"/>
      <w:pPr>
        <w:tabs>
          <w:tab w:val="left" w:leader="none" w:pos="6108"/>
        </w:tabs>
        <w:ind w:left="6108" w:hanging="360"/>
      </w:pPr>
      <w:rPr>
        <w:rFonts w:ascii="Courier New" w:cs="Courier New" w:hAnsi="Courier New" w:hint="default"/>
      </w:rPr>
    </w:lvl>
    <w:lvl w:ilvl="8" w:tplc="040C0005" w:tentative="1">
      <w:start w:val="1"/>
      <w:numFmt w:val="bullet"/>
      <w:lvlText w:val=""/>
      <w:lvlJc w:val="left"/>
      <w:pPr>
        <w:tabs>
          <w:tab w:val="left" w:leader="none" w:pos="6828"/>
        </w:tabs>
        <w:ind w:left="6828" w:hanging="360"/>
      </w:pPr>
      <w:rPr>
        <w:rFonts w:ascii="Wingdings" w:hAnsi="Wingdings" w:hint="default"/>
      </w:rPr>
    </w:lvl>
  </w:abstractNum>
  <w:abstractNum w:abstractNumId="44">
    <w:nsid w:val="0000002C"/>
    <w:multiLevelType w:val="singleLevel"/>
    <w:tmpl w:val="A7EEDD90"/>
    <w:lvl w:ilvl="0">
      <w:start w:val="1"/>
      <w:numFmt w:val="bullet"/>
      <w:pStyle w:val="style4199"/>
      <w:lvlText w:val=""/>
      <w:lvlJc w:val="left"/>
      <w:pPr>
        <w:tabs>
          <w:tab w:val="left" w:leader="none" w:pos="360"/>
        </w:tabs>
        <w:ind w:left="360" w:hanging="360"/>
      </w:pPr>
      <w:rPr>
        <w:rFonts w:ascii="Wingdings" w:hAnsi="Wingdings" w:hint="default"/>
      </w:rPr>
    </w:lvl>
  </w:abstractNum>
  <w:abstractNum w:abstractNumId="45">
    <w:nsid w:val="0000002D"/>
    <w:multiLevelType w:val="hybridMultilevel"/>
    <w:tmpl w:val="607E1ACC"/>
    <w:lvl w:ilvl="0" w:tplc="040C0001">
      <w:start w:val="1"/>
      <w:numFmt w:val="bullet"/>
      <w:lvlText w:val=""/>
      <w:lvlJc w:val="left"/>
      <w:pPr>
        <w:tabs>
          <w:tab w:val="left" w:leader="none" w:pos="360"/>
        </w:tabs>
        <w:ind w:left="36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46">
    <w:nsid w:val="0000002E"/>
    <w:multiLevelType w:val="hybridMultilevel"/>
    <w:tmpl w:val="AAD8CB3C"/>
    <w:lvl w:ilvl="0" w:tplc="D2B4FF38">
      <w:start w:val="1"/>
      <w:numFmt w:val="bullet"/>
      <w:lvlText w:val=""/>
      <w:lvlJc w:val="left"/>
      <w:pPr>
        <w:ind w:left="761" w:hanging="360"/>
      </w:pPr>
      <w:rPr>
        <w:rFonts w:ascii="Symbol" w:hAnsi="Symbol" w:hint="default"/>
      </w:rPr>
    </w:lvl>
    <w:lvl w:ilvl="1" w:tplc="040C0019" w:tentative="1">
      <w:start w:val="1"/>
      <w:numFmt w:val="bullet"/>
      <w:lvlText w:val="o"/>
      <w:lvlJc w:val="left"/>
      <w:pPr>
        <w:ind w:left="1481" w:hanging="360"/>
      </w:pPr>
      <w:rPr>
        <w:rFonts w:ascii="Courier New" w:cs="Courier New" w:hAnsi="Courier New" w:hint="default"/>
      </w:rPr>
    </w:lvl>
    <w:lvl w:ilvl="2" w:tplc="040C001B" w:tentative="1">
      <w:start w:val="1"/>
      <w:numFmt w:val="bullet"/>
      <w:lvlText w:val=""/>
      <w:lvlJc w:val="left"/>
      <w:pPr>
        <w:ind w:left="2201" w:hanging="360"/>
      </w:pPr>
      <w:rPr>
        <w:rFonts w:ascii="Wingdings" w:hAnsi="Wingdings" w:hint="default"/>
      </w:rPr>
    </w:lvl>
    <w:lvl w:ilvl="3" w:tplc="040C000F" w:tentative="1">
      <w:start w:val="1"/>
      <w:numFmt w:val="bullet"/>
      <w:lvlText w:val=""/>
      <w:lvlJc w:val="left"/>
      <w:pPr>
        <w:ind w:left="2921" w:hanging="360"/>
      </w:pPr>
      <w:rPr>
        <w:rFonts w:ascii="Symbol" w:hAnsi="Symbol" w:hint="default"/>
      </w:rPr>
    </w:lvl>
    <w:lvl w:ilvl="4" w:tplc="040C0019" w:tentative="1">
      <w:start w:val="1"/>
      <w:numFmt w:val="bullet"/>
      <w:lvlText w:val="o"/>
      <w:lvlJc w:val="left"/>
      <w:pPr>
        <w:ind w:left="3641" w:hanging="360"/>
      </w:pPr>
      <w:rPr>
        <w:rFonts w:ascii="Courier New" w:cs="Courier New" w:hAnsi="Courier New" w:hint="default"/>
      </w:rPr>
    </w:lvl>
    <w:lvl w:ilvl="5" w:tplc="040C001B" w:tentative="1">
      <w:start w:val="1"/>
      <w:numFmt w:val="bullet"/>
      <w:lvlText w:val=""/>
      <w:lvlJc w:val="left"/>
      <w:pPr>
        <w:ind w:left="4361" w:hanging="360"/>
      </w:pPr>
      <w:rPr>
        <w:rFonts w:ascii="Wingdings" w:hAnsi="Wingdings" w:hint="default"/>
      </w:rPr>
    </w:lvl>
    <w:lvl w:ilvl="6" w:tplc="040C000F" w:tentative="1">
      <w:start w:val="1"/>
      <w:numFmt w:val="bullet"/>
      <w:lvlText w:val=""/>
      <w:lvlJc w:val="left"/>
      <w:pPr>
        <w:ind w:left="5081" w:hanging="360"/>
      </w:pPr>
      <w:rPr>
        <w:rFonts w:ascii="Symbol" w:hAnsi="Symbol" w:hint="default"/>
      </w:rPr>
    </w:lvl>
    <w:lvl w:ilvl="7" w:tplc="040C0019" w:tentative="1">
      <w:start w:val="1"/>
      <w:numFmt w:val="bullet"/>
      <w:lvlText w:val="o"/>
      <w:lvlJc w:val="left"/>
      <w:pPr>
        <w:ind w:left="5801" w:hanging="360"/>
      </w:pPr>
      <w:rPr>
        <w:rFonts w:ascii="Courier New" w:cs="Courier New" w:hAnsi="Courier New" w:hint="default"/>
      </w:rPr>
    </w:lvl>
    <w:lvl w:ilvl="8" w:tplc="040C001B" w:tentative="1">
      <w:start w:val="1"/>
      <w:numFmt w:val="bullet"/>
      <w:lvlText w:val=""/>
      <w:lvlJc w:val="left"/>
      <w:pPr>
        <w:ind w:left="6521" w:hanging="360"/>
      </w:pPr>
      <w:rPr>
        <w:rFonts w:ascii="Wingdings" w:hAnsi="Wingdings" w:hint="default"/>
      </w:rPr>
    </w:lvl>
  </w:abstractNum>
  <w:abstractNum w:abstractNumId="47">
    <w:nsid w:val="0000002F"/>
    <w:multiLevelType w:val="hybridMultilevel"/>
    <w:tmpl w:val="98C061DE"/>
    <w:lvl w:ilvl="0" w:tplc="C2A4B334">
      <w:start w:val="1"/>
      <w:numFmt w:val="bullet"/>
      <w:pStyle w:val="style4208"/>
      <w:lvlText w:val=""/>
      <w:lvlJc w:val="left"/>
      <w:pPr>
        <w:tabs>
          <w:tab w:val="left" w:leader="none" w:pos="851"/>
        </w:tabs>
        <w:ind w:left="851" w:hanging="284"/>
      </w:pPr>
      <w:rPr>
        <w:rFonts w:ascii="Wingdings" w:hAnsi="Wingdings" w:hint="default"/>
        <w:b/>
        <w:i w:val="false"/>
        <w:color w:val="99cc00"/>
        <w:sz w:val="24"/>
      </w:rPr>
    </w:lvl>
    <w:lvl w:ilvl="1" w:tplc="D97E672A">
      <w:start w:val="1"/>
      <w:numFmt w:val="bullet"/>
      <w:lvlText w:val="o"/>
      <w:lvlJc w:val="left"/>
      <w:pPr>
        <w:tabs>
          <w:tab w:val="left" w:leader="none" w:pos="1440"/>
        </w:tabs>
        <w:ind w:left="1440" w:hanging="360"/>
      </w:pPr>
      <w:rPr>
        <w:rFonts w:ascii="Courier New" w:cs="Courier New" w:hAnsi="Courier New" w:hint="default"/>
      </w:rPr>
    </w:lvl>
    <w:lvl w:ilvl="2" w:tplc="040C0001">
      <w:start w:val="1"/>
      <w:numFmt w:val="bullet"/>
      <w:lvlText w:val="-"/>
      <w:lvlJc w:val="left"/>
      <w:pPr>
        <w:tabs>
          <w:tab w:val="left" w:leader="none" w:pos="2160"/>
        </w:tabs>
        <w:ind w:left="2160" w:hanging="360"/>
      </w:pPr>
      <w:rPr>
        <w:rFonts w:ascii="Arial" w:hAnsi="Arial" w:hint="default"/>
        <w:b/>
        <w:i w:val="false"/>
        <w:color w:val="auto"/>
        <w:sz w:val="24"/>
      </w:rPr>
    </w:lvl>
    <w:lvl w:ilvl="3" w:tplc="9A925FC4">
      <w:start w:val="1"/>
      <w:numFmt w:val="bullet"/>
      <w:lvlText w:val=""/>
      <w:lvlJc w:val="left"/>
      <w:pPr>
        <w:tabs>
          <w:tab w:val="left" w:leader="none" w:pos="2804"/>
        </w:tabs>
        <w:ind w:left="2804" w:hanging="284"/>
      </w:pPr>
      <w:rPr>
        <w:rFonts w:ascii="Wingdings" w:hAnsi="Wingdings" w:hint="default"/>
        <w:b/>
        <w:i w:val="false"/>
        <w:color w:val="99cc00"/>
        <w:sz w:val="24"/>
      </w:rPr>
    </w:lvl>
    <w:lvl w:ilvl="4" w:tplc="E06886E6" w:tentative="1">
      <w:start w:val="1"/>
      <w:numFmt w:val="bullet"/>
      <w:lvlText w:val="o"/>
      <w:lvlJc w:val="left"/>
      <w:pPr>
        <w:tabs>
          <w:tab w:val="left" w:leader="none" w:pos="3600"/>
        </w:tabs>
        <w:ind w:left="3600" w:hanging="360"/>
      </w:pPr>
      <w:rPr>
        <w:rFonts w:ascii="Courier New" w:cs="Courier New" w:hAnsi="Courier New" w:hint="default"/>
      </w:rPr>
    </w:lvl>
    <w:lvl w:ilvl="5" w:tplc="B2B43DF4" w:tentative="1">
      <w:start w:val="1"/>
      <w:numFmt w:val="bullet"/>
      <w:lvlText w:val=""/>
      <w:lvlJc w:val="left"/>
      <w:pPr>
        <w:tabs>
          <w:tab w:val="left" w:leader="none" w:pos="4320"/>
        </w:tabs>
        <w:ind w:left="4320" w:hanging="360"/>
      </w:pPr>
      <w:rPr>
        <w:rFonts w:ascii="Wingdings" w:hAnsi="Wingdings" w:hint="default"/>
      </w:rPr>
    </w:lvl>
    <w:lvl w:ilvl="6" w:tplc="07C429CA" w:tentative="1">
      <w:start w:val="1"/>
      <w:numFmt w:val="bullet"/>
      <w:lvlText w:val=""/>
      <w:lvlJc w:val="left"/>
      <w:pPr>
        <w:tabs>
          <w:tab w:val="left" w:leader="none" w:pos="5040"/>
        </w:tabs>
        <w:ind w:left="5040" w:hanging="360"/>
      </w:pPr>
      <w:rPr>
        <w:rFonts w:ascii="Symbol" w:hAnsi="Symbol" w:hint="default"/>
      </w:rPr>
    </w:lvl>
    <w:lvl w:ilvl="7" w:tplc="973EC6D8" w:tentative="1">
      <w:start w:val="1"/>
      <w:numFmt w:val="bullet"/>
      <w:lvlText w:val="o"/>
      <w:lvlJc w:val="left"/>
      <w:pPr>
        <w:tabs>
          <w:tab w:val="left" w:leader="none" w:pos="5760"/>
        </w:tabs>
        <w:ind w:left="5760" w:hanging="360"/>
      </w:pPr>
      <w:rPr>
        <w:rFonts w:ascii="Courier New" w:cs="Courier New" w:hAnsi="Courier New" w:hint="default"/>
      </w:rPr>
    </w:lvl>
    <w:lvl w:ilvl="8" w:tplc="DE9A4508" w:tentative="1">
      <w:start w:val="1"/>
      <w:numFmt w:val="bullet"/>
      <w:lvlText w:val=""/>
      <w:lvlJc w:val="left"/>
      <w:pPr>
        <w:tabs>
          <w:tab w:val="left" w:leader="none" w:pos="6480"/>
        </w:tabs>
        <w:ind w:left="6480" w:hanging="360"/>
      </w:pPr>
      <w:rPr>
        <w:rFonts w:ascii="Wingdings" w:hAnsi="Wingdings" w:hint="default"/>
      </w:rPr>
    </w:lvl>
  </w:abstractNum>
  <w:abstractNum w:abstractNumId="48">
    <w:nsid w:val="00000030"/>
    <w:multiLevelType w:val="hybridMultilevel"/>
    <w:tmpl w:val="620AA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multilevel"/>
    <w:tmpl w:val="A0B48294"/>
    <w:lvl w:ilvl="0">
      <w:start w:val="1"/>
      <w:numFmt w:val="none"/>
      <w:pStyle w:val="style4283"/>
      <w:suff w:val="nothing"/>
      <w:lvlText w:val="%1"/>
      <w:lvlJc w:val="left"/>
      <w:pPr/>
      <w:rPr>
        <w:rFonts w:cs="Times New Roman" w:hint="default"/>
      </w:rPr>
    </w:lvl>
    <w:lvl w:ilvl="1">
      <w:start w:val="1"/>
      <w:numFmt w:val="decimal"/>
      <w:lvlText w:val="%2."/>
      <w:lvlJc w:val="left"/>
      <w:pPr>
        <w:tabs>
          <w:tab w:val="left" w:leader="none" w:pos="720"/>
        </w:tabs>
        <w:ind w:left="720" w:hanging="720"/>
      </w:pPr>
      <w:rPr>
        <w:rFonts w:cs="Times New Roman" w:hint="default"/>
      </w:rPr>
    </w:lvl>
    <w:lvl w:ilvl="2">
      <w:start w:val="1"/>
      <w:numFmt w:val="lowerLetter"/>
      <w:lvlText w:val="(%3)"/>
      <w:lvlJc w:val="left"/>
      <w:pPr>
        <w:tabs>
          <w:tab w:val="left" w:leader="none" w:pos="1080"/>
        </w:tabs>
        <w:ind w:left="720" w:hanging="360"/>
      </w:pPr>
      <w:rPr>
        <w:rFonts w:cs="Times New Roman" w:hint="default"/>
      </w:rPr>
    </w:lvl>
    <w:lvl w:ilvl="3">
      <w:start w:val="1"/>
      <w:numFmt w:val="lowerRoman"/>
      <w:pStyle w:val="style4264"/>
      <w:lvlText w:val="(%4)"/>
      <w:lvlJc w:val="left"/>
      <w:pPr>
        <w:tabs>
          <w:tab w:val="left" w:leader="none" w:pos="1800"/>
        </w:tabs>
        <w:ind w:left="1080" w:hanging="360"/>
      </w:pPr>
      <w:rPr>
        <w:rFonts w:cs="Times New Roman" w:hint="default"/>
      </w:rPr>
    </w:lvl>
    <w:lvl w:ilvl="4">
      <w:start w:val="1"/>
      <w:numFmt w:val="lowerLetter"/>
      <w:lvlText w:val="%5."/>
      <w:lvlJc w:val="left"/>
      <w:pPr>
        <w:tabs>
          <w:tab w:val="left" w:leader="none" w:pos="1440"/>
        </w:tabs>
        <w:ind w:left="1440" w:hanging="360"/>
      </w:pPr>
      <w:rPr>
        <w:rFonts w:cs="Times New Roman" w:hint="default"/>
      </w:rPr>
    </w:lvl>
    <w:lvl w:ilvl="5">
      <w:start w:val="1"/>
      <w:numFmt w:val="lowerRoman"/>
      <w:lvlText w:val="%6."/>
      <w:lvlJc w:val="left"/>
      <w:pPr>
        <w:tabs>
          <w:tab w:val="left" w:leader="none" w:pos="2160"/>
        </w:tabs>
        <w:ind w:left="1800" w:hanging="360"/>
      </w:pPr>
      <w:rPr>
        <w:rFonts w:cs="Times New Roman" w:hint="default"/>
      </w:rPr>
    </w:lvl>
    <w:lvl w:ilvl="6">
      <w:start w:val="1"/>
      <w:numFmt w:val="decimal"/>
      <w:lvlText w:val="%7."/>
      <w:lvlJc w:val="left"/>
      <w:pPr>
        <w:tabs>
          <w:tab w:val="left" w:leader="none" w:pos="2520"/>
        </w:tabs>
        <w:ind w:left="2520" w:hanging="360"/>
      </w:pPr>
      <w:rPr>
        <w:rFonts w:cs="Times New Roman" w:hint="default"/>
      </w:rPr>
    </w:lvl>
    <w:lvl w:ilvl="7">
      <w:start w:val="1"/>
      <w:numFmt w:val="lowerLetter"/>
      <w:lvlText w:val="%8."/>
      <w:lvlJc w:val="left"/>
      <w:pPr>
        <w:tabs>
          <w:tab w:val="left" w:leader="none" w:pos="2880"/>
        </w:tabs>
        <w:ind w:left="2880" w:hanging="360"/>
      </w:pPr>
      <w:rPr>
        <w:rFonts w:cs="Times New Roman" w:hint="default"/>
      </w:rPr>
    </w:lvl>
    <w:lvl w:ilvl="8">
      <w:start w:val="1"/>
      <w:numFmt w:val="lowerRoman"/>
      <w:lvlText w:val="%9."/>
      <w:lvlJc w:val="left"/>
      <w:pPr>
        <w:tabs>
          <w:tab w:val="left" w:leader="none" w:pos="3240"/>
        </w:tabs>
        <w:ind w:left="3240" w:hanging="360"/>
      </w:pPr>
      <w:rPr>
        <w:rFonts w:cs="Times New Roman" w:hint="default"/>
      </w:rPr>
    </w:lvl>
  </w:abstractNum>
  <w:abstractNum w:abstractNumId="50">
    <w:nsid w:val="00000032"/>
    <w:multiLevelType w:val="hybridMultilevel"/>
    <w:tmpl w:val="DD384A12"/>
    <w:lvl w:ilvl="0" w:tplc="8550B552">
      <w:start w:val="1"/>
      <w:numFmt w:val="decimal"/>
      <w:pStyle w:val="style4245"/>
      <w:lvlText w:val="%1."/>
      <w:lvlJc w:val="left"/>
      <w:pPr>
        <w:ind w:left="360" w:hanging="360"/>
      </w:pPr>
      <w:rPr>
        <w:rFonts w:ascii="Times New Roman" w:cs="Times New Roman" w:hAnsi="Times New Roman" w:hint="default"/>
        <w:b w:val="false"/>
        <w:color w:val="auto"/>
        <w:sz w:val="24"/>
        <w:szCs w:val="24"/>
      </w:rPr>
    </w:lvl>
    <w:lvl w:ilvl="1" w:tplc="04090019">
      <w:start w:val="1"/>
      <w:numFmt w:val="lowerLetter"/>
      <w:lvlText w:val="%2."/>
      <w:lvlJc w:val="left"/>
      <w:pPr>
        <w:ind w:left="1080" w:hanging="360"/>
      </w:pPr>
      <w:rPr>
        <w:rFonts w:cs="Times New Roman"/>
      </w:rPr>
    </w:lvl>
    <w:lvl w:ilvl="2" w:tplc="A22CF73A">
      <w:start w:val="1"/>
      <w:numFmt w:val="bullet"/>
      <w:lvlText w:val="•"/>
      <w:lvlJc w:val="left"/>
      <w:pPr>
        <w:ind w:left="1980" w:hanging="360"/>
      </w:pPr>
      <w:rPr>
        <w:rFonts w:ascii="Times New Roman" w:cs="Times New Roman" w:eastAsia="Times New Roman" w:hAnsi="Times New Roman" w:hint="default"/>
      </w:rPr>
    </w:lvl>
    <w:lvl w:ilvl="3" w:tplc="0C44F972">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nsid w:val="00000033"/>
    <w:multiLevelType w:val="multilevel"/>
    <w:tmpl w:val="0388E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00000034"/>
    <w:multiLevelType w:val="singleLevel"/>
    <w:tmpl w:val="992A7FCA"/>
    <w:lvl w:ilvl="0">
      <w:start w:val="1"/>
      <w:numFmt w:val="bullet"/>
      <w:pStyle w:val="style4122"/>
      <w:lvlText w:val="-"/>
      <w:lvlJc w:val="left"/>
      <w:pPr>
        <w:tabs>
          <w:tab w:val="left" w:leader="none" w:pos="435"/>
        </w:tabs>
        <w:ind w:left="435" w:hanging="435"/>
      </w:pPr>
      <w:rPr>
        <w:rFonts w:hint="default"/>
        <w:color w:val="auto"/>
      </w:rPr>
    </w:lvl>
  </w:abstractNum>
  <w:abstractNum w:abstractNumId="53">
    <w:nsid w:val="00000035"/>
    <w:multiLevelType w:val="multilevel"/>
    <w:tmpl w:val="DC460166"/>
    <w:lvl w:ilvl="0">
      <w:start w:val="1"/>
      <w:numFmt w:val="decimal"/>
      <w:pStyle w:val="style4310"/>
      <w:lvlText w:val="%1."/>
      <w:lvlJc w:val="left"/>
      <w:pPr>
        <w:tabs>
          <w:tab w:val="left" w:leader="none" w:pos="567"/>
        </w:tabs>
        <w:ind w:left="567"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1">
      <w:start w:val="1"/>
      <w:numFmt w:val="lowerLetter"/>
      <w:pStyle w:val="style4311"/>
      <w:lvlText w:val="(%2)"/>
      <w:lvlJc w:val="left"/>
      <w:pPr>
        <w:tabs>
          <w:tab w:val="left" w:leader="none" w:pos="1134"/>
        </w:tabs>
        <w:ind w:left="1134"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2">
      <w:start w:val="1"/>
      <w:numFmt w:val="lowerRoman"/>
      <w:pStyle w:val="style4312"/>
      <w:lvlText w:val="(%3)"/>
      <w:lvlJc w:val="left"/>
      <w:pPr>
        <w:tabs>
          <w:tab w:val="left" w:leader="none" w:pos="1701"/>
        </w:tabs>
        <w:ind w:left="1701"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3">
      <w:start w:val="1"/>
      <w:numFmt w:val="bullet"/>
      <w:pStyle w:val="style4313"/>
      <w:lvlText w:val="-"/>
      <w:lvlJc w:val="left"/>
      <w:pPr>
        <w:tabs>
          <w:tab w:val="left" w:leader="none" w:pos="1985"/>
        </w:tabs>
        <w:ind w:left="1985" w:hanging="284"/>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4">
      <w:start w:val="1"/>
      <w:numFmt w:val="lowerLetter"/>
      <w:lvlText w:val="(%5)"/>
      <w:lvlJc w:val="left"/>
      <w:pPr>
        <w:tabs>
          <w:tab w:val="left" w:leader="none" w:pos="1800"/>
        </w:tabs>
        <w:ind w:left="1800" w:hanging="360"/>
      </w:pPr>
      <w:rPr>
        <w:rFonts w:hint="default"/>
      </w:rPr>
    </w:lvl>
    <w:lvl w:ilvl="5">
      <w:start w:val="1"/>
      <w:numFmt w:val="lowerRoman"/>
      <w:lvlText w:val="(%6)"/>
      <w:lvlJc w:val="left"/>
      <w:pPr>
        <w:tabs>
          <w:tab w:val="left" w:leader="none" w:pos="2160"/>
        </w:tabs>
        <w:ind w:left="2160" w:hanging="360"/>
      </w:pPr>
      <w:rPr>
        <w:rFonts w:hint="default"/>
      </w:rPr>
    </w:lvl>
    <w:lvl w:ilvl="6">
      <w:start w:val="1"/>
      <w:numFmt w:val="decimal"/>
      <w:lvlText w:val="%7."/>
      <w:lvlJc w:val="left"/>
      <w:pPr>
        <w:tabs>
          <w:tab w:val="left" w:leader="none" w:pos="2520"/>
        </w:tabs>
        <w:ind w:left="2520" w:hanging="360"/>
      </w:pPr>
      <w:rPr>
        <w:rFonts w:hint="default"/>
      </w:rPr>
    </w:lvl>
    <w:lvl w:ilvl="7">
      <w:start w:val="1"/>
      <w:numFmt w:val="lowerLetter"/>
      <w:lvlText w:val="%8."/>
      <w:lvlJc w:val="left"/>
      <w:pPr>
        <w:tabs>
          <w:tab w:val="left" w:leader="none" w:pos="2880"/>
        </w:tabs>
        <w:ind w:left="2880" w:hanging="360"/>
      </w:pPr>
      <w:rPr>
        <w:rFonts w:hint="default"/>
      </w:rPr>
    </w:lvl>
    <w:lvl w:ilvl="8">
      <w:start w:val="1"/>
      <w:numFmt w:val="lowerRoman"/>
      <w:lvlText w:val="%9."/>
      <w:lvlJc w:val="left"/>
      <w:pPr>
        <w:tabs>
          <w:tab w:val="left" w:leader="none" w:pos="3240"/>
        </w:tabs>
        <w:ind w:left="3240" w:hanging="360"/>
      </w:pPr>
      <w:rPr>
        <w:rFonts w:hint="default"/>
      </w:rPr>
    </w:lvl>
  </w:abstractNum>
  <w:abstractNum w:abstractNumId="54">
    <w:nsid w:val="00000036"/>
    <w:multiLevelType w:val="hybridMultilevel"/>
    <w:tmpl w:val="172661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82427EC8"/>
    <w:lvl w:ilvl="0" w:tplc="040C0001">
      <w:start w:val="1"/>
      <w:numFmt w:val="bullet"/>
      <w:lvlText w:val=""/>
      <w:lvlJc w:val="left"/>
      <w:pPr>
        <w:ind w:left="720" w:hanging="360"/>
      </w:pPr>
      <w:rPr>
        <w:rFonts w:ascii="Symbol" w:hAnsi="Symbol" w:hint="default"/>
      </w:rPr>
    </w:lvl>
    <w:lvl w:ilvl="1" w:tplc="0178BB46"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4D81A8E"/>
    <w:lvl w:ilvl="0" w:tplc="21007B3A">
      <w:start w:val="1"/>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00000039"/>
    <w:multiLevelType w:val="singleLevel"/>
    <w:tmpl w:val="E738D03C"/>
    <w:lvl w:ilvl="0">
      <w:start w:val="1"/>
      <w:numFmt w:val="bullet"/>
      <w:pStyle w:val="style4209"/>
      <w:lvlText w:val=""/>
      <w:lvlJc w:val="left"/>
      <w:pPr>
        <w:tabs>
          <w:tab w:val="left" w:leader="none" w:pos="340"/>
        </w:tabs>
        <w:ind w:left="340" w:hanging="340"/>
      </w:pPr>
      <w:rPr>
        <w:rFonts w:ascii="Wingdings" w:hAnsi="Wingdings" w:hint="default"/>
      </w:rPr>
    </w:lvl>
  </w:abstractNum>
  <w:abstractNum w:abstractNumId="58">
    <w:nsid w:val="0000003A"/>
    <w:multiLevelType w:val="hybridMultilevel"/>
    <w:tmpl w:val="2668D75A"/>
    <w:lvl w:ilvl="0" w:tplc="F5A0A0B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9">
    <w:nsid w:val="0000003B"/>
    <w:multiLevelType w:val="hybridMultilevel"/>
    <w:tmpl w:val="20FCDBAE"/>
    <w:lvl w:ilvl="0" w:tplc="63DC4F4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0000003C"/>
    <w:multiLevelType w:val="singleLevel"/>
    <w:tmpl w:val="62363E78"/>
    <w:lvl w:ilvl="0">
      <w:start w:val="1"/>
      <w:numFmt w:val="decimal"/>
      <w:lvlText w:val="*"/>
      <w:lvlJc w:val="left"/>
      <w:pPr/>
    </w:lvl>
  </w:abstractNum>
  <w:abstractNum w:abstractNumId="61">
    <w:nsid w:val="0000003D"/>
    <w:multiLevelType w:val="hybridMultilevel"/>
    <w:tmpl w:val="AB1A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0000003E"/>
    <w:multiLevelType w:val="multilevel"/>
    <w:tmpl w:val="25E2A89E"/>
    <w:lvl w:ilvl="0">
      <w:start w:val="4"/>
      <w:numFmt w:val="upperRoman"/>
      <w:lvlText w:val="%1."/>
      <w:lvlJc w:val="left"/>
      <w:pPr>
        <w:ind w:left="1080" w:hanging="72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0000003F"/>
    <w:multiLevelType w:val="hybridMultilevel"/>
    <w:tmpl w:val="0AEA0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B2E82426"/>
    <w:lvl w:ilvl="0" w:tplc="131C9EEE">
      <w:start w:val="1"/>
      <w:numFmt w:val="bullet"/>
      <w:pStyle w:val="style4288"/>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0D3064EE"/>
    <w:lvl w:ilvl="0" w:tplc="040C0009">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714253D8"/>
    <w:lvl w:ilvl="0" w:tplc="22A0D8B6">
      <w:start w:val="1"/>
      <w:numFmt w:val="bullet"/>
      <w:lvlText w:val="-"/>
      <w:lvlJc w:val="left"/>
      <w:pPr>
        <w:ind w:left="720" w:hanging="360"/>
      </w:pPr>
      <w:rPr>
        <w:rFonts w:ascii="Arial" w:cs="Arial" w:eastAsia="Times New Roman" w:hAnsi="Aria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00000043"/>
    <w:multiLevelType w:val="hybridMultilevel"/>
    <w:tmpl w:val="8584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1DAEDE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0000045"/>
    <w:multiLevelType w:val="hybridMultilevel"/>
    <w:tmpl w:val="67E09862"/>
    <w:lvl w:ilvl="0" w:tplc="C89A5D0A">
      <w:start w:val="15"/>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00000046"/>
    <w:multiLevelType w:val="multilevel"/>
    <w:tmpl w:val="1E5AB190"/>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00000047"/>
    <w:multiLevelType w:val="multilevel"/>
    <w:tmpl w:val="624C8166"/>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72">
    <w:nsid w:val="00000048"/>
    <w:multiLevelType w:val="hybridMultilevel"/>
    <w:tmpl w:val="9EFA42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00000049"/>
    <w:multiLevelType w:val="multilevel"/>
    <w:tmpl w:val="855C7952"/>
    <w:lvl w:ilvl="0">
      <w:start w:val="1"/>
      <w:numFmt w:val="decimal"/>
      <w:pStyle w:val="style4151"/>
      <w:lvlText w:val="%1."/>
      <w:lvlJc w:val="left"/>
      <w:pPr>
        <w:tabs>
          <w:tab w:val="left" w:leader="none" w:pos="360"/>
        </w:tabs>
        <w:ind w:left="0" w:firstLine="0"/>
      </w:pPr>
      <w:rPr>
        <w:rFonts w:ascii="Times New Roman" w:hAnsi="Times New Roman" w:hint="default"/>
        <w:b/>
        <w:i w:val="false"/>
        <w:sz w:val="24"/>
        <w:u w:val="none"/>
      </w:rPr>
    </w:lvl>
    <w:lvl w:ilvl="1">
      <w:start w:val="1"/>
      <w:numFmt w:val="decimal"/>
      <w:pStyle w:val="style4152"/>
      <w:lvlText w:val="%1.%2."/>
      <w:lvlJc w:val="left"/>
      <w:pPr>
        <w:tabs>
          <w:tab w:val="left" w:leader="none" w:pos="720"/>
        </w:tabs>
        <w:ind w:left="0" w:firstLine="0"/>
      </w:pPr>
      <w:rPr>
        <w:rFonts w:ascii="Times New Roman" w:hAnsi="Times New Roman" w:hint="default"/>
        <w:b w:val="false"/>
        <w:i w:val="false"/>
        <w:sz w:val="24"/>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74">
    <w:nsid w:val="0000004A"/>
    <w:multiLevelType w:val="hybridMultilevel"/>
    <w:tmpl w:val="37922366"/>
    <w:lvl w:ilvl="0" w:tplc="541E830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0000004B"/>
    <w:multiLevelType w:val="multilevel"/>
    <w:tmpl w:val="5052A85E"/>
    <w:lvl w:ilvl="0">
      <w:start w:val="2"/>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6">
    <w:nsid w:val="0000004C"/>
    <w:multiLevelType w:val="singleLevel"/>
    <w:tmpl w:val="D8CA5804"/>
    <w:lvl w:ilvl="0">
      <w:start w:val="1"/>
      <w:numFmt w:val="bullet"/>
      <w:pStyle w:val="style4295"/>
      <w:lvlText w:val=""/>
      <w:lvlJc w:val="left"/>
      <w:pPr>
        <w:tabs>
          <w:tab w:val="left" w:leader="none" w:pos="360"/>
        </w:tabs>
        <w:ind w:left="360" w:hanging="360"/>
      </w:pPr>
      <w:rPr>
        <w:rFonts w:ascii="Symbol" w:hAnsi="Symbol" w:hint="default"/>
      </w:rPr>
    </w:lvl>
  </w:abstractNum>
  <w:abstractNum w:abstractNumId="77">
    <w:nsid w:val="0000004D"/>
    <w:multiLevelType w:val="hybridMultilevel"/>
    <w:tmpl w:val="E94475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0000004E"/>
    <w:multiLevelType w:val="hybridMultilevel"/>
    <w:tmpl w:val="CE22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0000004F"/>
    <w:multiLevelType w:val="hybridMultilevel"/>
    <w:tmpl w:val="48ECFBBA"/>
    <w:lvl w:ilvl="0" w:tplc="040C000F">
      <w:start w:val="1"/>
      <w:numFmt w:val="bullet"/>
      <w:lvlText w:val="-"/>
      <w:lvlJc w:val="left"/>
      <w:pPr>
        <w:ind w:left="720" w:hanging="360"/>
      </w:pPr>
      <w:rPr>
        <w:rFonts w:ascii="Garamond" w:cs="Times New Roman" w:eastAsia="Calibri" w:hAnsi="Garamond" w:hint="default"/>
        <w:sz w:val="28"/>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00000050"/>
    <w:multiLevelType w:val="hybridMultilevel"/>
    <w:tmpl w:val="31529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00000051"/>
    <w:multiLevelType w:val="multilevel"/>
    <w:tmpl w:val="2A4E4DA4"/>
    <w:lvl w:ilvl="0">
      <w:start w:val="4"/>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2">
    <w:nsid w:val="00000052"/>
    <w:multiLevelType w:val="hybridMultilevel"/>
    <w:tmpl w:val="99C8065E"/>
    <w:lvl w:ilvl="0" w:tplc="040C000D">
      <w:start w:val="1"/>
      <w:numFmt w:val="bullet"/>
      <w:lvlText w:val=""/>
      <w:lvlJc w:val="left"/>
      <w:pPr>
        <w:tabs>
          <w:tab w:val="left" w:leader="none" w:pos="720"/>
        </w:tabs>
        <w:ind w:left="720" w:hanging="360"/>
      </w:pPr>
      <w:rPr>
        <w:rFonts w:ascii="Wingdings" w:hAnsi="Wingdings" w:hint="default"/>
      </w:rPr>
    </w:lvl>
    <w:lvl w:ilvl="1" w:tplc="040C0003">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83">
    <w:nsid w:val="00000053"/>
    <w:multiLevelType w:val="hybridMultilevel"/>
    <w:tmpl w:val="AD50619E"/>
    <w:lvl w:ilvl="0" w:tplc="040C0017">
      <w:start w:val="4"/>
      <w:numFmt w:val="bullet"/>
      <w:lvlText w:val="-"/>
      <w:lvlJc w:val="left"/>
      <w:pPr>
        <w:ind w:left="780" w:hanging="360"/>
      </w:pPr>
      <w:rPr>
        <w:rFonts w:ascii="Times New Roman" w:cs="Times New Roman" w:eastAsia="Times New Roman" w:hAnsi="Times New Roman"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nsid w:val="00000054"/>
    <w:multiLevelType w:val="hybridMultilevel"/>
    <w:tmpl w:val="5EF422C2"/>
    <w:lvl w:ilvl="0" w:tplc="B41E6518">
      <w:start w:val="1"/>
      <w:numFmt w:val="bullet"/>
      <w:lvlText w:val="-"/>
      <w:lvlJc w:val="left"/>
      <w:pPr>
        <w:ind w:left="1141" w:hanging="360"/>
      </w:pPr>
      <w:rPr>
        <w:rFonts w:ascii="Arial" w:cs="Arial" w:eastAsia="SimSun" w:hAnsi="Arial" w:hint="default"/>
      </w:rPr>
    </w:lvl>
    <w:lvl w:ilvl="1" w:tplc="91C81504">
      <w:start w:val="1"/>
      <w:numFmt w:val="bullet"/>
      <w:pStyle w:val="style4304"/>
      <w:lvlText w:val="o"/>
      <w:lvlJc w:val="left"/>
      <w:pPr>
        <w:ind w:left="1861" w:hanging="360"/>
      </w:pPr>
      <w:rPr>
        <w:rFonts w:ascii="Courier New" w:cs="Courier New" w:hAnsi="Courier New" w:hint="default"/>
      </w:rPr>
    </w:lvl>
    <w:lvl w:ilvl="2" w:tplc="C5480834">
      <w:start w:val="1"/>
      <w:numFmt w:val="bullet"/>
      <w:lvlText w:val=""/>
      <w:lvlJc w:val="left"/>
      <w:pPr>
        <w:ind w:left="2581" w:hanging="360"/>
      </w:pPr>
      <w:rPr>
        <w:rFonts w:ascii="Wingdings" w:hAnsi="Wingdings" w:hint="default"/>
      </w:rPr>
    </w:lvl>
    <w:lvl w:ilvl="3" w:tplc="040C0001" w:tentative="1">
      <w:start w:val="1"/>
      <w:numFmt w:val="bullet"/>
      <w:lvlText w:val=""/>
      <w:lvlJc w:val="left"/>
      <w:pPr>
        <w:ind w:left="3301" w:hanging="360"/>
      </w:pPr>
      <w:rPr>
        <w:rFonts w:ascii="Symbol" w:hAnsi="Symbol" w:hint="default"/>
      </w:rPr>
    </w:lvl>
    <w:lvl w:ilvl="4" w:tplc="040C0003" w:tentative="1">
      <w:start w:val="1"/>
      <w:numFmt w:val="bullet"/>
      <w:lvlText w:val="o"/>
      <w:lvlJc w:val="left"/>
      <w:pPr>
        <w:ind w:left="4021" w:hanging="360"/>
      </w:pPr>
      <w:rPr>
        <w:rFonts w:ascii="Courier New" w:cs="Courier New" w:hAnsi="Courier New" w:hint="default"/>
      </w:rPr>
    </w:lvl>
    <w:lvl w:ilvl="5" w:tplc="040C0005" w:tentative="1">
      <w:start w:val="1"/>
      <w:numFmt w:val="bullet"/>
      <w:lvlText w:val=""/>
      <w:lvlJc w:val="left"/>
      <w:pPr>
        <w:ind w:left="4741" w:hanging="360"/>
      </w:pPr>
      <w:rPr>
        <w:rFonts w:ascii="Wingdings" w:hAnsi="Wingdings" w:hint="default"/>
      </w:rPr>
    </w:lvl>
    <w:lvl w:ilvl="6" w:tplc="040C0001" w:tentative="1">
      <w:start w:val="1"/>
      <w:numFmt w:val="bullet"/>
      <w:lvlText w:val=""/>
      <w:lvlJc w:val="left"/>
      <w:pPr>
        <w:ind w:left="5461" w:hanging="360"/>
      </w:pPr>
      <w:rPr>
        <w:rFonts w:ascii="Symbol" w:hAnsi="Symbol" w:hint="default"/>
      </w:rPr>
    </w:lvl>
    <w:lvl w:ilvl="7" w:tplc="040C0003" w:tentative="1">
      <w:start w:val="1"/>
      <w:numFmt w:val="bullet"/>
      <w:lvlText w:val="o"/>
      <w:lvlJc w:val="left"/>
      <w:pPr>
        <w:ind w:left="6181" w:hanging="360"/>
      </w:pPr>
      <w:rPr>
        <w:rFonts w:ascii="Courier New" w:cs="Courier New" w:hAnsi="Courier New" w:hint="default"/>
      </w:rPr>
    </w:lvl>
    <w:lvl w:ilvl="8" w:tplc="040C0005" w:tentative="1">
      <w:start w:val="1"/>
      <w:numFmt w:val="bullet"/>
      <w:lvlText w:val=""/>
      <w:lvlJc w:val="left"/>
      <w:pPr>
        <w:ind w:left="6901" w:hanging="360"/>
      </w:pPr>
      <w:rPr>
        <w:rFonts w:ascii="Wingdings" w:hAnsi="Wingdings" w:hint="default"/>
      </w:rPr>
    </w:lvl>
  </w:abstractNum>
  <w:abstractNum w:abstractNumId="85">
    <w:nsid w:val="00000055"/>
    <w:multiLevelType w:val="multilevel"/>
    <w:tmpl w:val="12EAFD82"/>
    <w:lvl w:ilvl="0">
      <w:start w:val="6"/>
      <w:numFmt w:val="decimal"/>
      <w:lvlText w:val="%1."/>
      <w:lvlJc w:val="left"/>
      <w:pPr>
        <w:ind w:left="360" w:hanging="360"/>
      </w:pPr>
      <w:rPr>
        <w:rFonts w:hint="default"/>
      </w:rPr>
    </w:lvl>
    <w:lvl w:ilvl="1">
      <w:start w:val="1"/>
      <w:numFmt w:val="decimal"/>
      <w:pStyle w:val="style2"/>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86">
    <w:nsid w:val="00000056"/>
    <w:multiLevelType w:val="multilevel"/>
    <w:tmpl w:val="BE541958"/>
    <w:lvl w:ilvl="0">
      <w:start w:val="1"/>
      <w:numFmt w:val="upperLetter"/>
      <w:pStyle w:val="style4113"/>
      <w:lvlText w:val="%1."/>
      <w:lvlJc w:val="left"/>
      <w:pPr>
        <w:tabs>
          <w:tab w:val="left" w:leader="none" w:pos="360"/>
        </w:tabs>
        <w:ind w:left="360" w:hanging="360"/>
      </w:pPr>
      <w:rPr>
        <w:rFonts w:hint="default"/>
      </w:rPr>
    </w:lvl>
    <w:lvl w:ilvl="1">
      <w:start w:val="1"/>
      <w:numFmt w:val="decimal"/>
      <w:pStyle w:val="style4112"/>
      <w:lvlText w:val="%2."/>
      <w:lvlJc w:val="left"/>
      <w:pPr>
        <w:tabs>
          <w:tab w:val="left" w:leader="none" w:pos="360"/>
        </w:tabs>
        <w:ind w:left="0" w:firstLine="0"/>
      </w:pPr>
      <w:rPr>
        <w:rFonts w:hint="default"/>
      </w:rPr>
    </w:lvl>
    <w:lvl w:ilvl="2">
      <w:start w:val="1"/>
      <w:numFmt w:val="decimal"/>
      <w:lvlText w:val="%1.%2.%3."/>
      <w:lvlJc w:val="left"/>
      <w:pPr>
        <w:tabs>
          <w:tab w:val="left" w:leader="none" w:pos="1440"/>
        </w:tabs>
        <w:ind w:left="1224" w:hanging="504"/>
      </w:pPr>
      <w:rPr>
        <w:rFonts w:hint="default"/>
      </w:rPr>
    </w:lvl>
    <w:lvl w:ilvl="3">
      <w:start w:val="1"/>
      <w:numFmt w:val="decimal"/>
      <w:lvlText w:val="%1.%2.%3.%4."/>
      <w:lvlJc w:val="left"/>
      <w:pPr>
        <w:tabs>
          <w:tab w:val="left" w:leader="none" w:pos="1800"/>
        </w:tabs>
        <w:ind w:left="1728" w:hanging="648"/>
      </w:pPr>
      <w:rPr>
        <w:rFonts w:hint="default"/>
      </w:rPr>
    </w:lvl>
    <w:lvl w:ilvl="4">
      <w:start w:val="1"/>
      <w:numFmt w:val="decimal"/>
      <w:lvlText w:val="%1.%2.%3.%4.%5."/>
      <w:lvlJc w:val="left"/>
      <w:pPr>
        <w:tabs>
          <w:tab w:val="left" w:leader="none" w:pos="2520"/>
        </w:tabs>
        <w:ind w:left="2232" w:hanging="792"/>
      </w:pPr>
      <w:rPr>
        <w:rFonts w:hint="default"/>
      </w:rPr>
    </w:lvl>
    <w:lvl w:ilvl="5">
      <w:start w:val="1"/>
      <w:numFmt w:val="decimal"/>
      <w:lvlText w:val="%1.%2.%3.%4.%5.%6."/>
      <w:lvlJc w:val="left"/>
      <w:pPr>
        <w:tabs>
          <w:tab w:val="left" w:leader="none" w:pos="2880"/>
        </w:tabs>
        <w:ind w:left="2736" w:hanging="936"/>
      </w:pPr>
      <w:rPr>
        <w:rFonts w:hint="default"/>
      </w:rPr>
    </w:lvl>
    <w:lvl w:ilvl="6">
      <w:start w:val="1"/>
      <w:numFmt w:val="decimal"/>
      <w:lvlText w:val="%1.%2.%3.%4.%5.%6.%7."/>
      <w:lvlJc w:val="left"/>
      <w:pPr>
        <w:tabs>
          <w:tab w:val="left" w:leader="none" w:pos="3600"/>
        </w:tabs>
        <w:ind w:left="3240" w:hanging="1080"/>
      </w:pPr>
      <w:rPr>
        <w:rFonts w:hint="default"/>
      </w:rPr>
    </w:lvl>
    <w:lvl w:ilvl="7">
      <w:start w:val="1"/>
      <w:numFmt w:val="decimal"/>
      <w:lvlText w:val="%1.%2.%3.%4.%5.%6.%7.%8."/>
      <w:lvlJc w:val="left"/>
      <w:pPr>
        <w:tabs>
          <w:tab w:val="left" w:leader="none" w:pos="3960"/>
        </w:tabs>
        <w:ind w:left="3744" w:hanging="1224"/>
      </w:pPr>
      <w:rPr>
        <w:rFonts w:hint="default"/>
      </w:rPr>
    </w:lvl>
    <w:lvl w:ilvl="8">
      <w:start w:val="1"/>
      <w:numFmt w:val="decimal"/>
      <w:lvlText w:val="%1.%2.%3.%4.%5.%6.%7.%8.%9."/>
      <w:lvlJc w:val="left"/>
      <w:pPr>
        <w:tabs>
          <w:tab w:val="left" w:leader="none" w:pos="4680"/>
        </w:tabs>
        <w:ind w:left="4320" w:hanging="1440"/>
      </w:pPr>
      <w:rPr>
        <w:rFonts w:hint="default"/>
      </w:rPr>
    </w:lvl>
  </w:abstractNum>
  <w:abstractNum w:abstractNumId="87">
    <w:nsid w:val="00000057"/>
    <w:multiLevelType w:val="singleLevel"/>
    <w:tmpl w:val="2408C6A2"/>
    <w:lvl w:ilvl="0">
      <w:start w:val="1"/>
      <w:numFmt w:val="bullet"/>
      <w:pStyle w:val="style54"/>
      <w:lvlText w:val=""/>
      <w:lvlJc w:val="left"/>
      <w:pPr>
        <w:tabs>
          <w:tab w:val="left" w:leader="none" w:pos="643"/>
        </w:tabs>
        <w:ind w:left="643" w:hanging="360"/>
      </w:pPr>
      <w:rPr>
        <w:rFonts w:ascii="Symbol" w:hAnsi="Symbol" w:hint="default"/>
      </w:rPr>
    </w:lvl>
  </w:abstractNum>
  <w:abstractNum w:abstractNumId="88">
    <w:nsid w:val="00000058"/>
    <w:multiLevelType w:val="hybridMultilevel"/>
    <w:tmpl w:val="5F1E65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00000059"/>
    <w:multiLevelType w:val="hybridMultilevel"/>
    <w:tmpl w:val="09901AD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0000005A"/>
    <w:multiLevelType w:val="hybridMultilevel"/>
    <w:tmpl w:val="938E4ECC"/>
    <w:lvl w:ilvl="0" w:tplc="C054F4A2">
      <w:start w:val="1"/>
      <w:numFmt w:val="bullet"/>
      <w:lvlText w:val="-"/>
      <w:lvlJc w:val="left"/>
      <w:pPr>
        <w:ind w:left="720" w:hanging="360"/>
      </w:pPr>
      <w:rPr>
        <w:rFonts w:ascii="Times New Roman" w:cs="Times New Roman" w:eastAsia="Times New Roman"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0000005B"/>
    <w:multiLevelType w:val="hybridMultilevel"/>
    <w:tmpl w:val="021C65BE"/>
    <w:lvl w:ilvl="0" w:tplc="5B7E7E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0000005C"/>
    <w:multiLevelType w:val="singleLevel"/>
    <w:tmpl w:val="FB46364C"/>
    <w:lvl w:ilvl="0">
      <w:start w:val="1"/>
      <w:numFmt w:val="bullet"/>
      <w:pStyle w:val="style4293"/>
      <w:lvlText w:val=""/>
      <w:lvlJc w:val="left"/>
      <w:pPr>
        <w:tabs>
          <w:tab w:val="left" w:leader="none" w:pos="360"/>
        </w:tabs>
        <w:ind w:left="360" w:hanging="360"/>
      </w:pPr>
      <w:rPr>
        <w:rFonts w:ascii="Symbol" w:hAnsi="Symbol" w:hint="default"/>
      </w:rPr>
    </w:lvl>
  </w:abstractNum>
  <w:abstractNum w:abstractNumId="93">
    <w:nsid w:val="0000005D"/>
    <w:multiLevelType w:val="hybridMultilevel"/>
    <w:tmpl w:val="E1D06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0000005E"/>
    <w:multiLevelType w:val="hybridMultilevel"/>
    <w:tmpl w:val="732CEF9C"/>
    <w:lvl w:ilvl="0" w:tplc="B90C9530">
      <w:start w:val="1"/>
      <w:numFmt w:val="bullet"/>
      <w:pStyle w:val="style4305"/>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4076594C"/>
    <w:lvl w:ilvl="0" w:tplc="040C0001">
      <w:start w:val="1"/>
      <w:numFmt w:val="bullet"/>
      <w:pStyle w:val="style4275"/>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96">
    <w:nsid w:val="00000060"/>
    <w:multiLevelType w:val="multilevel"/>
    <w:tmpl w:val="E176FD62"/>
    <w:lvl w:ilvl="0">
      <w:start w:val="1"/>
      <w:numFmt w:val="decimal"/>
      <w:pStyle w:val="style4243"/>
      <w:lvlText w:val="%1.1"/>
      <w:lvlJc w:val="left"/>
      <w:pPr>
        <w:ind w:left="360" w:hanging="360"/>
      </w:pPr>
      <w:rPr>
        <w:u w:val="none"/>
        <w:effect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
    <w:nsid w:val="00000061"/>
    <w:multiLevelType w:val="hybridMultilevel"/>
    <w:tmpl w:val="21A65994"/>
    <w:lvl w:ilvl="0" w:tplc="2B4C6E20">
      <w:start w:val="1"/>
      <w:numFmt w:val="bullet"/>
      <w:pStyle w:val="style4161"/>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cs="Courier New" w:hAnsi="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cs="Courier New" w:hAnsi="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cs="Courier New" w:hAnsi="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98">
    <w:nsid w:val="00000062"/>
    <w:multiLevelType w:val="hybridMultilevel"/>
    <w:tmpl w:val="6352DEC8"/>
    <w:lvl w:ilvl="0" w:tplc="22A0D8B6">
      <w:start w:val="1"/>
      <w:numFmt w:val="bullet"/>
      <w:lvlText w:val="-"/>
      <w:lvlJc w:val="left"/>
      <w:pPr>
        <w:ind w:left="720" w:hanging="360"/>
      </w:pPr>
      <w:rPr>
        <w:rFonts w:ascii="Arial" w:cs="Arial" w:eastAsia="Times New Roman" w:hAnsi="Aria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00000063"/>
    <w:multiLevelType w:val="multilevel"/>
    <w:tmpl w:val="F4ACF938"/>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0">
    <w:nsid w:val="00000064"/>
    <w:multiLevelType w:val="hybridMultilevel"/>
    <w:tmpl w:val="EA148294"/>
    <w:lvl w:ilvl="0" w:tplc="5CE05F1A">
      <w:start w:val="1"/>
      <w:numFmt w:val="bullet"/>
      <w:lvlText w:val="-"/>
      <w:lvlJc w:val="left"/>
      <w:pPr>
        <w:ind w:left="720" w:hanging="360"/>
      </w:pPr>
      <w:rPr>
        <w:rFonts w:ascii="Century Gothic" w:cs="Century Gothic" w:eastAsia="Calibri" w:hAnsi="Century Gothic"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00000065"/>
    <w:multiLevelType w:val="hybridMultilevel"/>
    <w:tmpl w:val="40DECE72"/>
    <w:lvl w:ilvl="0" w:tplc="04090001">
      <w:start w:val="1"/>
      <w:numFmt w:val="bullet"/>
      <w:lvlText w:val=""/>
      <w:lvlJc w:val="left"/>
      <w:pPr>
        <w:ind w:left="772"/>
      </w:pPr>
      <w:rPr>
        <w:rFonts w:ascii="Symbol" w:hAnsi="Symbol" w:hint="default"/>
        <w:b w:val="false"/>
        <w:i w:val="false"/>
        <w:color w:val="000000"/>
        <w:sz w:val="22"/>
        <w:u w:val="none" w:color="000000"/>
        <w:bdr w:val="none" w:sz="0" w:space="0" w:color="auto"/>
        <w:shd w:val="clear" w:color="auto" w:fill="auto"/>
        <w:vertAlign w:val="baseline"/>
      </w:rPr>
    </w:lvl>
    <w:lvl w:ilvl="1" w:tplc="600C1672">
      <w:start w:val="1"/>
      <w:numFmt w:val="bullet"/>
      <w:lvlText w:val="o"/>
      <w:lvlJc w:val="left"/>
      <w:pPr>
        <w:ind w:left="149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2" w:tplc="84E25542">
      <w:start w:val="1"/>
      <w:numFmt w:val="bullet"/>
      <w:lvlText w:val="▪"/>
      <w:lvlJc w:val="left"/>
      <w:pPr>
        <w:ind w:left="221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3" w:tplc="54883708">
      <w:start w:val="1"/>
      <w:numFmt w:val="bullet"/>
      <w:lvlText w:val="•"/>
      <w:lvlJc w:val="left"/>
      <w:pPr>
        <w:ind w:left="293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4" w:tplc="751046EE">
      <w:start w:val="1"/>
      <w:numFmt w:val="bullet"/>
      <w:lvlText w:val="o"/>
      <w:lvlJc w:val="left"/>
      <w:pPr>
        <w:ind w:left="365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5" w:tplc="70B0A182">
      <w:start w:val="1"/>
      <w:numFmt w:val="bullet"/>
      <w:lvlText w:val="▪"/>
      <w:lvlJc w:val="left"/>
      <w:pPr>
        <w:ind w:left="437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6" w:tplc="6A5E0C52">
      <w:start w:val="1"/>
      <w:numFmt w:val="bullet"/>
      <w:lvlText w:val="•"/>
      <w:lvlJc w:val="left"/>
      <w:pPr>
        <w:ind w:left="509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7" w:tplc="E110DC60">
      <w:start w:val="1"/>
      <w:numFmt w:val="bullet"/>
      <w:lvlText w:val="o"/>
      <w:lvlJc w:val="left"/>
      <w:pPr>
        <w:ind w:left="581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lvl w:ilvl="8" w:tplc="CBAC3DF8">
      <w:start w:val="1"/>
      <w:numFmt w:val="bullet"/>
      <w:lvlText w:val="▪"/>
      <w:lvlJc w:val="left"/>
      <w:pPr>
        <w:ind w:left="6532"/>
      </w:pPr>
      <w:rPr>
        <w:rFonts w:ascii="Times New Roman" w:cs="Times New Roman" w:eastAsia="Times New Roman" w:hAnsi="Times New Roman"/>
        <w:b w:val="false"/>
        <w:i w:val="false"/>
        <w:color w:val="000000"/>
        <w:sz w:val="22"/>
        <w:u w:val="none" w:color="000000"/>
        <w:bdr w:val="none" w:sz="0" w:space="0" w:color="auto"/>
        <w:shd w:val="clear" w:color="auto" w:fill="auto"/>
        <w:vertAlign w:val="baseline"/>
      </w:rPr>
    </w:lvl>
  </w:abstractNum>
  <w:abstractNum w:abstractNumId="102">
    <w:nsid w:val="00000066"/>
    <w:multiLevelType w:val="hybridMultilevel"/>
    <w:tmpl w:val="8D5A47F6"/>
    <w:lvl w:ilvl="0" w:tplc="C00043E8">
      <w:start w:val="2"/>
      <w:numFmt w:val="bullet"/>
      <w:lvlText w:val="-"/>
      <w:lvlJc w:val="left"/>
      <w:pPr>
        <w:ind w:left="720" w:hanging="360"/>
      </w:pPr>
      <w:rPr>
        <w:rFonts w:ascii="Calibri" w:cs="Calibri"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00000067"/>
    <w:multiLevelType w:val="hybridMultilevel"/>
    <w:tmpl w:val="712659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00000068"/>
    <w:multiLevelType w:val="hybridMultilevel"/>
    <w:tmpl w:val="95E0340A"/>
    <w:lvl w:ilvl="0" w:tplc="C7800D92">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05">
    <w:nsid w:val="00000069"/>
    <w:multiLevelType w:val="hybridMultilevel"/>
    <w:tmpl w:val="EA20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0000006A"/>
    <w:multiLevelType w:val="singleLevel"/>
    <w:tmpl w:val="040C0001"/>
    <w:lvl w:ilvl="0">
      <w:start w:val="1"/>
      <w:numFmt w:val="bullet"/>
      <w:pStyle w:val="style4149"/>
      <w:lvlText w:val=""/>
      <w:lvlJc w:val="left"/>
      <w:pPr>
        <w:ind w:left="720" w:hanging="360"/>
      </w:pPr>
      <w:rPr>
        <w:rFonts w:ascii="Symbol" w:hAnsi="Symbol" w:hint="default"/>
      </w:rPr>
    </w:lvl>
  </w:abstractNum>
  <w:abstractNum w:abstractNumId="107">
    <w:nsid w:val="0000006B"/>
    <w:multiLevelType w:val="hybridMultilevel"/>
    <w:tmpl w:val="5B8677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0000006C"/>
    <w:multiLevelType w:val="hybridMultilevel"/>
    <w:tmpl w:val="7706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3A4CD92A"/>
    <w:lvl w:ilvl="0" w:tplc="040C0009">
      <w:start w:val="1"/>
      <w:numFmt w:val="bullet"/>
      <w:lvlText w:val=""/>
      <w:lvlJc w:val="left"/>
      <w:pPr>
        <w:tabs>
          <w:tab w:val="left" w:leader="none" w:pos="720"/>
        </w:tabs>
        <w:ind w:left="720" w:hanging="360"/>
      </w:pPr>
      <w:rPr>
        <w:rFonts w:ascii="Symbol" w:hAnsi="Symbol" w:hint="default"/>
      </w:rPr>
    </w:lvl>
    <w:lvl w:ilvl="1" w:tplc="040C0001"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10">
    <w:nsid w:val="0000006E"/>
    <w:multiLevelType w:val="hybridMultilevel"/>
    <w:tmpl w:val="9250A5BA"/>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11">
    <w:nsid w:val="0000006F"/>
    <w:multiLevelType w:val="multilevel"/>
    <w:tmpl w:val="13E48F18"/>
    <w:lvl w:ilvl="0">
      <w:start w:val="1"/>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1211"/>
        </w:tabs>
        <w:ind w:left="1211" w:hanging="360"/>
      </w:pPr>
      <w:rPr>
        <w:rFonts w:hint="default"/>
        <w:b/>
        <w:i w:val="false"/>
      </w:rPr>
    </w:lvl>
    <w:lvl w:ilvl="2">
      <w:start w:val="1"/>
      <w:numFmt w:val="bullet"/>
      <w:lvlText w:val=""/>
      <w:lvlJc w:val="left"/>
      <w:pPr>
        <w:tabs>
          <w:tab w:val="left" w:leader="none" w:pos="2880"/>
        </w:tabs>
        <w:ind w:left="2880" w:hanging="720"/>
      </w:pPr>
      <w:rPr>
        <w:rFonts w:ascii="Symbol" w:hAnsi="Symbol" w:hint="default"/>
        <w:b w:val="false"/>
        <w:i w:val="false"/>
        <w:sz w:val="22"/>
        <w:szCs w:val="22"/>
      </w:rPr>
    </w:lvl>
    <w:lvl w:ilvl="3">
      <w:start w:val="1"/>
      <w:numFmt w:val="decimal"/>
      <w:lvlText w:val="%1.%2.%3.%4."/>
      <w:lvlJc w:val="left"/>
      <w:pPr>
        <w:tabs>
          <w:tab w:val="left" w:leader="none" w:pos="3960"/>
        </w:tabs>
        <w:ind w:left="3960" w:hanging="720"/>
      </w:pPr>
      <w:rPr>
        <w:rFonts w:hint="default"/>
      </w:rPr>
    </w:lvl>
    <w:lvl w:ilvl="4">
      <w:start w:val="1"/>
      <w:numFmt w:val="decimal"/>
      <w:lvlText w:val="%1.%2.%3.%4.%5."/>
      <w:lvlJc w:val="left"/>
      <w:pPr>
        <w:tabs>
          <w:tab w:val="left" w:leader="none" w:pos="5400"/>
        </w:tabs>
        <w:ind w:left="5400" w:hanging="1080"/>
      </w:pPr>
      <w:rPr>
        <w:rFonts w:hint="default"/>
      </w:rPr>
    </w:lvl>
    <w:lvl w:ilvl="5">
      <w:start w:val="1"/>
      <w:numFmt w:val="decimal"/>
      <w:lvlText w:val="%1.%2.%3.%4.%5.%6."/>
      <w:lvlJc w:val="left"/>
      <w:pPr>
        <w:tabs>
          <w:tab w:val="left" w:leader="none" w:pos="6480"/>
        </w:tabs>
        <w:ind w:left="6480" w:hanging="1080"/>
      </w:pPr>
      <w:rPr>
        <w:rFonts w:hint="default"/>
      </w:rPr>
    </w:lvl>
    <w:lvl w:ilvl="6">
      <w:start w:val="1"/>
      <w:numFmt w:val="decimal"/>
      <w:lvlText w:val="%1.%2.%3.%4.%5.%6.%7."/>
      <w:lvlJc w:val="left"/>
      <w:pPr>
        <w:tabs>
          <w:tab w:val="left" w:leader="none" w:pos="7920"/>
        </w:tabs>
        <w:ind w:left="7920" w:hanging="1440"/>
      </w:pPr>
      <w:rPr>
        <w:rFonts w:hint="default"/>
      </w:rPr>
    </w:lvl>
    <w:lvl w:ilvl="7">
      <w:start w:val="1"/>
      <w:numFmt w:val="decimal"/>
      <w:lvlText w:val="%1.%2.%3.%4.%5.%6.%7.%8."/>
      <w:lvlJc w:val="left"/>
      <w:pPr>
        <w:tabs>
          <w:tab w:val="left" w:leader="none" w:pos="9000"/>
        </w:tabs>
        <w:ind w:left="9000" w:hanging="1440"/>
      </w:pPr>
      <w:rPr>
        <w:rFonts w:hint="default"/>
      </w:rPr>
    </w:lvl>
    <w:lvl w:ilvl="8">
      <w:start w:val="1"/>
      <w:numFmt w:val="decimal"/>
      <w:lvlText w:val="%1.%2.%3.%4.%5.%6.%7.%8.%9."/>
      <w:lvlJc w:val="left"/>
      <w:pPr>
        <w:tabs>
          <w:tab w:val="left" w:leader="none" w:pos="10440"/>
        </w:tabs>
        <w:ind w:left="10440" w:hanging="1800"/>
      </w:pPr>
      <w:rPr>
        <w:rFonts w:hint="default"/>
      </w:rPr>
    </w:lvl>
  </w:abstractNum>
  <w:abstractNum w:abstractNumId="112">
    <w:nsid w:val="00000070"/>
    <w:multiLevelType w:val="multilevel"/>
    <w:tmpl w:val="21F2A5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13">
    <w:nsid w:val="00000071"/>
    <w:multiLevelType w:val="hybridMultilevel"/>
    <w:tmpl w:val="31ACE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00000072"/>
    <w:multiLevelType w:val="hybridMultilevel"/>
    <w:tmpl w:val="CAE8D938"/>
    <w:lvl w:ilvl="0" w:tplc="5CE05F1A">
      <w:start w:val="1"/>
      <w:numFmt w:val="bullet"/>
      <w:lvlText w:val="-"/>
      <w:lvlJc w:val="left"/>
      <w:pPr>
        <w:ind w:left="720" w:hanging="360"/>
      </w:pPr>
      <w:rPr>
        <w:rFonts w:ascii="Century Gothic" w:cs="Century Gothic" w:eastAsia="Calibri" w:hAnsi="Century Gothic"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00000073"/>
    <w:multiLevelType w:val="hybridMultilevel"/>
    <w:tmpl w:val="9C4EFFB8"/>
    <w:lvl w:ilvl="0" w:tplc="51EE8F9A">
      <w:start w:val="1"/>
      <w:numFmt w:val="upperRoman"/>
      <w:pStyle w:val="style4235"/>
      <w:lvlText w:val="%1."/>
      <w:lvlJc w:val="left"/>
      <w:pPr>
        <w:tabs>
          <w:tab w:val="left" w:leader="none" w:pos="360"/>
        </w:tabs>
        <w:ind w:left="360" w:hanging="360"/>
      </w:pPr>
    </w:lvl>
    <w:lvl w:ilvl="1" w:tplc="9260DB4A">
      <w:start w:val="1"/>
      <w:numFmt w:val="decimal"/>
      <w:lvlText w:val="%2."/>
      <w:lvlJc w:val="left"/>
      <w:pPr>
        <w:ind w:left="1440" w:hanging="360"/>
      </w:pPr>
      <w:rPr>
        <w:b/>
        <w:color w:val="auto"/>
      </w:rPr>
    </w:lvl>
    <w:lvl w:ilvl="2" w:tplc="04090019">
      <w:start w:val="1"/>
      <w:numFmt w:val="lowerLetter"/>
      <w:lvlText w:val="%3."/>
      <w:lvlJc w:val="left"/>
      <w:pPr>
        <w:ind w:left="2340" w:hanging="360"/>
      </w:pPr>
      <w:rPr>
        <w:i/>
      </w:r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116">
    <w:nsid w:val="00000074"/>
    <w:multiLevelType w:val="hybridMultilevel"/>
    <w:tmpl w:val="F7725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00000075"/>
    <w:multiLevelType w:val="multilevel"/>
    <w:tmpl w:val="AC4452DC"/>
    <w:lvl w:ilvl="0">
      <w:start w:val="7"/>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8">
    <w:nsid w:val="00000076"/>
    <w:multiLevelType w:val="multilevel"/>
    <w:tmpl w:val="00000044"/>
    <w:name w:val="WW8Num79"/>
    <w:lvl w:ilvl="0">
      <w:start w:val="1"/>
      <w:numFmt w:val="bullet"/>
      <w:lvlText w:val=""/>
      <w:lvlJc w:val="left"/>
      <w:pPr>
        <w:tabs>
          <w:tab w:val="left" w:leader="none" w:pos="0"/>
        </w:tabs>
        <w:ind w:left="1440" w:hanging="360"/>
      </w:pPr>
      <w:rPr>
        <w:rFonts w:ascii="Symbol" w:cs="Symbol" w:hAnsi="Symbol" w:hint="default"/>
      </w:rPr>
    </w:lvl>
    <w:lvl w:ilvl="1">
      <w:start w:val="1"/>
      <w:numFmt w:val="bullet"/>
      <w:lvlText w:val=""/>
      <w:lvlJc w:val="left"/>
      <w:pPr>
        <w:tabs>
          <w:tab w:val="left" w:leader="none" w:pos="0"/>
        </w:tabs>
        <w:ind w:left="2160" w:hanging="360"/>
      </w:pPr>
      <w:rPr>
        <w:rFonts w:ascii="Wingdings" w:cs="Wingdings" w:hAnsi="Wingdings" w:hint="default"/>
      </w:rPr>
    </w:lvl>
    <w:lvl w:ilvl="2">
      <w:start w:val="1"/>
      <w:numFmt w:val="bullet"/>
      <w:lvlText w:val=""/>
      <w:lvlJc w:val="left"/>
      <w:pPr>
        <w:tabs>
          <w:tab w:val="left" w:leader="none" w:pos="0"/>
        </w:tabs>
        <w:ind w:left="2880" w:hanging="360"/>
      </w:pPr>
      <w:rPr>
        <w:rFonts w:ascii="Wingdings" w:cs="Wingdings" w:hAnsi="Wingdings" w:hint="default"/>
      </w:rPr>
    </w:lvl>
    <w:lvl w:ilvl="3">
      <w:start w:val="1"/>
      <w:numFmt w:val="bullet"/>
      <w:lvlText w:val=""/>
      <w:lvlJc w:val="left"/>
      <w:pPr>
        <w:tabs>
          <w:tab w:val="left" w:leader="none" w:pos="0"/>
        </w:tabs>
        <w:ind w:left="3600" w:hanging="360"/>
      </w:pPr>
      <w:rPr>
        <w:rFonts w:ascii="Symbol" w:cs="Symbol" w:hAnsi="Symbol" w:hint="default"/>
      </w:rPr>
    </w:lvl>
    <w:lvl w:ilvl="4">
      <w:start w:val="1"/>
      <w:numFmt w:val="bullet"/>
      <w:lvlText w:val="o"/>
      <w:lvlJc w:val="left"/>
      <w:pPr>
        <w:tabs>
          <w:tab w:val="left" w:leader="none" w:pos="0"/>
        </w:tabs>
        <w:ind w:left="4320" w:hanging="360"/>
      </w:pPr>
      <w:rPr>
        <w:rFonts w:ascii="Courier New" w:cs="Symbol" w:hAnsi="Courier New" w:hint="default"/>
      </w:rPr>
    </w:lvl>
    <w:lvl w:ilvl="5">
      <w:start w:val="1"/>
      <w:numFmt w:val="bullet"/>
      <w:lvlText w:val=""/>
      <w:lvlJc w:val="left"/>
      <w:pPr>
        <w:tabs>
          <w:tab w:val="left" w:leader="none" w:pos="0"/>
        </w:tabs>
        <w:ind w:left="5040" w:hanging="360"/>
      </w:pPr>
      <w:rPr>
        <w:rFonts w:ascii="Wingdings" w:cs="Wingdings" w:hAnsi="Wingdings" w:hint="default"/>
      </w:rPr>
    </w:lvl>
    <w:lvl w:ilvl="6">
      <w:start w:val="1"/>
      <w:numFmt w:val="bullet"/>
      <w:lvlText w:val=""/>
      <w:lvlJc w:val="left"/>
      <w:pPr>
        <w:tabs>
          <w:tab w:val="left" w:leader="none" w:pos="0"/>
        </w:tabs>
        <w:ind w:left="5760" w:hanging="360"/>
      </w:pPr>
      <w:rPr>
        <w:rFonts w:ascii="Symbol" w:cs="Symbol" w:hAnsi="Symbol" w:hint="default"/>
      </w:rPr>
    </w:lvl>
    <w:lvl w:ilvl="7">
      <w:start w:val="1"/>
      <w:numFmt w:val="bullet"/>
      <w:lvlText w:val="o"/>
      <w:lvlJc w:val="left"/>
      <w:pPr>
        <w:tabs>
          <w:tab w:val="left" w:leader="none" w:pos="0"/>
        </w:tabs>
        <w:ind w:left="6480" w:hanging="360"/>
      </w:pPr>
      <w:rPr>
        <w:rFonts w:ascii="Courier New" w:cs="Symbol" w:hAnsi="Courier New" w:hint="default"/>
      </w:rPr>
    </w:lvl>
    <w:lvl w:ilvl="8">
      <w:start w:val="1"/>
      <w:numFmt w:val="bullet"/>
      <w:lvlText w:val=""/>
      <w:lvlJc w:val="left"/>
      <w:pPr>
        <w:tabs>
          <w:tab w:val="left" w:leader="none" w:pos="0"/>
        </w:tabs>
        <w:ind w:left="7200" w:hanging="360"/>
      </w:pPr>
      <w:rPr>
        <w:rFonts w:ascii="Wingdings" w:cs="Wingdings" w:hAnsi="Wingdings" w:hint="default"/>
      </w:rPr>
    </w:lvl>
  </w:abstractNum>
  <w:abstractNum w:abstractNumId="119">
    <w:nsid w:val="00000077"/>
    <w:multiLevelType w:val="hybridMultilevel"/>
    <w:tmpl w:val="B6A2F9B2"/>
    <w:lvl w:ilvl="0" w:tplc="811A3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00000078"/>
    <w:multiLevelType w:val="hybridMultilevel"/>
    <w:tmpl w:val="F5E04DD8"/>
    <w:lvl w:ilvl="0" w:tplc="040C0017">
      <w:start w:val="4"/>
      <w:numFmt w:val="bullet"/>
      <w:lvlText w:val="-"/>
      <w:lvlJc w:val="left"/>
      <w:pPr>
        <w:ind w:left="720" w:hanging="360"/>
      </w:pPr>
      <w:rPr>
        <w:rFonts w:ascii="Times New Roman" w:cs="Times New Roman" w:eastAsia="Times New Roman"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00000079"/>
    <w:multiLevelType w:val="hybridMultilevel"/>
    <w:tmpl w:val="7CAC37AA"/>
    <w:lvl w:ilvl="0" w:tplc="040C0001">
      <w:start w:val="1"/>
      <w:numFmt w:val="bullet"/>
      <w:lvlText w:val=""/>
      <w:lvlJc w:val="left"/>
      <w:pPr>
        <w:tabs>
          <w:tab w:val="left" w:leader="none" w:pos="720"/>
        </w:tabs>
        <w:ind w:left="720" w:hanging="360"/>
      </w:pPr>
      <w:rPr>
        <w:rFonts w:ascii="Symbol" w:hAnsi="Symbol" w:hint="default"/>
      </w:rPr>
    </w:lvl>
    <w:lvl w:ilvl="1" w:tentative="1">
      <w:start w:val="1"/>
      <w:numFmt w:val="bullet"/>
      <w:lvlText w:val="o"/>
      <w:lvlJc w:val="left"/>
      <w:pPr>
        <w:tabs>
          <w:tab w:val="left" w:leader="none" w:pos="1440"/>
        </w:tabs>
        <w:ind w:left="1440" w:hanging="360"/>
      </w:pPr>
      <w:rPr>
        <w:rFonts w:ascii="Courier New" w:hAnsi="Courier New" w:hint="default"/>
      </w:rPr>
    </w:lvl>
    <w:lvl w:ilvl="2" w:tentative="1">
      <w:start w:val="1"/>
      <w:numFmt w:val="bullet"/>
      <w:lvlText w:val=""/>
      <w:lvlJc w:val="left"/>
      <w:pPr>
        <w:tabs>
          <w:tab w:val="left" w:leader="none" w:pos="2160"/>
        </w:tabs>
        <w:ind w:left="2160" w:hanging="360"/>
      </w:pPr>
      <w:rPr>
        <w:rFonts w:ascii="Wingdings" w:hAnsi="Wingdings" w:hint="default"/>
      </w:rPr>
    </w:lvl>
    <w:lvl w:ilvl="3" w:tentative="1">
      <w:start w:val="1"/>
      <w:numFmt w:val="bullet"/>
      <w:lvlText w:val=""/>
      <w:lvlJc w:val="left"/>
      <w:pPr>
        <w:tabs>
          <w:tab w:val="left" w:leader="none" w:pos="2880"/>
        </w:tabs>
        <w:ind w:left="2880" w:hanging="360"/>
      </w:pPr>
      <w:rPr>
        <w:rFonts w:ascii="Symbol" w:hAnsi="Symbol" w:hint="default"/>
      </w:rPr>
    </w:lvl>
    <w:lvl w:ilvl="4" w:tentative="1">
      <w:start w:val="1"/>
      <w:numFmt w:val="bullet"/>
      <w:lvlText w:val="o"/>
      <w:lvlJc w:val="left"/>
      <w:pPr>
        <w:tabs>
          <w:tab w:val="left" w:leader="none" w:pos="3600"/>
        </w:tabs>
        <w:ind w:left="3600" w:hanging="360"/>
      </w:pPr>
      <w:rPr>
        <w:rFonts w:ascii="Courier New" w:hAnsi="Courier New" w:hint="default"/>
      </w:rPr>
    </w:lvl>
    <w:lvl w:ilvl="5" w:tentative="1">
      <w:start w:val="1"/>
      <w:numFmt w:val="bullet"/>
      <w:lvlText w:val=""/>
      <w:lvlJc w:val="left"/>
      <w:pPr>
        <w:tabs>
          <w:tab w:val="left" w:leader="none" w:pos="4320"/>
        </w:tabs>
        <w:ind w:left="4320" w:hanging="360"/>
      </w:pPr>
      <w:rPr>
        <w:rFonts w:ascii="Wingdings" w:hAnsi="Wingdings" w:hint="default"/>
      </w:rPr>
    </w:lvl>
    <w:lvl w:ilvl="6" w:tentative="1">
      <w:start w:val="1"/>
      <w:numFmt w:val="bullet"/>
      <w:lvlText w:val=""/>
      <w:lvlJc w:val="left"/>
      <w:pPr>
        <w:tabs>
          <w:tab w:val="left" w:leader="none" w:pos="5040"/>
        </w:tabs>
        <w:ind w:left="5040" w:hanging="360"/>
      </w:pPr>
      <w:rPr>
        <w:rFonts w:ascii="Symbol" w:hAnsi="Symbol" w:hint="default"/>
      </w:rPr>
    </w:lvl>
    <w:lvl w:ilvl="7" w:tentative="1">
      <w:start w:val="1"/>
      <w:numFmt w:val="bullet"/>
      <w:lvlText w:val="o"/>
      <w:lvlJc w:val="left"/>
      <w:pPr>
        <w:tabs>
          <w:tab w:val="left" w:leader="none" w:pos="5760"/>
        </w:tabs>
        <w:ind w:left="5760" w:hanging="360"/>
      </w:pPr>
      <w:rPr>
        <w:rFonts w:ascii="Courier New" w:hAnsi="Courier New" w:hint="default"/>
      </w:rPr>
    </w:lvl>
    <w:lvl w:ilvl="8" w:tentative="1">
      <w:start w:val="1"/>
      <w:numFmt w:val="bullet"/>
      <w:lvlText w:val=""/>
      <w:lvlJc w:val="left"/>
      <w:pPr>
        <w:tabs>
          <w:tab w:val="left" w:leader="none" w:pos="6480"/>
        </w:tabs>
        <w:ind w:left="6480" w:hanging="360"/>
      </w:pPr>
      <w:rPr>
        <w:rFonts w:ascii="Wingdings" w:hAnsi="Wingdings" w:hint="default"/>
      </w:rPr>
    </w:lvl>
  </w:abstractNum>
  <w:abstractNum w:abstractNumId="122">
    <w:nsid w:val="0000007A"/>
    <w:multiLevelType w:val="hybridMultilevel"/>
    <w:tmpl w:val="F75E79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cs="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cs="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cs="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3">
    <w:nsid w:val="0000007B"/>
    <w:multiLevelType w:val="multilevel"/>
    <w:tmpl w:val="A810FA44"/>
    <w:lvl w:ilvl="0">
      <w:start w:val="1"/>
      <w:numFmt w:val="decimal"/>
      <w:lvlText w:val="%1."/>
      <w:lvlJc w:val="left"/>
      <w:pPr>
        <w:tabs>
          <w:tab w:val="left" w:leader="none" w:pos="390"/>
        </w:tabs>
        <w:ind w:left="390" w:hanging="390"/>
      </w:pPr>
      <w:rPr>
        <w:rFonts w:hint="default"/>
      </w:rPr>
    </w:lvl>
    <w:lvl w:ilvl="1">
      <w:start w:val="1"/>
      <w:numFmt w:val="decimal"/>
      <w:pStyle w:val="style4307"/>
      <w:lvlText w:val="%1.%2."/>
      <w:lvlJc w:val="left"/>
      <w:pPr>
        <w:tabs>
          <w:tab w:val="left" w:leader="none" w:pos="5352"/>
        </w:tabs>
        <w:ind w:left="5352" w:hanging="390"/>
      </w:pPr>
      <w:rPr>
        <w:rFonts w:hint="default"/>
        <w:b w:val="false"/>
        <w:i w:val="false"/>
        <w:sz w:val="22"/>
        <w:szCs w:val="22"/>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124">
    <w:nsid w:val="0000007C"/>
    <w:multiLevelType w:val="hybridMultilevel"/>
    <w:tmpl w:val="4BC2D2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0000007D"/>
    <w:multiLevelType w:val="multilevel"/>
    <w:tmpl w:val="52A0532E"/>
    <w:lvl w:ilvl="0">
      <w:start w:val="5"/>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6">
    <w:nsid w:val="0000007E"/>
    <w:multiLevelType w:val="multilevel"/>
    <w:tmpl w:val="00000044"/>
    <w:lvl w:ilvl="0">
      <w:start w:val="1"/>
      <w:numFmt w:val="bullet"/>
      <w:lvlText w:val=""/>
      <w:lvlJc w:val="left"/>
      <w:pPr>
        <w:tabs>
          <w:tab w:val="left" w:leader="none" w:pos="0"/>
        </w:tabs>
        <w:ind w:left="1440" w:hanging="360"/>
      </w:pPr>
      <w:rPr>
        <w:rFonts w:ascii="Symbol" w:cs="Symbol" w:hAnsi="Symbol" w:hint="default"/>
      </w:rPr>
    </w:lvl>
    <w:lvl w:ilvl="1">
      <w:start w:val="1"/>
      <w:numFmt w:val="bullet"/>
      <w:lvlText w:val=""/>
      <w:lvlJc w:val="left"/>
      <w:pPr>
        <w:tabs>
          <w:tab w:val="left" w:leader="none" w:pos="0"/>
        </w:tabs>
        <w:ind w:left="2160" w:hanging="360"/>
      </w:pPr>
      <w:rPr>
        <w:rFonts w:ascii="Wingdings" w:cs="Wingdings" w:hAnsi="Wingdings" w:hint="default"/>
      </w:rPr>
    </w:lvl>
    <w:lvl w:ilvl="2">
      <w:start w:val="1"/>
      <w:numFmt w:val="bullet"/>
      <w:lvlText w:val=""/>
      <w:lvlJc w:val="left"/>
      <w:pPr>
        <w:tabs>
          <w:tab w:val="left" w:leader="none" w:pos="0"/>
        </w:tabs>
        <w:ind w:left="2880" w:hanging="360"/>
      </w:pPr>
      <w:rPr>
        <w:rFonts w:ascii="Wingdings" w:cs="Wingdings" w:hAnsi="Wingdings" w:hint="default"/>
      </w:rPr>
    </w:lvl>
    <w:lvl w:ilvl="3">
      <w:start w:val="1"/>
      <w:numFmt w:val="bullet"/>
      <w:lvlText w:val=""/>
      <w:lvlJc w:val="left"/>
      <w:pPr>
        <w:tabs>
          <w:tab w:val="left" w:leader="none" w:pos="0"/>
        </w:tabs>
        <w:ind w:left="3600" w:hanging="360"/>
      </w:pPr>
      <w:rPr>
        <w:rFonts w:ascii="Symbol" w:cs="Symbol" w:hAnsi="Symbol" w:hint="default"/>
      </w:rPr>
    </w:lvl>
    <w:lvl w:ilvl="4">
      <w:start w:val="1"/>
      <w:numFmt w:val="bullet"/>
      <w:lvlText w:val="o"/>
      <w:lvlJc w:val="left"/>
      <w:pPr>
        <w:tabs>
          <w:tab w:val="left" w:leader="none" w:pos="0"/>
        </w:tabs>
        <w:ind w:left="4320" w:hanging="360"/>
      </w:pPr>
      <w:rPr>
        <w:rFonts w:ascii="Courier New" w:cs="Symbol" w:hAnsi="Courier New" w:hint="default"/>
      </w:rPr>
    </w:lvl>
    <w:lvl w:ilvl="5">
      <w:start w:val="1"/>
      <w:numFmt w:val="bullet"/>
      <w:lvlText w:val=""/>
      <w:lvlJc w:val="left"/>
      <w:pPr>
        <w:tabs>
          <w:tab w:val="left" w:leader="none" w:pos="0"/>
        </w:tabs>
        <w:ind w:left="5040" w:hanging="360"/>
      </w:pPr>
      <w:rPr>
        <w:rFonts w:ascii="Wingdings" w:cs="Wingdings" w:hAnsi="Wingdings" w:hint="default"/>
      </w:rPr>
    </w:lvl>
    <w:lvl w:ilvl="6">
      <w:start w:val="1"/>
      <w:numFmt w:val="bullet"/>
      <w:lvlText w:val=""/>
      <w:lvlJc w:val="left"/>
      <w:pPr>
        <w:tabs>
          <w:tab w:val="left" w:leader="none" w:pos="0"/>
        </w:tabs>
        <w:ind w:left="5760" w:hanging="360"/>
      </w:pPr>
      <w:rPr>
        <w:rFonts w:ascii="Symbol" w:cs="Symbol" w:hAnsi="Symbol" w:hint="default"/>
      </w:rPr>
    </w:lvl>
    <w:lvl w:ilvl="7">
      <w:start w:val="1"/>
      <w:numFmt w:val="bullet"/>
      <w:lvlText w:val="o"/>
      <w:lvlJc w:val="left"/>
      <w:pPr>
        <w:tabs>
          <w:tab w:val="left" w:leader="none" w:pos="0"/>
        </w:tabs>
        <w:ind w:left="6480" w:hanging="360"/>
      </w:pPr>
      <w:rPr>
        <w:rFonts w:ascii="Courier New" w:cs="Symbol" w:hAnsi="Courier New" w:hint="default"/>
      </w:rPr>
    </w:lvl>
    <w:lvl w:ilvl="8">
      <w:start w:val="1"/>
      <w:numFmt w:val="bullet"/>
      <w:lvlText w:val=""/>
      <w:lvlJc w:val="left"/>
      <w:pPr>
        <w:tabs>
          <w:tab w:val="left" w:leader="none" w:pos="0"/>
        </w:tabs>
        <w:ind w:left="7200" w:hanging="360"/>
      </w:pPr>
      <w:rPr>
        <w:rFonts w:ascii="Wingdings" w:cs="Wingdings" w:hAnsi="Wingdings" w:hint="default"/>
      </w:rPr>
    </w:lvl>
  </w:abstractNum>
  <w:abstractNum w:abstractNumId="127">
    <w:nsid w:val="0000007F"/>
    <w:multiLevelType w:val="hybridMultilevel"/>
    <w:tmpl w:val="3FECC2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00000080"/>
    <w:multiLevelType w:val="hybridMultilevel"/>
    <w:tmpl w:val="CB0290A8"/>
    <w:lvl w:ilvl="0" w:tplc="27EE40B4">
      <w:start w:val="1"/>
      <w:numFmt w:val="bullet"/>
      <w:pStyle w:val="style4172"/>
      <w:lvlText w:val=""/>
      <w:lvlJc w:val="left"/>
      <w:pPr>
        <w:ind w:left="938" w:hanging="360"/>
      </w:pPr>
      <w:rPr>
        <w:rFonts w:ascii="Symbol" w:hAnsi="Symbol" w:hint="default"/>
        <w:color w:val="auto"/>
      </w:rPr>
    </w:lvl>
    <w:lvl w:ilvl="1" w:tplc="040C0003">
      <w:start w:val="1"/>
      <w:numFmt w:val="bullet"/>
      <w:lvlText w:val="o"/>
      <w:lvlJc w:val="left"/>
      <w:pPr>
        <w:ind w:left="1658" w:hanging="360"/>
      </w:pPr>
      <w:rPr>
        <w:rFonts w:ascii="Courier New" w:cs="Courier New" w:hAnsi="Courier New" w:hint="default"/>
      </w:rPr>
    </w:lvl>
    <w:lvl w:ilvl="2" w:tplc="040C0005">
      <w:start w:val="1"/>
      <w:numFmt w:val="bullet"/>
      <w:lvlText w:val=""/>
      <w:lvlJc w:val="left"/>
      <w:pPr>
        <w:ind w:left="2378" w:hanging="360"/>
      </w:pPr>
      <w:rPr>
        <w:rFonts w:ascii="Wingdings" w:hAnsi="Wingdings" w:hint="default"/>
      </w:rPr>
    </w:lvl>
    <w:lvl w:ilvl="3" w:tplc="040C0001">
      <w:start w:val="1"/>
      <w:numFmt w:val="bullet"/>
      <w:lvlText w:val=""/>
      <w:lvlJc w:val="left"/>
      <w:pPr>
        <w:ind w:left="3098" w:hanging="360"/>
      </w:pPr>
      <w:rPr>
        <w:rFonts w:ascii="Symbol" w:hAnsi="Symbol" w:hint="default"/>
      </w:rPr>
    </w:lvl>
    <w:lvl w:ilvl="4" w:tplc="040C0003">
      <w:start w:val="1"/>
      <w:numFmt w:val="bullet"/>
      <w:lvlText w:val="o"/>
      <w:lvlJc w:val="left"/>
      <w:pPr>
        <w:ind w:left="3818" w:hanging="360"/>
      </w:pPr>
      <w:rPr>
        <w:rFonts w:ascii="Courier New" w:cs="Courier New" w:hAnsi="Courier New" w:hint="default"/>
      </w:rPr>
    </w:lvl>
    <w:lvl w:ilvl="5" w:tplc="040C0005">
      <w:start w:val="1"/>
      <w:numFmt w:val="bullet"/>
      <w:lvlText w:val=""/>
      <w:lvlJc w:val="left"/>
      <w:pPr>
        <w:ind w:left="4538" w:hanging="360"/>
      </w:pPr>
      <w:rPr>
        <w:rFonts w:ascii="Wingdings" w:hAnsi="Wingdings" w:hint="default"/>
      </w:rPr>
    </w:lvl>
    <w:lvl w:ilvl="6" w:tplc="040C0001">
      <w:start w:val="1"/>
      <w:numFmt w:val="bullet"/>
      <w:lvlText w:val=""/>
      <w:lvlJc w:val="left"/>
      <w:pPr>
        <w:ind w:left="5258" w:hanging="360"/>
      </w:pPr>
      <w:rPr>
        <w:rFonts w:ascii="Symbol" w:hAnsi="Symbol" w:hint="default"/>
      </w:rPr>
    </w:lvl>
    <w:lvl w:ilvl="7" w:tplc="040C0003">
      <w:start w:val="1"/>
      <w:numFmt w:val="bullet"/>
      <w:lvlText w:val="o"/>
      <w:lvlJc w:val="left"/>
      <w:pPr>
        <w:ind w:left="5978" w:hanging="360"/>
      </w:pPr>
      <w:rPr>
        <w:rFonts w:ascii="Courier New" w:cs="Courier New" w:hAnsi="Courier New" w:hint="default"/>
      </w:rPr>
    </w:lvl>
    <w:lvl w:ilvl="8" w:tplc="040C0005">
      <w:start w:val="1"/>
      <w:numFmt w:val="bullet"/>
      <w:lvlText w:val=""/>
      <w:lvlJc w:val="left"/>
      <w:pPr>
        <w:ind w:left="6698" w:hanging="360"/>
      </w:pPr>
      <w:rPr>
        <w:rFonts w:ascii="Wingdings" w:hAnsi="Wingdings" w:hint="default"/>
      </w:rPr>
    </w:lvl>
  </w:abstractNum>
  <w:abstractNum w:abstractNumId="129">
    <w:nsid w:val="00000081"/>
    <w:multiLevelType w:val="multilevel"/>
    <w:tmpl w:val="2E9EE0C4"/>
    <w:lvl w:ilvl="0">
      <w:start w:val="2"/>
      <w:numFmt w:val="decimal"/>
      <w:lvlText w:val="%1."/>
      <w:lvlJc w:val="left"/>
      <w:pPr>
        <w:ind w:left="540" w:hanging="540"/>
      </w:pPr>
      <w:rPr>
        <w:rFonts w:ascii="Arial" w:cs="Times New Roman" w:hAnsi="Arial" w:hint="default"/>
        <w:sz w:val="22"/>
      </w:rPr>
    </w:lvl>
    <w:lvl w:ilvl="1">
      <w:start w:val="1"/>
      <w:numFmt w:val="decimal"/>
      <w:lvlText w:val="%1.%2."/>
      <w:lvlJc w:val="left"/>
      <w:pPr>
        <w:ind w:left="1003" w:hanging="720"/>
      </w:pPr>
      <w:rPr>
        <w:rFonts w:ascii="Arial" w:cs="Times New Roman" w:hAnsi="Arial" w:hint="default"/>
        <w:sz w:val="22"/>
      </w:rPr>
    </w:lvl>
    <w:lvl w:ilvl="2">
      <w:start w:val="1"/>
      <w:numFmt w:val="decimal"/>
      <w:lvlText w:val="%1.%2.%3."/>
      <w:lvlJc w:val="left"/>
      <w:pPr>
        <w:ind w:left="1430" w:hanging="720"/>
      </w:pPr>
      <w:rPr>
        <w:rFonts w:ascii="Arial" w:cs="Times New Roman" w:hAnsi="Arial" w:hint="default"/>
        <w:sz w:val="22"/>
      </w:rPr>
    </w:lvl>
    <w:lvl w:ilvl="3">
      <w:start w:val="1"/>
      <w:numFmt w:val="decimal"/>
      <w:pStyle w:val="style4"/>
      <w:lvlText w:val="%1.%2.%3.%4."/>
      <w:lvlJc w:val="left"/>
      <w:pPr>
        <w:ind w:left="1929" w:hanging="1080"/>
      </w:pPr>
      <w:rPr>
        <w:rFonts w:ascii="Arial" w:cs="Times New Roman" w:hAnsi="Arial" w:hint="default"/>
        <w:sz w:val="22"/>
      </w:rPr>
    </w:lvl>
    <w:lvl w:ilvl="4">
      <w:start w:val="1"/>
      <w:numFmt w:val="decimal"/>
      <w:lvlText w:val="%1.%2.%3.%4.%5."/>
      <w:lvlJc w:val="left"/>
      <w:pPr>
        <w:ind w:left="2212" w:hanging="1080"/>
      </w:pPr>
      <w:rPr>
        <w:rFonts w:ascii="Arial" w:cs="Times New Roman" w:hAnsi="Arial" w:hint="default"/>
        <w:sz w:val="22"/>
      </w:rPr>
    </w:lvl>
    <w:lvl w:ilvl="5">
      <w:start w:val="1"/>
      <w:numFmt w:val="decimal"/>
      <w:lvlText w:val="%1.%2.%3.%4.%5.%6."/>
      <w:lvlJc w:val="left"/>
      <w:pPr>
        <w:ind w:left="2855" w:hanging="1440"/>
      </w:pPr>
      <w:rPr>
        <w:rFonts w:ascii="Arial" w:cs="Times New Roman" w:hAnsi="Arial" w:hint="default"/>
        <w:sz w:val="22"/>
      </w:rPr>
    </w:lvl>
    <w:lvl w:ilvl="6">
      <w:start w:val="1"/>
      <w:numFmt w:val="decimal"/>
      <w:lvlText w:val="%1.%2.%3.%4.%5.%6.%7."/>
      <w:lvlJc w:val="left"/>
      <w:pPr>
        <w:ind w:left="3138" w:hanging="1440"/>
      </w:pPr>
      <w:rPr>
        <w:rFonts w:ascii="Arial" w:cs="Times New Roman" w:hAnsi="Arial" w:hint="default"/>
        <w:sz w:val="22"/>
      </w:rPr>
    </w:lvl>
    <w:lvl w:ilvl="7">
      <w:start w:val="1"/>
      <w:numFmt w:val="decimal"/>
      <w:lvlText w:val="%1.%2.%3.%4.%5.%6.%7.%8."/>
      <w:lvlJc w:val="left"/>
      <w:pPr>
        <w:ind w:left="3781" w:hanging="1800"/>
      </w:pPr>
      <w:rPr>
        <w:rFonts w:ascii="Arial" w:cs="Times New Roman" w:hAnsi="Arial" w:hint="default"/>
        <w:sz w:val="22"/>
      </w:rPr>
    </w:lvl>
    <w:lvl w:ilvl="8">
      <w:start w:val="1"/>
      <w:numFmt w:val="decimal"/>
      <w:lvlText w:val="%1.%2.%3.%4.%5.%6.%7.%8.%9."/>
      <w:lvlJc w:val="left"/>
      <w:pPr>
        <w:ind w:left="4064" w:hanging="1800"/>
      </w:pPr>
      <w:rPr>
        <w:rFonts w:ascii="Arial" w:cs="Times New Roman" w:hAnsi="Arial" w:hint="default"/>
        <w:sz w:val="22"/>
      </w:rPr>
    </w:lvl>
  </w:abstractNum>
  <w:abstractNum w:abstractNumId="130">
    <w:nsid w:val="00000082"/>
    <w:multiLevelType w:val="hybridMultilevel"/>
    <w:tmpl w:val="6ACA6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00000083"/>
    <w:multiLevelType w:val="hybridMultilevel"/>
    <w:tmpl w:val="FEC8DB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nsid w:val="00000084"/>
    <w:multiLevelType w:val="hybridMultilevel"/>
    <w:tmpl w:val="10D61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00000085"/>
    <w:multiLevelType w:val="hybridMultilevel"/>
    <w:tmpl w:val="68B0ABF8"/>
    <w:lvl w:ilvl="0" w:tplc="1BA012B0">
      <w:start w:val="1"/>
      <w:numFmt w:val="bullet"/>
      <w:pStyle w:val="style4273"/>
      <w:lvlText w:val="-"/>
      <w:lvlJc w:val="left"/>
      <w:pPr>
        <w:tabs>
          <w:tab w:val="left" w:leader="none" w:pos="360"/>
        </w:tabs>
        <w:ind w:left="360" w:hanging="360"/>
      </w:pPr>
      <w:rPr>
        <w:rFonts w:ascii="Times New Roman" w:cs="Times New Roman" w:eastAsia="Times New Roman" w:hAnsi="Times New Roman"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34">
    <w:nsid w:val="00000086"/>
    <w:multiLevelType w:val="singleLevel"/>
    <w:tmpl w:val="C84E015A"/>
    <w:lvl w:ilvl="0">
      <w:start w:val="1"/>
      <w:numFmt w:val="bullet"/>
      <w:pStyle w:val="style4179"/>
      <w:lvlText w:val=""/>
      <w:lvlJc w:val="left"/>
      <w:pPr>
        <w:tabs>
          <w:tab w:val="left" w:leader="none" w:pos="360"/>
        </w:tabs>
        <w:ind w:left="360" w:hanging="360"/>
      </w:pPr>
      <w:rPr>
        <w:rFonts w:ascii="Symbol" w:cs="Times New Roman" w:hAnsi="Symbol" w:hint="default"/>
        <w:sz w:val="18"/>
        <w:szCs w:val="18"/>
      </w:rPr>
    </w:lvl>
  </w:abstractNum>
  <w:abstractNum w:abstractNumId="135">
    <w:nsid w:val="00000087"/>
    <w:multiLevelType w:val="multilevel"/>
    <w:tmpl w:val="EBF4B88C"/>
    <w:lvl w:ilvl="0">
      <w:start w:val="1"/>
      <w:numFmt w:val="decimal"/>
      <w:lvlText w:val="%1."/>
      <w:lvlJc w:val="left"/>
      <w:pPr>
        <w:tabs>
          <w:tab w:val="left" w:leader="none" w:pos="360"/>
        </w:tabs>
        <w:ind w:left="360" w:hanging="360"/>
      </w:pPr>
      <w:rPr>
        <w:rFonts w:hint="default"/>
      </w:rPr>
    </w:lvl>
    <w:lvl w:ilvl="1">
      <w:start w:val="1"/>
      <w:numFmt w:val="decimal"/>
      <w:pStyle w:val="style4115"/>
      <w:lvlText w:val="%1.%2"/>
      <w:lvlJc w:val="left"/>
      <w:pPr>
        <w:tabs>
          <w:tab w:val="left" w:leader="none" w:pos="720"/>
        </w:tabs>
        <w:ind w:left="720" w:hanging="720"/>
      </w:pPr>
      <w:rPr>
        <w:rFonts w:hint="default"/>
      </w:rPr>
    </w:lvl>
    <w:lvl w:ilvl="2">
      <w:start w:val="1"/>
      <w:numFmt w:val="lowerLetter"/>
      <w:lvlText w:val="(%3)"/>
      <w:lvlJc w:val="left"/>
      <w:pPr>
        <w:tabs>
          <w:tab w:val="left" w:leader="none" w:pos="1440"/>
        </w:tabs>
        <w:ind w:left="1080" w:hanging="360"/>
      </w:pPr>
      <w:rPr>
        <w:rFonts w:hint="default"/>
      </w:rPr>
    </w:lvl>
    <w:lvl w:ilvl="3">
      <w:start w:val="1"/>
      <w:numFmt w:val="lowerRoman"/>
      <w:lvlText w:val="(%4)"/>
      <w:lvlJc w:val="left"/>
      <w:pPr>
        <w:tabs>
          <w:tab w:val="left" w:leader="none" w:pos="2160"/>
        </w:tabs>
        <w:ind w:left="1440" w:hanging="360"/>
      </w:pPr>
      <w:rPr>
        <w:rFonts w:hint="default"/>
      </w:rPr>
    </w:lvl>
    <w:lvl w:ilvl="4">
      <w:start w:val="1"/>
      <w:numFmt w:val="lowerLetter"/>
      <w:lvlText w:val="%5."/>
      <w:lvlJc w:val="left"/>
      <w:pPr>
        <w:tabs>
          <w:tab w:val="left" w:leader="none" w:pos="1800"/>
        </w:tabs>
        <w:ind w:left="1800" w:hanging="360"/>
      </w:pPr>
      <w:rPr>
        <w:rFonts w:hint="default"/>
      </w:rPr>
    </w:lvl>
    <w:lvl w:ilvl="5">
      <w:start w:val="1"/>
      <w:numFmt w:val="lowerRoman"/>
      <w:lvlText w:val="%6."/>
      <w:lvlJc w:val="left"/>
      <w:pPr>
        <w:tabs>
          <w:tab w:val="left" w:leader="none" w:pos="2520"/>
        </w:tabs>
        <w:ind w:left="2160" w:hanging="360"/>
      </w:pPr>
      <w:rPr>
        <w:rFonts w:hint="default"/>
      </w:rPr>
    </w:lvl>
    <w:lvl w:ilvl="6">
      <w:start w:val="1"/>
      <w:numFmt w:val="decimal"/>
      <w:lvlText w:val="%1.%2.%3.%4.%5.%6.%7."/>
      <w:lvlJc w:val="left"/>
      <w:pPr>
        <w:tabs>
          <w:tab w:val="left" w:leader="none" w:pos="7200"/>
        </w:tabs>
        <w:ind w:left="6120" w:hanging="1080"/>
      </w:pPr>
      <w:rPr>
        <w:rFonts w:hint="default"/>
      </w:rPr>
    </w:lvl>
    <w:lvl w:ilvl="7">
      <w:start w:val="1"/>
      <w:numFmt w:val="decimal"/>
      <w:lvlText w:val="%1.%2.%3.%4.%5.%6.%7.%8."/>
      <w:lvlJc w:val="left"/>
      <w:pPr>
        <w:tabs>
          <w:tab w:val="left" w:leader="none" w:pos="7560"/>
        </w:tabs>
        <w:ind w:left="6624" w:hanging="1224"/>
      </w:pPr>
      <w:rPr>
        <w:rFonts w:hint="default"/>
      </w:rPr>
    </w:lvl>
    <w:lvl w:ilvl="8">
      <w:start w:val="1"/>
      <w:numFmt w:val="decimal"/>
      <w:lvlText w:val="%1.%2.%3.%4.%5.%6.%7.%8.%9."/>
      <w:lvlJc w:val="left"/>
      <w:pPr>
        <w:tabs>
          <w:tab w:val="left" w:leader="none" w:pos="8280"/>
        </w:tabs>
        <w:ind w:left="7200" w:hanging="1440"/>
      </w:pPr>
      <w:rPr>
        <w:rFonts w:hint="default"/>
      </w:rPr>
    </w:lvl>
  </w:abstractNum>
  <w:abstractNum w:abstractNumId="136">
    <w:nsid w:val="00000088"/>
    <w:multiLevelType w:val="hybridMultilevel"/>
    <w:tmpl w:val="ACE20E62"/>
    <w:lvl w:ilvl="0" w:tplc="50E85716">
      <w:start w:val="4"/>
      <w:numFmt w:val="bullet"/>
      <w:lvlText w:val="-"/>
      <w:lvlJc w:val="left"/>
      <w:pPr>
        <w:ind w:left="720" w:hanging="360"/>
      </w:pPr>
      <w:rPr>
        <w:rFonts w:ascii="Calibri" w:cs="Times New Roman" w:eastAsia="Calibri" w:hAnsi="Calibri"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00000089"/>
    <w:multiLevelType w:val="hybridMultilevel"/>
    <w:tmpl w:val="65D27E54"/>
    <w:lvl w:ilvl="0" w:tplc="5CE05F1A">
      <w:start w:val="1"/>
      <w:numFmt w:val="bullet"/>
      <w:lvlText w:val="-"/>
      <w:lvlJc w:val="left"/>
      <w:pPr>
        <w:ind w:left="720" w:hanging="360"/>
      </w:pPr>
      <w:rPr>
        <w:rFonts w:ascii="Century Gothic" w:cs="Century Gothic" w:eastAsia="Calibri" w:hAnsi="Century Gothic"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0000008A"/>
    <w:multiLevelType w:val="hybridMultilevel"/>
    <w:tmpl w:val="91C48CF4"/>
    <w:lvl w:ilvl="0" w:tplc="48FC5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0000008B"/>
    <w:multiLevelType w:val="hybridMultilevel"/>
    <w:tmpl w:val="E848B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0000008C"/>
    <w:multiLevelType w:val="hybridMultilevel"/>
    <w:tmpl w:val="8532684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0000008D"/>
    <w:multiLevelType w:val="multilevel"/>
    <w:tmpl w:val="D16479FA"/>
    <w:lvl w:ilvl="0">
      <w:start w:val="1"/>
      <w:numFmt w:val="upperRoman"/>
      <w:pStyle w:val="style4100"/>
      <w:lvlText w:val="%1."/>
      <w:lvlJc w:val="right"/>
      <w:pPr>
        <w:tabs>
          <w:tab w:val="left" w:leader="none" w:pos="432"/>
        </w:tabs>
        <w:ind w:left="432" w:hanging="432"/>
      </w:pPr>
    </w:lvl>
    <w:lvl w:ilvl="1">
      <w:start w:val="1"/>
      <w:numFmt w:val="upperLetter"/>
      <w:pStyle w:val="style4101"/>
      <w:lvlText w:val="%2."/>
      <w:lvlJc w:val="left"/>
      <w:pPr>
        <w:tabs>
          <w:tab w:val="left" w:leader="none" w:pos="1152"/>
        </w:tabs>
        <w:ind w:left="1152" w:hanging="576"/>
      </w:pPr>
    </w:lvl>
    <w:lvl w:ilvl="2">
      <w:start w:val="1"/>
      <w:numFmt w:val="decimal"/>
      <w:pStyle w:val="style4102"/>
      <w:lvlText w:val="%3."/>
      <w:lvlJc w:val="left"/>
      <w:pPr>
        <w:tabs>
          <w:tab w:val="left" w:leader="none" w:pos="1728"/>
        </w:tabs>
        <w:ind w:left="1728" w:hanging="432"/>
      </w:pPr>
    </w:lvl>
    <w:lvl w:ilvl="3">
      <w:start w:val="1"/>
      <w:numFmt w:val="lowerLetter"/>
      <w:pStyle w:val="style4103"/>
      <w:lvlText w:val="%4)"/>
      <w:lvlJc w:val="left"/>
      <w:pPr>
        <w:tabs>
          <w:tab w:val="left" w:leader="none" w:pos="2304"/>
        </w:tabs>
        <w:ind w:left="2304" w:hanging="576"/>
      </w:pPr>
    </w:lvl>
    <w:lvl w:ilvl="4">
      <w:start w:val="1"/>
      <w:numFmt w:val="decimal"/>
      <w:lvlText w:val="(%5)"/>
      <w:lvlJc w:val="left"/>
      <w:pPr>
        <w:tabs>
          <w:tab w:val="left" w:leader="none" w:pos="3240"/>
        </w:tabs>
        <w:ind w:left="2880" w:firstLine="0"/>
      </w:pPr>
    </w:lvl>
    <w:lvl w:ilvl="5">
      <w:start w:val="1"/>
      <w:numFmt w:val="lowerLetter"/>
      <w:lvlText w:val="(%6)"/>
      <w:lvlJc w:val="left"/>
      <w:pPr>
        <w:tabs>
          <w:tab w:val="left" w:leader="none" w:pos="3960"/>
        </w:tabs>
        <w:ind w:left="3600" w:firstLine="0"/>
      </w:pPr>
    </w:lvl>
    <w:lvl w:ilvl="6">
      <w:start w:val="1"/>
      <w:numFmt w:val="lowerRoman"/>
      <w:lvlText w:val="(%7)"/>
      <w:lvlJc w:val="left"/>
      <w:pPr>
        <w:tabs>
          <w:tab w:val="left" w:leader="none" w:pos="4680"/>
        </w:tabs>
        <w:ind w:left="4320" w:firstLine="0"/>
      </w:pPr>
    </w:lvl>
    <w:lvl w:ilvl="7">
      <w:start w:val="1"/>
      <w:numFmt w:val="lowerLetter"/>
      <w:lvlText w:val="(%8)"/>
      <w:lvlJc w:val="left"/>
      <w:pPr>
        <w:tabs>
          <w:tab w:val="left" w:leader="none" w:pos="5400"/>
        </w:tabs>
        <w:ind w:left="5040" w:firstLine="0"/>
      </w:pPr>
    </w:lvl>
    <w:lvl w:ilvl="8">
      <w:start w:val="1"/>
      <w:numFmt w:val="lowerRoman"/>
      <w:lvlText w:val="(%9)"/>
      <w:lvlJc w:val="left"/>
      <w:pPr>
        <w:tabs>
          <w:tab w:val="left" w:leader="none" w:pos="6120"/>
        </w:tabs>
        <w:ind w:left="5760" w:firstLine="0"/>
      </w:pPr>
    </w:lvl>
  </w:abstractNum>
  <w:abstractNum w:abstractNumId="142">
    <w:nsid w:val="0000008E"/>
    <w:multiLevelType w:val="singleLevel"/>
    <w:tmpl w:val="3948FB56"/>
    <w:lvl w:ilvl="0">
      <w:start w:val="1"/>
      <w:numFmt w:val="bullet"/>
      <w:pStyle w:val="style4294"/>
      <w:lvlText w:val=""/>
      <w:lvlJc w:val="left"/>
      <w:pPr>
        <w:tabs>
          <w:tab w:val="left" w:leader="none" w:pos="360"/>
        </w:tabs>
        <w:ind w:left="360" w:hanging="360"/>
      </w:pPr>
      <w:rPr>
        <w:rFonts w:ascii="Wingdings" w:hAnsi="Wingdings" w:hint="default"/>
        <w:sz w:val="16"/>
      </w:rPr>
    </w:lvl>
  </w:abstractNum>
  <w:num w:numId="1">
    <w:abstractNumId w:val="121"/>
  </w:num>
  <w:num w:numId="2">
    <w:abstractNumId w:val="51"/>
  </w:num>
  <w:num w:numId="3">
    <w:abstractNumId w:val="68"/>
  </w:num>
  <w:num w:numId="4">
    <w:abstractNumId w:val="10"/>
  </w:num>
  <w:num w:numId="5">
    <w:abstractNumId w:val="35"/>
  </w:num>
  <w:num w:numId="6">
    <w:abstractNumId w:val="30"/>
  </w:num>
  <w:num w:numId="7">
    <w:abstractNumId w:val="124"/>
  </w:num>
  <w:num w:numId="8">
    <w:abstractNumId w:val="17"/>
  </w:num>
  <w:num w:numId="9">
    <w:abstractNumId w:val="59"/>
  </w:num>
  <w:num w:numId="10">
    <w:abstractNumId w:val="57"/>
  </w:num>
  <w:num w:numId="11">
    <w:abstractNumId w:val="71"/>
  </w:num>
  <w:num w:numId="12">
    <w:abstractNumId w:val="15"/>
  </w:num>
  <w:num w:numId="13">
    <w:abstractNumId w:val="105"/>
  </w:num>
  <w:num w:numId="14">
    <w:abstractNumId w:val="38"/>
  </w:num>
  <w:num w:numId="15">
    <w:abstractNumId w:val="41"/>
  </w:num>
  <w:num w:numId="16">
    <w:abstractNumId w:val="101"/>
  </w:num>
  <w:num w:numId="17">
    <w:abstractNumId w:val="92"/>
  </w:num>
  <w:num w:numId="18">
    <w:abstractNumId w:val="111"/>
  </w:num>
  <w:num w:numId="19">
    <w:abstractNumId w:val="129"/>
  </w:num>
  <w:num w:numId="20">
    <w:abstractNumId w:val="58"/>
  </w:num>
  <w:num w:numId="21">
    <w:abstractNumId w:val="130"/>
  </w:num>
  <w:num w:numId="22">
    <w:abstractNumId w:val="33"/>
  </w:num>
  <w:num w:numId="23">
    <w:abstractNumId w:val="56"/>
  </w:num>
  <w:num w:numId="24">
    <w:abstractNumId w:val="107"/>
  </w:num>
  <w:num w:numId="25">
    <w:abstractNumId w:val="131"/>
  </w:num>
  <w:num w:numId="26">
    <w:abstractNumId w:val="65"/>
  </w:num>
  <w:num w:numId="27">
    <w:abstractNumId w:val="88"/>
  </w:num>
  <w:num w:numId="28">
    <w:abstractNumId w:val="106"/>
  </w:num>
  <w:num w:numId="29">
    <w:abstractNumId w:val="40"/>
  </w:num>
  <w:num w:numId="30">
    <w:abstractNumId w:val="22"/>
  </w:num>
  <w:num w:numId="31">
    <w:abstractNumId w:val="14"/>
  </w:num>
  <w:num w:numId="32">
    <w:abstractNumId w:val="55"/>
  </w:num>
  <w:num w:numId="33">
    <w:abstractNumId w:val="19"/>
  </w:num>
  <w:num w:numId="34">
    <w:abstractNumId w:val="102"/>
  </w:num>
  <w:num w:numId="35">
    <w:abstractNumId w:val="5"/>
  </w:num>
  <w:num w:numId="36">
    <w:abstractNumId w:val="32"/>
  </w:num>
  <w:num w:numId="37">
    <w:abstractNumId w:val="11"/>
  </w:num>
  <w:num w:numId="38">
    <w:abstractNumId w:val="23"/>
  </w:num>
  <w:num w:numId="39">
    <w:abstractNumId w:val="9"/>
  </w:num>
  <w:num w:numId="40">
    <w:abstractNumId w:val="75"/>
  </w:num>
  <w:num w:numId="41">
    <w:abstractNumId w:val="85"/>
  </w:num>
  <w:num w:numId="42">
    <w:abstractNumId w:val="44"/>
  </w:num>
  <w:num w:numId="43">
    <w:abstractNumId w:val="37"/>
  </w:num>
  <w:num w:numId="44">
    <w:abstractNumId w:val="89"/>
  </w:num>
  <w:num w:numId="45">
    <w:abstractNumId w:val="54"/>
  </w:num>
  <w:num w:numId="46">
    <w:abstractNumId w:val="133"/>
  </w:num>
  <w:num w:numId="47">
    <w:abstractNumId w:val="62"/>
  </w:num>
  <w:num w:numId="48">
    <w:abstractNumId w:val="6"/>
  </w:num>
  <w:num w:numId="49">
    <w:abstractNumId w:val="49"/>
  </w:num>
  <w:num w:numId="50">
    <w:abstractNumId w:val="20"/>
  </w:num>
  <w:num w:numId="51">
    <w:abstractNumId w:val="24"/>
  </w:num>
  <w:num w:numId="52">
    <w:abstractNumId w:val="4"/>
  </w:num>
  <w:num w:numId="53">
    <w:abstractNumId w:val="134"/>
  </w:num>
  <w:num w:numId="5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3"/>
  </w:num>
  <w:num w:numId="56">
    <w:abstractNumId w:val="81"/>
  </w:num>
  <w:num w:numId="57">
    <w:abstractNumId w:val="50"/>
  </w:num>
  <w:num w:numId="58">
    <w:abstractNumId w:val="86"/>
  </w:num>
  <w:num w:numId="59">
    <w:abstractNumId w:val="7"/>
  </w:num>
  <w:num w:numId="60">
    <w:abstractNumId w:val="80"/>
  </w:num>
  <w:num w:numId="61">
    <w:abstractNumId w:val="141"/>
  </w:num>
  <w:num w:numId="62">
    <w:abstractNumId w:val="94"/>
  </w:num>
  <w:num w:numId="63">
    <w:abstractNumId w:val="137"/>
  </w:num>
  <w:num w:numId="64">
    <w:abstractNumId w:val="99"/>
  </w:num>
  <w:num w:numId="65">
    <w:abstractNumId w:val="139"/>
  </w:num>
  <w:num w:numId="66">
    <w:abstractNumId w:val="12"/>
  </w:num>
  <w:num w:numId="67">
    <w:abstractNumId w:val="117"/>
  </w:num>
  <w:num w:numId="68">
    <w:abstractNumId w:val="27"/>
  </w:num>
  <w:num w:numId="69">
    <w:abstractNumId w:val="61"/>
  </w:num>
  <w:num w:numId="70">
    <w:abstractNumId w:val="136"/>
  </w:num>
  <w:num w:numId="71">
    <w:abstractNumId w:val="123"/>
  </w:num>
  <w:num w:numId="72">
    <w:abstractNumId w:val="73"/>
  </w:num>
  <w:num w:numId="73">
    <w:abstractNumId w:val="104"/>
  </w:num>
  <w:num w:numId="74">
    <w:abstractNumId w:val="67"/>
  </w:num>
  <w:num w:numId="75">
    <w:abstractNumId w:val="29"/>
  </w:num>
  <w:num w:numId="76">
    <w:abstractNumId w:val="77"/>
  </w:num>
  <w:num w:numId="77">
    <w:abstractNumId w:val="53"/>
  </w:num>
  <w:num w:numId="7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num>
  <w:num w:numId="80">
    <w:abstractNumId w:val="127"/>
  </w:num>
  <w:num w:numId="81">
    <w:abstractNumId w:val="8"/>
  </w:num>
  <w:num w:numId="82">
    <w:abstractNumId w:val="90"/>
  </w:num>
  <w:num w:numId="83">
    <w:abstractNumId w:val="116"/>
  </w:num>
  <w:num w:numId="84">
    <w:abstractNumId w:val="28"/>
  </w:num>
  <w:num w:numId="8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num>
  <w:num w:numId="87">
    <w:abstractNumId w:val="52"/>
  </w:num>
  <w:num w:numId="88">
    <w:abstractNumId w:val="2"/>
  </w:num>
  <w:num w:numId="89">
    <w:abstractNumId w:val="64"/>
  </w:num>
  <w:num w:numId="90">
    <w:abstractNumId w:val="128"/>
  </w:num>
  <w:num w:numId="91">
    <w:abstractNumId w:val="83"/>
  </w:num>
  <w:num w:numId="92">
    <w:abstractNumId w:val="18"/>
  </w:num>
  <w:num w:numId="93">
    <w:abstractNumId w:val="122"/>
  </w:num>
  <w:num w:numId="94">
    <w:abstractNumId w:val="43"/>
  </w:num>
  <w:num w:numId="95">
    <w:abstractNumId w:val="42"/>
  </w:num>
  <w:num w:numId="96">
    <w:abstractNumId w:val="95"/>
  </w:num>
  <w:num w:numId="97">
    <w:abstractNumId w:val="91"/>
  </w:num>
  <w:num w:numId="98">
    <w:abstractNumId w:val="126"/>
  </w:num>
  <w:num w:numId="99">
    <w:abstractNumId w:val="119"/>
  </w:num>
  <w:num w:numId="100">
    <w:abstractNumId w:val="45"/>
  </w:num>
  <w:num w:numId="101">
    <w:abstractNumId w:val="69"/>
  </w:num>
  <w:num w:numId="102">
    <w:abstractNumId w:val="76"/>
  </w:num>
  <w:num w:numId="103">
    <w:abstractNumId w:val="25"/>
  </w:num>
  <w:num w:numId="104">
    <w:abstractNumId w:val="0"/>
  </w:num>
  <w:num w:numId="105">
    <w:abstractNumId w:val="142"/>
  </w:num>
  <w:num w:numId="106">
    <w:abstractNumId w:val="97"/>
  </w:num>
  <w:num w:numId="107">
    <w:abstractNumId w:val="1"/>
  </w:num>
  <w:num w:numId="108">
    <w:abstractNumId w:val="132"/>
  </w:num>
  <w:num w:numId="109">
    <w:abstractNumId w:val="110"/>
  </w:num>
  <w:num w:numId="110">
    <w:abstractNumId w:val="78"/>
  </w:num>
  <w:num w:numId="111">
    <w:abstractNumId w:val="120"/>
  </w:num>
  <w:num w:numId="112">
    <w:abstractNumId w:val="109"/>
  </w:num>
  <w:num w:numId="113">
    <w:abstractNumId w:val="82"/>
  </w:num>
  <w:num w:numId="114">
    <w:abstractNumId w:val="84"/>
  </w:num>
  <w:num w:numId="115">
    <w:abstractNumId w:val="100"/>
  </w:num>
  <w:num w:numId="116">
    <w:abstractNumId w:val="13"/>
  </w:num>
  <w:num w:numId="117">
    <w:abstractNumId w:val="31"/>
  </w:num>
  <w:num w:numId="118">
    <w:abstractNumId w:val="3"/>
  </w:num>
  <w:num w:numId="119">
    <w:abstractNumId w:val="135"/>
  </w:num>
  <w:num w:numId="120">
    <w:abstractNumId w:val="63"/>
  </w:num>
  <w:num w:numId="121">
    <w:abstractNumId w:val="21"/>
  </w:num>
  <w:num w:numId="122">
    <w:abstractNumId w:val="46"/>
  </w:num>
  <w:num w:numId="123">
    <w:abstractNumId w:val="66"/>
  </w:num>
  <w:num w:numId="124">
    <w:abstractNumId w:val="125"/>
  </w:num>
  <w:num w:numId="125">
    <w:abstractNumId w:val="74"/>
  </w:num>
  <w:num w:numId="126">
    <w:abstractNumId w:val="47"/>
  </w:num>
  <w:num w:numId="127">
    <w:abstractNumId w:val="114"/>
  </w:num>
  <w:num w:numId="128">
    <w:abstractNumId w:val="98"/>
  </w:num>
  <w:num w:numId="129">
    <w:abstractNumId w:val="39"/>
  </w:num>
  <w:num w:numId="130">
    <w:abstractNumId w:val="60"/>
    <w:lvlOverride w:ilvl="0">
      <w:lvl w:ilvl="0">
        <w:start w:val="4"/>
        <w:numFmt w:val="bullet"/>
        <w:lvlText w:val="-"/>
        <w:lvlJc w:val="left"/>
        <w:pPr>
          <w:ind w:left="360" w:hanging="360"/>
        </w:pPr>
      </w:lvl>
    </w:lvlOverride>
  </w:num>
  <w:num w:numId="131">
    <w:abstractNumId w:val="140"/>
  </w:num>
  <w:num w:numId="132">
    <w:abstractNumId w:val="118"/>
  </w:num>
  <w:num w:numId="133">
    <w:abstractNumId w:val="108"/>
  </w:num>
  <w:num w:numId="134">
    <w:abstractNumId w:val="26"/>
  </w:num>
  <w:num w:numId="135">
    <w:abstractNumId w:val="34"/>
  </w:num>
  <w:num w:numId="136">
    <w:abstractNumId w:val="112"/>
  </w:num>
  <w:num w:numId="137">
    <w:abstractNumId w:val="48"/>
  </w:num>
  <w:num w:numId="138">
    <w:abstractNumId w:val="79"/>
  </w:num>
  <w:num w:numId="139">
    <w:abstractNumId w:val="36"/>
  </w:num>
  <w:num w:numId="140">
    <w:abstractNumId w:val="113"/>
  </w:num>
  <w:num w:numId="141">
    <w:abstractNumId w:val="103"/>
  </w:num>
  <w:num w:numId="142">
    <w:abstractNumId w:val="138"/>
  </w:num>
  <w:num w:numId="143">
    <w:abstractNumId w:val="8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lang w:val="fr-FR" w:bidi="ar-SA" w:eastAsia="fr-FR"/>
      </w:rPr>
    </w:rPrDefault>
    <w:pPrDefault>
      <w:pPr/>
    </w:pPrDefault>
  </w:docDefaults>
  <w:style w:type="paragraph" w:default="1" w:styleId="style0">
    <w:name w:val="Normal"/>
    <w:next w:val="style0"/>
    <w:qFormat/>
    <w:pPr/>
    <w:rPr>
      <w:sz w:val="24"/>
      <w:szCs w:val="24"/>
    </w:rPr>
  </w:style>
  <w:style w:type="paragraph" w:styleId="style1">
    <w:name w:val="heading 1"/>
    <w:basedOn w:val="style0"/>
    <w:next w:val="style0"/>
    <w:link w:val="style4123"/>
    <w:qFormat/>
    <w:pPr>
      <w:keepNext/>
      <w:autoSpaceDE w:val="false"/>
      <w:autoSpaceDN w:val="false"/>
      <w:adjustRightInd w:val="false"/>
      <w:spacing w:lineRule="atLeast" w:line="240"/>
      <w:outlineLvl w:val="0"/>
    </w:pPr>
    <w:rPr>
      <w:b/>
      <w:bCs/>
      <w:color w:val="000000"/>
      <w:szCs w:val="20"/>
    </w:rPr>
  </w:style>
  <w:style w:type="paragraph" w:styleId="style2">
    <w:name w:val="heading 2"/>
    <w:basedOn w:val="style0"/>
    <w:next w:val="style0"/>
    <w:link w:val="style4127"/>
    <w:qFormat/>
    <w:pPr>
      <w:keepNext/>
      <w:numPr>
        <w:ilvl w:val="1"/>
        <w:numId w:val="41"/>
      </w:numPr>
      <w:autoSpaceDE w:val="false"/>
      <w:autoSpaceDN w:val="false"/>
      <w:adjustRightInd w:val="false"/>
      <w:spacing w:lineRule="atLeast" w:line="240"/>
      <w:jc w:val="both"/>
      <w:outlineLvl w:val="1"/>
    </w:pPr>
    <w:rPr>
      <w:b/>
      <w:bCs/>
      <w:sz w:val="22"/>
      <w:szCs w:val="22"/>
    </w:rPr>
  </w:style>
  <w:style w:type="paragraph" w:styleId="style3">
    <w:name w:val="heading 3"/>
    <w:basedOn w:val="style0"/>
    <w:next w:val="style4"/>
    <w:link w:val="style4173"/>
    <w:qFormat/>
    <w:pPr>
      <w:keepNext/>
      <w:numPr>
        <w:ilvl w:val="0"/>
        <w:numId w:val="88"/>
      </w:numPr>
      <w:tabs>
        <w:tab w:val="left" w:leader="none" w:pos="720"/>
        <w:tab w:val="left" w:leader="none" w:pos="851"/>
      </w:tabs>
      <w:spacing w:before="120" w:after="120"/>
      <w:outlineLvl w:val="2"/>
    </w:pPr>
    <w:rPr>
      <w:rFonts w:eastAsia="Arial Unicode MS"/>
      <w:bCs/>
      <w:sz w:val="22"/>
      <w:szCs w:val="22"/>
      <w:u w:val="single"/>
    </w:rPr>
  </w:style>
  <w:style w:type="paragraph" w:styleId="style4">
    <w:name w:val="heading 4"/>
    <w:basedOn w:val="style0"/>
    <w:next w:val="style5"/>
    <w:link w:val="style4139"/>
    <w:qFormat/>
    <w:pPr>
      <w:keepNext/>
      <w:numPr>
        <w:ilvl w:val="3"/>
        <w:numId w:val="19"/>
      </w:numPr>
      <w:tabs>
        <w:tab w:val="left" w:leader="none" w:pos="720"/>
      </w:tabs>
      <w:spacing w:after="240"/>
      <w:jc w:val="both"/>
      <w:outlineLvl w:val="3"/>
    </w:pPr>
    <w:rPr>
      <w:sz w:val="22"/>
      <w:szCs w:val="20"/>
    </w:rPr>
  </w:style>
  <w:style w:type="paragraph" w:styleId="style5">
    <w:name w:val="heading 5"/>
    <w:basedOn w:val="style0"/>
    <w:next w:val="style66"/>
    <w:link w:val="style4174"/>
    <w:qFormat/>
    <w:pPr>
      <w:tabs>
        <w:tab w:val="left" w:leader="none" w:pos="720"/>
      </w:tabs>
      <w:spacing w:after="240"/>
      <w:jc w:val="both"/>
      <w:outlineLvl w:val="4"/>
    </w:pPr>
    <w:rPr>
      <w:i/>
      <w:sz w:val="22"/>
      <w:szCs w:val="20"/>
    </w:rPr>
  </w:style>
  <w:style w:type="paragraph" w:styleId="style6">
    <w:name w:val="heading 6"/>
    <w:basedOn w:val="style0"/>
    <w:next w:val="style0"/>
    <w:link w:val="style4175"/>
    <w:qFormat/>
    <w:pPr>
      <w:keepNext/>
      <w:autoSpaceDE w:val="false"/>
      <w:autoSpaceDN w:val="false"/>
      <w:adjustRightInd w:val="false"/>
      <w:spacing w:lineRule="atLeast" w:line="240"/>
      <w:outlineLvl w:val="5"/>
    </w:pPr>
    <w:rPr>
      <w:b/>
      <w:bCs/>
    </w:rPr>
  </w:style>
  <w:style w:type="paragraph" w:styleId="style7">
    <w:name w:val="heading 7"/>
    <w:basedOn w:val="style0"/>
    <w:next w:val="style0"/>
    <w:link w:val="style4176"/>
    <w:qFormat/>
    <w:pPr>
      <w:keepNext/>
      <w:autoSpaceDE w:val="false"/>
      <w:autoSpaceDN w:val="false"/>
      <w:adjustRightInd w:val="false"/>
      <w:spacing w:lineRule="atLeast" w:line="240"/>
      <w:jc w:val="both"/>
      <w:outlineLvl w:val="6"/>
    </w:pPr>
    <w:rPr>
      <w:b/>
      <w:bCs/>
      <w:iCs/>
      <w:color w:val="000000"/>
    </w:rPr>
  </w:style>
  <w:style w:type="paragraph" w:styleId="style8">
    <w:name w:val="heading 8"/>
    <w:basedOn w:val="style0"/>
    <w:next w:val="style0"/>
    <w:link w:val="style4177"/>
    <w:qFormat/>
    <w:pPr>
      <w:keepNext/>
      <w:jc w:val="both"/>
      <w:outlineLvl w:val="7"/>
    </w:pPr>
    <w:rPr>
      <w:b/>
      <w:bCs/>
    </w:rPr>
  </w:style>
  <w:style w:type="paragraph" w:styleId="style9">
    <w:name w:val="heading 9"/>
    <w:basedOn w:val="style0"/>
    <w:next w:val="style0"/>
    <w:link w:val="style4178"/>
    <w:qFormat/>
    <w:pPr>
      <w:keepNext/>
      <w:tabs>
        <w:tab w:val="left" w:leader="none" w:pos="1584"/>
      </w:tabs>
      <w:ind w:left="1584" w:hanging="1584"/>
      <w:jc w:val="center"/>
      <w:outlineLvl w:val="8"/>
    </w:pPr>
    <w:rPr>
      <w:b/>
      <w:sz w:val="22"/>
      <w:szCs w:val="20"/>
      <w:lang w:val="en-US" w:eastAsia="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link w:val="style4126"/>
    <w:pPr>
      <w:tabs>
        <w:tab w:val="left" w:leader="none" w:pos="720"/>
      </w:tabs>
      <w:spacing w:after="240"/>
      <w:jc w:val="both"/>
    </w:pPr>
    <w:rPr>
      <w:sz w:val="22"/>
      <w:szCs w:val="20"/>
    </w:rPr>
  </w:style>
  <w:style w:type="paragraph" w:styleId="style62">
    <w:name w:val="Title"/>
    <w:basedOn w:val="style0"/>
    <w:next w:val="style62"/>
    <w:link w:val="style4145"/>
    <w:qFormat/>
    <w:pPr>
      <w:spacing w:after="120"/>
      <w:jc w:val="center"/>
    </w:pPr>
    <w:rPr>
      <w:b/>
      <w:szCs w:val="20"/>
      <w:lang w:val="en-US"/>
    </w:rPr>
  </w:style>
  <w:style w:type="paragraph" w:styleId="style67">
    <w:name w:val="Body Text Indent"/>
    <w:basedOn w:val="style0"/>
    <w:next w:val="style67"/>
    <w:link w:val="style4186"/>
    <w:pPr>
      <w:autoSpaceDE w:val="false"/>
      <w:autoSpaceDN w:val="false"/>
      <w:adjustRightInd w:val="false"/>
      <w:spacing w:lineRule="atLeast" w:line="240"/>
      <w:ind w:left="720" w:hanging="720"/>
    </w:pPr>
    <w:rPr>
      <w:b/>
      <w:bCs/>
      <w:color w:val="000000"/>
      <w:szCs w:val="20"/>
    </w:rPr>
  </w:style>
  <w:style w:type="paragraph" w:styleId="style31">
    <w:name w:val="header"/>
    <w:basedOn w:val="style0"/>
    <w:next w:val="style31"/>
    <w:link w:val="style4144"/>
    <w:uiPriority w:val="99"/>
    <w:pPr>
      <w:tabs>
        <w:tab w:val="center" w:leader="none" w:pos="4320"/>
        <w:tab w:val="right" w:leader="none" w:pos="8640"/>
      </w:tabs>
    </w:pPr>
    <w:rPr/>
  </w:style>
  <w:style w:type="paragraph" w:styleId="style32">
    <w:name w:val="footer"/>
    <w:basedOn w:val="style0"/>
    <w:next w:val="style32"/>
    <w:link w:val="style4140"/>
    <w:uiPriority w:val="99"/>
    <w:pPr>
      <w:tabs>
        <w:tab w:val="center" w:leader="none" w:pos="4320"/>
        <w:tab w:val="right" w:leader="none" w:pos="8640"/>
      </w:tabs>
    </w:pPr>
    <w:rPr/>
  </w:style>
  <w:style w:type="paragraph" w:styleId="style80">
    <w:name w:val="Body Text 2"/>
    <w:basedOn w:val="style0"/>
    <w:next w:val="style80"/>
    <w:link w:val="style4188"/>
    <w:pPr>
      <w:tabs>
        <w:tab w:val="left" w:leader="none" w:pos="720"/>
      </w:tabs>
      <w:spacing w:after="240"/>
      <w:jc w:val="both"/>
    </w:pPr>
    <w:rPr>
      <w:sz w:val="22"/>
      <w:szCs w:val="20"/>
    </w:rPr>
  </w:style>
  <w:style w:type="paragraph" w:styleId="style81">
    <w:name w:val="Body Text 3"/>
    <w:basedOn w:val="style0"/>
    <w:next w:val="style81"/>
    <w:link w:val="style4185"/>
    <w:pPr>
      <w:tabs>
        <w:tab w:val="left" w:leader="none" w:pos="720"/>
      </w:tabs>
      <w:spacing w:after="240"/>
      <w:jc w:val="both"/>
    </w:pPr>
    <w:rPr>
      <w:sz w:val="22"/>
      <w:szCs w:val="20"/>
    </w:rPr>
  </w:style>
  <w:style w:type="character" w:styleId="style38">
    <w:name w:val="footnote reference"/>
    <w:next w:val="style38"/>
    <w:link w:val="style4193"/>
    <w:qFormat/>
    <w:uiPriority w:val="99"/>
    <w:rPr>
      <w:vertAlign w:val="superscript"/>
    </w:rPr>
  </w:style>
  <w:style w:type="paragraph" w:styleId="style29">
    <w:name w:val="footnote text"/>
    <w:basedOn w:val="style0"/>
    <w:next w:val="style29"/>
    <w:link w:val="style4131"/>
    <w:qFormat/>
    <w:uiPriority w:val="99"/>
    <w:pPr>
      <w:tabs>
        <w:tab w:val="left" w:leader="none" w:pos="720"/>
      </w:tabs>
      <w:ind w:firstLine="720"/>
      <w:jc w:val="both"/>
    </w:pPr>
    <w:rPr>
      <w:sz w:val="20"/>
      <w:szCs w:val="20"/>
    </w:rPr>
  </w:style>
  <w:style w:type="paragraph" w:customStyle="1" w:styleId="style4097">
    <w:name w:val="Corps de texte 4"/>
    <w:basedOn w:val="style0"/>
    <w:next w:val="style4097"/>
    <w:pPr>
      <w:spacing w:after="240"/>
      <w:jc w:val="both"/>
    </w:pPr>
    <w:rPr>
      <w:sz w:val="22"/>
      <w:szCs w:val="20"/>
    </w:rPr>
  </w:style>
  <w:style w:type="paragraph" w:customStyle="1" w:styleId="style4098">
    <w:name w:val="Retrait corps de texte 31"/>
    <w:basedOn w:val="style0"/>
    <w:next w:val="style4098"/>
    <w:pPr>
      <w:widowControl w:val="false"/>
      <w:tabs>
        <w:tab w:val="left" w:leader="none" w:pos="360"/>
      </w:tabs>
      <w:jc w:val="both"/>
    </w:pPr>
    <w:rPr>
      <w:sz w:val="22"/>
      <w:szCs w:val="20"/>
    </w:rPr>
  </w:style>
  <w:style w:type="paragraph" w:styleId="style74">
    <w:name w:val="Subtitle"/>
    <w:basedOn w:val="style0"/>
    <w:next w:val="style74"/>
    <w:link w:val="style4192"/>
    <w:qFormat/>
    <w:uiPriority w:val="11"/>
    <w:pPr>
      <w:ind w:left="720"/>
      <w:jc w:val="center"/>
    </w:pPr>
    <w:rPr>
      <w:b/>
      <w:bCs/>
      <w:lang w:val="fr-CA" w:eastAsia="en-US"/>
    </w:rPr>
  </w:style>
  <w:style w:type="paragraph" w:customStyle="1" w:styleId="style4099">
    <w:name w:val="Outline"/>
    <w:basedOn w:val="style0"/>
    <w:next w:val="style4099"/>
    <w:pPr>
      <w:spacing w:before="240"/>
    </w:pPr>
    <w:rPr>
      <w:kern w:val="28"/>
      <w:sz w:val="22"/>
      <w:szCs w:val="20"/>
    </w:rPr>
  </w:style>
  <w:style w:type="character" w:styleId="style41">
    <w:name w:val="page number"/>
    <w:basedOn w:val="style65"/>
    <w:next w:val="style41"/>
  </w:style>
  <w:style w:type="paragraph" w:styleId="style94">
    <w:name w:val="Normal (Web)"/>
    <w:basedOn w:val="style0"/>
    <w:next w:val="style94"/>
    <w:pPr>
      <w:spacing w:before="100" w:beforeAutospacing="true" w:after="100" w:afterAutospacing="true"/>
    </w:pPr>
    <w:rPr>
      <w:rFonts w:ascii="Arial Unicode MS" w:cs="Arial Unicode MS" w:eastAsia="Arial Unicode MS" w:hAnsi="Arial Unicode MS"/>
      <w:lang w:val="fr-CA"/>
    </w:rPr>
  </w:style>
  <w:style w:type="paragraph" w:styleId="style82">
    <w:name w:val="Body Text Indent 2"/>
    <w:basedOn w:val="style0"/>
    <w:next w:val="style82"/>
    <w:link w:val="style4190"/>
    <w:pPr>
      <w:spacing w:after="120" w:lineRule="auto" w:line="480"/>
      <w:ind w:left="283"/>
    </w:pPr>
    <w:rPr/>
  </w:style>
  <w:style w:type="paragraph" w:styleId="style83">
    <w:name w:val="Body Text Indent 3"/>
    <w:basedOn w:val="style0"/>
    <w:next w:val="style83"/>
    <w:link w:val="style4191"/>
    <w:pPr>
      <w:spacing w:after="120"/>
      <w:ind w:left="283"/>
    </w:pPr>
    <w:rPr>
      <w:sz w:val="16"/>
      <w:szCs w:val="16"/>
    </w:rPr>
  </w:style>
  <w:style w:type="paragraph" w:customStyle="1" w:styleId="style4100">
    <w:name w:val="Outline1"/>
    <w:basedOn w:val="style4099"/>
    <w:next w:val="style4101"/>
    <w:pPr>
      <w:keepNext/>
      <w:numPr>
        <w:ilvl w:val="0"/>
        <w:numId w:val="61"/>
      </w:numPr>
      <w:tabs>
        <w:tab w:val="clear" w:pos="432"/>
      </w:tabs>
      <w:ind w:left="360" w:hanging="360"/>
    </w:pPr>
    <w:rPr>
      <w:szCs w:val="22"/>
    </w:rPr>
  </w:style>
  <w:style w:type="paragraph" w:customStyle="1" w:styleId="style4101">
    <w:name w:val="Outline2"/>
    <w:basedOn w:val="style0"/>
    <w:next w:val="style4101"/>
    <w:pPr>
      <w:numPr>
        <w:ilvl w:val="1"/>
        <w:numId w:val="61"/>
      </w:numPr>
      <w:tabs>
        <w:tab w:val="clear" w:pos="1152"/>
      </w:tabs>
      <w:spacing w:before="240"/>
      <w:ind w:left="864" w:hanging="504"/>
    </w:pPr>
    <w:rPr>
      <w:kern w:val="28"/>
      <w:sz w:val="22"/>
      <w:szCs w:val="22"/>
    </w:rPr>
  </w:style>
  <w:style w:type="paragraph" w:customStyle="1" w:styleId="style4102">
    <w:name w:val="Outline3"/>
    <w:basedOn w:val="style0"/>
    <w:next w:val="style4102"/>
    <w:pPr>
      <w:numPr>
        <w:ilvl w:val="2"/>
        <w:numId w:val="61"/>
      </w:numPr>
      <w:tabs>
        <w:tab w:val="clear" w:pos="1728"/>
      </w:tabs>
      <w:spacing w:before="240"/>
      <w:ind w:left="1368" w:hanging="504"/>
    </w:pPr>
    <w:rPr>
      <w:kern w:val="28"/>
      <w:sz w:val="22"/>
      <w:szCs w:val="22"/>
    </w:rPr>
  </w:style>
  <w:style w:type="paragraph" w:customStyle="1" w:styleId="style4103">
    <w:name w:val="Outline4"/>
    <w:basedOn w:val="style0"/>
    <w:next w:val="style4103"/>
    <w:pPr>
      <w:numPr>
        <w:ilvl w:val="3"/>
        <w:numId w:val="61"/>
      </w:numPr>
      <w:tabs>
        <w:tab w:val="clear" w:pos="2304"/>
      </w:tabs>
      <w:spacing w:before="240"/>
      <w:ind w:left="1872" w:hanging="504"/>
    </w:pPr>
    <w:rPr>
      <w:kern w:val="28"/>
      <w:sz w:val="22"/>
      <w:szCs w:val="22"/>
    </w:rPr>
  </w:style>
  <w:style w:type="paragraph" w:customStyle="1" w:styleId="style4104">
    <w:name w:val="Body Text Keep"/>
    <w:basedOn w:val="style66"/>
    <w:next w:val="style4104"/>
    <w:pPr>
      <w:keepNext/>
      <w:tabs>
        <w:tab w:val="clear" w:pos="720"/>
      </w:tabs>
      <w:spacing w:lineRule="atLeast" w:line="240"/>
    </w:pPr>
    <w:rPr>
      <w:rFonts w:ascii="Garamond" w:hAnsi="Garamond"/>
      <w:lang w:val="en-US" w:eastAsia="en-US"/>
    </w:rPr>
  </w:style>
  <w:style w:type="paragraph" w:customStyle="1" w:styleId="style4105">
    <w:name w:val="p1"/>
    <w:basedOn w:val="style0"/>
    <w:next w:val="style4105"/>
    <w:pPr>
      <w:widowControl w:val="false"/>
      <w:tabs>
        <w:tab w:val="left" w:leader="none" w:pos="720"/>
      </w:tabs>
      <w:overflowPunct w:val="false"/>
      <w:autoSpaceDE w:val="false"/>
      <w:autoSpaceDN w:val="false"/>
      <w:adjustRightInd w:val="false"/>
      <w:spacing w:lineRule="atLeast" w:line="240"/>
      <w:jc w:val="both"/>
      <w:textAlignment w:val="baseline"/>
    </w:pPr>
    <w:rPr>
      <w:szCs w:val="20"/>
    </w:rPr>
  </w:style>
  <w:style w:type="paragraph" w:customStyle="1" w:styleId="style4106">
    <w:name w:val="Style4"/>
    <w:basedOn w:val="style35"/>
    <w:next w:val="style35"/>
    <w:pPr>
      <w:jc w:val="both"/>
    </w:pPr>
    <w:rPr>
      <w:b/>
      <w:bCs/>
      <w:u w:val="single"/>
      <w:lang w:val="fr-CA"/>
    </w:rPr>
  </w:style>
  <w:style w:type="paragraph" w:styleId="style35">
    <w:name w:val="table of figures"/>
    <w:basedOn w:val="style0"/>
    <w:next w:val="style0"/>
    <w:uiPriority w:val="99"/>
    <w:pPr>
      <w:ind w:left="480" w:hanging="480"/>
    </w:pPr>
    <w:rPr/>
  </w:style>
  <w:style w:type="paragraph" w:customStyle="1" w:styleId="style4107">
    <w:name w:val="Style2"/>
    <w:basedOn w:val="style2"/>
    <w:next w:val="style4107"/>
    <w:pPr>
      <w:autoSpaceDE/>
      <w:autoSpaceDN/>
      <w:adjustRightInd/>
      <w:spacing w:lineRule="auto" w:line="240"/>
      <w:ind w:left="0"/>
    </w:pPr>
    <w:rPr>
      <w:rFonts w:ascii="Comic Sans MS" w:hAnsi="Comic Sans MS"/>
      <w:bCs w:val="false"/>
      <w:szCs w:val="24"/>
    </w:rPr>
  </w:style>
  <w:style w:type="paragraph" w:styleId="style19">
    <w:name w:val="toc 1"/>
    <w:basedOn w:val="style0"/>
    <w:next w:val="style0"/>
    <w:uiPriority w:val="39"/>
    <w:pPr>
      <w:tabs>
        <w:tab w:val="right" w:leader="dot" w:pos="9060"/>
      </w:tabs>
      <w:spacing w:before="120" w:after="120"/>
    </w:pPr>
    <w:rPr>
      <w:b/>
      <w:bCs/>
      <w:caps/>
      <w:sz w:val="20"/>
    </w:rPr>
  </w:style>
  <w:style w:type="paragraph" w:styleId="style20">
    <w:name w:val="toc 2"/>
    <w:basedOn w:val="style0"/>
    <w:next w:val="style0"/>
    <w:uiPriority w:val="39"/>
    <w:pPr>
      <w:tabs>
        <w:tab w:val="left" w:leader="none" w:pos="1440"/>
        <w:tab w:val="right" w:leader="dot" w:pos="9070"/>
      </w:tabs>
      <w:ind w:left="240"/>
    </w:pPr>
    <w:rPr>
      <w:smallCaps/>
      <w:noProof/>
      <w:sz w:val="20"/>
    </w:rPr>
  </w:style>
  <w:style w:type="character" w:styleId="style85">
    <w:name w:val="Hyperlink"/>
    <w:next w:val="style85"/>
    <w:uiPriority w:val="99"/>
    <w:rPr>
      <w:color w:val="0000ff"/>
      <w:u w:val="single"/>
    </w:rPr>
  </w:style>
  <w:style w:type="character" w:customStyle="1" w:styleId="style4108">
    <w:name w:val="Titre 1 Car Car Car Car Car Car Car Car Car Car Car Car Car Car Car Car Car Car Car"/>
    <w:next w:val="style4108"/>
    <w:rPr>
      <w:b/>
      <w:bCs/>
      <w:color w:val="000000"/>
      <w:sz w:val="24"/>
      <w:lang w:val="fr-FR" w:bidi="ar-SA" w:eastAsia="fr-FR"/>
    </w:rPr>
  </w:style>
  <w:style w:type="character" w:styleId="style86">
    <w:name w:val="FollowedHyperlink"/>
    <w:next w:val="style86"/>
    <w:uiPriority w:val="99"/>
    <w:rPr>
      <w:color w:val="800080"/>
      <w:u w:val="single"/>
    </w:rPr>
  </w:style>
  <w:style w:type="paragraph" w:customStyle="1" w:styleId="style4109">
    <w:name w:val="Main Para no Chapter #"/>
    <w:basedOn w:val="style0"/>
    <w:next w:val="style4109"/>
    <w:pPr>
      <w:tabs>
        <w:tab w:val="left" w:leader="none" w:pos="1065"/>
      </w:tabs>
      <w:spacing w:after="240"/>
      <w:outlineLvl w:val="1"/>
    </w:pPr>
    <w:rPr>
      <w:lang w:val="en-US" w:eastAsia="en-US"/>
    </w:rPr>
  </w:style>
  <w:style w:type="paragraph" w:customStyle="1" w:styleId="style4110">
    <w:name w:val="BankNormal"/>
    <w:basedOn w:val="style0"/>
    <w:next w:val="style4110"/>
    <w:pPr>
      <w:spacing w:after="240"/>
    </w:pPr>
    <w:rPr>
      <w:szCs w:val="20"/>
      <w:lang w:eastAsia="en-US"/>
    </w:rPr>
  </w:style>
  <w:style w:type="paragraph" w:customStyle="1" w:styleId="style4111">
    <w:name w:val="para"/>
    <w:basedOn w:val="style0"/>
    <w:next w:val="style4111"/>
    <w:pPr>
      <w:ind w:firstLine="284"/>
      <w:jc w:val="both"/>
    </w:pPr>
    <w:rPr>
      <w:lang w:eastAsia="en-US"/>
    </w:rPr>
  </w:style>
  <w:style w:type="paragraph" w:customStyle="1" w:styleId="style4112">
    <w:name w:val="PDS Heading 2"/>
    <w:next w:val="style0"/>
    <w:pPr>
      <w:keepNext/>
      <w:numPr>
        <w:ilvl w:val="1"/>
        <w:numId w:val="58"/>
      </w:numPr>
    </w:pPr>
    <w:rPr>
      <w:b/>
      <w:sz w:val="24"/>
      <w:lang w:val="en-US" w:eastAsia="en-US"/>
    </w:rPr>
  </w:style>
  <w:style w:type="paragraph" w:customStyle="1" w:styleId="style4113">
    <w:name w:val="PDS Heading 1"/>
    <w:next w:val="style4112"/>
    <w:pPr>
      <w:keepNext/>
      <w:numPr>
        <w:ilvl w:val="0"/>
        <w:numId w:val="58"/>
      </w:numPr>
      <w:outlineLvl w:val="0"/>
    </w:pPr>
    <w:rPr>
      <w:b/>
      <w:caps/>
      <w:sz w:val="24"/>
      <w:lang w:val="en-US" w:eastAsia="en-US"/>
    </w:rPr>
  </w:style>
  <w:style w:type="paragraph" w:styleId="style34">
    <w:name w:val="caption"/>
    <w:basedOn w:val="style0"/>
    <w:next w:val="style0"/>
    <w:link w:val="style4180"/>
    <w:qFormat/>
    <w:pPr>
      <w:jc w:val="center"/>
    </w:pPr>
    <w:rPr>
      <w:b/>
      <w:bCs/>
      <w:color w:val="ff0000"/>
      <w:sz w:val="22"/>
      <w:szCs w:val="22"/>
      <w:lang w:eastAsia="en-US"/>
    </w:rPr>
  </w:style>
  <w:style w:type="paragraph" w:customStyle="1" w:styleId="style4114">
    <w:name w:val="PDSHeading1"/>
    <w:next w:val="style0"/>
    <w:pPr/>
    <w:rPr>
      <w:b/>
      <w:sz w:val="24"/>
      <w:lang w:val="en-US" w:eastAsia="en-US"/>
    </w:rPr>
  </w:style>
  <w:style w:type="paragraph" w:customStyle="1" w:styleId="style4115">
    <w:name w:val="Main Para with Chapter#"/>
    <w:basedOn w:val="style0"/>
    <w:next w:val="style4115"/>
    <w:pPr>
      <w:numPr>
        <w:ilvl w:val="1"/>
        <w:numId w:val="119"/>
      </w:numPr>
      <w:tabs>
        <w:tab w:val="clear" w:pos="720"/>
      </w:tabs>
      <w:spacing w:after="240"/>
      <w:ind w:left="0" w:firstLine="0"/>
      <w:outlineLvl w:val="1"/>
    </w:pPr>
    <w:rPr>
      <w:lang w:val="en-US" w:eastAsia="en-US"/>
    </w:rPr>
  </w:style>
  <w:style w:type="character" w:customStyle="1" w:styleId="style4116">
    <w:name w:val="spelle"/>
    <w:basedOn w:val="style65"/>
    <w:next w:val="style4116"/>
  </w:style>
  <w:style w:type="paragraph" w:customStyle="1" w:styleId="style4117">
    <w:name w:val="TxBr_p7"/>
    <w:basedOn w:val="style0"/>
    <w:next w:val="style4117"/>
    <w:pPr>
      <w:widowControl w:val="false"/>
      <w:tabs>
        <w:tab w:val="left" w:leader="none" w:pos="204"/>
      </w:tabs>
      <w:spacing w:lineRule="atLeast" w:line="255"/>
    </w:pPr>
    <w:rPr>
      <w:snapToGrid w:val="false"/>
      <w:szCs w:val="20"/>
      <w:lang w:val="en-US" w:eastAsia="en-US"/>
    </w:rPr>
  </w:style>
  <w:style w:type="character" w:customStyle="1" w:styleId="style4118">
    <w:name w:val="grame"/>
    <w:basedOn w:val="style65"/>
    <w:next w:val="style4118"/>
  </w:style>
  <w:style w:type="paragraph" w:customStyle="1" w:styleId="style4119">
    <w:name w:val="TxBr_p8"/>
    <w:basedOn w:val="style0"/>
    <w:next w:val="style4119"/>
    <w:pPr>
      <w:widowControl w:val="false"/>
      <w:tabs>
        <w:tab w:val="left" w:leader="none" w:pos="368"/>
      </w:tabs>
      <w:spacing w:lineRule="atLeast" w:line="255"/>
      <w:ind w:left="731" w:hanging="363"/>
    </w:pPr>
    <w:rPr>
      <w:snapToGrid w:val="false"/>
      <w:szCs w:val="20"/>
      <w:lang w:val="en-US" w:eastAsia="en-US"/>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21">
    <w:name w:val="toc 3"/>
    <w:basedOn w:val="style0"/>
    <w:next w:val="style0"/>
    <w:uiPriority w:val="39"/>
    <w:pPr>
      <w:tabs>
        <w:tab w:val="right" w:leader="dot" w:pos="9060"/>
      </w:tabs>
      <w:ind w:left="480"/>
    </w:pPr>
    <w:rPr>
      <w:i/>
      <w:iCs/>
      <w:sz w:val="20"/>
    </w:rPr>
  </w:style>
  <w:style w:type="paragraph" w:styleId="style22">
    <w:name w:val="toc 4"/>
    <w:basedOn w:val="style0"/>
    <w:next w:val="style0"/>
    <w:uiPriority w:val="39"/>
    <w:pPr>
      <w:ind w:left="720"/>
    </w:pPr>
    <w:rPr>
      <w:sz w:val="18"/>
      <w:szCs w:val="21"/>
    </w:rPr>
  </w:style>
  <w:style w:type="paragraph" w:styleId="style23">
    <w:name w:val="toc 5"/>
    <w:basedOn w:val="style0"/>
    <w:next w:val="style0"/>
    <w:uiPriority w:val="39"/>
    <w:pPr>
      <w:ind w:left="960"/>
    </w:pPr>
    <w:rPr>
      <w:sz w:val="18"/>
      <w:szCs w:val="21"/>
    </w:rPr>
  </w:style>
  <w:style w:type="paragraph" w:styleId="style24">
    <w:name w:val="toc 6"/>
    <w:basedOn w:val="style0"/>
    <w:next w:val="style0"/>
    <w:uiPriority w:val="39"/>
    <w:pPr>
      <w:ind w:left="1200"/>
    </w:pPr>
    <w:rPr>
      <w:sz w:val="18"/>
      <w:szCs w:val="21"/>
    </w:rPr>
  </w:style>
  <w:style w:type="paragraph" w:styleId="style25">
    <w:name w:val="toc 7"/>
    <w:basedOn w:val="style0"/>
    <w:next w:val="style0"/>
    <w:uiPriority w:val="39"/>
    <w:pPr>
      <w:ind w:left="1440"/>
    </w:pPr>
    <w:rPr>
      <w:sz w:val="18"/>
      <w:szCs w:val="21"/>
    </w:rPr>
  </w:style>
  <w:style w:type="paragraph" w:styleId="style26">
    <w:name w:val="toc 8"/>
    <w:basedOn w:val="style0"/>
    <w:next w:val="style0"/>
    <w:uiPriority w:val="39"/>
    <w:pPr>
      <w:ind w:left="1680"/>
    </w:pPr>
    <w:rPr>
      <w:sz w:val="18"/>
      <w:szCs w:val="21"/>
    </w:rPr>
  </w:style>
  <w:style w:type="paragraph" w:styleId="style27">
    <w:name w:val="toc 9"/>
    <w:basedOn w:val="style0"/>
    <w:next w:val="style0"/>
    <w:uiPriority w:val="39"/>
    <w:pPr>
      <w:ind w:left="1920"/>
    </w:pPr>
    <w:rPr>
      <w:sz w:val="18"/>
      <w:szCs w:val="21"/>
    </w:rPr>
  </w:style>
  <w:style w:type="paragraph" w:styleId="style90">
    <w:name w:val="Plain Text"/>
    <w:basedOn w:val="style0"/>
    <w:next w:val="style90"/>
    <w:link w:val="style4195"/>
    <w:pPr/>
    <w:rPr>
      <w:rFonts w:ascii="Courier New" w:cs="Courier New" w:hAnsi="Courier New"/>
      <w:sz w:val="20"/>
      <w:szCs w:val="20"/>
      <w:lang w:val="fr-BE"/>
    </w:rPr>
  </w:style>
  <w:style w:type="paragraph" w:styleId="style153">
    <w:name w:val="Balloon Text"/>
    <w:basedOn w:val="style0"/>
    <w:next w:val="style153"/>
    <w:link w:val="style4200"/>
    <w:pPr/>
    <w:rPr>
      <w:rFonts w:ascii="Tahoma" w:cs="Tahoma" w:hAnsi="Tahoma"/>
      <w:sz w:val="16"/>
      <w:szCs w:val="16"/>
      <w:lang w:eastAsia="en-US"/>
    </w:rPr>
  </w:style>
  <w:style w:type="character" w:customStyle="1" w:styleId="style4120">
    <w:name w:val="Machine à écrire HTML2"/>
    <w:next w:val="style4120"/>
    <w:rPr>
      <w:rFonts w:ascii="Courier New" w:cs="Courier New" w:eastAsia="Times New Roman" w:hAnsi="Courier New"/>
      <w:sz w:val="20"/>
      <w:szCs w:val="20"/>
    </w:rPr>
  </w:style>
  <w:style w:type="paragraph" w:styleId="style101">
    <w:name w:val="HTML Preformatted"/>
    <w:basedOn w:val="style0"/>
    <w:next w:val="style101"/>
    <w:link w:val="style4183"/>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Courier New" w:cs="Courier New" w:hAnsi="Courier New"/>
    </w:rPr>
  </w:style>
  <w:style w:type="character" w:styleId="style103">
    <w:name w:val="HTML Typewriter"/>
    <w:next w:val="style103"/>
    <w:rPr>
      <w:rFonts w:ascii="Arial Unicode MS" w:cs="Arial Unicode MS" w:eastAsia="Arial Unicode MS" w:hAnsi="Arial Unicode MS"/>
      <w:sz w:val="20"/>
      <w:szCs w:val="20"/>
    </w:rPr>
  </w:style>
  <w:style w:type="paragraph" w:customStyle="1" w:styleId="style4121">
    <w:name w:val="Space between numbered paras"/>
    <w:basedOn w:val="style0"/>
    <w:next w:val="style1"/>
    <w:pPr>
      <w:overflowPunct w:val="false"/>
      <w:autoSpaceDE w:val="false"/>
      <w:autoSpaceDN w:val="false"/>
      <w:adjustRightInd w:val="false"/>
      <w:textAlignment w:val="baseline"/>
    </w:pPr>
    <w:rPr>
      <w:sz w:val="22"/>
      <w:szCs w:val="20"/>
      <w:lang w:val="en-US" w:eastAsia="en-US"/>
    </w:rPr>
  </w:style>
  <w:style w:type="paragraph" w:customStyle="1" w:styleId="style4122">
    <w:name w:val="Retrait à puces 1"/>
    <w:basedOn w:val="style0"/>
    <w:next w:val="style4122"/>
    <w:pPr>
      <w:numPr>
        <w:ilvl w:val="0"/>
        <w:numId w:val="87"/>
      </w:numPr>
      <w:spacing w:after="120"/>
      <w:jc w:val="both"/>
    </w:pPr>
    <w:rPr>
      <w:szCs w:val="20"/>
    </w:rPr>
  </w:style>
  <w:style w:type="character" w:customStyle="1" w:styleId="style4123">
    <w:name w:val="Titre 1 Car"/>
    <w:next w:val="style4123"/>
    <w:link w:val="style1"/>
    <w:rPr>
      <w:b/>
      <w:bCs/>
      <w:color w:val="000000"/>
      <w:sz w:val="24"/>
      <w:lang w:val="fr-FR" w:bidi="ar-SA" w:eastAsia="fr-FR"/>
    </w:rPr>
  </w:style>
  <w:style w:type="character" w:styleId="style88">
    <w:name w:val="Emphasis"/>
    <w:next w:val="style88"/>
    <w:qFormat/>
    <w:uiPriority w:val="20"/>
    <w:rPr>
      <w:i/>
      <w:iCs/>
    </w:rPr>
  </w:style>
  <w:style w:type="paragraph" w:customStyle="1" w:styleId="style4124">
    <w:name w:val="Carácter Car Car Carácter Carácter"/>
    <w:basedOn w:val="style0"/>
    <w:next w:val="style4124"/>
    <w:pPr>
      <w:spacing w:after="160" w:lineRule="exact" w:line="240"/>
    </w:pPr>
    <w:rPr>
      <w:rFonts w:ascii="Book Antiqua" w:hAnsi="Book Antiqua"/>
      <w:sz w:val="20"/>
      <w:szCs w:val="20"/>
      <w:lang w:val="en-US" w:eastAsia="en-US"/>
    </w:rPr>
  </w:style>
  <w:style w:type="character" w:styleId="style87">
    <w:name w:val="Strong"/>
    <w:next w:val="style87"/>
    <w:qFormat/>
    <w:uiPriority w:val="22"/>
    <w:rPr>
      <w:b/>
      <w:bCs/>
    </w:rPr>
  </w:style>
  <w:style w:type="paragraph" w:customStyle="1" w:styleId="style4125">
    <w:name w:val="List Paragraph2"/>
    <w:basedOn w:val="style0"/>
    <w:next w:val="style4125"/>
    <w:link w:val="style4157"/>
    <w:qFormat/>
    <w:uiPriority w:val="34"/>
    <w:pPr>
      <w:ind w:left="720"/>
      <w:contextualSpacing/>
    </w:pPr>
    <w:rPr/>
  </w:style>
  <w:style w:type="character" w:customStyle="1" w:styleId="style4126">
    <w:name w:val="Corps de texte Car"/>
    <w:next w:val="style4126"/>
    <w:link w:val="style66"/>
    <w:rPr>
      <w:sz w:val="22"/>
    </w:rPr>
  </w:style>
  <w:style w:type="character" w:customStyle="1" w:styleId="style4127">
    <w:name w:val="Titre 2 Car"/>
    <w:next w:val="style4127"/>
    <w:link w:val="style2"/>
    <w:rPr>
      <w:b/>
      <w:bCs/>
      <w:sz w:val="22"/>
      <w:szCs w:val="22"/>
    </w:rPr>
  </w:style>
  <w:style w:type="character" w:customStyle="1" w:styleId="style4128">
    <w:name w:val="bandeautitre1"/>
    <w:next w:val="style4128"/>
    <w:rPr>
      <w:b/>
      <w:bCs/>
      <w:color w:val="666666"/>
      <w:sz w:val="30"/>
      <w:szCs w:val="30"/>
    </w:rPr>
  </w:style>
  <w:style w:type="character" w:customStyle="1" w:styleId="style4129">
    <w:name w:val="textenormalpb1"/>
    <w:next w:val="style4129"/>
    <w:rPr>
      <w:rFonts w:ascii="Verdana" w:cs="Times New Roman" w:hAnsi="Verdana"/>
      <w:color w:val="2933ab"/>
      <w:sz w:val="20"/>
      <w:szCs w:val="20"/>
    </w:rPr>
  </w:style>
  <w:style w:type="character" w:customStyle="1" w:styleId="style4130">
    <w:name w:val="cite_crochet1"/>
    <w:next w:val="style4130"/>
    <w:rPr>
      <w:vanish/>
      <w:webHidden w:val="false"/>
      <w:specVanish w:val="false"/>
    </w:rPr>
  </w:style>
  <w:style w:type="character" w:customStyle="1" w:styleId="style4131">
    <w:name w:val="Note de bas de page Car"/>
    <w:basedOn w:val="style65"/>
    <w:next w:val="style4131"/>
    <w:link w:val="style29"/>
    <w:uiPriority w:val="99"/>
  </w:style>
  <w:style w:type="paragraph" w:customStyle="1" w:styleId="style4132">
    <w:name w:val="Default"/>
    <w:next w:val="style4132"/>
    <w:pPr>
      <w:autoSpaceDE w:val="false"/>
      <w:autoSpaceDN w:val="false"/>
      <w:adjustRightInd w:val="false"/>
    </w:pPr>
    <w:rPr>
      <w:rFonts w:eastAsia="Calibri"/>
      <w:color w:val="000000"/>
      <w:sz w:val="24"/>
      <w:szCs w:val="24"/>
      <w:lang w:eastAsia="en-US"/>
    </w:rPr>
  </w:style>
  <w:style w:type="paragraph" w:customStyle="1" w:styleId="style4133">
    <w:name w:val="Corps de texte 21"/>
    <w:basedOn w:val="style0"/>
    <w:next w:val="style4133"/>
    <w:pPr>
      <w:widowControl w:val="false"/>
      <w:numPr>
        <w:ilvl w:val="0"/>
        <w:numId w:val="129"/>
      </w:numPr>
      <w:spacing w:after="120"/>
      <w:jc w:val="both"/>
    </w:pPr>
    <w:rPr>
      <w:rFonts w:ascii="Maiandra GD" w:hAnsi="Maiandra GD"/>
      <w:b/>
      <w:bCs/>
      <w:sz w:val="22"/>
      <w:szCs w:val="22"/>
      <w:lang w:val="fr-CH"/>
    </w:rPr>
  </w:style>
  <w:style w:type="paragraph" w:customStyle="1" w:styleId="style4134">
    <w:name w:val="x_artnum1"/>
    <w:basedOn w:val="style0"/>
    <w:next w:val="style4134"/>
    <w:pPr>
      <w:spacing w:before="240"/>
      <w:ind w:left="240" w:right="180"/>
    </w:pPr>
    <w:rPr>
      <w:rFonts w:ascii="Arial" w:cs="Arial" w:hAnsi="Arial"/>
      <w:b/>
      <w:bCs/>
      <w:color w:val="0000ff"/>
    </w:rPr>
  </w:style>
  <w:style w:type="paragraph" w:customStyle="1" w:styleId="style4135">
    <w:name w:val="x_par1"/>
    <w:basedOn w:val="style0"/>
    <w:next w:val="style4135"/>
    <w:pPr>
      <w:spacing w:before="60"/>
      <w:ind w:left="240" w:right="240"/>
    </w:pPr>
    <w:rPr>
      <w:rFonts w:ascii="Arial" w:cs="Arial" w:hAnsi="Arial"/>
      <w:color w:val="000000"/>
    </w:rPr>
  </w:style>
  <w:style w:type="character" w:customStyle="1" w:styleId="style4136">
    <w:name w:val="editsection"/>
    <w:basedOn w:val="style65"/>
    <w:next w:val="style4136"/>
  </w:style>
  <w:style w:type="character" w:customStyle="1" w:styleId="style4137">
    <w:name w:val="mw-headline"/>
    <w:basedOn w:val="style65"/>
    <w:next w:val="style4137"/>
  </w:style>
  <w:style w:type="character" w:customStyle="1" w:styleId="style4138">
    <w:name w:val="addtype"/>
    <w:basedOn w:val="style65"/>
    <w:next w:val="style4138"/>
  </w:style>
  <w:style w:type="character" w:customStyle="1" w:styleId="style4139">
    <w:name w:val="Titre 4 Car"/>
    <w:next w:val="style4139"/>
    <w:link w:val="style4"/>
    <w:rPr>
      <w:sz w:val="22"/>
    </w:rPr>
  </w:style>
  <w:style w:type="character" w:customStyle="1" w:styleId="style4140">
    <w:name w:val="Pied de page Car"/>
    <w:next w:val="style4140"/>
    <w:link w:val="style32"/>
    <w:uiPriority w:val="99"/>
    <w:rPr>
      <w:sz w:val="24"/>
      <w:szCs w:val="24"/>
    </w:rPr>
  </w:style>
  <w:style w:type="paragraph" w:customStyle="1" w:styleId="style4141">
    <w:name w:val="Carácter Car Car Carácter Carácter1"/>
    <w:basedOn w:val="style0"/>
    <w:next w:val="style4141"/>
    <w:pPr>
      <w:spacing w:after="160" w:lineRule="exact" w:line="240"/>
    </w:pPr>
    <w:rPr>
      <w:rFonts w:ascii="Book Antiqua" w:hAnsi="Book Antiqua"/>
      <w:sz w:val="20"/>
      <w:szCs w:val="20"/>
      <w:lang w:val="en-US" w:eastAsia="en-US"/>
    </w:rPr>
  </w:style>
  <w:style w:type="paragraph" w:customStyle="1" w:styleId="style4142">
    <w:name w:val="Normal1"/>
    <w:basedOn w:val="style0"/>
    <w:next w:val="style4142"/>
    <w:link w:val="style4143"/>
    <w:pPr>
      <w:tabs>
        <w:tab w:val="left" w:leader="none" w:pos="1134"/>
      </w:tabs>
      <w:jc w:val="both"/>
    </w:pPr>
    <w:rPr>
      <w:sz w:val="23"/>
      <w:szCs w:val="20"/>
      <w:lang w:eastAsia="en-US"/>
    </w:rPr>
  </w:style>
  <w:style w:type="character" w:customStyle="1" w:styleId="style4143">
    <w:name w:val="normal Car"/>
    <w:next w:val="style4143"/>
    <w:link w:val="style4142"/>
    <w:rPr>
      <w:sz w:val="23"/>
      <w:lang w:eastAsia="en-US"/>
    </w:rPr>
  </w:style>
  <w:style w:type="character" w:customStyle="1" w:styleId="style4144">
    <w:name w:val="En-tête Car"/>
    <w:next w:val="style4144"/>
    <w:link w:val="style31"/>
    <w:uiPriority w:val="99"/>
    <w:rPr>
      <w:sz w:val="24"/>
      <w:szCs w:val="24"/>
    </w:rPr>
  </w:style>
  <w:style w:type="character" w:styleId="style39">
    <w:name w:val="annotation reference"/>
    <w:next w:val="style39"/>
    <w:uiPriority w:val="99"/>
    <w:rPr>
      <w:sz w:val="16"/>
      <w:szCs w:val="16"/>
    </w:rPr>
  </w:style>
  <w:style w:type="paragraph" w:styleId="style30">
    <w:name w:val="annotation text"/>
    <w:basedOn w:val="style0"/>
    <w:next w:val="style30"/>
    <w:link w:val="style4155"/>
    <w:uiPriority w:val="99"/>
    <w:pPr/>
    <w:rPr>
      <w:sz w:val="20"/>
      <w:szCs w:val="20"/>
    </w:rPr>
  </w:style>
  <w:style w:type="paragraph" w:styleId="style106">
    <w:name w:val="annotation subject"/>
    <w:basedOn w:val="style30"/>
    <w:next w:val="style30"/>
    <w:link w:val="style4201"/>
    <w:pPr/>
    <w:rPr>
      <w:b/>
      <w:bCs/>
    </w:rPr>
  </w:style>
  <w:style w:type="character" w:customStyle="1" w:styleId="style4145">
    <w:name w:val="Titre Car"/>
    <w:next w:val="style4145"/>
    <w:link w:val="style62"/>
    <w:rPr>
      <w:b/>
      <w:sz w:val="24"/>
      <w:lang w:val="en-US"/>
    </w:rPr>
  </w:style>
  <w:style w:type="character" w:customStyle="1" w:styleId="style4146">
    <w:name w:val="ouvrage"/>
    <w:basedOn w:val="style65"/>
    <w:next w:val="style4146"/>
  </w:style>
  <w:style w:type="character" w:styleId="style97">
    <w:name w:val="HTML Cite"/>
    <w:next w:val="style97"/>
    <w:rPr>
      <w:i/>
      <w:iCs/>
    </w:rPr>
  </w:style>
  <w:style w:type="character" w:customStyle="1" w:styleId="style4147">
    <w:name w:val="long_text1"/>
    <w:next w:val="style4147"/>
    <w:rPr>
      <w:sz w:val="20"/>
      <w:szCs w:val="20"/>
    </w:rPr>
  </w:style>
  <w:style w:type="paragraph" w:customStyle="1" w:styleId="style4148">
    <w:name w:val="align_center"/>
    <w:basedOn w:val="style0"/>
    <w:next w:val="style4148"/>
    <w:pPr>
      <w:spacing w:before="100" w:beforeAutospacing="true" w:after="100" w:afterAutospacing="true"/>
    </w:pPr>
    <w:rPr/>
  </w:style>
  <w:style w:type="paragraph" w:customStyle="1" w:styleId="style4149">
    <w:name w:val="Liste à puce"/>
    <w:basedOn w:val="style0"/>
    <w:next w:val="style4149"/>
    <w:pPr>
      <w:numPr>
        <w:ilvl w:val="0"/>
        <w:numId w:val="28"/>
      </w:numPr>
      <w:spacing w:lineRule="auto" w:line="360"/>
      <w:jc w:val="both"/>
    </w:pPr>
    <w:rPr>
      <w:rFonts w:ascii="Arial" w:cs="Arial" w:hAnsi="Arial"/>
      <w:color w:val="000000"/>
      <w:sz w:val="22"/>
      <w:lang w:val="fr-CA"/>
    </w:rPr>
  </w:style>
  <w:style w:type="paragraph" w:customStyle="1" w:styleId="style4150">
    <w:name w:val="RapEIS"/>
    <w:basedOn w:val="style19"/>
    <w:next w:val="style4150"/>
    <w:pPr/>
    <w:rPr>
      <w:b w:val="false"/>
      <w:szCs w:val="20"/>
      <w:lang w:eastAsia="en-US"/>
    </w:rPr>
  </w:style>
  <w:style w:type="paragraph" w:styleId="style54">
    <w:name w:val="List Bullet 2"/>
    <w:basedOn w:val="style0"/>
    <w:next w:val="style54"/>
    <w:pPr>
      <w:numPr>
        <w:ilvl w:val="0"/>
        <w:numId w:val="143"/>
      </w:numPr>
      <w:contextualSpacing/>
    </w:pPr>
    <w:rPr>
      <w:sz w:val="22"/>
      <w:szCs w:val="20"/>
      <w:lang w:eastAsia="en-US"/>
    </w:rPr>
  </w:style>
  <w:style w:type="paragraph" w:customStyle="1" w:styleId="style4151">
    <w:name w:val="Aidemem1"/>
    <w:basedOn w:val="style0"/>
    <w:next w:val="style4152"/>
    <w:pPr>
      <w:widowControl w:val="false"/>
      <w:numPr>
        <w:ilvl w:val="0"/>
        <w:numId w:val="72"/>
      </w:numPr>
      <w:tabs>
        <w:tab w:val="left" w:leader="none" w:pos="851"/>
      </w:tabs>
      <w:spacing w:before="240" w:after="240"/>
      <w:jc w:val="both"/>
    </w:pPr>
    <w:rPr>
      <w:rFonts w:ascii="Times New Roman Gras" w:hAnsi="Times New Roman Gras"/>
      <w:b/>
      <w:bCs/>
      <w:smallCaps/>
      <w:snapToGrid w:val="false"/>
      <w:sz w:val="22"/>
      <w:szCs w:val="20"/>
      <w:u w:val="single"/>
      <w:lang w:eastAsia="en-US"/>
    </w:rPr>
  </w:style>
  <w:style w:type="paragraph" w:customStyle="1" w:styleId="style4152">
    <w:name w:val="Aidemem2"/>
    <w:basedOn w:val="style0"/>
    <w:next w:val="style4152"/>
    <w:pPr>
      <w:widowControl w:val="false"/>
      <w:numPr>
        <w:ilvl w:val="1"/>
        <w:numId w:val="72"/>
      </w:numPr>
      <w:tabs>
        <w:tab w:val="left" w:leader="none" w:pos="851"/>
      </w:tabs>
      <w:suppressAutoHyphens/>
      <w:spacing w:before="120" w:after="120"/>
      <w:jc w:val="both"/>
    </w:pPr>
    <w:rPr>
      <w:snapToGrid w:val="false"/>
      <w:sz w:val="22"/>
      <w:szCs w:val="20"/>
      <w:lang w:eastAsia="en-US"/>
    </w:rPr>
  </w:style>
  <w:style w:type="paragraph" w:customStyle="1" w:styleId="style4153">
    <w:name w:val="No Spacing1"/>
    <w:next w:val="style4153"/>
    <w:qFormat/>
    <w:uiPriority w:val="1"/>
    <w:pPr/>
    <w:rPr>
      <w:rFonts w:ascii="Calibri" w:hAnsi="Calibri"/>
      <w:sz w:val="22"/>
      <w:szCs w:val="22"/>
      <w:lang w:val="en-US" w:eastAsia="en-US"/>
    </w:rPr>
  </w:style>
  <w:style w:type="paragraph" w:customStyle="1" w:styleId="style4154">
    <w:name w:val="List Paragraph1"/>
    <w:basedOn w:val="style0"/>
    <w:next w:val="style4154"/>
    <w:qFormat/>
    <w:uiPriority w:val="34"/>
    <w:pPr>
      <w:spacing w:after="200" w:lineRule="auto" w:line="276"/>
      <w:ind w:left="720"/>
      <w:contextualSpacing/>
    </w:pPr>
    <w:rPr>
      <w:rFonts w:ascii="Calibri" w:eastAsia="Calibri" w:hAnsi="Calibri"/>
      <w:sz w:val="22"/>
      <w:szCs w:val="22"/>
      <w:lang w:val="fr-HT" w:eastAsia="en-US"/>
    </w:rPr>
  </w:style>
  <w:style w:type="character" w:customStyle="1" w:styleId="style4155">
    <w:name w:val="Commentaire Car"/>
    <w:basedOn w:val="style65"/>
    <w:next w:val="style4155"/>
    <w:link w:val="style30"/>
    <w:uiPriority w:val="99"/>
  </w:style>
  <w:style w:type="paragraph" w:customStyle="1" w:styleId="style4156">
    <w:name w:val="Body Text 21"/>
    <w:basedOn w:val="style0"/>
    <w:next w:val="style4156"/>
    <w:pPr>
      <w:widowControl w:val="false"/>
      <w:autoSpaceDE w:val="false"/>
      <w:autoSpaceDN w:val="false"/>
      <w:jc w:val="both"/>
    </w:pPr>
    <w:rPr>
      <w:rFonts w:ascii="Arial" w:cs="Arial" w:hAnsi="Arial"/>
      <w:sz w:val="22"/>
      <w:szCs w:val="22"/>
    </w:rPr>
  </w:style>
  <w:style w:type="character" w:customStyle="1" w:styleId="style4157">
    <w:name w:val="List Paragraph Char"/>
    <w:next w:val="style4157"/>
    <w:link w:val="style4125"/>
    <w:uiPriority w:val="34"/>
    <w:rPr>
      <w:sz w:val="24"/>
      <w:szCs w:val="24"/>
    </w:rPr>
  </w:style>
  <w:style w:type="character" w:customStyle="1" w:styleId="style4158">
    <w:name w:val="Commentaire Car1"/>
    <w:next w:val="style4158"/>
    <w:rPr>
      <w:rFonts w:ascii="Arial" w:cs="Times New Roman" w:eastAsia="Times New Roman" w:hAnsi="Arial"/>
      <w:sz w:val="18"/>
      <w:szCs w:val="20"/>
    </w:rPr>
  </w:style>
  <w:style w:type="character" w:customStyle="1" w:styleId="style4159">
    <w:name w:val="Sans interligne Car"/>
    <w:next w:val="style4159"/>
    <w:link w:val="style157"/>
    <w:uiPriority w:val="1"/>
    <w:rPr>
      <w:rFonts w:ascii="Calibri" w:hAnsi="Calibri"/>
    </w:rPr>
  </w:style>
  <w:style w:type="paragraph" w:styleId="style157">
    <w:name w:val="No Spacing"/>
    <w:next w:val="style157"/>
    <w:link w:val="style4159"/>
    <w:qFormat/>
    <w:uiPriority w:val="1"/>
    <w:pPr/>
    <w:rPr>
      <w:rFonts w:ascii="Calibri" w:hAnsi="Calibri"/>
      <w:lang w:val="en-US" w:eastAsia="en-US"/>
    </w:rPr>
  </w:style>
  <w:style w:type="paragraph" w:styleId="style179">
    <w:name w:val="List Paragraph"/>
    <w:basedOn w:val="style0"/>
    <w:next w:val="style179"/>
    <w:link w:val="style4160"/>
    <w:qFormat/>
    <w:uiPriority w:val="34"/>
    <w:pPr>
      <w:ind w:left="720"/>
    </w:pPr>
    <w:rPr/>
  </w:style>
  <w:style w:type="character" w:customStyle="1" w:styleId="style4160">
    <w:name w:val="Paragraphe de liste Car"/>
    <w:next w:val="style4160"/>
    <w:link w:val="style179"/>
    <w:qFormat/>
    <w:uiPriority w:val="34"/>
    <w:rPr>
      <w:sz w:val="24"/>
      <w:szCs w:val="24"/>
      <w:lang w:val="fr-FR" w:eastAsia="fr-FR"/>
    </w:rPr>
  </w:style>
  <w:style w:type="paragraph" w:customStyle="1" w:styleId="style4161">
    <w:name w:val="PuceN2"/>
    <w:basedOn w:val="style0"/>
    <w:next w:val="style4161"/>
    <w:qFormat/>
    <w:pPr>
      <w:numPr>
        <w:ilvl w:val="0"/>
        <w:numId w:val="106"/>
      </w:numPr>
      <w:spacing w:after="120"/>
      <w:jc w:val="both"/>
    </w:pPr>
    <w:rPr>
      <w:rFonts w:ascii="Arial" w:hAnsi="Arial"/>
      <w:sz w:val="20"/>
      <w:szCs w:val="20"/>
      <w:lang w:val="fr-CA"/>
    </w:rPr>
  </w:style>
  <w:style w:type="paragraph" w:customStyle="1" w:styleId="style4162">
    <w:name w:val="Légende de carte"/>
    <w:basedOn w:val="style0"/>
    <w:next w:val="style4162"/>
    <w:qFormat/>
    <w:pPr>
      <w:spacing w:before="120" w:after="120"/>
    </w:pPr>
    <w:rPr>
      <w:rFonts w:ascii="Trebuchet MS" w:eastAsia="Calibri" w:hAnsi="Trebuchet MS"/>
      <w:b/>
      <w:szCs w:val="22"/>
      <w:lang w:eastAsia="en-US"/>
    </w:rPr>
  </w:style>
  <w:style w:type="paragraph" w:customStyle="1" w:styleId="style4163">
    <w:name w:val="Légende fig"/>
    <w:basedOn w:val="style0"/>
    <w:next w:val="style4163"/>
    <w:qFormat/>
    <w:pPr>
      <w:spacing w:before="120" w:after="120"/>
      <w:jc w:val="both"/>
    </w:pPr>
    <w:rPr>
      <w:rFonts w:ascii="Trebuchet MS" w:cs="Arial" w:hAnsi="Trebuchet MS"/>
      <w:b/>
      <w:bCs/>
      <w:szCs w:val="22"/>
    </w:rPr>
  </w:style>
  <w:style w:type="character" w:customStyle="1" w:styleId="style4164">
    <w:name w:val="T4 Car"/>
    <w:next w:val="style4164"/>
    <w:link w:val="style4165"/>
    <w:rPr>
      <w:i/>
      <w:sz w:val="24"/>
      <w:shd w:val="clear" w:color="auto" w:fill="ffffff"/>
    </w:rPr>
  </w:style>
  <w:style w:type="paragraph" w:customStyle="1" w:styleId="style4165">
    <w:name w:val="T4"/>
    <w:basedOn w:val="style0"/>
    <w:next w:val="style4165"/>
    <w:link w:val="style4164"/>
    <w:qFormat/>
    <w:pPr>
      <w:shd w:val="clear" w:color="auto" w:fill="ffffff"/>
      <w:spacing w:after="200" w:lineRule="auto" w:line="276"/>
      <w:jc w:val="both"/>
    </w:pPr>
    <w:rPr>
      <w:i/>
      <w:szCs w:val="20"/>
    </w:rPr>
  </w:style>
  <w:style w:type="character" w:customStyle="1" w:styleId="style4166">
    <w:name w:val="CM84 Car"/>
    <w:next w:val="style4166"/>
    <w:link w:val="style4167"/>
    <w:rPr>
      <w:rFonts w:ascii="Trebuchet MS" w:hAnsi="Trebuchet MS"/>
      <w:color w:val="000000"/>
      <w:sz w:val="24"/>
      <w:szCs w:val="24"/>
      <w:lang w:eastAsia="en-US"/>
    </w:rPr>
  </w:style>
  <w:style w:type="paragraph" w:customStyle="1" w:styleId="style4167">
    <w:name w:val="CM84"/>
    <w:basedOn w:val="style0"/>
    <w:next w:val="style0"/>
    <w:link w:val="style4166"/>
    <w:pPr>
      <w:widowControl w:val="false"/>
      <w:autoSpaceDE w:val="false"/>
      <w:autoSpaceDN w:val="false"/>
      <w:adjustRightInd w:val="false"/>
      <w:spacing w:after="110"/>
    </w:pPr>
    <w:rPr>
      <w:rFonts w:ascii="Trebuchet MS" w:hAnsi="Trebuchet MS"/>
      <w:color w:val="000000"/>
      <w:lang w:eastAsia="en-US"/>
    </w:rPr>
  </w:style>
  <w:style w:type="character" w:customStyle="1" w:styleId="style4168">
    <w:name w:val="Normal + 12 pt1"/>
    <w:next w:val="style4168"/>
    <w:link w:val="style4169"/>
    <w:uiPriority w:val="99"/>
    <w:rPr>
      <w:rFonts w:ascii="Arial" w:hAnsi="Arial"/>
      <w:noProof/>
      <w:sz w:val="24"/>
      <w:szCs w:val="24"/>
      <w:lang w:eastAsia="de-DE"/>
    </w:rPr>
  </w:style>
  <w:style w:type="paragraph" w:customStyle="1" w:styleId="style4169">
    <w:name w:val="Normal + 12 pt"/>
    <w:basedOn w:val="style0"/>
    <w:next w:val="style4169"/>
    <w:link w:val="style4168"/>
    <w:uiPriority w:val="99"/>
    <w:pPr>
      <w:widowControl w:val="false"/>
      <w:autoSpaceDE w:val="false"/>
      <w:autoSpaceDN w:val="false"/>
      <w:adjustRightInd w:val="false"/>
      <w:spacing w:before="120" w:after="60" w:lineRule="auto" w:line="288"/>
      <w:ind w:left="680"/>
      <w:jc w:val="both"/>
    </w:pPr>
    <w:rPr>
      <w:rFonts w:ascii="Arial" w:hAnsi="Arial"/>
      <w:noProof/>
      <w:lang w:eastAsia="de-DE"/>
    </w:rPr>
  </w:style>
  <w:style w:type="paragraph" w:customStyle="1" w:styleId="style4170">
    <w:name w:val="Tableau en-tête 1"/>
    <w:basedOn w:val="style0"/>
    <w:next w:val="style4170"/>
    <w:pPr>
      <w:spacing w:before="20" w:after="20"/>
      <w:jc w:val="center"/>
    </w:pPr>
    <w:rPr>
      <w:rFonts w:ascii="Arial" w:eastAsia="Batang" w:hAnsi="Arial"/>
      <w:b/>
      <w:color w:val="ffffff"/>
      <w:sz w:val="18"/>
      <w:szCs w:val="22"/>
      <w:lang w:val="fr-CA" w:eastAsia="en-US"/>
    </w:rPr>
  </w:style>
  <w:style w:type="paragraph" w:customStyle="1" w:styleId="style4171">
    <w:name w:val="Texte tableau gauche"/>
    <w:basedOn w:val="style0"/>
    <w:next w:val="style4171"/>
    <w:qFormat/>
    <w:pPr>
      <w:spacing w:before="20" w:after="20"/>
    </w:pPr>
    <w:rPr>
      <w:rFonts w:ascii="Arial" w:eastAsia="Batang" w:hAnsi="Arial"/>
      <w:sz w:val="18"/>
      <w:szCs w:val="22"/>
      <w:lang w:val="fr-CA" w:eastAsia="en-US"/>
    </w:rPr>
  </w:style>
  <w:style w:type="paragraph" w:customStyle="1" w:styleId="style4172">
    <w:name w:val="Puces 1"/>
    <w:basedOn w:val="style0"/>
    <w:next w:val="style4172"/>
    <w:qFormat/>
    <w:pPr>
      <w:numPr>
        <w:ilvl w:val="0"/>
        <w:numId w:val="90"/>
      </w:numPr>
      <w:spacing w:after="240"/>
      <w:jc w:val="both"/>
    </w:pPr>
    <w:rPr>
      <w:rFonts w:ascii="Arial" w:cs="Arial" w:eastAsia="Calibri" w:hAnsi="Arial"/>
      <w:sz w:val="22"/>
      <w:szCs w:val="22"/>
      <w:lang w:val="fr-CA" w:eastAsia="en-US"/>
    </w:rPr>
  </w:style>
  <w:style w:type="character" w:customStyle="1" w:styleId="style4173">
    <w:name w:val="Titre 3 Car1"/>
    <w:next w:val="style4173"/>
    <w:link w:val="style3"/>
    <w:rPr>
      <w:rFonts w:eastAsia="Arial Unicode MS"/>
      <w:bCs/>
      <w:sz w:val="22"/>
      <w:szCs w:val="22"/>
      <w:u w:val="single"/>
    </w:rPr>
  </w:style>
  <w:style w:type="character" w:customStyle="1" w:styleId="style4174">
    <w:name w:val="Titre 5 Car"/>
    <w:next w:val="style4174"/>
    <w:link w:val="style5"/>
    <w:rPr>
      <w:i/>
      <w:sz w:val="22"/>
    </w:rPr>
  </w:style>
  <w:style w:type="character" w:customStyle="1" w:styleId="style4175">
    <w:name w:val="Titre 6 Car"/>
    <w:next w:val="style4175"/>
    <w:link w:val="style6"/>
    <w:rPr>
      <w:b/>
      <w:bCs/>
      <w:sz w:val="24"/>
      <w:szCs w:val="24"/>
    </w:rPr>
  </w:style>
  <w:style w:type="character" w:customStyle="1" w:styleId="style4176">
    <w:name w:val="Titre 7 Car"/>
    <w:next w:val="style4176"/>
    <w:link w:val="style7"/>
    <w:rPr>
      <w:b/>
      <w:bCs/>
      <w:iCs/>
      <w:color w:val="000000"/>
      <w:sz w:val="24"/>
      <w:szCs w:val="24"/>
    </w:rPr>
  </w:style>
  <w:style w:type="character" w:customStyle="1" w:styleId="style4177">
    <w:name w:val="Titre 8 Car"/>
    <w:next w:val="style4177"/>
    <w:link w:val="style8"/>
    <w:rPr>
      <w:b/>
      <w:bCs/>
      <w:sz w:val="24"/>
      <w:szCs w:val="24"/>
    </w:rPr>
  </w:style>
  <w:style w:type="character" w:customStyle="1" w:styleId="style4178">
    <w:name w:val="Titre 9 Car"/>
    <w:next w:val="style4178"/>
    <w:link w:val="style9"/>
    <w:rPr>
      <w:b/>
      <w:sz w:val="22"/>
      <w:lang w:val="en-US" w:eastAsia="en-US"/>
    </w:rPr>
  </w:style>
  <w:style w:type="paragraph" w:customStyle="1" w:styleId="style4179">
    <w:name w:val="AM bullet"/>
    <w:basedOn w:val="style0"/>
    <w:next w:val="style4179"/>
    <w:pPr>
      <w:numPr>
        <w:ilvl w:val="0"/>
        <w:numId w:val="53"/>
      </w:numPr>
      <w:tabs>
        <w:tab w:val="left" w:leader="none" w:pos="720"/>
        <w:tab w:val="left" w:leader="none" w:pos="1440"/>
      </w:tabs>
      <w:ind w:left="0" w:right="14" w:firstLine="0"/>
      <w:jc w:val="both"/>
    </w:pPr>
    <w:rPr>
      <w:szCs w:val="22"/>
    </w:rPr>
  </w:style>
  <w:style w:type="character" w:customStyle="1" w:styleId="style4180">
    <w:name w:val="Légende Car"/>
    <w:next w:val="style4180"/>
    <w:link w:val="style34"/>
    <w:rPr>
      <w:b/>
      <w:bCs/>
      <w:color w:val="ff0000"/>
      <w:sz w:val="22"/>
      <w:szCs w:val="22"/>
      <w:lang w:eastAsia="en-US"/>
    </w:rPr>
  </w:style>
  <w:style w:type="paragraph" w:styleId="style43">
    <w:name w:val="endnote text"/>
    <w:basedOn w:val="style0"/>
    <w:next w:val="style43"/>
    <w:link w:val="style4181"/>
    <w:pPr/>
    <w:rPr>
      <w:lang w:val="en-US" w:eastAsia="en-US"/>
    </w:rPr>
  </w:style>
  <w:style w:type="character" w:customStyle="1" w:styleId="style4181">
    <w:name w:val="Note de fin Car"/>
    <w:next w:val="style4181"/>
    <w:link w:val="style43"/>
    <w:rPr>
      <w:sz w:val="24"/>
      <w:szCs w:val="24"/>
      <w:lang w:val="en-US" w:eastAsia="en-US"/>
    </w:rPr>
  </w:style>
  <w:style w:type="paragraph" w:styleId="style47">
    <w:name w:val="List"/>
    <w:basedOn w:val="style0"/>
    <w:next w:val="style47"/>
    <w:pPr>
      <w:ind w:left="360" w:hanging="360"/>
    </w:pPr>
    <w:rPr>
      <w:szCs w:val="22"/>
      <w:lang w:eastAsia="en-US"/>
    </w:rPr>
  </w:style>
  <w:style w:type="paragraph" w:customStyle="1" w:styleId="style4182">
    <w:name w:val="Block"/>
    <w:basedOn w:val="style0"/>
    <w:next w:val="style4182"/>
    <w:pPr>
      <w:widowControl w:val="false"/>
    </w:pPr>
    <w:rPr>
      <w:b/>
      <w:sz w:val="22"/>
      <w:szCs w:val="20"/>
      <w:lang w:val="en-US" w:eastAsia="en-US"/>
    </w:rPr>
  </w:style>
  <w:style w:type="character" w:customStyle="1" w:styleId="style4183">
    <w:name w:val="Préformaté HTML Car"/>
    <w:next w:val="style4183"/>
    <w:link w:val="style101"/>
    <w:uiPriority w:val="99"/>
    <w:rPr>
      <w:rFonts w:ascii="Courier New" w:cs="Courier New" w:hAnsi="Courier New"/>
      <w:sz w:val="24"/>
      <w:szCs w:val="24"/>
    </w:rPr>
  </w:style>
  <w:style w:type="paragraph" w:customStyle="1" w:styleId="style4184">
    <w:name w:val="ModelDoubleNoIndent"/>
    <w:basedOn w:val="style0"/>
    <w:next w:val="style4184"/>
    <w:pPr>
      <w:spacing w:after="360" w:lineRule="auto" w:line="480"/>
      <w:jc w:val="both"/>
    </w:pPr>
    <w:rPr>
      <w:sz w:val="22"/>
      <w:szCs w:val="20"/>
      <w:lang w:val="en-US" w:eastAsia="en-US"/>
    </w:rPr>
  </w:style>
  <w:style w:type="character" w:customStyle="1" w:styleId="style4185">
    <w:name w:val="Corps de texte 3 Car"/>
    <w:next w:val="style4185"/>
    <w:link w:val="style81"/>
    <w:rPr>
      <w:sz w:val="22"/>
    </w:rPr>
  </w:style>
  <w:style w:type="character" w:customStyle="1" w:styleId="style4186">
    <w:name w:val="Retrait corps de texte Car"/>
    <w:next w:val="style4186"/>
    <w:link w:val="style67"/>
    <w:rPr>
      <w:b/>
      <w:bCs/>
      <w:color w:val="000000"/>
      <w:sz w:val="24"/>
    </w:rPr>
  </w:style>
  <w:style w:type="paragraph" w:customStyle="1" w:styleId="style4187">
    <w:name w:val="3"/>
    <w:basedOn w:val="style0"/>
    <w:next w:val="style4187"/>
    <w:pPr>
      <w:tabs>
        <w:tab w:val="left" w:leader="none" w:pos="340"/>
        <w:tab w:val="left" w:leader="none" w:pos="720"/>
        <w:tab w:val="left" w:leader="none" w:pos="1460"/>
        <w:tab w:val="right" w:leader="none" w:pos="9100"/>
      </w:tabs>
      <w:autoSpaceDE w:val="false"/>
      <w:autoSpaceDN w:val="false"/>
      <w:adjustRightInd w:val="false"/>
      <w:spacing w:after="120"/>
    </w:pPr>
    <w:rPr>
      <w:rFonts w:ascii="Arial" w:cs="Arial" w:hAnsi="Arial"/>
      <w:b/>
      <w:bCs/>
      <w:color w:val="ff0000"/>
    </w:rPr>
  </w:style>
  <w:style w:type="character" w:customStyle="1" w:styleId="style4188">
    <w:name w:val="Corps de texte 2 Car"/>
    <w:next w:val="style4188"/>
    <w:link w:val="style80"/>
    <w:rPr>
      <w:sz w:val="22"/>
    </w:rPr>
  </w:style>
  <w:style w:type="character" w:customStyle="1" w:styleId="style4189">
    <w:name w:val="Hyperlink1"/>
    <w:next w:val="style4189"/>
    <w:rPr>
      <w:color w:val="0000ff"/>
      <w:u w:val="single"/>
    </w:rPr>
  </w:style>
  <w:style w:type="character" w:customStyle="1" w:styleId="style4190">
    <w:name w:val="Retrait corps de texte 2 Car"/>
    <w:next w:val="style4190"/>
    <w:link w:val="style82"/>
    <w:rPr>
      <w:sz w:val="24"/>
      <w:szCs w:val="24"/>
    </w:rPr>
  </w:style>
  <w:style w:type="character" w:customStyle="1" w:styleId="style4191">
    <w:name w:val="Retrait corps de texte 3 Car"/>
    <w:next w:val="style4191"/>
    <w:link w:val="style83"/>
    <w:rPr>
      <w:sz w:val="16"/>
      <w:szCs w:val="16"/>
    </w:rPr>
  </w:style>
  <w:style w:type="character" w:customStyle="1" w:styleId="style4192">
    <w:name w:val="Sous-titre Car"/>
    <w:next w:val="style4192"/>
    <w:link w:val="style74"/>
    <w:uiPriority w:val="11"/>
    <w:rPr>
      <w:b/>
      <w:bCs/>
      <w:sz w:val="24"/>
      <w:szCs w:val="24"/>
      <w:lang w:val="fr-CA" w:eastAsia="en-US"/>
    </w:rPr>
  </w:style>
  <w:style w:type="paragraph" w:customStyle="1" w:styleId="style4193">
    <w:name w:val="16 Point Char"/>
    <w:basedOn w:val="style0"/>
    <w:next w:val="style0"/>
    <w:link w:val="style38"/>
    <w:uiPriority w:val="99"/>
    <w:pPr>
      <w:spacing w:after="160" w:lineRule="exact" w:line="240"/>
    </w:pPr>
    <w:rPr>
      <w:sz w:val="20"/>
      <w:szCs w:val="20"/>
      <w:vertAlign w:val="superscript"/>
    </w:rPr>
  </w:style>
  <w:style w:type="character" w:styleId="style42">
    <w:name w:val="endnote reference"/>
    <w:next w:val="style42"/>
    <w:rPr>
      <w:vertAlign w:val="superscript"/>
    </w:rPr>
  </w:style>
  <w:style w:type="paragraph" w:customStyle="1" w:styleId="style4194">
    <w:name w:val="Body Text 22"/>
    <w:basedOn w:val="style0"/>
    <w:next w:val="style4194"/>
    <w:pPr>
      <w:jc w:val="both"/>
    </w:pPr>
    <w:rPr>
      <w:szCs w:val="20"/>
      <w:lang w:val="en-CA"/>
    </w:rPr>
  </w:style>
  <w:style w:type="character" w:customStyle="1" w:styleId="style4195">
    <w:name w:val="Texte brut Car"/>
    <w:next w:val="style4195"/>
    <w:link w:val="style90"/>
    <w:rPr>
      <w:rFonts w:ascii="Courier New" w:cs="Courier New" w:hAnsi="Courier New"/>
      <w:lang w:val="fr-BE"/>
    </w:rPr>
  </w:style>
  <w:style w:type="paragraph" w:customStyle="1" w:styleId="style4196">
    <w:name w:val="Objectifs"/>
    <w:basedOn w:val="style0"/>
    <w:next w:val="style66"/>
    <w:pPr>
      <w:spacing w:before="220" w:after="220" w:lineRule="atLeast" w:line="220"/>
    </w:pPr>
    <w:rPr>
      <w:sz w:val="20"/>
      <w:szCs w:val="20"/>
    </w:rPr>
  </w:style>
  <w:style w:type="paragraph" w:customStyle="1" w:styleId="style4197">
    <w:name w:val="Nom de société"/>
    <w:basedOn w:val="style0"/>
    <w:next w:val="style4198"/>
    <w:pPr>
      <w:tabs>
        <w:tab w:val="left" w:leader="none" w:pos="1440"/>
        <w:tab w:val="right" w:leader="none" w:pos="6480"/>
      </w:tabs>
      <w:spacing w:before="220" w:lineRule="atLeast" w:line="220"/>
    </w:pPr>
    <w:rPr>
      <w:rFonts w:ascii="Garamond" w:hAnsi="Garamond"/>
      <w:sz w:val="22"/>
      <w:szCs w:val="22"/>
      <w:lang w:eastAsia="en-US"/>
    </w:rPr>
  </w:style>
  <w:style w:type="paragraph" w:customStyle="1" w:styleId="style4198">
    <w:name w:val="Intitulé du poste"/>
    <w:next w:val="style0"/>
    <w:pPr>
      <w:spacing w:before="40" w:after="40" w:lineRule="atLeast" w:line="220"/>
    </w:pPr>
    <w:rPr>
      <w:rFonts w:ascii="Garamond" w:hAnsi="Garamond"/>
      <w:i/>
      <w:iCs/>
      <w:spacing w:val="5"/>
      <w:sz w:val="23"/>
      <w:szCs w:val="23"/>
      <w:lang w:eastAsia="en-US"/>
    </w:rPr>
  </w:style>
  <w:style w:type="paragraph" w:styleId="style68">
    <w:name w:val="List Continue"/>
    <w:basedOn w:val="style0"/>
    <w:next w:val="style68"/>
    <w:pPr>
      <w:spacing w:after="120"/>
      <w:ind w:left="283"/>
    </w:pPr>
    <w:rPr>
      <w:lang w:val="en-US" w:eastAsia="en-US"/>
    </w:rPr>
  </w:style>
  <w:style w:type="paragraph" w:customStyle="1" w:styleId="style4199">
    <w:name w:val="puce"/>
    <w:basedOn w:val="style0"/>
    <w:next w:val="style4199"/>
    <w:pPr>
      <w:numPr>
        <w:ilvl w:val="0"/>
        <w:numId w:val="42"/>
      </w:numPr>
      <w:tabs>
        <w:tab w:val="left" w:leader="none" w:pos="414"/>
        <w:tab w:val="left" w:leader="none" w:pos="1134"/>
        <w:tab w:val="left" w:leader="none" w:pos="1854"/>
        <w:tab w:val="left" w:leader="none" w:pos="2041"/>
        <w:tab w:val="left" w:leader="none" w:pos="2574"/>
        <w:tab w:val="left" w:leader="none" w:pos="3294"/>
        <w:tab w:val="left" w:leader="none" w:pos="4014"/>
        <w:tab w:val="left" w:leader="none" w:pos="4734"/>
        <w:tab w:val="left" w:leader="none" w:pos="5454"/>
        <w:tab w:val="left" w:leader="none" w:pos="6174"/>
        <w:tab w:val="left" w:leader="none" w:pos="6894"/>
        <w:tab w:val="left" w:leader="none" w:pos="7614"/>
        <w:tab w:val="left" w:leader="none" w:pos="8334"/>
        <w:tab w:val="left" w:leader="none" w:pos="9054"/>
      </w:tabs>
      <w:jc w:val="both"/>
    </w:pPr>
    <w:rPr>
      <w:rFonts w:ascii="Century Schoolbook" w:hAnsi="Century Schoolbook"/>
      <w:sz w:val="22"/>
      <w:szCs w:val="20"/>
      <w:lang w:eastAsia="en-US"/>
    </w:rPr>
  </w:style>
  <w:style w:type="character" w:customStyle="1" w:styleId="style4200">
    <w:name w:val="Texte de bulles Car"/>
    <w:next w:val="style4200"/>
    <w:link w:val="style153"/>
    <w:rPr>
      <w:rFonts w:ascii="Tahoma" w:cs="Tahoma" w:hAnsi="Tahoma"/>
      <w:sz w:val="16"/>
      <w:szCs w:val="16"/>
      <w:lang w:eastAsia="en-US"/>
    </w:rPr>
  </w:style>
  <w:style w:type="character" w:customStyle="1" w:styleId="style4201">
    <w:name w:val="Objet du commentaire Car"/>
    <w:next w:val="style4201"/>
    <w:link w:val="style106"/>
    <w:rPr>
      <w:b/>
      <w:bCs/>
    </w:rPr>
  </w:style>
  <w:style w:type="paragraph" w:styleId="style266">
    <w:name w:val="TOC Heading"/>
    <w:basedOn w:val="style1"/>
    <w:next w:val="style0"/>
    <w:qFormat/>
    <w:uiPriority w:val="39"/>
    <w:pPr>
      <w:keepLines/>
      <w:autoSpaceDE/>
      <w:autoSpaceDN/>
      <w:adjustRightInd/>
      <w:spacing w:before="480" w:lineRule="auto" w:line="276"/>
      <w:outlineLvl w:val="9"/>
    </w:pPr>
    <w:rPr>
      <w:rFonts w:ascii="Cambria" w:hAnsi="Cambria"/>
      <w:color w:val="365f91"/>
      <w:sz w:val="28"/>
      <w:szCs w:val="28"/>
      <w:lang w:val="en-US" w:eastAsia="en-US"/>
    </w:rPr>
  </w:style>
  <w:style w:type="character" w:customStyle="1" w:styleId="style4202">
    <w:name w:val="long_text"/>
    <w:next w:val="style4202"/>
  </w:style>
  <w:style w:type="character" w:customStyle="1" w:styleId="style4203">
    <w:name w:val="texte_blanc1"/>
    <w:next w:val="style4203"/>
    <w:rPr>
      <w:rFonts w:ascii="Times New Roman" w:cs="Times New Roman" w:hAnsi="Times New Roman" w:hint="default"/>
      <w:b w:val="false"/>
      <w:bCs w:val="false"/>
      <w:i w:val="false"/>
      <w:iCs w:val="false"/>
      <w:color w:val="ffffff"/>
      <w:sz w:val="24"/>
      <w:szCs w:val="24"/>
    </w:rPr>
  </w:style>
  <w:style w:type="character" w:customStyle="1" w:styleId="style4204">
    <w:name w:val="hps"/>
    <w:next w:val="style4204"/>
  </w:style>
  <w:style w:type="paragraph" w:customStyle="1" w:styleId="style4205">
    <w:name w:val="AAtitre3"/>
    <w:basedOn w:val="style0"/>
    <w:next w:val="style4205"/>
    <w:pPr>
      <w:spacing w:lineRule="auto" w:line="360"/>
      <w:jc w:val="both"/>
    </w:pPr>
    <w:rPr>
      <w:rFonts w:ascii="Arial Narrow" w:hAnsi="Arial Narrow"/>
      <w:color w:val="008080"/>
      <w:sz w:val="22"/>
    </w:rPr>
  </w:style>
  <w:style w:type="paragraph" w:customStyle="1" w:styleId="style4206">
    <w:name w:val="Body Text Indent 21"/>
    <w:basedOn w:val="style0"/>
    <w:next w:val="style4206"/>
    <w:pPr>
      <w:ind w:firstLine="708"/>
      <w:jc w:val="both"/>
    </w:pPr>
    <w:rPr>
      <w:szCs w:val="20"/>
    </w:rPr>
  </w:style>
  <w:style w:type="character" w:customStyle="1" w:styleId="style4207">
    <w:name w:val="st"/>
    <w:next w:val="style4207"/>
  </w:style>
  <w:style w:type="paragraph" w:customStyle="1" w:styleId="style4208">
    <w:name w:val="Puce et retrait niveau 01"/>
    <w:basedOn w:val="style0"/>
    <w:next w:val="style4208"/>
    <w:pPr>
      <w:numPr>
        <w:ilvl w:val="0"/>
        <w:numId w:val="126"/>
      </w:numPr>
      <w:spacing w:before="120" w:lineRule="auto" w:line="288"/>
      <w:jc w:val="both"/>
    </w:pPr>
    <w:rPr>
      <w:rFonts w:ascii="Arial" w:hAnsi="Arial"/>
      <w:sz w:val="22"/>
    </w:rPr>
  </w:style>
  <w:style w:type="paragraph" w:customStyle="1" w:styleId="style4209">
    <w:name w:val="Puce 1"/>
    <w:basedOn w:val="style0"/>
    <w:next w:val="style0"/>
    <w:pPr>
      <w:numPr>
        <w:ilvl w:val="0"/>
        <w:numId w:val="10"/>
      </w:numPr>
      <w:spacing w:lineRule="auto" w:line="360"/>
      <w:jc w:val="both"/>
    </w:pPr>
    <w:rPr>
      <w:rFonts w:ascii="Arial" w:hAnsi="Arial"/>
      <w:sz w:val="20"/>
      <w:szCs w:val="20"/>
    </w:rPr>
  </w:style>
  <w:style w:type="character" w:customStyle="1" w:styleId="style4210">
    <w:name w:val="field-content"/>
    <w:next w:val="style4210"/>
  </w:style>
  <w:style w:type="paragraph" w:customStyle="1" w:styleId="style4211">
    <w:name w:val="Body Text Indent 31"/>
    <w:basedOn w:val="style0"/>
    <w:next w:val="style4211"/>
    <w:pPr>
      <w:widowControl w:val="false"/>
      <w:tabs>
        <w:tab w:val="left" w:leader="none" w:pos="360"/>
      </w:tabs>
      <w:ind w:left="360" w:hanging="360"/>
      <w:jc w:val="both"/>
    </w:pPr>
    <w:rPr>
      <w:sz w:val="22"/>
      <w:szCs w:val="20"/>
    </w:rPr>
  </w:style>
  <w:style w:type="paragraph" w:customStyle="1" w:styleId="style4212">
    <w:name w:val="Texte 1"/>
    <w:next w:val="style4212"/>
    <w:pPr>
      <w:ind w:left="1068"/>
      <w:jc w:val="both"/>
    </w:pPr>
    <w:rPr>
      <w:rFonts w:ascii="Book Antiqua" w:hAnsi="Book Antiqua"/>
      <w:sz w:val="22"/>
    </w:rPr>
  </w:style>
  <w:style w:type="paragraph" w:customStyle="1" w:styleId="style4213">
    <w:name w:val="Style"/>
    <w:next w:val="style4213"/>
    <w:pPr>
      <w:widowControl w:val="false"/>
      <w:autoSpaceDE w:val="false"/>
      <w:autoSpaceDN w:val="false"/>
      <w:adjustRightInd w:val="false"/>
    </w:pPr>
    <w:rPr>
      <w:sz w:val="24"/>
      <w:szCs w:val="24"/>
    </w:rPr>
  </w:style>
  <w:style w:type="paragraph" w:customStyle="1" w:styleId="style4214">
    <w:name w:val="Normal11"/>
    <w:basedOn w:val="style0"/>
    <w:next w:val="style4214"/>
    <w:qFormat/>
    <w:pPr>
      <w:tabs>
        <w:tab w:val="left" w:leader="none" w:pos="1134"/>
      </w:tabs>
      <w:jc w:val="both"/>
    </w:pPr>
    <w:rPr>
      <w:sz w:val="23"/>
      <w:szCs w:val="20"/>
      <w:lang w:eastAsia="en-US"/>
    </w:rPr>
  </w:style>
  <w:style w:type="paragraph" w:styleId="style89">
    <w:name w:val="Document Map"/>
    <w:basedOn w:val="style0"/>
    <w:next w:val="style89"/>
    <w:link w:val="style4215"/>
    <w:pPr/>
    <w:rPr>
      <w:rFonts w:ascii="Tahoma" w:hAnsi="Tahoma"/>
      <w:sz w:val="16"/>
      <w:szCs w:val="16"/>
    </w:rPr>
  </w:style>
  <w:style w:type="character" w:customStyle="1" w:styleId="style4215">
    <w:name w:val="Explorateur de documents Car"/>
    <w:next w:val="style4215"/>
    <w:link w:val="style89"/>
    <w:rPr>
      <w:rFonts w:ascii="Tahoma" w:hAnsi="Tahoma"/>
      <w:sz w:val="16"/>
      <w:szCs w:val="16"/>
    </w:rPr>
  </w:style>
  <w:style w:type="paragraph" w:customStyle="1" w:styleId="style4216">
    <w:name w:val="program description"/>
    <w:basedOn w:val="style0"/>
    <w:next w:val="style4216"/>
    <w:pPr>
      <w:spacing w:before="40" w:after="60"/>
      <w:ind w:left="29" w:right="29"/>
    </w:pPr>
    <w:rPr>
      <w:rFonts w:ascii="Arial" w:hAnsi="Arial"/>
      <w:sz w:val="17"/>
      <w:szCs w:val="20"/>
      <w:lang w:val="en-US" w:eastAsia="en-US"/>
    </w:rPr>
  </w:style>
  <w:style w:type="character" w:customStyle="1" w:styleId="style4217">
    <w:name w:val="medium_text"/>
    <w:next w:val="style4217"/>
  </w:style>
  <w:style w:type="paragraph" w:styleId="style181">
    <w:name w:val="Intense Quote"/>
    <w:basedOn w:val="style0"/>
    <w:next w:val="style0"/>
    <w:link w:val="style4218"/>
    <w:qFormat/>
    <w:uiPriority w:val="30"/>
    <w:pPr>
      <w:pBdr>
        <w:bottom w:val="single" w:sz="4" w:space="4" w:color="4f81bd"/>
      </w:pBdr>
      <w:spacing w:before="200" w:after="280"/>
      <w:ind w:left="936" w:right="936"/>
    </w:pPr>
    <w:rPr>
      <w:b/>
      <w:bCs/>
      <w:i/>
      <w:iCs/>
      <w:color w:val="4f81bd"/>
    </w:rPr>
  </w:style>
  <w:style w:type="character" w:customStyle="1" w:styleId="style4218">
    <w:name w:val="Citation intense Car"/>
    <w:next w:val="style4218"/>
    <w:link w:val="style181"/>
    <w:uiPriority w:val="30"/>
    <w:rPr>
      <w:b/>
      <w:bCs/>
      <w:i/>
      <w:iCs/>
      <w:color w:val="4f81bd"/>
      <w:sz w:val="24"/>
      <w:szCs w:val="24"/>
    </w:rPr>
  </w:style>
  <w:style w:type="paragraph" w:customStyle="1" w:styleId="style4219">
    <w:name w:val="yiv281670054msonormal"/>
    <w:basedOn w:val="style0"/>
    <w:next w:val="style4219"/>
    <w:pPr>
      <w:spacing w:before="100" w:beforeAutospacing="true" w:after="100" w:afterAutospacing="true"/>
    </w:pPr>
    <w:rPr/>
  </w:style>
  <w:style w:type="paragraph" w:customStyle="1" w:styleId="style4220">
    <w:name w:val="texte"/>
    <w:basedOn w:val="style0"/>
    <w:next w:val="style4220"/>
    <w:pPr>
      <w:spacing w:before="100" w:beforeAutospacing="true" w:after="100" w:afterAutospacing="true"/>
    </w:pPr>
    <w:rPr/>
  </w:style>
  <w:style w:type="character" w:customStyle="1" w:styleId="style4221">
    <w:name w:val="text"/>
    <w:next w:val="style4221"/>
  </w:style>
  <w:style w:type="paragraph" w:customStyle="1" w:styleId="style4222">
    <w:name w:val="Heading 31"/>
    <w:basedOn w:val="style4132"/>
    <w:next w:val="style4132"/>
    <w:uiPriority w:val="99"/>
    <w:pPr/>
    <w:rPr>
      <w:rFonts w:ascii="KLKDLB+Garamond" w:hAnsi="KLKDLB+Garamond"/>
      <w:color w:val="auto"/>
    </w:rPr>
  </w:style>
  <w:style w:type="paragraph" w:customStyle="1" w:styleId="style4223">
    <w:name w:val="Retrait corps de texte 21"/>
    <w:basedOn w:val="style0"/>
    <w:next w:val="style4223"/>
    <w:pPr>
      <w:ind w:firstLine="708"/>
      <w:jc w:val="both"/>
    </w:pPr>
    <w:rPr>
      <w:szCs w:val="20"/>
    </w:rPr>
  </w:style>
  <w:style w:type="character" w:customStyle="1" w:styleId="style4224">
    <w:name w:val="Liste couleur - Accent 1 Car"/>
    <w:next w:val="style4224"/>
    <w:link w:val="style188"/>
    <w:uiPriority w:val="34"/>
    <w:rPr>
      <w:rFonts w:ascii="Calibri" w:eastAsia="Calibri" w:hAnsi="Calibri"/>
      <w:sz w:val="22"/>
      <w:szCs w:val="22"/>
      <w:lang w:eastAsia="en-US"/>
    </w:rPr>
  </w:style>
  <w:style w:type="table" w:styleId="style188">
    <w:name w:val="Colorful List Accent 1"/>
    <w:basedOn w:val="style105"/>
    <w:next w:val="style188"/>
    <w:link w:val="style4224"/>
    <w:uiPriority w:val="34"/>
    <w:pPr/>
    <w:rPr>
      <w:rFonts w:ascii="Calibri" w:eastAsia="Calibri" w:hAnsi="Calibri"/>
      <w:sz w:val="22"/>
      <w:szCs w:val="22"/>
      <w:lang w:eastAsia="en-US"/>
    </w:rPr>
    <w:tblPr>
      <w:tblStyleRowBandSize w:val="1"/>
      <w:tblStyleColBandSize w:val="1"/>
      <w:shd w:val="clear" w:color="auto" w:fill="edf2f8"/>
    </w:tblPr>
    <w:tblStylePr w:type="firstRow">
      <w:pPr/>
      <w:tblPr/>
      <w:tcPr>
        <w:tcBorders>
          <w:bottom w:val="single" w:sz="12" w:space="0" w:color="ffffff"/>
        </w:tcBorders>
        <w:shd w:val="clear" w:color="auto" w:fill="9e3a38"/>
      </w:tcPr>
    </w:tblStylePr>
    <w:tblStylePr w:type="lastRow">
      <w:pPr/>
      <w:tblPr/>
      <w:tcPr>
        <w:tcBorders>
          <w:top w:val="single" w:sz="12" w:space="0" w:color="000000"/>
        </w:tcBorders>
        <w:shd w:val="clear" w:color="auto" w:fill="ffffff"/>
      </w:tcPr>
    </w:tblStylePr>
    <w:tblStylePr w:type="band1Horz">
      <w:pPr/>
      <w:tblPr/>
      <w:tcPr>
        <w:tcBorders/>
        <w:shd w:val="clear" w:color="auto" w:fill="dbe5f1"/>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paragraph" w:customStyle="1" w:styleId="style4225">
    <w:name w:val="Titre 1.Main Heading.Main Head.TCI 1.  Heading"/>
    <w:basedOn w:val="style0"/>
    <w:next w:val="style0"/>
    <w:pPr>
      <w:keepNext/>
      <w:numPr>
        <w:ilvl w:val="0"/>
        <w:numId w:val="135"/>
      </w:numPr>
      <w:tabs>
        <w:tab w:val="left" w:leader="none" w:pos="1134"/>
      </w:tabs>
      <w:spacing w:before="120" w:after="480"/>
      <w:jc w:val="center"/>
      <w:outlineLvl w:val="0"/>
    </w:pPr>
    <w:rPr>
      <w:rFonts w:ascii="Univers (W1)" w:cs="Arial" w:hAnsi="Univers (W1)"/>
      <w:b/>
      <w:caps/>
      <w:kern w:val="28"/>
      <w:sz w:val="28"/>
      <w:szCs w:val="20"/>
    </w:rPr>
  </w:style>
  <w:style w:type="paragraph" w:customStyle="1" w:styleId="style4226">
    <w:name w:val="Titre 2.Paranum.alec2"/>
    <w:basedOn w:val="style0"/>
    <w:next w:val="style0"/>
    <w:pPr>
      <w:numPr>
        <w:ilvl w:val="1"/>
        <w:numId w:val="135"/>
      </w:numPr>
      <w:tabs>
        <w:tab w:val="left" w:leader="none" w:pos="1134"/>
      </w:tabs>
      <w:spacing w:after="240"/>
      <w:jc w:val="both"/>
      <w:outlineLvl w:val="1"/>
    </w:pPr>
    <w:rPr>
      <w:rFonts w:cs="Arial"/>
      <w:sz w:val="22"/>
      <w:szCs w:val="20"/>
    </w:rPr>
  </w:style>
  <w:style w:type="paragraph" w:customStyle="1" w:styleId="style4227">
    <w:name w:val="Titre 3.Centered.centered.alec3"/>
    <w:basedOn w:val="style0"/>
    <w:next w:val="style0"/>
    <w:pPr>
      <w:keepNext/>
      <w:numPr>
        <w:ilvl w:val="2"/>
        <w:numId w:val="135"/>
      </w:numPr>
      <w:tabs>
        <w:tab w:val="left" w:leader="none" w:pos="1134"/>
      </w:tabs>
      <w:spacing w:before="120" w:after="240"/>
      <w:jc w:val="center"/>
      <w:outlineLvl w:val="2"/>
    </w:pPr>
    <w:rPr>
      <w:rFonts w:cs="Arial"/>
      <w:b/>
      <w:sz w:val="22"/>
      <w:szCs w:val="20"/>
    </w:rPr>
  </w:style>
  <w:style w:type="paragraph" w:customStyle="1" w:styleId="style4228">
    <w:name w:val="Titre 4.Centred.Cen."/>
    <w:basedOn w:val="style0"/>
    <w:next w:val="style0"/>
    <w:pPr>
      <w:keepNext/>
      <w:numPr>
        <w:ilvl w:val="3"/>
        <w:numId w:val="135"/>
      </w:numPr>
      <w:tabs>
        <w:tab w:val="left" w:leader="none" w:pos="1134"/>
      </w:tabs>
      <w:spacing w:before="120" w:after="240"/>
      <w:jc w:val="center"/>
      <w:outlineLvl w:val="3"/>
    </w:pPr>
    <w:rPr>
      <w:rFonts w:cs="Arial"/>
      <w:b/>
      <w:sz w:val="22"/>
      <w:szCs w:val="20"/>
    </w:rPr>
  </w:style>
  <w:style w:type="paragraph" w:customStyle="1" w:styleId="style4229">
    <w:name w:val="Titre 5.Side"/>
    <w:basedOn w:val="style0"/>
    <w:next w:val="style0"/>
    <w:pPr>
      <w:numPr>
        <w:ilvl w:val="4"/>
        <w:numId w:val="135"/>
      </w:numPr>
      <w:tabs>
        <w:tab w:val="left" w:leader="none" w:pos="1134"/>
      </w:tabs>
      <w:spacing w:before="120" w:after="240"/>
      <w:outlineLvl w:val="4"/>
    </w:pPr>
    <w:rPr>
      <w:rFonts w:ascii="Times New Roman Bold" w:cs="Arial" w:hAnsi="Times New Roman Bold"/>
      <w:b/>
      <w:sz w:val="22"/>
      <w:szCs w:val="20"/>
    </w:rPr>
  </w:style>
  <w:style w:type="character" w:customStyle="1" w:styleId="style4230">
    <w:name w:val="atn"/>
    <w:next w:val="style4230"/>
  </w:style>
  <w:style w:type="paragraph" w:styleId="style48">
    <w:name w:val="List Bullet"/>
    <w:basedOn w:val="style0"/>
    <w:next w:val="style48"/>
    <w:pPr>
      <w:numPr>
        <w:ilvl w:val="0"/>
        <w:numId w:val="92"/>
      </w:numPr>
    </w:pPr>
    <w:rPr>
      <w:rFonts w:ascii="Arial" w:hAnsi="Arial"/>
      <w:smallCaps/>
      <w:sz w:val="22"/>
      <w:szCs w:val="20"/>
      <w:lang w:val="en-GB"/>
    </w:rPr>
  </w:style>
  <w:style w:type="character" w:customStyle="1" w:styleId="style4231">
    <w:name w:val="short_text"/>
    <w:next w:val="style4231"/>
  </w:style>
  <w:style w:type="character" w:customStyle="1" w:styleId="style4232">
    <w:name w:val="st1"/>
    <w:next w:val="style4232"/>
  </w:style>
  <w:style w:type="character" w:customStyle="1" w:styleId="style4233">
    <w:name w:val="Légende Car1"/>
    <w:next w:val="style4233"/>
    <w:rPr>
      <w:b/>
      <w:bCs/>
      <w:lang w:eastAsia="en-US"/>
    </w:rPr>
  </w:style>
  <w:style w:type="paragraph" w:customStyle="1" w:styleId="style4234">
    <w:name w:val="rubriquecopiecopie"/>
    <w:basedOn w:val="style0"/>
    <w:next w:val="style4234"/>
    <w:pPr>
      <w:jc w:val="both"/>
    </w:pPr>
    <w:rPr>
      <w:rFonts w:ascii="Verdana" w:hAnsi="Verdana"/>
      <w:b/>
      <w:bCs/>
      <w:color w:val="333333"/>
      <w:sz w:val="15"/>
      <w:szCs w:val="15"/>
    </w:rPr>
  </w:style>
  <w:style w:type="paragraph" w:customStyle="1" w:styleId="style4235">
    <w:name w:val="Style1"/>
    <w:basedOn w:val="style1"/>
    <w:next w:val="style4235"/>
    <w:pPr>
      <w:numPr>
        <w:ilvl w:val="0"/>
        <w:numId w:val="54"/>
      </w:numPr>
      <w:autoSpaceDE/>
      <w:autoSpaceDN/>
      <w:adjustRightInd/>
      <w:spacing w:before="240" w:after="60" w:lineRule="auto" w:line="240"/>
      <w:ind w:left="0" w:firstLine="0"/>
      <w:jc w:val="both"/>
    </w:pPr>
    <w:rPr>
      <w:color w:val="auto"/>
      <w:kern w:val="32"/>
      <w:sz w:val="22"/>
      <w:szCs w:val="22"/>
      <w:lang w:eastAsia="en-US"/>
    </w:rPr>
  </w:style>
  <w:style w:type="character" w:styleId="style261">
    <w:name w:val="Intense Emphasis"/>
    <w:next w:val="style261"/>
    <w:qFormat/>
    <w:uiPriority w:val="21"/>
    <w:rPr>
      <w:b/>
      <w:bCs/>
      <w:i/>
      <w:iCs/>
      <w:color w:val="4f81bd"/>
    </w:rPr>
  </w:style>
  <w:style w:type="paragraph" w:customStyle="1" w:styleId="style4236">
    <w:name w:val="Paragraphe"/>
    <w:basedOn w:val="style0"/>
    <w:next w:val="style4236"/>
    <w:pPr>
      <w:spacing w:before="20" w:after="20"/>
      <w:jc w:val="both"/>
      <w:outlineLvl w:val="0"/>
    </w:pPr>
    <w:rPr>
      <w:b/>
      <w:bCs/>
      <w:iCs/>
      <w:spacing w:val="-2"/>
      <w:szCs w:val="22"/>
    </w:rPr>
  </w:style>
  <w:style w:type="character" w:customStyle="1" w:styleId="style4237">
    <w:name w:val="hugenum"/>
    <w:next w:val="style4237"/>
  </w:style>
  <w:style w:type="character" w:customStyle="1" w:styleId="style4238">
    <w:name w:val="bignum"/>
    <w:next w:val="style4238"/>
  </w:style>
  <w:style w:type="character" w:customStyle="1" w:styleId="style4239">
    <w:name w:val="style111"/>
    <w:next w:val="style4239"/>
    <w:rPr>
      <w:b/>
      <w:bCs/>
      <w:color w:val="990000"/>
      <w:sz w:val="24"/>
      <w:szCs w:val="24"/>
    </w:rPr>
  </w:style>
  <w:style w:type="character" w:customStyle="1" w:styleId="style4240">
    <w:name w:val="style101"/>
    <w:next w:val="style4240"/>
    <w:rPr>
      <w:b/>
      <w:bCs/>
      <w:color w:val="990000"/>
    </w:rPr>
  </w:style>
  <w:style w:type="character" w:customStyle="1" w:styleId="style4241">
    <w:name w:val="style891"/>
    <w:next w:val="style4241"/>
    <w:rPr>
      <w:i/>
      <w:iCs/>
      <w:sz w:val="18"/>
      <w:szCs w:val="18"/>
    </w:rPr>
  </w:style>
  <w:style w:type="character" w:customStyle="1" w:styleId="style4242">
    <w:name w:val="datainfo1"/>
    <w:next w:val="style4242"/>
    <w:rPr>
      <w:rFonts w:ascii="Arial" w:cs="Arial" w:hAnsi="Arial" w:hint="default"/>
      <w:color w:val="000000"/>
      <w:sz w:val="16"/>
      <w:szCs w:val="16"/>
    </w:rPr>
  </w:style>
  <w:style w:type="paragraph" w:customStyle="1" w:styleId="style4243">
    <w:name w:val="Tableau"/>
    <w:basedOn w:val="style35"/>
    <w:next w:val="style4243"/>
    <w:qFormat/>
    <w:pPr>
      <w:numPr>
        <w:ilvl w:val="0"/>
        <w:numId w:val="85"/>
      </w:numPr>
      <w:tabs>
        <w:tab w:val="left" w:leader="none" w:pos="360"/>
        <w:tab w:val="left" w:leader="none" w:pos="2160"/>
      </w:tabs>
      <w:spacing w:lineRule="atLeast" w:line="260"/>
      <w:ind w:left="0" w:hanging="216"/>
      <w:jc w:val="both"/>
    </w:pPr>
    <w:rPr>
      <w:rFonts w:ascii="Tahoma" w:hAnsi="Tahoma"/>
      <w:sz w:val="20"/>
      <w:szCs w:val="22"/>
    </w:rPr>
  </w:style>
  <w:style w:type="paragraph" w:customStyle="1" w:styleId="style4244">
    <w:name w:val="Bullet"/>
    <w:basedOn w:val="style0"/>
    <w:next w:val="style4244"/>
    <w:pPr>
      <w:tabs>
        <w:tab w:val="left" w:leader="none" w:pos="360"/>
      </w:tabs>
      <w:spacing w:before="20" w:after="20"/>
      <w:jc w:val="both"/>
    </w:pPr>
    <w:rPr>
      <w:lang w:val="en-US" w:eastAsia="en-US"/>
    </w:rPr>
  </w:style>
  <w:style w:type="paragraph" w:customStyle="1" w:styleId="style4245">
    <w:name w:val="# PARAGRAPH"/>
    <w:basedOn w:val="style179"/>
    <w:next w:val="style4245"/>
    <w:link w:val="style4246"/>
    <w:qFormat/>
    <w:pPr>
      <w:numPr>
        <w:ilvl w:val="0"/>
        <w:numId w:val="57"/>
      </w:numPr>
      <w:tabs>
        <w:tab w:val="left" w:leader="none" w:pos="720"/>
      </w:tabs>
      <w:autoSpaceDE w:val="false"/>
      <w:autoSpaceDN w:val="false"/>
      <w:adjustRightInd w:val="false"/>
      <w:spacing w:before="20" w:after="220"/>
      <w:jc w:val="both"/>
      <w:contextualSpacing/>
    </w:pPr>
    <w:rPr>
      <w:lang w:val="en-US" w:eastAsia="ja-JP"/>
    </w:rPr>
  </w:style>
  <w:style w:type="character" w:customStyle="1" w:styleId="style4246">
    <w:name w:val="# PARAGRAPH Char"/>
    <w:next w:val="style4246"/>
    <w:link w:val="style4245"/>
    <w:rPr>
      <w:sz w:val="24"/>
      <w:szCs w:val="24"/>
      <w:lang w:val="en-US" w:eastAsia="ja-JP"/>
    </w:rPr>
  </w:style>
  <w:style w:type="character" w:customStyle="1" w:styleId="style4247">
    <w:name w:val="GG Car"/>
    <w:next w:val="style4247"/>
    <w:link w:val="style4248"/>
    <w:rPr>
      <w:rFonts w:ascii="Arial" w:cs="Arial" w:eastAsia="Calibri" w:hAnsi="Arial"/>
      <w:b/>
      <w:bCs/>
    </w:rPr>
  </w:style>
  <w:style w:type="paragraph" w:customStyle="1" w:styleId="style4248">
    <w:name w:val="GG"/>
    <w:basedOn w:val="style34"/>
    <w:next w:val="style4248"/>
    <w:link w:val="style4247"/>
    <w:qFormat/>
    <w:pPr>
      <w:spacing w:before="240" w:after="240" w:lineRule="auto" w:line="276"/>
      <w:jc w:val="both"/>
    </w:pPr>
    <w:rPr>
      <w:rFonts w:ascii="Arial" w:cs="Arial" w:eastAsia="Calibri" w:hAnsi="Arial"/>
      <w:color w:val="auto"/>
      <w:sz w:val="20"/>
      <w:szCs w:val="20"/>
      <w:lang w:eastAsia="fr-FR"/>
    </w:rPr>
  </w:style>
  <w:style w:type="table" w:customStyle="1" w:styleId="style4249">
    <w:name w:val="Grille de tableau claire1"/>
    <w:basedOn w:val="style105"/>
    <w:next w:val="style4249"/>
    <w:uiPriority w:val="40"/>
    <w:pP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tcBorders/>
    </w:tcPr>
  </w:style>
  <w:style w:type="paragraph" w:customStyle="1" w:styleId="style4250">
    <w:name w:val="Puce ronde marron sans saut décalage 0"/>
    <w:basedOn w:val="style0"/>
    <w:next w:val="style4250"/>
    <w:uiPriority w:val="99"/>
    <w:pPr>
      <w:numPr>
        <w:ilvl w:val="0"/>
        <w:numId w:val="6"/>
      </w:numPr>
      <w:tabs>
        <w:tab w:val="left" w:leader="none" w:pos="288"/>
      </w:tabs>
      <w:autoSpaceDE w:val="false"/>
      <w:autoSpaceDN w:val="false"/>
      <w:adjustRightInd w:val="false"/>
      <w:spacing w:before="400"/>
      <w:jc w:val="both"/>
    </w:pPr>
    <w:rPr>
      <w:rFonts w:ascii="Arial" w:hAnsi="Arial"/>
      <w:b/>
      <w:bCs/>
      <w:sz w:val="20"/>
      <w:szCs w:val="20"/>
    </w:rPr>
  </w:style>
  <w:style w:type="table" w:customStyle="1" w:styleId="style4251">
    <w:name w:val="Tableau Grille 1 Clair1"/>
    <w:basedOn w:val="style105"/>
    <w:next w:val="style4251"/>
    <w:uiPriority w:val="46"/>
    <w:pP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pPr/>
      <w:rPr>
        <w:b/>
        <w:bCs/>
      </w:rPr>
      <w:tblPr/>
      <w:tcPr>
        <w:tcBorders>
          <w:bottom w:val="single" w:sz="12" w:space="0" w:color="666666"/>
        </w:tcBorders>
      </w:tcPr>
    </w:tblStylePr>
    <w:tblStylePr w:type="lastRow">
      <w:pPr/>
      <w:rPr>
        <w:b/>
        <w:bCs/>
      </w:rPr>
      <w:tblPr/>
      <w:tcPr>
        <w:tcBorders>
          <w:top w:val="double" w:sz="2" w:space="0" w:color="666666"/>
        </w:tcBorders>
      </w:tcPr>
    </w:tblStylePr>
    <w:tblStylePr w:type="firstCol">
      <w:pPr/>
      <w:rPr>
        <w:b/>
        <w:bCs/>
      </w:rPr>
      <w:tcPr>
        <w:tcBorders/>
      </w:tcPr>
    </w:tblStylePr>
    <w:tblStylePr w:type="lastCol">
      <w:pPr/>
      <w:rPr>
        <w:b/>
        <w:bCs/>
      </w:rPr>
      <w:tcPr>
        <w:tcBorders/>
      </w:tcPr>
    </w:tblStylePr>
    <w:tcPr>
      <w:tcBorders/>
    </w:tcPr>
  </w:style>
  <w:style w:type="table" w:customStyle="1" w:styleId="style4252">
    <w:name w:val="Tableau simple 21"/>
    <w:basedOn w:val="style105"/>
    <w:next w:val="style4252"/>
    <w:uiPriority w:val="42"/>
    <w:pPr/>
    <w:rPr/>
    <w:tblPr>
      <w:tblStyleRowBandSize w:val="1"/>
      <w:tblStyleColBandSize w:val="1"/>
      <w:tblBorders>
        <w:top w:val="single" w:sz="4" w:space="0" w:color="7f7f7f"/>
        <w:bottom w:val="single" w:sz="4" w:space="0" w:color="7f7f7f"/>
      </w:tblBorders>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paragraph" w:customStyle="1" w:styleId="style4253">
    <w:name w:val="story-writer"/>
    <w:basedOn w:val="style0"/>
    <w:next w:val="style4253"/>
    <w:pPr>
      <w:spacing w:before="100" w:beforeAutospacing="true" w:after="100" w:afterAutospacing="true" w:lineRule="auto" w:line="276"/>
    </w:pPr>
    <w:rPr>
      <w:rFonts w:ascii="Arial" w:cs="Arial" w:eastAsia="Calibri" w:hAnsi="Arial"/>
      <w:sz w:val="22"/>
      <w:szCs w:val="22"/>
    </w:rPr>
  </w:style>
  <w:style w:type="paragraph" w:styleId="style84">
    <w:name w:val="Block Text"/>
    <w:basedOn w:val="style0"/>
    <w:next w:val="style84"/>
    <w:pPr>
      <w:autoSpaceDE w:val="false"/>
      <w:autoSpaceDN w:val="false"/>
      <w:adjustRightInd w:val="false"/>
      <w:spacing w:after="200" w:lineRule="exact" w:line="240"/>
      <w:ind w:left="62" w:right="345"/>
      <w:jc w:val="both"/>
    </w:pPr>
    <w:rPr>
      <w:rFonts w:ascii="Calibri" w:eastAsia="Calibri" w:hAnsi="Calibri"/>
      <w:sz w:val="22"/>
      <w:szCs w:val="22"/>
    </w:rPr>
  </w:style>
  <w:style w:type="character" w:customStyle="1" w:styleId="style4254">
    <w:name w:val="description"/>
    <w:next w:val="style4254"/>
  </w:style>
  <w:style w:type="paragraph" w:customStyle="1" w:styleId="style4255">
    <w:name w:val="Adresse dest."/>
    <w:basedOn w:val="style0"/>
    <w:next w:val="style4255"/>
    <w:pPr>
      <w:spacing w:after="200" w:lineRule="auto" w:line="276"/>
    </w:pPr>
    <w:rPr>
      <w:rFonts w:ascii="Calibri" w:eastAsia="Calibri" w:hAnsi="Calibri"/>
      <w:sz w:val="22"/>
      <w:szCs w:val="22"/>
    </w:rPr>
  </w:style>
  <w:style w:type="paragraph" w:customStyle="1" w:styleId="style4256">
    <w:name w:val="font7"/>
    <w:basedOn w:val="style0"/>
    <w:next w:val="style4256"/>
    <w:pPr>
      <w:spacing w:before="100" w:beforeAutospacing="true" w:after="100" w:afterAutospacing="true" w:lineRule="auto" w:line="276"/>
    </w:pPr>
    <w:rPr>
      <w:rFonts w:ascii="Calibri" w:eastAsia="Arial Unicode MS" w:hAnsi="Calibri"/>
      <w:sz w:val="22"/>
      <w:szCs w:val="22"/>
    </w:rPr>
  </w:style>
  <w:style w:type="paragraph" w:customStyle="1" w:styleId="style4257">
    <w:name w:val="Indice1"/>
    <w:basedOn w:val="style0"/>
    <w:next w:val="style4257"/>
    <w:pPr>
      <w:tabs>
        <w:tab w:val="left" w:leader="none" w:pos="360"/>
      </w:tabs>
      <w:spacing w:after="200" w:lineRule="auto" w:line="276"/>
    </w:pPr>
    <w:rPr>
      <w:rFonts w:ascii="Calibri" w:eastAsia="Calibri" w:hAnsi="Calibri"/>
      <w:sz w:val="22"/>
      <w:szCs w:val="22"/>
    </w:rPr>
  </w:style>
  <w:style w:type="paragraph" w:customStyle="1" w:styleId="style4258">
    <w:name w:val="_"/>
    <w:basedOn w:val="style0"/>
    <w:next w:val="style4258"/>
    <w:pPr>
      <w:widowControl w:val="false"/>
      <w:spacing w:after="200" w:lineRule="auto" w:line="276"/>
      <w:ind w:left="1440" w:hanging="720"/>
      <w:jc w:val="both"/>
    </w:pPr>
    <w:rPr>
      <w:rFonts w:ascii="Calibri" w:eastAsia="Calibri" w:hAnsi="Calibri"/>
      <w:snapToGrid w:val="false"/>
      <w:sz w:val="22"/>
      <w:szCs w:val="20"/>
    </w:rPr>
  </w:style>
  <w:style w:type="character" w:customStyle="1" w:styleId="style4259">
    <w:name w:val="goohl4"/>
    <w:next w:val="style4259"/>
  </w:style>
  <w:style w:type="character" w:customStyle="1" w:styleId="style4260">
    <w:name w:val="texte1"/>
    <w:next w:val="style4260"/>
  </w:style>
  <w:style w:type="paragraph" w:customStyle="1" w:styleId="style4261">
    <w:name w:val="bodytexte"/>
    <w:basedOn w:val="style0"/>
    <w:next w:val="style4261"/>
    <w:pPr>
      <w:spacing w:before="100" w:beforeAutospacing="true" w:after="100" w:afterAutospacing="true" w:lineRule="auto" w:line="276"/>
      <w:ind w:firstLine="540"/>
      <w:jc w:val="both"/>
    </w:pPr>
    <w:rPr>
      <w:rFonts w:ascii="Calibri" w:eastAsia="Calibri" w:hAnsi="Calibri"/>
      <w:sz w:val="22"/>
      <w:szCs w:val="22"/>
    </w:rPr>
  </w:style>
  <w:style w:type="paragraph" w:customStyle="1" w:styleId="style4262">
    <w:name w:val="Tabellenabsatz 1"/>
    <w:basedOn w:val="style66"/>
    <w:next w:val="style4262"/>
    <w:pPr>
      <w:tabs>
        <w:tab w:val="clear" w:pos="720"/>
      </w:tabs>
      <w:overflowPunct w:val="false"/>
      <w:autoSpaceDE w:val="false"/>
      <w:autoSpaceDN w:val="false"/>
      <w:adjustRightInd w:val="false"/>
      <w:spacing w:before="60" w:after="0" w:lineRule="auto" w:line="276"/>
      <w:ind w:left="283" w:hanging="283"/>
      <w:jc w:val="left"/>
      <w:textAlignment w:val="baseline"/>
    </w:pPr>
    <w:rPr>
      <w:rFonts w:ascii="Arial" w:cs="Arial" w:eastAsia="Calibri" w:hAnsi="Arial"/>
      <w:sz w:val="20"/>
      <w:lang w:val="en-GB" w:eastAsia="ja-JP"/>
    </w:rPr>
  </w:style>
  <w:style w:type="paragraph" w:customStyle="1" w:styleId="style4263">
    <w:name w:val="Tabellenabsatz 2"/>
    <w:basedOn w:val="style66"/>
    <w:next w:val="style4263"/>
    <w:pPr>
      <w:tabs>
        <w:tab w:val="clear" w:pos="720"/>
      </w:tabs>
      <w:overflowPunct w:val="false"/>
      <w:autoSpaceDE w:val="false"/>
      <w:autoSpaceDN w:val="false"/>
      <w:adjustRightInd w:val="false"/>
      <w:spacing w:after="0" w:lineRule="auto" w:line="276"/>
      <w:ind w:left="567" w:hanging="283"/>
      <w:jc w:val="left"/>
      <w:textAlignment w:val="baseline"/>
    </w:pPr>
    <w:rPr>
      <w:rFonts w:ascii="Arial" w:cs="Arial" w:eastAsia="Calibri" w:hAnsi="Arial"/>
      <w:sz w:val="18"/>
      <w:szCs w:val="18"/>
      <w:lang w:val="en-GB" w:eastAsia="ja-JP"/>
    </w:rPr>
  </w:style>
  <w:style w:type="paragraph" w:styleId="style59">
    <w:name w:val="List Number 3"/>
    <w:next w:val="style59"/>
    <w:pPr>
      <w:numPr>
        <w:ilvl w:val="0"/>
        <w:numId w:val="29"/>
      </w:numPr>
      <w:snapToGrid w:val="false"/>
      <w:spacing w:after="200" w:lineRule="auto" w:line="276"/>
    </w:pPr>
    <w:rPr>
      <w:sz w:val="22"/>
      <w:szCs w:val="22"/>
      <w:lang w:eastAsia="en-US"/>
    </w:rPr>
  </w:style>
  <w:style w:type="paragraph" w:customStyle="1" w:styleId="style4264">
    <w:name w:val="Sub-Para 2 under X."/>
    <w:basedOn w:val="style0"/>
    <w:next w:val="style4264"/>
    <w:pPr>
      <w:numPr>
        <w:ilvl w:val="3"/>
        <w:numId w:val="49"/>
      </w:numPr>
      <w:tabs>
        <w:tab w:val="left" w:leader="none" w:pos="2880"/>
      </w:tabs>
      <w:spacing w:before="120" w:after="240" w:lineRule="auto" w:line="276"/>
      <w:ind w:left="2160" w:hanging="720"/>
      <w:jc w:val="both"/>
      <w:outlineLvl w:val="3"/>
    </w:pPr>
    <w:rPr>
      <w:rFonts w:ascii="Calibri" w:eastAsia="Calibri" w:hAnsi="Calibri"/>
      <w:sz w:val="22"/>
      <w:szCs w:val="20"/>
    </w:rPr>
  </w:style>
  <w:style w:type="paragraph" w:customStyle="1" w:styleId="style4265">
    <w:name w:val="texte normal"/>
    <w:basedOn w:val="style0"/>
    <w:next w:val="style4265"/>
    <w:pPr>
      <w:keepLines/>
      <w:tabs>
        <w:tab w:val="left" w:leader="none" w:pos="7020"/>
        <w:tab w:val="left" w:leader="none" w:pos="18540"/>
      </w:tabs>
      <w:suppressAutoHyphens/>
      <w:spacing w:before="120" w:after="120" w:lineRule="auto" w:line="276"/>
      <w:jc w:val="both"/>
    </w:pPr>
    <w:rPr>
      <w:rFonts w:ascii="Calibri" w:eastAsia="Calibri" w:hAnsi="Calibri"/>
      <w:sz w:val="22"/>
      <w:szCs w:val="20"/>
      <w:lang w:val="fr-CA"/>
    </w:rPr>
  </w:style>
  <w:style w:type="paragraph" w:customStyle="1" w:styleId="style4266">
    <w:name w:val="Bank Normal"/>
    <w:basedOn w:val="style31"/>
    <w:next w:val="style4266"/>
    <w:pPr>
      <w:tabs>
        <w:tab w:val="clear" w:pos="4320"/>
        <w:tab w:val="clear" w:pos="8640"/>
      </w:tabs>
      <w:spacing w:after="240" w:lineRule="auto" w:line="276"/>
      <w:jc w:val="both"/>
    </w:pPr>
    <w:rPr>
      <w:rFonts w:ascii="Calibri" w:cs="Arial" w:eastAsia="Calibri" w:hAnsi="Calibri"/>
      <w:bCs/>
      <w:lang w:val="fr-FR" w:eastAsia="fr-FR"/>
    </w:rPr>
  </w:style>
  <w:style w:type="paragraph" w:customStyle="1" w:styleId="style4267">
    <w:name w:val="symbole"/>
    <w:basedOn w:val="style0"/>
    <w:next w:val="style4267"/>
    <w:pPr>
      <w:spacing w:before="540" w:after="100" w:afterAutospacing="true" w:lineRule="auto" w:line="276"/>
    </w:pPr>
    <w:rPr>
      <w:rFonts w:ascii="Calibri" w:eastAsia="Calibri" w:hAnsi="Calibri"/>
      <w:sz w:val="22"/>
      <w:szCs w:val="22"/>
    </w:rPr>
  </w:style>
  <w:style w:type="paragraph" w:customStyle="1" w:styleId="style4268">
    <w:name w:val="CoverClientName"/>
    <w:basedOn w:val="style0"/>
    <w:next w:val="style0"/>
    <w:pPr>
      <w:overflowPunct w:val="false"/>
      <w:autoSpaceDE w:val="false"/>
      <w:autoSpaceDN w:val="false"/>
      <w:adjustRightInd w:val="false"/>
      <w:spacing w:after="480" w:lineRule="auto" w:line="264"/>
      <w:textAlignment w:val="baseline"/>
    </w:pPr>
    <w:rPr>
      <w:rFonts w:ascii="Book Antiqua" w:eastAsia="Calibri" w:hAnsi="Book Antiqua"/>
      <w:sz w:val="22"/>
      <w:szCs w:val="20"/>
    </w:rPr>
  </w:style>
  <w:style w:type="character" w:customStyle="1" w:styleId="style4269">
    <w:name w:val="Lien hypertexte1"/>
    <w:next w:val="style4269"/>
    <w:rPr>
      <w:color w:val="0000ff"/>
      <w:u w:val="single"/>
    </w:rPr>
  </w:style>
  <w:style w:type="paragraph" w:customStyle="1" w:styleId="style4270">
    <w:name w:val="OtherHeader"/>
    <w:basedOn w:val="style31"/>
    <w:next w:val="style0"/>
    <w:pPr>
      <w:tabs>
        <w:tab w:val="clear" w:pos="4320"/>
        <w:tab w:val="clear" w:pos="8640"/>
      </w:tabs>
      <w:overflowPunct w:val="false"/>
      <w:autoSpaceDE w:val="false"/>
      <w:autoSpaceDN w:val="false"/>
      <w:adjustRightInd w:val="false"/>
      <w:spacing w:before="360" w:after="240" w:lineRule="auto" w:line="264"/>
      <w:textAlignment w:val="baseline"/>
    </w:pPr>
    <w:rPr>
      <w:rFonts w:ascii="Book Antiqua" w:eastAsia="Calibri" w:hAnsi="Book Antiqua"/>
      <w:b/>
      <w:i/>
      <w:caps/>
      <w:sz w:val="22"/>
      <w:szCs w:val="20"/>
      <w:lang w:val="fr-FR" w:eastAsia="fr-FR"/>
    </w:rPr>
  </w:style>
  <w:style w:type="character" w:customStyle="1" w:styleId="style4271">
    <w:name w:val="ft04"/>
    <w:next w:val="style4271"/>
    <w:rPr>
      <w:rFonts w:ascii="Times" w:cs="Times" w:hAnsi="Times" w:hint="default"/>
      <w:color w:val="000000"/>
      <w:sz w:val="21"/>
      <w:szCs w:val="21"/>
    </w:rPr>
  </w:style>
  <w:style w:type="paragraph" w:customStyle="1" w:styleId="style4272">
    <w:name w:val="Text"/>
    <w:basedOn w:val="style0"/>
    <w:next w:val="style4272"/>
    <w:pPr>
      <w:spacing w:after="160" w:lineRule="auto" w:line="276"/>
    </w:pPr>
    <w:rPr>
      <w:rFonts w:ascii="Garamond" w:eastAsia="Calibri" w:hAnsi="Garamond"/>
      <w:sz w:val="22"/>
      <w:szCs w:val="22"/>
    </w:rPr>
  </w:style>
  <w:style w:type="paragraph" w:customStyle="1" w:styleId="style4273">
    <w:name w:val="KP-BUL1"/>
    <w:next w:val="style4273"/>
    <w:link w:val="style4274"/>
    <w:pPr>
      <w:numPr>
        <w:ilvl w:val="0"/>
        <w:numId w:val="46"/>
      </w:numPr>
      <w:tabs>
        <w:tab w:val="clear" w:pos="360"/>
      </w:tabs>
      <w:spacing w:after="240" w:lineRule="auto" w:line="276"/>
      <w:ind w:left="1080"/>
      <w:jc w:val="both"/>
    </w:pPr>
    <w:rPr>
      <w:sz w:val="24"/>
      <w:szCs w:val="22"/>
      <w:lang w:val="en-US" w:eastAsia="en-US"/>
    </w:rPr>
  </w:style>
  <w:style w:type="character" w:customStyle="1" w:styleId="style4274">
    <w:name w:val="KP-BUL1 Char1"/>
    <w:next w:val="style4274"/>
    <w:link w:val="style4273"/>
    <w:rPr>
      <w:sz w:val="24"/>
      <w:szCs w:val="22"/>
      <w:lang w:val="en-US" w:eastAsia="en-US"/>
    </w:rPr>
  </w:style>
  <w:style w:type="paragraph" w:customStyle="1" w:styleId="style4275">
    <w:name w:val="KP-NUM3"/>
    <w:next w:val="style4275"/>
    <w:pPr>
      <w:numPr>
        <w:ilvl w:val="0"/>
        <w:numId w:val="96"/>
      </w:numPr>
      <w:spacing w:after="240" w:lineRule="auto" w:line="276"/>
      <w:jc w:val="both"/>
    </w:pPr>
    <w:rPr>
      <w:sz w:val="24"/>
      <w:szCs w:val="22"/>
      <w:lang w:val="en-US" w:eastAsia="en-US"/>
    </w:rPr>
  </w:style>
  <w:style w:type="paragraph" w:customStyle="1" w:styleId="style4276">
    <w:name w:val="CM12"/>
    <w:basedOn w:val="style4132"/>
    <w:next w:val="style4132"/>
    <w:pPr>
      <w:widowControl w:val="false"/>
      <w:spacing w:after="228" w:lineRule="auto" w:line="276"/>
    </w:pPr>
    <w:rPr>
      <w:rFonts w:eastAsia="Times New Roman"/>
      <w:color w:val="auto"/>
      <w:lang w:eastAsia="fr-FR"/>
    </w:rPr>
  </w:style>
  <w:style w:type="paragraph" w:customStyle="1" w:styleId="style4277">
    <w:name w:val="CM2"/>
    <w:basedOn w:val="style4132"/>
    <w:next w:val="style4132"/>
    <w:pPr>
      <w:widowControl w:val="false"/>
      <w:spacing w:after="200" w:lineRule="atLeast" w:line="231"/>
    </w:pPr>
    <w:rPr>
      <w:rFonts w:eastAsia="Times New Roman"/>
      <w:color w:val="auto"/>
      <w:lang w:eastAsia="fr-FR"/>
    </w:rPr>
  </w:style>
  <w:style w:type="paragraph" w:customStyle="1" w:styleId="style4278">
    <w:name w:val="CM13"/>
    <w:basedOn w:val="style4132"/>
    <w:next w:val="style4132"/>
    <w:pPr>
      <w:widowControl w:val="false"/>
      <w:spacing w:after="115" w:lineRule="auto" w:line="276"/>
    </w:pPr>
    <w:rPr>
      <w:rFonts w:eastAsia="Times New Roman"/>
      <w:color w:val="auto"/>
      <w:lang w:eastAsia="fr-FR"/>
    </w:rPr>
  </w:style>
  <w:style w:type="paragraph" w:customStyle="1" w:styleId="style4279">
    <w:name w:val="2Paragraph"/>
    <w:next w:val="style4279"/>
    <w:pPr>
      <w:widowControl w:val="false"/>
      <w:overflowPunct w:val="false"/>
      <w:autoSpaceDE w:val="false"/>
      <w:autoSpaceDN w:val="false"/>
      <w:adjustRightInd w:val="false"/>
      <w:spacing w:after="200" w:lineRule="auto" w:line="276"/>
      <w:jc w:val="both"/>
      <w:textAlignment w:val="baseline"/>
    </w:pPr>
    <w:rPr>
      <w:sz w:val="24"/>
      <w:szCs w:val="24"/>
    </w:rPr>
  </w:style>
  <w:style w:type="paragraph" w:customStyle="1" w:styleId="style4280">
    <w:name w:val="3Paragraph"/>
    <w:next w:val="style4280"/>
    <w:pPr>
      <w:widowControl w:val="false"/>
      <w:overflowPunct w:val="false"/>
      <w:autoSpaceDE w:val="false"/>
      <w:autoSpaceDN w:val="false"/>
      <w:adjustRightInd w:val="false"/>
      <w:spacing w:after="200" w:lineRule="auto" w:line="276"/>
      <w:ind w:left="720"/>
      <w:jc w:val="both"/>
      <w:textAlignment w:val="baseline"/>
    </w:pPr>
    <w:rPr>
      <w:sz w:val="24"/>
      <w:szCs w:val="24"/>
    </w:rPr>
  </w:style>
  <w:style w:type="paragraph" w:customStyle="1" w:styleId="style4281">
    <w:name w:val="logoredev"/>
    <w:basedOn w:val="style31"/>
    <w:next w:val="style4281"/>
    <w:pPr>
      <w:tabs>
        <w:tab w:val="clear" w:pos="4320"/>
        <w:tab w:val="clear" w:pos="8640"/>
      </w:tabs>
      <w:spacing w:after="200" w:lineRule="auto" w:line="276"/>
    </w:pPr>
    <w:rPr>
      <w:rFonts w:ascii="Verdana" w:eastAsia="Calibri" w:hAnsi="Verdana"/>
      <w:b/>
      <w:iCs/>
      <w:color w:val="ffff00"/>
      <w:sz w:val="32"/>
      <w:szCs w:val="19"/>
      <w:lang w:val="fr-FR" w:eastAsia="fr-FR"/>
    </w:rPr>
  </w:style>
  <w:style w:type="paragraph" w:customStyle="1" w:styleId="style4282">
    <w:name w:val="text box header"/>
    <w:next w:val="style4282"/>
    <w:pPr>
      <w:spacing w:before="120" w:after="120" w:lineRule="auto" w:line="276"/>
    </w:pPr>
    <w:rPr>
      <w:rFonts w:ascii="Arial" w:hAnsi="Arial"/>
      <w:b/>
      <w:noProof/>
      <w:snapToGrid w:val="false"/>
      <w:color w:val="990000"/>
      <w:sz w:val="22"/>
      <w:szCs w:val="22"/>
      <w:lang w:val="en-US" w:eastAsia="en-US"/>
    </w:rPr>
  </w:style>
  <w:style w:type="paragraph" w:customStyle="1" w:styleId="style4283">
    <w:name w:val="Paragraphe retrait"/>
    <w:basedOn w:val="style0"/>
    <w:next w:val="style4283"/>
    <w:pPr>
      <w:numPr>
        <w:ilvl w:val="0"/>
        <w:numId w:val="49"/>
      </w:numPr>
      <w:spacing w:before="120" w:after="120" w:lineRule="exact" w:line="280"/>
      <w:ind w:left="714" w:hanging="357"/>
      <w:jc w:val="both"/>
    </w:pPr>
    <w:rPr>
      <w:rFonts w:ascii="Calibri" w:eastAsia="Calibri" w:hAnsi="Calibri"/>
      <w:sz w:val="22"/>
      <w:szCs w:val="22"/>
    </w:rPr>
  </w:style>
  <w:style w:type="paragraph" w:customStyle="1" w:styleId="style4284">
    <w:name w:val="justifier"/>
    <w:basedOn w:val="style0"/>
    <w:next w:val="style4284"/>
    <w:pPr>
      <w:spacing w:before="100" w:beforeAutospacing="true" w:after="100" w:afterAutospacing="true" w:lineRule="auto" w:line="276"/>
    </w:pPr>
    <w:rPr>
      <w:rFonts w:ascii="Calibri" w:eastAsia="SimSun" w:hAnsi="Calibri"/>
      <w:sz w:val="22"/>
      <w:szCs w:val="22"/>
      <w:lang w:eastAsia="zh-CN"/>
    </w:rPr>
  </w:style>
  <w:style w:type="paragraph" w:customStyle="1" w:styleId="style4285">
    <w:name w:val="Heading 1a"/>
    <w:basedOn w:val="style0"/>
    <w:next w:val="style0"/>
    <w:pPr>
      <w:keepNext/>
      <w:keepLines/>
      <w:spacing w:before="1440" w:after="240" w:lineRule="auto" w:line="276"/>
      <w:ind w:left="720" w:hanging="720"/>
      <w:jc w:val="center"/>
    </w:pPr>
    <w:rPr>
      <w:rFonts w:ascii="Calibri" w:eastAsia="Calibri" w:hAnsi="Calibri"/>
      <w:b/>
      <w:caps/>
      <w:sz w:val="32"/>
      <w:szCs w:val="20"/>
    </w:rPr>
  </w:style>
  <w:style w:type="paragraph" w:customStyle="1" w:styleId="style4286">
    <w:name w:val="Check-list"/>
    <w:basedOn w:val="style0"/>
    <w:next w:val="style4286"/>
    <w:pPr>
      <w:widowControl w:val="false"/>
      <w:numPr>
        <w:ilvl w:val="0"/>
        <w:numId w:val="39"/>
      </w:numPr>
      <w:spacing w:after="160" w:lineRule="auto" w:line="276"/>
      <w:jc w:val="both"/>
    </w:pPr>
    <w:rPr>
      <w:rFonts w:ascii="Arial" w:cs="Arial" w:eastAsia="Calibri" w:hAnsi="Arial"/>
      <w:bCs/>
      <w:sz w:val="20"/>
      <w:szCs w:val="20"/>
    </w:rPr>
  </w:style>
  <w:style w:type="paragraph" w:customStyle="1" w:styleId="style4287">
    <w:name w:val="Parag."/>
    <w:basedOn w:val="style0"/>
    <w:next w:val="style4287"/>
    <w:pPr>
      <w:spacing w:before="240" w:after="200" w:lineRule="auto" w:line="360"/>
      <w:ind w:firstLine="709"/>
    </w:pPr>
    <w:rPr>
      <w:rFonts w:ascii="Arial" w:eastAsia="Calibri" w:hAnsi="Arial"/>
      <w:sz w:val="20"/>
      <w:szCs w:val="20"/>
    </w:rPr>
  </w:style>
  <w:style w:type="paragraph" w:customStyle="1" w:styleId="style4288">
    <w:name w:val="bullet pat"/>
    <w:next w:val="style4288"/>
    <w:link w:val="style4289"/>
    <w:pPr>
      <w:numPr>
        <w:ilvl w:val="0"/>
        <w:numId w:val="89"/>
      </w:numPr>
      <w:tabs>
        <w:tab w:val="left" w:leader="none" w:pos="360"/>
      </w:tabs>
      <w:spacing w:after="144" w:lineRule="auto" w:line="276"/>
      <w:ind w:left="0" w:firstLine="0"/>
      <w:jc w:val="both"/>
      <w:contextualSpacing/>
    </w:pPr>
    <w:rPr>
      <w:noProof/>
      <w:sz w:val="22"/>
      <w:szCs w:val="22"/>
      <w:lang w:eastAsia="zh-TW"/>
    </w:rPr>
  </w:style>
  <w:style w:type="character" w:customStyle="1" w:styleId="style4289">
    <w:name w:val="bullet pat Char"/>
    <w:next w:val="style4289"/>
    <w:link w:val="style4288"/>
    <w:rPr>
      <w:noProof/>
      <w:sz w:val="22"/>
      <w:szCs w:val="22"/>
      <w:lang w:eastAsia="zh-TW"/>
    </w:rPr>
  </w:style>
  <w:style w:type="paragraph" w:customStyle="1" w:styleId="style4290">
    <w:name w:val="Style Corps de texte + Après : 0 pt"/>
    <w:basedOn w:val="style66"/>
    <w:next w:val="style4290"/>
    <w:pPr>
      <w:tabs>
        <w:tab w:val="clear" w:pos="720"/>
      </w:tabs>
      <w:suppressAutoHyphens/>
      <w:spacing w:after="0" w:lineRule="auto" w:line="276"/>
      <w:jc w:val="center"/>
    </w:pPr>
    <w:rPr>
      <w:rFonts w:ascii="Arial" w:cs="Arial" w:eastAsia="Calibri" w:hAnsi="Arial"/>
      <w:lang w:val="fr-FR" w:eastAsia="fr-FR"/>
    </w:rPr>
  </w:style>
  <w:style w:type="paragraph" w:customStyle="1" w:styleId="style4291">
    <w:name w:val="Texte Car Car Car Car Car Car"/>
    <w:basedOn w:val="style0"/>
    <w:next w:val="style4291"/>
    <w:link w:val="style4292"/>
    <w:pPr>
      <w:keepLines/>
      <w:spacing w:before="120" w:after="200" w:lineRule="auto" w:line="276"/>
      <w:jc w:val="both"/>
    </w:pPr>
    <w:rPr>
      <w:rFonts w:ascii="Arial" w:eastAsia="Calibri" w:hAnsi="Arial"/>
      <w:sz w:val="20"/>
      <w:szCs w:val="20"/>
    </w:rPr>
  </w:style>
  <w:style w:type="character" w:customStyle="1" w:styleId="style4292">
    <w:name w:val="Texte Car Car Car Car Car Car Car"/>
    <w:next w:val="style4292"/>
    <w:link w:val="style4291"/>
    <w:rPr>
      <w:rFonts w:ascii="Arial" w:eastAsia="Calibri" w:hAnsi="Arial"/>
    </w:rPr>
  </w:style>
  <w:style w:type="paragraph" w:customStyle="1" w:styleId="style4293">
    <w:name w:val="Enum 3"/>
    <w:basedOn w:val="style0"/>
    <w:next w:val="style4293"/>
    <w:pPr>
      <w:keepLines/>
      <w:numPr>
        <w:ilvl w:val="0"/>
        <w:numId w:val="17"/>
      </w:numPr>
      <w:spacing w:before="60" w:after="200" w:lineRule="auto" w:line="276"/>
      <w:jc w:val="both"/>
    </w:pPr>
    <w:rPr>
      <w:rFonts w:ascii="Arial" w:eastAsia="Calibri" w:hAnsi="Arial"/>
      <w:sz w:val="20"/>
      <w:szCs w:val="20"/>
    </w:rPr>
  </w:style>
  <w:style w:type="paragraph" w:customStyle="1" w:styleId="style4294">
    <w:name w:val="Enum 1"/>
    <w:basedOn w:val="style0"/>
    <w:next w:val="style4294"/>
    <w:pPr>
      <w:keepLines/>
      <w:numPr>
        <w:ilvl w:val="0"/>
        <w:numId w:val="105"/>
      </w:numPr>
      <w:spacing w:before="60" w:after="200" w:lineRule="auto" w:line="276"/>
      <w:jc w:val="both"/>
    </w:pPr>
    <w:rPr>
      <w:rFonts w:ascii="Arial" w:eastAsia="Calibri" w:hAnsi="Arial"/>
      <w:sz w:val="20"/>
      <w:szCs w:val="20"/>
    </w:rPr>
  </w:style>
  <w:style w:type="paragraph" w:customStyle="1" w:styleId="style4295">
    <w:name w:val="Enum 2"/>
    <w:basedOn w:val="style4294"/>
    <w:next w:val="style4295"/>
    <w:pPr>
      <w:numPr>
        <w:ilvl w:val="0"/>
        <w:numId w:val="102"/>
      </w:numPr>
    </w:pPr>
    <w:rPr/>
  </w:style>
  <w:style w:type="paragraph" w:customStyle="1" w:styleId="style4296">
    <w:name w:val="Texte Tableau"/>
    <w:basedOn w:val="style0"/>
    <w:next w:val="style4296"/>
    <w:pPr>
      <w:spacing w:after="200" w:lineRule="auto" w:line="276"/>
    </w:pPr>
    <w:rPr>
      <w:rFonts w:ascii="Calibri" w:eastAsia="Calibri" w:hAnsi="Calibri"/>
      <w:sz w:val="22"/>
      <w:szCs w:val="20"/>
    </w:rPr>
  </w:style>
  <w:style w:type="paragraph" w:customStyle="1" w:styleId="style4297">
    <w:name w:val="titre col tab"/>
    <w:basedOn w:val="style0"/>
    <w:next w:val="style4297"/>
    <w:pPr>
      <w:spacing w:after="200" w:lineRule="auto" w:line="276"/>
      <w:jc w:val="center"/>
    </w:pPr>
    <w:rPr>
      <w:rFonts w:ascii="Arial" w:eastAsia="Calibri" w:hAnsi="Arial"/>
      <w:snapToGrid w:val="false"/>
      <w:color w:val="0000ff"/>
      <w:sz w:val="20"/>
      <w:szCs w:val="20"/>
    </w:rPr>
  </w:style>
  <w:style w:type="paragraph" w:customStyle="1" w:styleId="style4298">
    <w:name w:val="Titre Tableau"/>
    <w:basedOn w:val="style4291"/>
    <w:next w:val="style4298"/>
    <w:pPr>
      <w:jc w:val="center"/>
    </w:pPr>
    <w:rPr>
      <w:b/>
    </w:rPr>
  </w:style>
  <w:style w:type="paragraph" w:customStyle="1" w:styleId="style4299">
    <w:name w:val="yiv7502447372msonormal"/>
    <w:basedOn w:val="style0"/>
    <w:next w:val="style4299"/>
    <w:pPr>
      <w:spacing w:before="100" w:beforeAutospacing="true" w:after="100" w:afterAutospacing="true" w:lineRule="auto" w:line="276"/>
    </w:pPr>
    <w:rPr>
      <w:rFonts w:ascii="Calibri" w:eastAsia="Calibri" w:hAnsi="Calibri"/>
      <w:sz w:val="22"/>
      <w:szCs w:val="22"/>
    </w:rPr>
  </w:style>
  <w:style w:type="character" w:styleId="style264">
    <w:name w:val="Book Title"/>
    <w:next w:val="style264"/>
    <w:qFormat/>
    <w:uiPriority w:val="33"/>
    <w:rPr>
      <w:b/>
      <w:bCs/>
      <w:smallCaps/>
      <w:spacing w:val="5"/>
    </w:rPr>
  </w:style>
  <w:style w:type="character" w:customStyle="1" w:styleId="style4300">
    <w:name w:val="apple-converted-space"/>
    <w:next w:val="style4300"/>
  </w:style>
  <w:style w:type="character" w:styleId="style263">
    <w:name w:val="Intense Reference"/>
    <w:next w:val="style263"/>
    <w:qFormat/>
    <w:uiPriority w:val="32"/>
    <w:rPr>
      <w:b/>
      <w:bCs/>
      <w:smallCaps/>
      <w:color w:val="c0504d"/>
      <w:spacing w:val="5"/>
      <w:u w:val="single"/>
    </w:rPr>
  </w:style>
  <w:style w:type="character" w:styleId="style262">
    <w:name w:val="Subtle Reference"/>
    <w:next w:val="style262"/>
    <w:qFormat/>
    <w:uiPriority w:val="31"/>
    <w:rPr>
      <w:smallCaps/>
      <w:color w:val="c0504d"/>
      <w:u w:val="single"/>
    </w:rPr>
  </w:style>
  <w:style w:type="paragraph" w:customStyle="1" w:styleId="style4301">
    <w:name w:val="Texte"/>
    <w:basedOn w:val="style0"/>
    <w:next w:val="style4301"/>
    <w:pPr>
      <w:tabs>
        <w:tab w:val="left" w:leader="none" w:pos="851"/>
      </w:tabs>
      <w:spacing w:lineRule="exact" w:line="280"/>
      <w:ind w:left="851"/>
      <w:jc w:val="both"/>
    </w:pPr>
    <w:rPr>
      <w:rFonts w:ascii="Arial" w:hAnsi="Arial"/>
      <w:sz w:val="22"/>
      <w:szCs w:val="20"/>
    </w:rPr>
  </w:style>
  <w:style w:type="paragraph" w:customStyle="1" w:styleId="style4302">
    <w:name w:val="Titre 21"/>
    <w:basedOn w:val="style2"/>
    <w:next w:val="style4302"/>
    <w:qFormat/>
    <w:pPr>
      <w:keepLines/>
      <w:numPr>
        <w:ilvl w:val="0"/>
        <w:numId w:val="0"/>
      </w:numPr>
      <w:autoSpaceDE/>
      <w:autoSpaceDN/>
      <w:adjustRightInd/>
      <w:spacing w:before="200" w:lineRule="auto" w:line="276"/>
      <w:ind w:left="576" w:hanging="576"/>
      <w:jc w:val="left"/>
    </w:pPr>
    <w:rPr>
      <w:rFonts w:ascii="Cambria" w:hAnsi="Cambria"/>
      <w:sz w:val="26"/>
      <w:szCs w:val="24"/>
      <w:lang w:val="fr-FR" w:eastAsia="fr-FR"/>
    </w:rPr>
  </w:style>
  <w:style w:type="paragraph" w:customStyle="1" w:styleId="style4303">
    <w:name w:val="RAPPORT 1"/>
    <w:basedOn w:val="style1"/>
    <w:next w:val="style4303"/>
    <w:qFormat/>
    <w:pPr>
      <w:suppressAutoHyphens/>
      <w:autoSpaceDE/>
      <w:autoSpaceDN/>
      <w:adjustRightInd/>
      <w:spacing w:lineRule="auto" w:line="240"/>
    </w:pPr>
    <w:rPr>
      <w:rFonts w:ascii="Calibri" w:cs="Arial" w:eastAsia="Calibri" w:hAnsi="Calibri"/>
      <w:caps/>
      <w:color w:val="auto"/>
      <w:sz w:val="22"/>
      <w:szCs w:val="22"/>
      <w:lang w:val="fr-CA" w:eastAsia="en-US"/>
    </w:rPr>
  </w:style>
  <w:style w:type="paragraph" w:customStyle="1" w:styleId="style4304">
    <w:name w:val="RAPPORT 2"/>
    <w:basedOn w:val="style2"/>
    <w:next w:val="style4304"/>
    <w:qFormat/>
    <w:pPr>
      <w:numPr>
        <w:ilvl w:val="0"/>
        <w:numId w:val="114"/>
      </w:numPr>
      <w:tabs>
        <w:tab w:val="left" w:leader="none" w:pos="-720"/>
      </w:tabs>
      <w:suppressAutoHyphens/>
      <w:autoSpaceDE/>
      <w:autoSpaceDN/>
      <w:adjustRightInd/>
      <w:spacing w:lineRule="auto" w:line="240"/>
    </w:pPr>
    <w:rPr>
      <w:bCs w:val="false"/>
      <w:spacing w:val="-3"/>
      <w:sz w:val="24"/>
      <w:lang w:val="fr-FR" w:eastAsia="en-US"/>
    </w:rPr>
  </w:style>
  <w:style w:type="paragraph" w:customStyle="1" w:styleId="style4305">
    <w:name w:val="RAPPORT 3"/>
    <w:basedOn w:val="style0"/>
    <w:next w:val="style4305"/>
    <w:qFormat/>
    <w:pPr>
      <w:numPr>
        <w:ilvl w:val="0"/>
        <w:numId w:val="62"/>
      </w:numPr>
      <w:ind w:firstLine="1832"/>
      <w:jc w:val="both"/>
    </w:pPr>
    <w:rPr>
      <w:rFonts w:ascii="Calibri" w:hAnsi="Calibri"/>
      <w:b/>
      <w:sz w:val="22"/>
      <w:szCs w:val="22"/>
      <w:lang w:eastAsia="en-US"/>
    </w:rPr>
  </w:style>
  <w:style w:type="paragraph" w:customStyle="1" w:styleId="style4306">
    <w:name w:val="Char2"/>
    <w:basedOn w:val="style0"/>
    <w:next w:val="style4306"/>
    <w:uiPriority w:val="99"/>
    <w:pPr>
      <w:spacing w:after="160" w:lineRule="exact" w:line="240"/>
    </w:pPr>
    <w:rPr>
      <w:rFonts w:ascii="Calibri" w:eastAsia="Calibri" w:hAnsi="Calibri"/>
      <w:sz w:val="22"/>
      <w:szCs w:val="22"/>
      <w:vertAlign w:val="superscript"/>
      <w:lang w:eastAsia="en-US"/>
    </w:rPr>
  </w:style>
  <w:style w:type="paragraph" w:customStyle="1" w:styleId="style4307">
    <w:name w:val="Titre2"/>
    <w:basedOn w:val="style2"/>
    <w:next w:val="style4307"/>
    <w:qFormat/>
    <w:pPr>
      <w:numPr>
        <w:ilvl w:val="0"/>
        <w:numId w:val="71"/>
      </w:numPr>
      <w:jc w:val="left"/>
    </w:pPr>
    <w:rPr>
      <w:color w:val="000000"/>
      <w:sz w:val="24"/>
      <w:szCs w:val="20"/>
      <w:lang w:val="fr-FR" w:eastAsia="fr-FR"/>
    </w:rPr>
  </w:style>
  <w:style w:type="paragraph" w:customStyle="1" w:styleId="style4308">
    <w:name w:val="Normal.TCI-Normal"/>
    <w:next w:val="style4308"/>
    <w:pPr>
      <w:tabs>
        <w:tab w:val="left" w:leader="none" w:pos="1134"/>
      </w:tabs>
      <w:jc w:val="both"/>
    </w:pPr>
    <w:rPr>
      <w:sz w:val="22"/>
    </w:rPr>
  </w:style>
  <w:style w:type="character" w:customStyle="1" w:styleId="style4309">
    <w:name w:val="fullarticletexte"/>
    <w:next w:val="style4309"/>
  </w:style>
  <w:style w:type="paragraph" w:styleId="style178">
    <w:name w:val="Revision"/>
    <w:next w:val="style178"/>
    <w:uiPriority w:val="99"/>
    <w:pPr/>
    <w:rPr>
      <w:sz w:val="24"/>
      <w:szCs w:val="24"/>
    </w:rPr>
  </w:style>
  <w:style w:type="paragraph" w:customStyle="1" w:styleId="style4310">
    <w:name w:val="IFAD paragraph numbering"/>
    <w:basedOn w:val="style0"/>
    <w:next w:val="style4310"/>
    <w:link w:val="style4314"/>
    <w:qFormat/>
    <w:pPr>
      <w:numPr>
        <w:ilvl w:val="0"/>
        <w:numId w:val="77"/>
      </w:numPr>
      <w:tabs>
        <w:tab w:val="left" w:leader="none" w:pos="1134"/>
      </w:tabs>
      <w:suppressAutoHyphens/>
      <w:spacing w:after="120" w:lineRule="auto" w:line="264"/>
    </w:pPr>
    <w:rPr>
      <w:rFonts w:ascii="Arial" w:eastAsia="MS Mincho" w:hAnsi="Arial"/>
      <w:kern w:val="2"/>
      <w:sz w:val="20"/>
      <w:szCs w:val="20"/>
      <w:lang w:eastAsia="en-GB"/>
    </w:rPr>
  </w:style>
  <w:style w:type="paragraph" w:customStyle="1" w:styleId="style4311">
    <w:name w:val="IFAD paragraph no. 2nd level"/>
    <w:basedOn w:val="style0"/>
    <w:next w:val="style4311"/>
    <w:pPr>
      <w:numPr>
        <w:ilvl w:val="1"/>
        <w:numId w:val="77"/>
      </w:numPr>
      <w:spacing w:after="120" w:lineRule="auto" w:line="264"/>
    </w:pPr>
    <w:rPr>
      <w:rFonts w:ascii="Arial" w:cs="Arial" w:hAnsi="Arial"/>
      <w:sz w:val="20"/>
      <w:szCs w:val="20"/>
      <w:lang w:eastAsia="en-GB"/>
    </w:rPr>
  </w:style>
  <w:style w:type="paragraph" w:customStyle="1" w:styleId="style4312">
    <w:name w:val="IFAD paragraph no. 3rd level"/>
    <w:basedOn w:val="style0"/>
    <w:next w:val="style4312"/>
    <w:pPr>
      <w:numPr>
        <w:ilvl w:val="2"/>
        <w:numId w:val="77"/>
      </w:numPr>
      <w:spacing w:after="120" w:lineRule="auto" w:line="264"/>
    </w:pPr>
    <w:rPr>
      <w:rFonts w:ascii="Arial" w:cs="Arial" w:hAnsi="Arial"/>
      <w:sz w:val="20"/>
      <w:szCs w:val="20"/>
      <w:lang w:eastAsia="en-GB"/>
    </w:rPr>
  </w:style>
  <w:style w:type="paragraph" w:customStyle="1" w:styleId="style4313">
    <w:name w:val="IFAD paragraph no. 4th level"/>
    <w:basedOn w:val="style0"/>
    <w:next w:val="style4313"/>
    <w:pPr>
      <w:numPr>
        <w:ilvl w:val="3"/>
        <w:numId w:val="77"/>
      </w:numPr>
      <w:spacing w:lineRule="auto" w:line="264"/>
    </w:pPr>
    <w:rPr>
      <w:rFonts w:ascii="Arial" w:cs="Arial" w:hAnsi="Arial"/>
      <w:sz w:val="20"/>
      <w:szCs w:val="20"/>
      <w:lang w:eastAsia="en-GB"/>
    </w:rPr>
  </w:style>
  <w:style w:type="character" w:customStyle="1" w:styleId="style4314">
    <w:name w:val="IFAD paragraph numbering Char"/>
    <w:next w:val="style4314"/>
    <w:link w:val="style4310"/>
    <w:rPr>
      <w:rFonts w:ascii="Arial" w:eastAsia="MS Mincho" w:hAnsi="Arial"/>
      <w:kern w:val="2"/>
      <w:lang w:eastAsia="en-GB"/>
    </w:rPr>
  </w:style>
  <w:style w:type="paragraph" w:customStyle="1" w:styleId="style4315">
    <w:name w:val="Liste couleur - Accent 12"/>
    <w:basedOn w:val="style0"/>
    <w:next w:val="style4315"/>
    <w:qFormat/>
    <w:uiPriority w:val="34"/>
    <w:pPr>
      <w:spacing w:after="200" w:lineRule="auto" w:line="276"/>
      <w:ind w:left="720"/>
      <w:contextualSpacing/>
    </w:pPr>
    <w:rPr>
      <w:rFonts w:ascii="Calibri" w:eastAsia="Calibri" w:hAnsi="Calibri"/>
      <w:sz w:val="22"/>
      <w:szCs w:val="22"/>
      <w:lang w:eastAsia="en-US"/>
    </w:rPr>
  </w:style>
  <w:style w:type="paragraph" w:customStyle="1" w:styleId="style4316">
    <w:name w:val="ftref Char Car Char Car Char Car Char Car Char Car"/>
    <w:basedOn w:val="style0"/>
    <w:next w:val="style0"/>
    <w:uiPriority w:val="99"/>
    <w:pPr>
      <w:spacing w:after="160" w:lineRule="exact" w:line="240"/>
    </w:pPr>
    <w:rPr>
      <w:rFonts w:ascii="Calibri" w:cs="宋体" w:eastAsia="Calibri" w:hAnsi="Calibri"/>
      <w:sz w:val="22"/>
      <w:szCs w:val="22"/>
      <w:vertAlign w:val="superscript"/>
      <w:lang w:eastAsia="en-US"/>
    </w:rPr>
  </w:style>
</w:styles>
</file>

<file path=word/_rels/document.xml.rels><?xml version="1.0" encoding="UTF-8"?>
<Relationships xmlns="http://schemas.openxmlformats.org/package/2006/relationships"><Relationship Id="rId12" Type="http://schemas.openxmlformats.org/officeDocument/2006/relationships/image" Target="media/image2.emf"/><Relationship Id="rId16" Type="http://schemas.openxmlformats.org/officeDocument/2006/relationships/image" Target="media/image3.png"/><Relationship Id="rId20" Type="http://schemas.openxmlformats.org/officeDocument/2006/relationships/image" Target="media/image5.jpeg"/><Relationship Id="rId15" Type="http://schemas.openxmlformats.org/officeDocument/2006/relationships/footer" Target="footer11.xml"/><Relationship Id="rId11" Type="http://schemas.openxmlformats.org/officeDocument/2006/relationships/header" Target="header8.xml"/><Relationship Id="rId7" Type="http://schemas.openxmlformats.org/officeDocument/2006/relationships/image" Target="media/image2.png"/><Relationship Id="rId14" Type="http://schemas.openxmlformats.org/officeDocument/2006/relationships/footer" Target="footer10.xml"/><Relationship Id="rId25" Type="http://schemas.openxmlformats.org/officeDocument/2006/relationships/theme" Target="theme/theme1.xml"/><Relationship Id="rId8" Type="http://schemas.openxmlformats.org/officeDocument/2006/relationships/footer" Target="footer5.xml"/><Relationship Id="rId13" Type="http://schemas.openxmlformats.org/officeDocument/2006/relationships/footer" Target="footer9.xml"/><Relationship Id="rId4" Type="http://schemas.openxmlformats.org/officeDocument/2006/relationships/footer" Target="footer2.xml"/><Relationship Id="rId9" Type="http://schemas.openxmlformats.org/officeDocument/2006/relationships/footer" Target="footer6.xml"/><Relationship Id="rId1" Type="http://schemas.openxmlformats.org/officeDocument/2006/relationships/numbering" Target="numbering.xml"/><Relationship Id="rId22" Type="http://schemas.openxmlformats.org/officeDocument/2006/relationships/styles" Target="styles.xml"/><Relationship Id="rId18" Type="http://schemas.openxmlformats.org/officeDocument/2006/relationships/image" Target="media/image3.jpeg"/><Relationship Id="rId5" Type="http://schemas.openxmlformats.org/officeDocument/2006/relationships/footer" Target="footer3.xml"/><Relationship Id="rId26" Type="http://schemas.openxmlformats.org/officeDocument/2006/relationships/customXml" Target="../customXml/item1.xml"/><Relationship Id="rId24" Type="http://schemas.openxmlformats.org/officeDocument/2006/relationships/settings" Target="settings.xml"/><Relationship Id="rId2" Type="http://schemas.openxmlformats.org/officeDocument/2006/relationships/image" Target="media/image1.png"/><Relationship Id="rId21"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footer" Target="footer7.xml"/><Relationship Id="rId19" Type="http://schemas.openxmlformats.org/officeDocument/2006/relationships/image" Target="media/image4.jpeg"/><Relationship Id="rId17" Type="http://schemas.openxmlformats.org/officeDocument/2006/relationships/image" Target="media/image2.jpeg"/><Relationship Id="rId3" Type="http://schemas.openxmlformats.org/officeDocument/2006/relationships/footer" Target="footer1.xml"/><Relationship Id="rId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A4DD5-A817-4C8D-A0B9-46165386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49705</Words>
  <Pages>139</Pages>
  <Characters>283265</Characters>
  <Application>WPS Office</Application>
  <DocSecurity>0</DocSecurity>
  <Paragraphs>6146</Paragraphs>
  <ScaleCrop>false</ScaleCrop>
  <Company>The World Bank Group</Company>
  <LinksUpToDate>false</LinksUpToDate>
  <CharactersWithSpaces>329867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2019-03-07T18:00:02Z</dcterms:created>
  <dc:creator>Mbaye Mbengue FAYE</dc:creator>
  <lastModifiedBy>SM-T285</lastModifiedBy>
  <lastPrinted>2019-03-06T10:33:00Z</lastPrinted>
  <dcterms:modified xsi:type="dcterms:W3CDTF">2019-03-07T18:00:06Z</dcterms:modified>
  <revision>2</revision>
  <dc:subject>CGES PISE 2</dc:subject>
  <dc:title>REPUBLIQUE DU MALI - MEN</dc:title>
</coreProperties>
</file>

<file path=docProps/custom.xml><?xml version="1.0" encoding="utf-8"?>
<Properties xmlns="http://schemas.openxmlformats.org/officeDocument/2006/custom-properties" xmlns:vt="http://schemas.openxmlformats.org/officeDocument/2006/docPropsVTypes"/>
</file>