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3681"/>
        <w:gridCol w:w="3260"/>
        <w:gridCol w:w="2698"/>
      </w:tblGrid>
      <w:tr w:rsidR="006E35D3" w:rsidRPr="00EB4EBB" w:rsidTr="002A1A91">
        <w:tc>
          <w:tcPr>
            <w:tcW w:w="3681" w:type="dxa"/>
          </w:tcPr>
          <w:p w:rsidR="002A1A91" w:rsidRDefault="006E35D3" w:rsidP="00116D1F">
            <w:pPr>
              <w:spacing w:line="276" w:lineRule="auto"/>
              <w:jc w:val="both"/>
              <w:rPr>
                <w:b/>
                <w:bCs/>
                <w:sz w:val="22"/>
              </w:rPr>
            </w:pPr>
            <w:r w:rsidRPr="00EB4EBB">
              <w:rPr>
                <w:b/>
                <w:bCs/>
                <w:sz w:val="22"/>
              </w:rPr>
              <w:t>MINISTERE DE L’AGRICULTURE</w:t>
            </w:r>
            <w:r>
              <w:rPr>
                <w:b/>
                <w:bCs/>
                <w:sz w:val="22"/>
              </w:rPr>
              <w:t xml:space="preserve"> </w:t>
            </w:r>
          </w:p>
          <w:p w:rsidR="006E35D3" w:rsidRPr="000C41C4" w:rsidRDefault="006E35D3" w:rsidP="00116D1F">
            <w:pPr>
              <w:spacing w:line="276" w:lineRule="auto"/>
              <w:rPr>
                <w:b/>
                <w:bCs/>
                <w:sz w:val="22"/>
              </w:rPr>
            </w:pPr>
            <w:r>
              <w:rPr>
                <w:b/>
                <w:bCs/>
                <w:sz w:val="22"/>
              </w:rPr>
              <w:t>ET</w:t>
            </w:r>
            <w:r w:rsidR="002A1A91">
              <w:rPr>
                <w:b/>
                <w:bCs/>
                <w:sz w:val="22"/>
              </w:rPr>
              <w:t xml:space="preserve"> DES </w:t>
            </w:r>
            <w:r>
              <w:rPr>
                <w:b/>
                <w:bCs/>
                <w:sz w:val="22"/>
              </w:rPr>
              <w:t xml:space="preserve">AMENAGEMENTS </w:t>
            </w:r>
            <w:r w:rsidR="002A1A91">
              <w:rPr>
                <w:b/>
                <w:bCs/>
                <w:sz w:val="22"/>
              </w:rPr>
              <w:t>H</w:t>
            </w:r>
            <w:r>
              <w:rPr>
                <w:b/>
                <w:bCs/>
                <w:sz w:val="22"/>
              </w:rPr>
              <w:t>YDRO</w:t>
            </w:r>
            <w:r w:rsidR="007636BF">
              <w:rPr>
                <w:b/>
                <w:bCs/>
                <w:sz w:val="22"/>
              </w:rPr>
              <w:t>-</w:t>
            </w:r>
            <w:r>
              <w:rPr>
                <w:b/>
                <w:bCs/>
                <w:sz w:val="22"/>
              </w:rPr>
              <w:t>AGRICOLES</w:t>
            </w:r>
          </w:p>
          <w:p w:rsidR="006E35D3" w:rsidRPr="00EB4EBB" w:rsidRDefault="0027429F" w:rsidP="00E443D1">
            <w:pPr>
              <w:spacing w:line="220" w:lineRule="exact"/>
              <w:jc w:val="both"/>
              <w:rPr>
                <w:b/>
                <w:bCs/>
                <w:sz w:val="22"/>
              </w:rPr>
            </w:pPr>
            <w:r>
              <w:rPr>
                <w:b/>
                <w:bCs/>
                <w:sz w:val="22"/>
              </w:rPr>
              <w:t xml:space="preserve">                </w:t>
            </w:r>
            <w:r w:rsidR="006E35D3" w:rsidRPr="00EB4EBB">
              <w:rPr>
                <w:b/>
                <w:bCs/>
                <w:sz w:val="22"/>
              </w:rPr>
              <w:t>----------</w:t>
            </w:r>
          </w:p>
          <w:p w:rsidR="006E35D3" w:rsidRPr="00EB4EBB" w:rsidRDefault="006E35D3" w:rsidP="00E443D1">
            <w:pPr>
              <w:spacing w:line="220" w:lineRule="exact"/>
              <w:jc w:val="both"/>
              <w:rPr>
                <w:b/>
                <w:bCs/>
                <w:sz w:val="22"/>
              </w:rPr>
            </w:pPr>
            <w:r w:rsidRPr="00EB4EBB">
              <w:rPr>
                <w:b/>
                <w:bCs/>
                <w:sz w:val="22"/>
              </w:rPr>
              <w:t>SECRETARIAT GENERAL</w:t>
            </w:r>
          </w:p>
          <w:p w:rsidR="006E35D3" w:rsidRPr="00EB4EBB" w:rsidRDefault="0027429F" w:rsidP="00E443D1">
            <w:pPr>
              <w:spacing w:line="220" w:lineRule="exact"/>
              <w:jc w:val="both"/>
              <w:rPr>
                <w:b/>
                <w:bCs/>
                <w:sz w:val="22"/>
              </w:rPr>
            </w:pPr>
            <w:r>
              <w:rPr>
                <w:b/>
                <w:bCs/>
                <w:sz w:val="22"/>
              </w:rPr>
              <w:t xml:space="preserve">                </w:t>
            </w:r>
            <w:r w:rsidR="006E35D3" w:rsidRPr="00EB4EBB">
              <w:rPr>
                <w:b/>
                <w:bCs/>
                <w:sz w:val="22"/>
              </w:rPr>
              <w:t>----------</w:t>
            </w:r>
          </w:p>
          <w:p w:rsidR="006E35D3" w:rsidRDefault="006E35D3" w:rsidP="00E443D1">
            <w:pPr>
              <w:spacing w:line="220" w:lineRule="exact"/>
              <w:jc w:val="both"/>
              <w:rPr>
                <w:b/>
                <w:bCs/>
                <w:sz w:val="22"/>
              </w:rPr>
            </w:pPr>
            <w:r>
              <w:rPr>
                <w:b/>
                <w:bCs/>
                <w:sz w:val="22"/>
              </w:rPr>
              <w:t>DIRECTION GENERALE DES</w:t>
            </w:r>
          </w:p>
          <w:p w:rsidR="006E35D3" w:rsidRDefault="006E35D3" w:rsidP="00E443D1">
            <w:pPr>
              <w:spacing w:line="220" w:lineRule="exact"/>
              <w:jc w:val="both"/>
              <w:rPr>
                <w:b/>
                <w:bCs/>
                <w:sz w:val="22"/>
              </w:rPr>
            </w:pPr>
            <w:r>
              <w:rPr>
                <w:b/>
                <w:bCs/>
                <w:sz w:val="22"/>
              </w:rPr>
              <w:t>PRODUCTIONS VEGETALES</w:t>
            </w:r>
          </w:p>
          <w:p w:rsidR="006E35D3" w:rsidRPr="00EB4EBB" w:rsidRDefault="0015287E" w:rsidP="00E443D1">
            <w:pPr>
              <w:spacing w:line="220" w:lineRule="exact"/>
              <w:jc w:val="both"/>
              <w:rPr>
                <w:b/>
                <w:bCs/>
                <w:sz w:val="22"/>
              </w:rPr>
            </w:pPr>
            <w:r>
              <w:rPr>
                <w:noProof/>
                <w:sz w:val="22"/>
              </w:rPr>
              <mc:AlternateContent>
                <mc:Choice Requires="wps">
                  <w:drawing>
                    <wp:anchor distT="36576" distB="36576" distL="36576" distR="36576" simplePos="0" relativeHeight="251661312" behindDoc="0" locked="0" layoutInCell="1" allowOverlap="1" wp14:anchorId="1632CA6F" wp14:editId="358CCD4E">
                      <wp:simplePos x="0" y="0"/>
                      <wp:positionH relativeFrom="column">
                        <wp:posOffset>127000</wp:posOffset>
                      </wp:positionH>
                      <wp:positionV relativeFrom="paragraph">
                        <wp:posOffset>72390</wp:posOffset>
                      </wp:positionV>
                      <wp:extent cx="1524000" cy="262890"/>
                      <wp:effectExtent l="0" t="0" r="19050" b="22860"/>
                      <wp:wrapNone/>
                      <wp:docPr id="2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2890"/>
                              </a:xfrm>
                              <a:prstGeom prst="rect">
                                <a:avLst/>
                              </a:prstGeom>
                              <a:solidFill>
                                <a:srgbClr val="FFFFFF"/>
                              </a:solidFill>
                              <a:ln w="9525"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4F28" w:rsidRDefault="00C44F28" w:rsidP="00270CFA">
                                  <w:pPr>
                                    <w:pStyle w:val="msoaccenttext7"/>
                                    <w:widowControl w:val="0"/>
                                    <w:jc w:val="both"/>
                                  </w:pPr>
                                  <w:r>
                                    <w:t>03 Septembre 2019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632CA6F" id="_x0000_t202" coordsize="21600,21600" o:spt="202" path="m,l,21600r21600,l21600,xe">
                      <v:stroke joinstyle="miter"/>
                      <v:path gradientshapeok="t" o:connecttype="rect"/>
                    </v:shapetype>
                    <v:shape id="Text Box 284" o:spid="_x0000_s1026" type="#_x0000_t202" style="position:absolute;left:0;text-align:left;margin-left:10pt;margin-top:5.7pt;width:120pt;height:20.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BvAIAAJ8FAAAOAAAAZHJzL2Uyb0RvYy54bWysVF1v2yAUfZ+0/4B4T/2Rb6tOlbjJNKn7&#10;kNppzwRwjIbBAxK7nfbfd8FJGrWbNE3zA+IaONxz7uFe33S1RAdurNAqx8lVjBFXVDOhdjn+8rAZ&#10;zDCyjihGpFY8x4/c4pvF2zfXbZPxVFdaMm4QgCibtU2OK+eaLIosrXhN7JVuuILFUpuaOAjNLmKG&#10;tIBeyyiN40nUasMaoym3Fv7e9ot4EfDLklP3qSwtd0jmGHJzYTRh3PoxWlyTbGdIUwl6TIP8QxY1&#10;EQouPUPdEkfQ3ohXULWgRltduiuq60iXpaA8cAA2SfyCzX1FGh64gDi2Octk/x8s/Xj4bJBgOU7H&#10;GClSQ40eeOfQSnconY28QG1jM9h338BO18ECFDqQtc2dpt8sUrqoiNrxpTG6rThhkGDiT0YXR3sc&#10;60G27QfN4CKydzoAdaWpvXqgBwJ0KNTjuTg+GeqvHKejOIYlCmvpJJ3NQ/Uikp1ON8a6d1zXyE9y&#10;bKD4AZ0c7qzz2ZDstMVfZrUUbCOkDIHZbQtp0IGAUTbhCwRebJMKtTmej71YRO7A8se6/xlsAl9R&#10;/A6sFg68L0Wd4xkwA27BjV7AtWJh7oiQ/RySl8pnyoOre0YQdQ6m4T/oFBz3Y7kZx9PRcDaYTsfD&#10;wWi4jger2aYYLItkMpmuV8Vqnfz0yiSjrBKMcbUOmPb0AJLR3xns+BR7656fwDlBn5XeA8f7irWI&#10;CV+U4XieJhgCeIPptGd9VJI6g5HR7qtwVXC+t4DHsJe1KcJ3lPOMHop7cXH0ilu/owOpQMmTasGf&#10;3pK9OV237UB2b9qtZo/gVEgn2BE6HEwqbZ4waqFb5Nh+3xPDMZLvFbh9OEnmYAl3GZjLYHsZEEUB&#10;KscOTBSmhQstyZNVegmvohTBsM+ZQNo+gC4QCBw7lm8zl3HY9dxXF78AAAD//wMAUEsDBBQABgAI&#10;AAAAIQC56LHo3AAAAAgBAAAPAAAAZHJzL2Rvd25yZXYueG1sTI9LT8MwEITvSPwHa5G4IOokQKhC&#10;nIqHekYpqOpxEy9JRPxQ7Lbpv2d7osedGX07U65mM4oDTWFwVkG6SECQbZ0ebKfg+2t9vwQRIlqN&#10;o7Ok4EQBVtX1VYmFdkdb02ETO8EQGwpU0MfoCylD25PBsHCeLHs/bjIY+Zw6qSc8MtyMMkuSXBoc&#10;LH/o0dN7T+3vZm8U5PXHKU3v2u1b/fA5rxNsdt4/K3V7M7++gIg0x/8wnOtzdai4U+P2VgcxKmA6&#10;J1lPH0Gwn+VnoVHwlC1BVqW8HFD9AQAA//8DAFBLAQItABQABgAIAAAAIQC2gziS/gAAAOEBAAAT&#10;AAAAAAAAAAAAAAAAAAAAAABbQ29udGVudF9UeXBlc10ueG1sUEsBAi0AFAAGAAgAAAAhADj9If/W&#10;AAAAlAEAAAsAAAAAAAAAAAAAAAAALwEAAF9yZWxzLy5yZWxzUEsBAi0AFAAGAAgAAAAhAAu/z8G8&#10;AgAAnwUAAA4AAAAAAAAAAAAAAAAALgIAAGRycy9lMm9Eb2MueG1sUEsBAi0AFAAGAAgAAAAhALno&#10;sejcAAAACAEAAA8AAAAAAAAAAAAAAAAAFgUAAGRycy9kb3ducmV2LnhtbFBLBQYAAAAABAAEAPMA&#10;AAAfBgAAAAA=&#10;" strokecolor="#66c" insetpen="t">
                      <v:shadow color="#ccc"/>
                      <v:textbox inset="2.85pt,2.85pt,2.85pt,2.85pt">
                        <w:txbxContent>
                          <w:p w:rsidR="00C44F28" w:rsidRDefault="00C44F28" w:rsidP="00270CFA">
                            <w:pPr>
                              <w:pStyle w:val="msoaccenttext7"/>
                              <w:widowControl w:val="0"/>
                              <w:jc w:val="both"/>
                            </w:pPr>
                            <w:r>
                              <w:t>03 Septembre 2019</w:t>
                            </w:r>
                          </w:p>
                        </w:txbxContent>
                      </v:textbox>
                    </v:shape>
                  </w:pict>
                </mc:Fallback>
              </mc:AlternateContent>
            </w:r>
          </w:p>
        </w:tc>
        <w:tc>
          <w:tcPr>
            <w:tcW w:w="3260" w:type="dxa"/>
          </w:tcPr>
          <w:tbl>
            <w:tblPr>
              <w:tblpPr w:leftFromText="141" w:rightFromText="141" w:vertAnchor="text" w:horzAnchor="margin" w:tblpXSpec="center" w:tblpY="2"/>
              <w:tblOverlap w:val="never"/>
              <w:tblW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tblGrid>
            <w:tr w:rsidR="006E35D3" w:rsidRPr="00EB4EBB" w:rsidTr="003A0349">
              <w:trPr>
                <w:trHeight w:val="1393"/>
              </w:trPr>
              <w:tc>
                <w:tcPr>
                  <w:tcW w:w="1977" w:type="dxa"/>
                  <w:tcBorders>
                    <w:top w:val="nil"/>
                    <w:left w:val="nil"/>
                    <w:bottom w:val="nil"/>
                    <w:right w:val="nil"/>
                  </w:tcBorders>
                </w:tcPr>
                <w:p w:rsidR="006E35D3" w:rsidRPr="00EB4EBB" w:rsidRDefault="006E35D3" w:rsidP="00796AAA">
                  <w:pPr>
                    <w:tabs>
                      <w:tab w:val="center" w:pos="4536"/>
                      <w:tab w:val="right" w:pos="9072"/>
                    </w:tabs>
                    <w:ind w:right="1300"/>
                    <w:jc w:val="center"/>
                    <w:rPr>
                      <w:b/>
                      <w:sz w:val="22"/>
                    </w:rPr>
                  </w:pPr>
                  <w:r>
                    <w:rPr>
                      <w:b/>
                      <w:noProof/>
                      <w:sz w:val="22"/>
                    </w:rPr>
                    <w:drawing>
                      <wp:inline distT="0" distB="0" distL="0" distR="0" wp14:anchorId="2367FDDD" wp14:editId="6782D91B">
                        <wp:extent cx="914400" cy="966470"/>
                        <wp:effectExtent l="19050" t="0" r="0" b="0"/>
                        <wp:docPr id="1" name="Image 1" descr="Armoirie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BF"/>
                                <pic:cNvPicPr>
                                  <a:picLocks noChangeAspect="1" noChangeArrowheads="1"/>
                                </pic:cNvPicPr>
                              </pic:nvPicPr>
                              <pic:blipFill>
                                <a:blip r:embed="rId8"/>
                                <a:srcRect/>
                                <a:stretch>
                                  <a:fillRect/>
                                </a:stretch>
                              </pic:blipFill>
                              <pic:spPr bwMode="auto">
                                <a:xfrm>
                                  <a:off x="0" y="0"/>
                                  <a:ext cx="914400" cy="966470"/>
                                </a:xfrm>
                                <a:prstGeom prst="rect">
                                  <a:avLst/>
                                </a:prstGeom>
                                <a:noFill/>
                                <a:ln w="9525">
                                  <a:noFill/>
                                  <a:miter lim="800000"/>
                                  <a:headEnd/>
                                  <a:tailEnd/>
                                </a:ln>
                              </pic:spPr>
                            </pic:pic>
                          </a:graphicData>
                        </a:graphic>
                      </wp:inline>
                    </w:drawing>
                  </w:r>
                </w:p>
              </w:tc>
            </w:tr>
          </w:tbl>
          <w:p w:rsidR="006E35D3" w:rsidRPr="00EB4EBB" w:rsidRDefault="001A6D60" w:rsidP="00E443D1">
            <w:pPr>
              <w:jc w:val="both"/>
              <w:rPr>
                <w:b/>
                <w:bCs/>
                <w:sz w:val="22"/>
              </w:rPr>
            </w:pPr>
            <w:r>
              <w:rPr>
                <w:noProof/>
              </w:rPr>
              <mc:AlternateContent>
                <mc:Choice Requires="wps">
                  <w:drawing>
                    <wp:anchor distT="36576" distB="36576" distL="36576" distR="36576" simplePos="0" relativeHeight="251660288" behindDoc="0" locked="0" layoutInCell="1" allowOverlap="1" wp14:anchorId="21CFC823" wp14:editId="3B3DACB3">
                      <wp:simplePos x="0" y="0"/>
                      <wp:positionH relativeFrom="column">
                        <wp:posOffset>-581660</wp:posOffset>
                      </wp:positionH>
                      <wp:positionV relativeFrom="paragraph">
                        <wp:posOffset>1410970</wp:posOffset>
                      </wp:positionV>
                      <wp:extent cx="4558665" cy="568325"/>
                      <wp:effectExtent l="0" t="0" r="0" b="3175"/>
                      <wp:wrapNone/>
                      <wp:docPr id="2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68325"/>
                              </a:xfrm>
                              <a:prstGeom prst="rect">
                                <a:avLst/>
                              </a:prstGeom>
                              <a:solidFill>
                                <a:srgbClr val="666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4F28" w:rsidRDefault="00C44F28" w:rsidP="00270CFA">
                                  <w:pPr>
                                    <w:pStyle w:val="msotitle2"/>
                                    <w:widowControl w:val="0"/>
                                    <w:jc w:val="both"/>
                                    <w:rPr>
                                      <w:sz w:val="22"/>
                                      <w:szCs w:val="24"/>
                                    </w:rPr>
                                  </w:pPr>
                                </w:p>
                                <w:p w:rsidR="00C44F28" w:rsidRDefault="00C44F28" w:rsidP="00270CFA">
                                  <w:pPr>
                                    <w:pStyle w:val="msotitle2"/>
                                    <w:widowControl w:val="0"/>
                                    <w:jc w:val="both"/>
                                    <w:rPr>
                                      <w:sz w:val="22"/>
                                      <w:szCs w:val="24"/>
                                    </w:rPr>
                                  </w:pPr>
                                  <w:r w:rsidRPr="001D4725">
                                    <w:rPr>
                                      <w:sz w:val="22"/>
                                      <w:szCs w:val="24"/>
                                    </w:rPr>
                                    <w:t xml:space="preserve">Bulletin de suivi décadaire de la campagne </w:t>
                                  </w:r>
                                  <w:r>
                                    <w:rPr>
                                      <w:sz w:val="22"/>
                                      <w:szCs w:val="24"/>
                                    </w:rPr>
                                    <w:t>agricole 2019-2020</w:t>
                                  </w:r>
                                </w:p>
                                <w:p w:rsidR="00C44F28" w:rsidRPr="001D4725" w:rsidRDefault="00C44F28" w:rsidP="006E35D3">
                                  <w:pPr>
                                    <w:pStyle w:val="msotitle2"/>
                                    <w:widowControl w:val="0"/>
                                    <w:jc w:val="center"/>
                                    <w:rPr>
                                      <w:sz w:val="22"/>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1CFC823" id="Text Box 283" o:spid="_x0000_s1027" type="#_x0000_t202" style="position:absolute;left:0;text-align:left;margin-left:-45.8pt;margin-top:111.1pt;width:358.95pt;height:4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kO8wIAAE0GAAAOAAAAZHJzL2Uyb0RvYy54bWysVduO0zAQfUfiHyy/Z3Np7toUtdkWIS0X&#10;aRfx7CZOY5HYwXY3XRD/ztjpFXhAQB4iTzw+njkzZ3L7at936IlKxQQvsH/jYUR5JWrGtwX++Lh2&#10;UoyUJrwmneC0wM9U4Vfzly9uxyGngWhFV1OJAISrfBwK3Go95K6rqpb2RN2IgXLYbITsiQZTbt1a&#10;khHQ+84NPC92RyHrQYqKKgVf76ZNPLf4TUMr/b5pFNWoKzDEpu1b2vfGvN35Lcm3kgwtqw5hkL+I&#10;oieMw6UnqDuiCdpJ9gtUzyoplGj0TSV6VzQNq6jNAbLxvZ+yeWjJQG0uQI4aTjSp/wdbvXv6IBGr&#10;CxwkGHHSQ40e6V6jpdijIJ0ZgsZB5eD3MICn3sMGFNomq4Z7UX1WiIuyJXxLF1KKsaWkhgB9c9K9&#10;ODrhKAOyGd+KGi4iOy0s0L6RvWEP+ECADoV6PhXHBFPBxzCK0jiOMKpgL4rTWRDZK0h+PD1IpV9T&#10;0SOzKLCE4lt08nSvtImG5EcXc5kSHavXrOusIbebspPoiUCjxPCU5QH9yq3jxpkLc2xCnL5Q22rT&#10;NSSHkGFpPE3wtg2+ZX4Qessgc9ZxmjjhOoycLPFSx/OzZRZ7YRberb+bcP0wb1ldU37POD22pB/+&#10;WckP4piayTYlGi2fpNuCPg9NepWSuszcs8/vMu+ZBqF2rC9wenIiuan2itfABck1Yd20dq+zsNQD&#10;FdeMLNaRl4Sz1EmSaOaEs5XnLNN16SxKP46T1bJcrvxrRlaWZfXvpNhAjiUzhthBdg9tPaKamd6Z&#10;RVngYzBgVATJlC+aOKy0xEgK/Ynp1grU8Gswrogs7XMg8oQ+EXG++IKnQ25nqqBbj31kZWSUM2lI&#10;7zd7K1mrMSOxjaifQVcQlS02zGNYtEJ+xWiE2VZg9WVHJMWoe8NBm7PYz0BI+tKQl8bm0iC8AqgC&#10;a4ymZantADU5c7EADTfMyuscCWRhDJhZNp/DfDVD8dK2Xue/wPwHAAAA//8DAFBLAwQUAAYACAAA&#10;ACEAimFEvOAAAAALAQAADwAAAGRycy9kb3ducmV2LnhtbEyPTU/DMAyG70j8h8hI3Lb0Q2q3rumE&#10;kECIGwMO3LzGaysap22yrf33hBP4ZvnR6+ct97PpxYUm11lWEK8jEMS11R03Cj7en1YbEM4ja+wt&#10;k4KFHOyr25sSC22v/EaXg29ECGFXoILW+6GQ0tUtGXRrOxCH28lOBn1Yp0bqCa8h3PQyiaJMGuw4&#10;fGhxoMeW6u/D2SjIk3l4fvnCZUyXTXf6rF/bfByVur+bH3YgPM3+D4Zf/aAOVXA62jNrJ3oFq22c&#10;BVRBEgZEILIkS0EcFaRxnIOsSvm/Q/UDAAD//wMAUEsBAi0AFAAGAAgAAAAhALaDOJL+AAAA4QEA&#10;ABMAAAAAAAAAAAAAAAAAAAAAAFtDb250ZW50X1R5cGVzXS54bWxQSwECLQAUAAYACAAAACEAOP0h&#10;/9YAAACUAQAACwAAAAAAAAAAAAAAAAAvAQAAX3JlbHMvLnJlbHNQSwECLQAUAAYACAAAACEAY26Z&#10;DvMCAABNBgAADgAAAAAAAAAAAAAAAAAuAgAAZHJzL2Uyb0RvYy54bWxQSwECLQAUAAYACAAAACEA&#10;imFEvOAAAAALAQAADwAAAAAAAAAAAAAAAABNBQAAZHJzL2Rvd25yZXYueG1sUEsFBgAAAAAEAAQA&#10;8wAAAFoGAAAAAA==&#10;" fillcolor="#66c" stroked="f" strokeweight="0" insetpen="t">
                      <v:shadow color="#ccc"/>
                      <v:textbox inset="2.85pt,2.85pt,2.85pt,2.85pt">
                        <w:txbxContent>
                          <w:p w:rsidR="00C44F28" w:rsidRDefault="00C44F28" w:rsidP="00270CFA">
                            <w:pPr>
                              <w:pStyle w:val="msotitle2"/>
                              <w:widowControl w:val="0"/>
                              <w:jc w:val="both"/>
                              <w:rPr>
                                <w:sz w:val="22"/>
                                <w:szCs w:val="24"/>
                              </w:rPr>
                            </w:pPr>
                          </w:p>
                          <w:p w:rsidR="00C44F28" w:rsidRDefault="00C44F28" w:rsidP="00270CFA">
                            <w:pPr>
                              <w:pStyle w:val="msotitle2"/>
                              <w:widowControl w:val="0"/>
                              <w:jc w:val="both"/>
                              <w:rPr>
                                <w:sz w:val="22"/>
                                <w:szCs w:val="24"/>
                              </w:rPr>
                            </w:pPr>
                            <w:r w:rsidRPr="001D4725">
                              <w:rPr>
                                <w:sz w:val="22"/>
                                <w:szCs w:val="24"/>
                              </w:rPr>
                              <w:t xml:space="preserve">Bulletin de suivi décadaire de la campagne </w:t>
                            </w:r>
                            <w:r>
                              <w:rPr>
                                <w:sz w:val="22"/>
                                <w:szCs w:val="24"/>
                              </w:rPr>
                              <w:t>agricole 2019-2020</w:t>
                            </w:r>
                          </w:p>
                          <w:p w:rsidR="00C44F28" w:rsidRPr="001D4725" w:rsidRDefault="00C44F28" w:rsidP="006E35D3">
                            <w:pPr>
                              <w:pStyle w:val="msotitle2"/>
                              <w:widowControl w:val="0"/>
                              <w:jc w:val="center"/>
                              <w:rPr>
                                <w:sz w:val="22"/>
                                <w:szCs w:val="24"/>
                              </w:rPr>
                            </w:pPr>
                          </w:p>
                        </w:txbxContent>
                      </v:textbox>
                    </v:shape>
                  </w:pict>
                </mc:Fallback>
              </mc:AlternateContent>
            </w:r>
          </w:p>
        </w:tc>
        <w:tc>
          <w:tcPr>
            <w:tcW w:w="2698" w:type="dxa"/>
          </w:tcPr>
          <w:p w:rsidR="006E35D3" w:rsidRPr="00065A53" w:rsidRDefault="006E35D3" w:rsidP="00796AAA">
            <w:pPr>
              <w:rPr>
                <w:b/>
                <w:bCs/>
                <w:sz w:val="22"/>
                <w:szCs w:val="22"/>
              </w:rPr>
            </w:pPr>
            <w:r w:rsidRPr="00065A53">
              <w:rPr>
                <w:b/>
                <w:bCs/>
                <w:sz w:val="22"/>
                <w:szCs w:val="22"/>
              </w:rPr>
              <w:t>BURKINA FASO</w:t>
            </w:r>
          </w:p>
          <w:p w:rsidR="006E35D3" w:rsidRPr="00EB4EBB" w:rsidRDefault="006E35D3" w:rsidP="00796AAA">
            <w:pPr>
              <w:ind w:left="-70"/>
              <w:jc w:val="center"/>
              <w:rPr>
                <w:sz w:val="20"/>
              </w:rPr>
            </w:pPr>
            <w:r w:rsidRPr="00EB4EBB">
              <w:rPr>
                <w:sz w:val="20"/>
              </w:rPr>
              <w:t>---------</w:t>
            </w:r>
          </w:p>
          <w:p w:rsidR="006E35D3" w:rsidRPr="00065A53" w:rsidRDefault="006E35D3" w:rsidP="00E443D1">
            <w:pPr>
              <w:ind w:right="-212"/>
              <w:jc w:val="both"/>
              <w:rPr>
                <w:sz w:val="22"/>
                <w:szCs w:val="22"/>
              </w:rPr>
            </w:pPr>
            <w:r w:rsidRPr="00065A53">
              <w:rPr>
                <w:sz w:val="22"/>
                <w:szCs w:val="22"/>
              </w:rPr>
              <w:t>Unité – Progrès – Justice</w:t>
            </w:r>
          </w:p>
          <w:p w:rsidR="006E35D3" w:rsidRPr="00EB4EBB" w:rsidRDefault="006E35D3" w:rsidP="00E443D1">
            <w:pPr>
              <w:jc w:val="both"/>
              <w:rPr>
                <w:b/>
                <w:bCs/>
                <w:sz w:val="22"/>
              </w:rPr>
            </w:pPr>
          </w:p>
        </w:tc>
      </w:tr>
    </w:tbl>
    <w:p w:rsidR="006E35D3" w:rsidRPr="00CB5EA7" w:rsidRDefault="000D03B0" w:rsidP="006E35D3">
      <w:pPr>
        <w:numPr>
          <w:ilvl w:val="0"/>
          <w:numId w:val="1"/>
        </w:numPr>
        <w:rPr>
          <w:b/>
          <w:sz w:val="28"/>
          <w:u w:val="single"/>
        </w:rPr>
      </w:pPr>
      <w:r>
        <w:rPr>
          <w:noProof/>
        </w:rPr>
        <mc:AlternateContent>
          <mc:Choice Requires="wps">
            <w:drawing>
              <wp:anchor distT="36576" distB="36576" distL="36576" distR="36576" simplePos="0" relativeHeight="251665408" behindDoc="0" locked="0" layoutInCell="1" allowOverlap="1" wp14:anchorId="05095E2E" wp14:editId="536EC814">
                <wp:simplePos x="0" y="0"/>
                <wp:positionH relativeFrom="margin">
                  <wp:align>left</wp:align>
                </wp:positionH>
                <wp:positionV relativeFrom="paragraph">
                  <wp:posOffset>5989734</wp:posOffset>
                </wp:positionV>
                <wp:extent cx="6073775" cy="1423283"/>
                <wp:effectExtent l="0" t="0" r="3175" b="5715"/>
                <wp:wrapNone/>
                <wp:docPr id="3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423283"/>
                        </a:xfrm>
                        <a:prstGeom prst="rect">
                          <a:avLst/>
                        </a:prstGeom>
                        <a:solidFill>
                          <a:srgbClr val="66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sdt>
                            <w:sdtPr>
                              <w:rPr>
                                <w:rFonts w:ascii="Times New Roman" w:eastAsia="Times New Roman" w:hAnsi="Times New Roman" w:cs="Times New Roman"/>
                                <w:color w:val="auto"/>
                                <w:sz w:val="24"/>
                                <w:szCs w:val="24"/>
                              </w:rPr>
                              <w:id w:val="-1938512230"/>
                              <w:docPartObj>
                                <w:docPartGallery w:val="Table of Contents"/>
                                <w:docPartUnique/>
                              </w:docPartObj>
                            </w:sdtPr>
                            <w:sdtEndPr>
                              <w:rPr>
                                <w:b/>
                                <w:bCs/>
                              </w:rPr>
                            </w:sdtEndPr>
                            <w:sdtContent>
                              <w:p w:rsidR="00C44F28" w:rsidRPr="0000516A" w:rsidRDefault="00C44F28" w:rsidP="0000516A">
                                <w:pPr>
                                  <w:pStyle w:val="En-ttedetabledesmatires"/>
                                  <w:spacing w:before="0"/>
                                  <w:rPr>
                                    <w:rFonts w:ascii="Clarendon" w:hAnsi="Clarendon"/>
                                    <w:b/>
                                    <w:color w:val="auto"/>
                                    <w:sz w:val="20"/>
                                    <w:szCs w:val="20"/>
                                  </w:rPr>
                                </w:pPr>
                                <w:r w:rsidRPr="0000516A">
                                  <w:rPr>
                                    <w:rFonts w:ascii="Clarendon" w:hAnsi="Clarendon"/>
                                    <w:b/>
                                    <w:color w:val="auto"/>
                                    <w:sz w:val="20"/>
                                    <w:szCs w:val="20"/>
                                  </w:rPr>
                                  <w:t>Sommaire</w:t>
                                </w:r>
                              </w:p>
                              <w:p w:rsidR="000D03B0" w:rsidRDefault="00C44F28">
                                <w:pPr>
                                  <w:pStyle w:val="TM1"/>
                                  <w:tabs>
                                    <w:tab w:val="left" w:pos="4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8418939" w:history="1">
                                  <w:r w:rsidR="000D03B0" w:rsidRPr="002F6DC9">
                                    <w:rPr>
                                      <w:rStyle w:val="Lienhypertexte"/>
                                      <w:b/>
                                      <w:noProof/>
                                    </w:rPr>
                                    <w:t>1.</w:t>
                                  </w:r>
                                  <w:r w:rsidR="000D03B0">
                                    <w:rPr>
                                      <w:rFonts w:asciiTheme="minorHAnsi" w:eastAsiaTheme="minorEastAsia" w:hAnsiTheme="minorHAnsi" w:cstheme="minorBidi"/>
                                      <w:noProof/>
                                      <w:sz w:val="22"/>
                                      <w:szCs w:val="22"/>
                                    </w:rPr>
                                    <w:tab/>
                                  </w:r>
                                  <w:r w:rsidR="000D03B0" w:rsidRPr="002F6DC9">
                                    <w:rPr>
                                      <w:rStyle w:val="Lienhypertexte"/>
                                      <w:b/>
                                      <w:noProof/>
                                    </w:rPr>
                                    <w:t>Pluviométrie de la décade</w:t>
                                  </w:r>
                                  <w:r w:rsidR="000D03B0">
                                    <w:rPr>
                                      <w:noProof/>
                                      <w:webHidden/>
                                    </w:rPr>
                                    <w:tab/>
                                  </w:r>
                                  <w:r w:rsidR="000D03B0">
                                    <w:rPr>
                                      <w:noProof/>
                                      <w:webHidden/>
                                    </w:rPr>
                                    <w:fldChar w:fldCharType="begin"/>
                                  </w:r>
                                  <w:r w:rsidR="000D03B0">
                                    <w:rPr>
                                      <w:noProof/>
                                      <w:webHidden/>
                                    </w:rPr>
                                    <w:instrText xml:space="preserve"> PAGEREF _Toc18418939 \h </w:instrText>
                                  </w:r>
                                  <w:r w:rsidR="000D03B0">
                                    <w:rPr>
                                      <w:noProof/>
                                      <w:webHidden/>
                                    </w:rPr>
                                  </w:r>
                                  <w:r w:rsidR="000D03B0">
                                    <w:rPr>
                                      <w:noProof/>
                                      <w:webHidden/>
                                    </w:rPr>
                                    <w:fldChar w:fldCharType="separate"/>
                                  </w:r>
                                  <w:r w:rsidR="000D03B0">
                                    <w:rPr>
                                      <w:noProof/>
                                      <w:webHidden/>
                                    </w:rPr>
                                    <w:t>1</w:t>
                                  </w:r>
                                  <w:r w:rsidR="000D03B0">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0" w:history="1">
                                  <w:r w:rsidRPr="002F6DC9">
                                    <w:rPr>
                                      <w:rStyle w:val="Lienhypertexte"/>
                                      <w:b/>
                                      <w:noProof/>
                                    </w:rPr>
                                    <w:t>2.</w:t>
                                  </w:r>
                                  <w:r>
                                    <w:rPr>
                                      <w:rFonts w:asciiTheme="minorHAnsi" w:eastAsiaTheme="minorEastAsia" w:hAnsiTheme="minorHAnsi" w:cstheme="minorBidi"/>
                                      <w:noProof/>
                                      <w:sz w:val="22"/>
                                      <w:szCs w:val="22"/>
                                    </w:rPr>
                                    <w:tab/>
                                  </w:r>
                                  <w:r w:rsidRPr="002F6DC9">
                                    <w:rPr>
                                      <w:rStyle w:val="Lienhypertexte"/>
                                      <w:b/>
                                      <w:noProof/>
                                    </w:rPr>
                                    <w:t>Evolution du cumul pluviométrique au 31 août 2019</w:t>
                                  </w:r>
                                  <w:r>
                                    <w:rPr>
                                      <w:noProof/>
                                      <w:webHidden/>
                                    </w:rPr>
                                    <w:tab/>
                                  </w:r>
                                  <w:r>
                                    <w:rPr>
                                      <w:noProof/>
                                      <w:webHidden/>
                                    </w:rPr>
                                    <w:fldChar w:fldCharType="begin"/>
                                  </w:r>
                                  <w:r>
                                    <w:rPr>
                                      <w:noProof/>
                                      <w:webHidden/>
                                    </w:rPr>
                                    <w:instrText xml:space="preserve"> PAGEREF _Toc18418940 \h </w:instrText>
                                  </w:r>
                                  <w:r>
                                    <w:rPr>
                                      <w:noProof/>
                                      <w:webHidden/>
                                    </w:rPr>
                                  </w:r>
                                  <w:r>
                                    <w:rPr>
                                      <w:noProof/>
                                      <w:webHidden/>
                                    </w:rPr>
                                    <w:fldChar w:fldCharType="separate"/>
                                  </w:r>
                                  <w:r>
                                    <w:rPr>
                                      <w:noProof/>
                                      <w:webHidden/>
                                    </w:rPr>
                                    <w:t>1</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1" w:history="1">
                                  <w:r w:rsidRPr="002F6DC9">
                                    <w:rPr>
                                      <w:rStyle w:val="Lienhypertexte"/>
                                      <w:b/>
                                      <w:noProof/>
                                    </w:rPr>
                                    <w:t>3.</w:t>
                                  </w:r>
                                  <w:r>
                                    <w:rPr>
                                      <w:rFonts w:asciiTheme="minorHAnsi" w:eastAsiaTheme="minorEastAsia" w:hAnsiTheme="minorHAnsi" w:cstheme="minorBidi"/>
                                      <w:noProof/>
                                      <w:sz w:val="22"/>
                                      <w:szCs w:val="22"/>
                                    </w:rPr>
                                    <w:tab/>
                                  </w:r>
                                  <w:r w:rsidRPr="002F6DC9">
                                    <w:rPr>
                                      <w:rStyle w:val="Lienhypertexte"/>
                                      <w:b/>
                                      <w:noProof/>
                                    </w:rPr>
                                    <w:t>Physionomie de la campagne agricole</w:t>
                                  </w:r>
                                  <w:r>
                                    <w:rPr>
                                      <w:noProof/>
                                      <w:webHidden/>
                                    </w:rPr>
                                    <w:tab/>
                                  </w:r>
                                  <w:r>
                                    <w:rPr>
                                      <w:noProof/>
                                      <w:webHidden/>
                                    </w:rPr>
                                    <w:fldChar w:fldCharType="begin"/>
                                  </w:r>
                                  <w:r>
                                    <w:rPr>
                                      <w:noProof/>
                                      <w:webHidden/>
                                    </w:rPr>
                                    <w:instrText xml:space="preserve"> PAGEREF _Toc18418941 \h </w:instrText>
                                  </w:r>
                                  <w:r>
                                    <w:rPr>
                                      <w:noProof/>
                                      <w:webHidden/>
                                    </w:rPr>
                                  </w:r>
                                  <w:r>
                                    <w:rPr>
                                      <w:noProof/>
                                      <w:webHidden/>
                                    </w:rPr>
                                    <w:fldChar w:fldCharType="separate"/>
                                  </w:r>
                                  <w:r>
                                    <w:rPr>
                                      <w:noProof/>
                                      <w:webHidden/>
                                    </w:rPr>
                                    <w:t>3</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3" w:history="1">
                                  <w:r w:rsidRPr="002F6DC9">
                                    <w:rPr>
                                      <w:rStyle w:val="Lienhypertexte"/>
                                      <w:b/>
                                      <w:noProof/>
                                    </w:rPr>
                                    <w:t>4.</w:t>
                                  </w:r>
                                  <w:r>
                                    <w:rPr>
                                      <w:rFonts w:asciiTheme="minorHAnsi" w:eastAsiaTheme="minorEastAsia" w:hAnsiTheme="minorHAnsi" w:cstheme="minorBidi"/>
                                      <w:noProof/>
                                      <w:sz w:val="22"/>
                                      <w:szCs w:val="22"/>
                                    </w:rPr>
                                    <w:tab/>
                                  </w:r>
                                  <w:r w:rsidRPr="002F6DC9">
                                    <w:rPr>
                                      <w:rStyle w:val="Lienhypertexte"/>
                                      <w:b/>
                                      <w:noProof/>
                                    </w:rPr>
                                    <w:t>Situation phytosanitaire</w:t>
                                  </w:r>
                                  <w:r>
                                    <w:rPr>
                                      <w:noProof/>
                                      <w:webHidden/>
                                    </w:rPr>
                                    <w:tab/>
                                  </w:r>
                                  <w:r>
                                    <w:rPr>
                                      <w:noProof/>
                                      <w:webHidden/>
                                    </w:rPr>
                                    <w:fldChar w:fldCharType="begin"/>
                                  </w:r>
                                  <w:r>
                                    <w:rPr>
                                      <w:noProof/>
                                      <w:webHidden/>
                                    </w:rPr>
                                    <w:instrText xml:space="preserve"> PAGEREF _Toc18418943 \h </w:instrText>
                                  </w:r>
                                  <w:r>
                                    <w:rPr>
                                      <w:noProof/>
                                      <w:webHidden/>
                                    </w:rPr>
                                  </w:r>
                                  <w:r>
                                    <w:rPr>
                                      <w:noProof/>
                                      <w:webHidden/>
                                    </w:rPr>
                                    <w:fldChar w:fldCharType="separate"/>
                                  </w:r>
                                  <w:r>
                                    <w:rPr>
                                      <w:noProof/>
                                      <w:webHidden/>
                                    </w:rPr>
                                    <w:t>5</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4" w:history="1">
                                  <w:r w:rsidRPr="002F6DC9">
                                    <w:rPr>
                                      <w:rStyle w:val="Lienhypertexte"/>
                                      <w:b/>
                                      <w:noProof/>
                                    </w:rPr>
                                    <w:t>5.</w:t>
                                  </w:r>
                                  <w:r>
                                    <w:rPr>
                                      <w:rFonts w:asciiTheme="minorHAnsi" w:eastAsiaTheme="minorEastAsia" w:hAnsiTheme="minorHAnsi" w:cstheme="minorBidi"/>
                                      <w:noProof/>
                                      <w:sz w:val="22"/>
                                      <w:szCs w:val="22"/>
                                    </w:rPr>
                                    <w:tab/>
                                  </w:r>
                                  <w:r w:rsidRPr="002F6DC9">
                                    <w:rPr>
                                      <w:rStyle w:val="Lienhypertexte"/>
                                      <w:b/>
                                      <w:noProof/>
                                    </w:rPr>
                                    <w:t>Situation alimentaire et nutritionnelle</w:t>
                                  </w:r>
                                  <w:r>
                                    <w:rPr>
                                      <w:noProof/>
                                      <w:webHidden/>
                                    </w:rPr>
                                    <w:tab/>
                                  </w:r>
                                  <w:r>
                                    <w:rPr>
                                      <w:noProof/>
                                      <w:webHidden/>
                                    </w:rPr>
                                    <w:fldChar w:fldCharType="begin"/>
                                  </w:r>
                                  <w:r>
                                    <w:rPr>
                                      <w:noProof/>
                                      <w:webHidden/>
                                    </w:rPr>
                                    <w:instrText xml:space="preserve"> PAGEREF _Toc18418944 \h </w:instrText>
                                  </w:r>
                                  <w:r>
                                    <w:rPr>
                                      <w:noProof/>
                                      <w:webHidden/>
                                    </w:rPr>
                                  </w:r>
                                  <w:r>
                                    <w:rPr>
                                      <w:noProof/>
                                      <w:webHidden/>
                                    </w:rPr>
                                    <w:fldChar w:fldCharType="separate"/>
                                  </w:r>
                                  <w:r>
                                    <w:rPr>
                                      <w:noProof/>
                                      <w:webHidden/>
                                    </w:rPr>
                                    <w:t>5</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5" w:history="1">
                                  <w:r w:rsidRPr="002F6DC9">
                                    <w:rPr>
                                      <w:rStyle w:val="Lienhypertexte"/>
                                      <w:b/>
                                      <w:noProof/>
                                    </w:rPr>
                                    <w:t>6.</w:t>
                                  </w:r>
                                  <w:r>
                                    <w:rPr>
                                      <w:rFonts w:asciiTheme="minorHAnsi" w:eastAsiaTheme="minorEastAsia" w:hAnsiTheme="minorHAnsi" w:cstheme="minorBidi"/>
                                      <w:noProof/>
                                      <w:sz w:val="22"/>
                                      <w:szCs w:val="22"/>
                                    </w:rPr>
                                    <w:tab/>
                                  </w:r>
                                  <w:r w:rsidRPr="002F6DC9">
                                    <w:rPr>
                                      <w:rStyle w:val="Lienhypertexte"/>
                                      <w:b/>
                                      <w:noProof/>
                                    </w:rPr>
                                    <w:t>Appréciation globale de la campagne</w:t>
                                  </w:r>
                                  <w:r>
                                    <w:rPr>
                                      <w:noProof/>
                                      <w:webHidden/>
                                    </w:rPr>
                                    <w:tab/>
                                  </w:r>
                                  <w:r>
                                    <w:rPr>
                                      <w:noProof/>
                                      <w:webHidden/>
                                    </w:rPr>
                                    <w:fldChar w:fldCharType="begin"/>
                                  </w:r>
                                  <w:r>
                                    <w:rPr>
                                      <w:noProof/>
                                      <w:webHidden/>
                                    </w:rPr>
                                    <w:instrText xml:space="preserve"> PAGEREF _Toc18418945 \h </w:instrText>
                                  </w:r>
                                  <w:r>
                                    <w:rPr>
                                      <w:noProof/>
                                      <w:webHidden/>
                                    </w:rPr>
                                  </w:r>
                                  <w:r>
                                    <w:rPr>
                                      <w:noProof/>
                                      <w:webHidden/>
                                    </w:rPr>
                                    <w:fldChar w:fldCharType="separate"/>
                                  </w:r>
                                  <w:r>
                                    <w:rPr>
                                      <w:noProof/>
                                      <w:webHidden/>
                                    </w:rPr>
                                    <w:t>6</w:t>
                                  </w:r>
                                  <w:r>
                                    <w:rPr>
                                      <w:noProof/>
                                      <w:webHidden/>
                                    </w:rPr>
                                    <w:fldChar w:fldCharType="end"/>
                                  </w:r>
                                </w:hyperlink>
                              </w:p>
                              <w:p w:rsidR="00C44F28" w:rsidRDefault="00C44F28">
                                <w:r>
                                  <w:rPr>
                                    <w:b/>
                                    <w:bCs/>
                                  </w:rPr>
                                  <w:fldChar w:fldCharType="end"/>
                                </w:r>
                              </w:p>
                            </w:sdtContent>
                          </w:sdt>
                          <w:p w:rsidR="00C44F28" w:rsidRPr="009F5F5A" w:rsidRDefault="00C44F28" w:rsidP="006E35D3">
                            <w:pPr>
                              <w:rPr>
                                <w:b/>
                                <w:bCs/>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5095E2E" id="Text Box 287" o:spid="_x0000_s1028" type="#_x0000_t202" style="position:absolute;left:0;text-align:left;margin-left:0;margin-top:471.65pt;width:478.25pt;height:112.0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8k9wIAAE4GAAAOAAAAZHJzL2Uyb0RvYy54bWysVduO0zAQfUfiHyy/Z3Nt0kSbrtpui5CW&#10;i7SLeHZjp7FI7GC7my6If2fs9AovCMhD5InHxzNn5kxu7/Zdi56Z0lyKEoc3AUZMVJJysS3xp6e1&#10;N8VIGyIoaaVgJX5hGt/NXr+6HfqCRbKRLWUKAYjQxdCXuDGmL3xfVw3riL6RPROwWUvVEQOm2vpU&#10;kQHQu9aPgiD1B6lor2TFtIav9+Mmnjn8umaV+VDXmhnUlhhiM+6t3Htj3/7slhRbRfqGV4cwyF9E&#10;0REu4NIT1D0xBO0U/w2q45WSWtbmppKdL+uaV8zlANmEwS/ZPDakZy4XIEf3J5r0/4Ot3j9/VIjT&#10;EschRoJ0UKMntjdoIfcommaWoKHXBfg99uBp9rABhXbJ6v5BVl80EnLZELFlc6Xk0DBCIcDQnvQv&#10;jo442oJshneSwkVkZ6QD2teqs+wBHwjQoVAvp+LYYCr4mAZZnGUTjCrYC5Mojqaxu4MUx+O90uYN&#10;kx2yixIrqL6DJ88P2thwSHF0sbdp2XK65m3rDLXdLFuFngl0SprmeeCaA45cubXCOgtpj42I4xfm&#10;em28hhQQMyytp43e9cH3PIySYBHl3jqdZl6yTiZengVTLwjzRZ4GSZ7cr3/YcMOkaDilTDxwwY49&#10;GSZ/VvODOsZucl2JBkcoabcg0EOXXqWkLzMP3HPg9cqt4waU2vKuxNOTEylsuVeCAhekMIS349q/&#10;zsJRD1RcMzJfT4IsiacelDX2kngVeIvpeunNl2GaZqvFcrEKrxlZOZb1v5PiAjmWzBpyB9k9NnRA&#10;lNveiSd5BIKgHGZFlI35opHDyiiMlDSfuWmcQi2/FuOKyKV7DkSe0Ecizhdf8HTI7UwVtN6xj5yO&#10;rHRGEZn9Zu80G1l8q7GNpC8gLIjKFRsGMiwaqb5hNMBwK7H+uiOKYdS+FSDOOA1zUJK5NNSlsbk0&#10;iKgAqsQGo3G5NG6C2pyFnIOIa+7kdY4EsrAGDC2Xz2HA2ql4aTuv829g9hMAAP//AwBQSwMEFAAG&#10;AAgAAAAhALRKI8/fAAAACQEAAA8AAABkcnMvZG93bnJldi54bWxMj0FPg0AUhO8m/ofNM/FmF2yh&#10;FlkaW2Ni4sEU+wO28GQJ7FvCbgv99z5PepzMZOabfDvbXlxw9K0jBfEiAoFUubqlRsHx6+3hCYQP&#10;mmrdO0IFV/SwLW5vcp3VbqIDXsrQCC4hn2kFJoQhk9JXBq32CzcgsfftRqsDy7GR9agnLre9fIyi&#10;VFrdEi8YPeDeYNWVZ6vgIympe433h/fuOLn19XNn3c4odX83vzyDCDiHvzD84jM6FMx0cmeqvegV&#10;8JGgYLNaLkGwvUnSBMSJc3G6XoEscvn/QfEDAAD//wMAUEsBAi0AFAAGAAgAAAAhALaDOJL+AAAA&#10;4QEAABMAAAAAAAAAAAAAAAAAAAAAAFtDb250ZW50X1R5cGVzXS54bWxQSwECLQAUAAYACAAAACEA&#10;OP0h/9YAAACUAQAACwAAAAAAAAAAAAAAAAAvAQAAX3JlbHMvLnJlbHNQSwECLQAUAAYACAAAACEA&#10;0BcfJPcCAABOBgAADgAAAAAAAAAAAAAAAAAuAgAAZHJzL2Uyb0RvYy54bWxQSwECLQAUAAYACAAA&#10;ACEAtEojz98AAAAJAQAADwAAAAAAAAAAAAAAAABRBQAAZHJzL2Rvd25yZXYueG1sUEsFBgAAAAAE&#10;AAQA8wAAAF0GAAAAAA==&#10;" fillcolor="#690" stroked="f" strokeweight="0" insetpen="t">
                <v:shadow color="#ccc"/>
                <v:textbox inset="2.85pt,2.85pt,2.85pt,2.85pt">
                  <w:txbxContent>
                    <w:sdt>
                      <w:sdtPr>
                        <w:rPr>
                          <w:rFonts w:ascii="Times New Roman" w:eastAsia="Times New Roman" w:hAnsi="Times New Roman" w:cs="Times New Roman"/>
                          <w:color w:val="auto"/>
                          <w:sz w:val="24"/>
                          <w:szCs w:val="24"/>
                        </w:rPr>
                        <w:id w:val="-1938512230"/>
                        <w:docPartObj>
                          <w:docPartGallery w:val="Table of Contents"/>
                          <w:docPartUnique/>
                        </w:docPartObj>
                      </w:sdtPr>
                      <w:sdtEndPr>
                        <w:rPr>
                          <w:b/>
                          <w:bCs/>
                        </w:rPr>
                      </w:sdtEndPr>
                      <w:sdtContent>
                        <w:p w:rsidR="00C44F28" w:rsidRPr="0000516A" w:rsidRDefault="00C44F28" w:rsidP="0000516A">
                          <w:pPr>
                            <w:pStyle w:val="En-ttedetabledesmatires"/>
                            <w:spacing w:before="0"/>
                            <w:rPr>
                              <w:rFonts w:ascii="Clarendon" w:hAnsi="Clarendon"/>
                              <w:b/>
                              <w:color w:val="auto"/>
                              <w:sz w:val="20"/>
                              <w:szCs w:val="20"/>
                            </w:rPr>
                          </w:pPr>
                          <w:r w:rsidRPr="0000516A">
                            <w:rPr>
                              <w:rFonts w:ascii="Clarendon" w:hAnsi="Clarendon"/>
                              <w:b/>
                              <w:color w:val="auto"/>
                              <w:sz w:val="20"/>
                              <w:szCs w:val="20"/>
                            </w:rPr>
                            <w:t>Sommaire</w:t>
                          </w:r>
                        </w:p>
                        <w:p w:rsidR="000D03B0" w:rsidRDefault="00C44F28">
                          <w:pPr>
                            <w:pStyle w:val="TM1"/>
                            <w:tabs>
                              <w:tab w:val="left" w:pos="4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8418939" w:history="1">
                            <w:r w:rsidR="000D03B0" w:rsidRPr="002F6DC9">
                              <w:rPr>
                                <w:rStyle w:val="Lienhypertexte"/>
                                <w:b/>
                                <w:noProof/>
                              </w:rPr>
                              <w:t>1.</w:t>
                            </w:r>
                            <w:r w:rsidR="000D03B0">
                              <w:rPr>
                                <w:rFonts w:asciiTheme="minorHAnsi" w:eastAsiaTheme="minorEastAsia" w:hAnsiTheme="minorHAnsi" w:cstheme="minorBidi"/>
                                <w:noProof/>
                                <w:sz w:val="22"/>
                                <w:szCs w:val="22"/>
                              </w:rPr>
                              <w:tab/>
                            </w:r>
                            <w:r w:rsidR="000D03B0" w:rsidRPr="002F6DC9">
                              <w:rPr>
                                <w:rStyle w:val="Lienhypertexte"/>
                                <w:b/>
                                <w:noProof/>
                              </w:rPr>
                              <w:t>Pluviométrie de la décade</w:t>
                            </w:r>
                            <w:r w:rsidR="000D03B0">
                              <w:rPr>
                                <w:noProof/>
                                <w:webHidden/>
                              </w:rPr>
                              <w:tab/>
                            </w:r>
                            <w:r w:rsidR="000D03B0">
                              <w:rPr>
                                <w:noProof/>
                                <w:webHidden/>
                              </w:rPr>
                              <w:fldChar w:fldCharType="begin"/>
                            </w:r>
                            <w:r w:rsidR="000D03B0">
                              <w:rPr>
                                <w:noProof/>
                                <w:webHidden/>
                              </w:rPr>
                              <w:instrText xml:space="preserve"> PAGEREF _Toc18418939 \h </w:instrText>
                            </w:r>
                            <w:r w:rsidR="000D03B0">
                              <w:rPr>
                                <w:noProof/>
                                <w:webHidden/>
                              </w:rPr>
                            </w:r>
                            <w:r w:rsidR="000D03B0">
                              <w:rPr>
                                <w:noProof/>
                                <w:webHidden/>
                              </w:rPr>
                              <w:fldChar w:fldCharType="separate"/>
                            </w:r>
                            <w:r w:rsidR="000D03B0">
                              <w:rPr>
                                <w:noProof/>
                                <w:webHidden/>
                              </w:rPr>
                              <w:t>1</w:t>
                            </w:r>
                            <w:r w:rsidR="000D03B0">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0" w:history="1">
                            <w:r w:rsidRPr="002F6DC9">
                              <w:rPr>
                                <w:rStyle w:val="Lienhypertexte"/>
                                <w:b/>
                                <w:noProof/>
                              </w:rPr>
                              <w:t>2.</w:t>
                            </w:r>
                            <w:r>
                              <w:rPr>
                                <w:rFonts w:asciiTheme="minorHAnsi" w:eastAsiaTheme="minorEastAsia" w:hAnsiTheme="minorHAnsi" w:cstheme="minorBidi"/>
                                <w:noProof/>
                                <w:sz w:val="22"/>
                                <w:szCs w:val="22"/>
                              </w:rPr>
                              <w:tab/>
                            </w:r>
                            <w:r w:rsidRPr="002F6DC9">
                              <w:rPr>
                                <w:rStyle w:val="Lienhypertexte"/>
                                <w:b/>
                                <w:noProof/>
                              </w:rPr>
                              <w:t>Evolution du cumul pluviométrique au 31 août 2019</w:t>
                            </w:r>
                            <w:r>
                              <w:rPr>
                                <w:noProof/>
                                <w:webHidden/>
                              </w:rPr>
                              <w:tab/>
                            </w:r>
                            <w:r>
                              <w:rPr>
                                <w:noProof/>
                                <w:webHidden/>
                              </w:rPr>
                              <w:fldChar w:fldCharType="begin"/>
                            </w:r>
                            <w:r>
                              <w:rPr>
                                <w:noProof/>
                                <w:webHidden/>
                              </w:rPr>
                              <w:instrText xml:space="preserve"> PAGEREF _Toc18418940 \h </w:instrText>
                            </w:r>
                            <w:r>
                              <w:rPr>
                                <w:noProof/>
                                <w:webHidden/>
                              </w:rPr>
                            </w:r>
                            <w:r>
                              <w:rPr>
                                <w:noProof/>
                                <w:webHidden/>
                              </w:rPr>
                              <w:fldChar w:fldCharType="separate"/>
                            </w:r>
                            <w:r>
                              <w:rPr>
                                <w:noProof/>
                                <w:webHidden/>
                              </w:rPr>
                              <w:t>1</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1" w:history="1">
                            <w:r w:rsidRPr="002F6DC9">
                              <w:rPr>
                                <w:rStyle w:val="Lienhypertexte"/>
                                <w:b/>
                                <w:noProof/>
                              </w:rPr>
                              <w:t>3.</w:t>
                            </w:r>
                            <w:r>
                              <w:rPr>
                                <w:rFonts w:asciiTheme="minorHAnsi" w:eastAsiaTheme="minorEastAsia" w:hAnsiTheme="minorHAnsi" w:cstheme="minorBidi"/>
                                <w:noProof/>
                                <w:sz w:val="22"/>
                                <w:szCs w:val="22"/>
                              </w:rPr>
                              <w:tab/>
                            </w:r>
                            <w:r w:rsidRPr="002F6DC9">
                              <w:rPr>
                                <w:rStyle w:val="Lienhypertexte"/>
                                <w:b/>
                                <w:noProof/>
                              </w:rPr>
                              <w:t>Physionomie de la campagne agricole</w:t>
                            </w:r>
                            <w:r>
                              <w:rPr>
                                <w:noProof/>
                                <w:webHidden/>
                              </w:rPr>
                              <w:tab/>
                            </w:r>
                            <w:r>
                              <w:rPr>
                                <w:noProof/>
                                <w:webHidden/>
                              </w:rPr>
                              <w:fldChar w:fldCharType="begin"/>
                            </w:r>
                            <w:r>
                              <w:rPr>
                                <w:noProof/>
                                <w:webHidden/>
                              </w:rPr>
                              <w:instrText xml:space="preserve"> PAGEREF _Toc18418941 \h </w:instrText>
                            </w:r>
                            <w:r>
                              <w:rPr>
                                <w:noProof/>
                                <w:webHidden/>
                              </w:rPr>
                            </w:r>
                            <w:r>
                              <w:rPr>
                                <w:noProof/>
                                <w:webHidden/>
                              </w:rPr>
                              <w:fldChar w:fldCharType="separate"/>
                            </w:r>
                            <w:r>
                              <w:rPr>
                                <w:noProof/>
                                <w:webHidden/>
                              </w:rPr>
                              <w:t>3</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3" w:history="1">
                            <w:r w:rsidRPr="002F6DC9">
                              <w:rPr>
                                <w:rStyle w:val="Lienhypertexte"/>
                                <w:b/>
                                <w:noProof/>
                              </w:rPr>
                              <w:t>4.</w:t>
                            </w:r>
                            <w:r>
                              <w:rPr>
                                <w:rFonts w:asciiTheme="minorHAnsi" w:eastAsiaTheme="minorEastAsia" w:hAnsiTheme="minorHAnsi" w:cstheme="minorBidi"/>
                                <w:noProof/>
                                <w:sz w:val="22"/>
                                <w:szCs w:val="22"/>
                              </w:rPr>
                              <w:tab/>
                            </w:r>
                            <w:r w:rsidRPr="002F6DC9">
                              <w:rPr>
                                <w:rStyle w:val="Lienhypertexte"/>
                                <w:b/>
                                <w:noProof/>
                              </w:rPr>
                              <w:t>Situation phytosanitaire</w:t>
                            </w:r>
                            <w:r>
                              <w:rPr>
                                <w:noProof/>
                                <w:webHidden/>
                              </w:rPr>
                              <w:tab/>
                            </w:r>
                            <w:r>
                              <w:rPr>
                                <w:noProof/>
                                <w:webHidden/>
                              </w:rPr>
                              <w:fldChar w:fldCharType="begin"/>
                            </w:r>
                            <w:r>
                              <w:rPr>
                                <w:noProof/>
                                <w:webHidden/>
                              </w:rPr>
                              <w:instrText xml:space="preserve"> PAGEREF _Toc18418943 \h </w:instrText>
                            </w:r>
                            <w:r>
                              <w:rPr>
                                <w:noProof/>
                                <w:webHidden/>
                              </w:rPr>
                            </w:r>
                            <w:r>
                              <w:rPr>
                                <w:noProof/>
                                <w:webHidden/>
                              </w:rPr>
                              <w:fldChar w:fldCharType="separate"/>
                            </w:r>
                            <w:r>
                              <w:rPr>
                                <w:noProof/>
                                <w:webHidden/>
                              </w:rPr>
                              <w:t>5</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4" w:history="1">
                            <w:r w:rsidRPr="002F6DC9">
                              <w:rPr>
                                <w:rStyle w:val="Lienhypertexte"/>
                                <w:b/>
                                <w:noProof/>
                              </w:rPr>
                              <w:t>5.</w:t>
                            </w:r>
                            <w:r>
                              <w:rPr>
                                <w:rFonts w:asciiTheme="minorHAnsi" w:eastAsiaTheme="minorEastAsia" w:hAnsiTheme="minorHAnsi" w:cstheme="minorBidi"/>
                                <w:noProof/>
                                <w:sz w:val="22"/>
                                <w:szCs w:val="22"/>
                              </w:rPr>
                              <w:tab/>
                            </w:r>
                            <w:r w:rsidRPr="002F6DC9">
                              <w:rPr>
                                <w:rStyle w:val="Lienhypertexte"/>
                                <w:b/>
                                <w:noProof/>
                              </w:rPr>
                              <w:t>Situation alimentaire et nutritionnelle</w:t>
                            </w:r>
                            <w:r>
                              <w:rPr>
                                <w:noProof/>
                                <w:webHidden/>
                              </w:rPr>
                              <w:tab/>
                            </w:r>
                            <w:r>
                              <w:rPr>
                                <w:noProof/>
                                <w:webHidden/>
                              </w:rPr>
                              <w:fldChar w:fldCharType="begin"/>
                            </w:r>
                            <w:r>
                              <w:rPr>
                                <w:noProof/>
                                <w:webHidden/>
                              </w:rPr>
                              <w:instrText xml:space="preserve"> PAGEREF _Toc18418944 \h </w:instrText>
                            </w:r>
                            <w:r>
                              <w:rPr>
                                <w:noProof/>
                                <w:webHidden/>
                              </w:rPr>
                            </w:r>
                            <w:r>
                              <w:rPr>
                                <w:noProof/>
                                <w:webHidden/>
                              </w:rPr>
                              <w:fldChar w:fldCharType="separate"/>
                            </w:r>
                            <w:r>
                              <w:rPr>
                                <w:noProof/>
                                <w:webHidden/>
                              </w:rPr>
                              <w:t>5</w:t>
                            </w:r>
                            <w:r>
                              <w:rPr>
                                <w:noProof/>
                                <w:webHidden/>
                              </w:rPr>
                              <w:fldChar w:fldCharType="end"/>
                            </w:r>
                          </w:hyperlink>
                        </w:p>
                        <w:p w:rsidR="000D03B0" w:rsidRDefault="000D03B0">
                          <w:pPr>
                            <w:pStyle w:val="TM1"/>
                            <w:tabs>
                              <w:tab w:val="left" w:pos="440"/>
                            </w:tabs>
                            <w:rPr>
                              <w:rFonts w:asciiTheme="minorHAnsi" w:eastAsiaTheme="minorEastAsia" w:hAnsiTheme="minorHAnsi" w:cstheme="minorBidi"/>
                              <w:noProof/>
                              <w:sz w:val="22"/>
                              <w:szCs w:val="22"/>
                            </w:rPr>
                          </w:pPr>
                          <w:hyperlink w:anchor="_Toc18418945" w:history="1">
                            <w:r w:rsidRPr="002F6DC9">
                              <w:rPr>
                                <w:rStyle w:val="Lienhypertexte"/>
                                <w:b/>
                                <w:noProof/>
                              </w:rPr>
                              <w:t>6.</w:t>
                            </w:r>
                            <w:r>
                              <w:rPr>
                                <w:rFonts w:asciiTheme="minorHAnsi" w:eastAsiaTheme="minorEastAsia" w:hAnsiTheme="minorHAnsi" w:cstheme="minorBidi"/>
                                <w:noProof/>
                                <w:sz w:val="22"/>
                                <w:szCs w:val="22"/>
                              </w:rPr>
                              <w:tab/>
                            </w:r>
                            <w:r w:rsidRPr="002F6DC9">
                              <w:rPr>
                                <w:rStyle w:val="Lienhypertexte"/>
                                <w:b/>
                                <w:noProof/>
                              </w:rPr>
                              <w:t>Appréciation globale de la campagne</w:t>
                            </w:r>
                            <w:r>
                              <w:rPr>
                                <w:noProof/>
                                <w:webHidden/>
                              </w:rPr>
                              <w:tab/>
                            </w:r>
                            <w:r>
                              <w:rPr>
                                <w:noProof/>
                                <w:webHidden/>
                              </w:rPr>
                              <w:fldChar w:fldCharType="begin"/>
                            </w:r>
                            <w:r>
                              <w:rPr>
                                <w:noProof/>
                                <w:webHidden/>
                              </w:rPr>
                              <w:instrText xml:space="preserve"> PAGEREF _Toc18418945 \h </w:instrText>
                            </w:r>
                            <w:r>
                              <w:rPr>
                                <w:noProof/>
                                <w:webHidden/>
                              </w:rPr>
                            </w:r>
                            <w:r>
                              <w:rPr>
                                <w:noProof/>
                                <w:webHidden/>
                              </w:rPr>
                              <w:fldChar w:fldCharType="separate"/>
                            </w:r>
                            <w:r>
                              <w:rPr>
                                <w:noProof/>
                                <w:webHidden/>
                              </w:rPr>
                              <w:t>6</w:t>
                            </w:r>
                            <w:r>
                              <w:rPr>
                                <w:noProof/>
                                <w:webHidden/>
                              </w:rPr>
                              <w:fldChar w:fldCharType="end"/>
                            </w:r>
                          </w:hyperlink>
                        </w:p>
                        <w:p w:rsidR="00C44F28" w:rsidRDefault="00C44F28">
                          <w:r>
                            <w:rPr>
                              <w:b/>
                              <w:bCs/>
                            </w:rPr>
                            <w:fldChar w:fldCharType="end"/>
                          </w:r>
                        </w:p>
                      </w:sdtContent>
                    </w:sdt>
                    <w:p w:rsidR="00C44F28" w:rsidRPr="009F5F5A" w:rsidRDefault="00C44F28" w:rsidP="006E35D3">
                      <w:pPr>
                        <w:rPr>
                          <w:b/>
                          <w:bCs/>
                          <w:sz w:val="18"/>
                          <w:szCs w:val="18"/>
                        </w:rPr>
                      </w:pPr>
                    </w:p>
                  </w:txbxContent>
                </v:textbox>
                <w10:wrap anchorx="margin"/>
              </v:shape>
            </w:pict>
          </mc:Fallback>
        </mc:AlternateContent>
      </w:r>
      <w:r w:rsidR="00464C68">
        <w:rPr>
          <w:bCs/>
          <w:noProof/>
          <w:sz w:val="28"/>
          <w:szCs w:val="28"/>
        </w:rPr>
        <w:drawing>
          <wp:anchor distT="36576" distB="36576" distL="36576" distR="36576" simplePos="0" relativeHeight="251681792" behindDoc="0" locked="0" layoutInCell="1" allowOverlap="1" wp14:anchorId="4A5D5FDD" wp14:editId="7B337F18">
            <wp:simplePos x="0" y="0"/>
            <wp:positionH relativeFrom="column">
              <wp:posOffset>731520</wp:posOffset>
            </wp:positionH>
            <wp:positionV relativeFrom="paragraph">
              <wp:posOffset>871082</wp:posOffset>
            </wp:positionV>
            <wp:extent cx="5682615" cy="378015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378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87E">
        <w:rPr>
          <w:noProof/>
        </w:rPr>
        <mc:AlternateContent>
          <mc:Choice Requires="wps">
            <w:drawing>
              <wp:anchor distT="36576" distB="36576" distL="36576" distR="36576" simplePos="0" relativeHeight="251662336" behindDoc="0" locked="0" layoutInCell="1" allowOverlap="1" wp14:anchorId="7F8D9C67" wp14:editId="76B62402">
                <wp:simplePos x="0" y="0"/>
                <wp:positionH relativeFrom="column">
                  <wp:posOffset>180975</wp:posOffset>
                </wp:positionH>
                <wp:positionV relativeFrom="paragraph">
                  <wp:posOffset>199390</wp:posOffset>
                </wp:positionV>
                <wp:extent cx="1514475" cy="387350"/>
                <wp:effectExtent l="0" t="0" r="28575" b="1270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87350"/>
                        </a:xfrm>
                        <a:prstGeom prst="rect">
                          <a:avLst/>
                        </a:prstGeom>
                        <a:solidFill>
                          <a:srgbClr val="FFFFFF"/>
                        </a:solidFill>
                        <a:ln w="9525"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4F28" w:rsidRDefault="00C44F28" w:rsidP="00270CFA">
                            <w:pPr>
                              <w:pStyle w:val="msoaccenttext7"/>
                              <w:widowControl w:val="0"/>
                              <w:jc w:val="both"/>
                            </w:pPr>
                            <w:r>
                              <w:t>Bulletin n°11 Septembre  2019</w:t>
                            </w:r>
                          </w:p>
                          <w:p w:rsidR="00C44F28" w:rsidRDefault="00C44F28" w:rsidP="006E35D3">
                            <w:pPr>
                              <w:pStyle w:val="msoaccenttext7"/>
                              <w:widowControl w:val="0"/>
                              <w:jc w:val="cente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8D9C67" id="Text Box 285" o:spid="_x0000_s1029" type="#_x0000_t202" style="position:absolute;left:0;text-align:left;margin-left:14.25pt;margin-top:15.7pt;width:119.25pt;height:3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wQIAAKYFAAAOAAAAZHJzL2Uyb0RvYy54bWysVNtu2zAMfR+wfxD0nvoWx6lRp0jcZBiw&#10;G9AOe1YsORYmS56kxO6G/fsoOUmDdgOGYXowRIs6OiQPeXM7tAIdmDZcyQJHVyFGTFaKcrkr8OeH&#10;zWSOkbFEUiKUZAV+ZAbfLl6/uum7nMWqUYIyjQBEmrzvCtxY2+VBYKqGtcRcqY5JOKyVbokFU+8C&#10;qkkP6K0I4jCcBb3StNOqYsbA37vxEC88fl2zyn6sa8MsEgUGbtZ/tf9u3TdY3JB8p0nX8OpIg/wD&#10;i5ZwCY+eoe6IJWiv+QuolldaGVXbq0q1gaprXjEfA0QThc+iuW9Ix3wskBzTndNk/h9s9eHwSSNO&#10;CxzPMJKkhRo9sMGilRpQPE9dgvrO5OB334GnHeAACu2DNd07VX01SKqyIXLHllqrvmGEAsHI3Qwu&#10;ro44xoFs+/eKwkNkb5UHGmrduuxBPhCgQ6Eez8VxZCr3ZBpNp1mKUQVnyTxLUl+9gOSn25029g1T&#10;LXKbAmsovkcnh3fGOjYkP7m4x4wSnG64EN7Qu20pNDoQEMrGLx/AMzchUV/g6zQGHkTsQPLHuv8Z&#10;bAarLH8H1nIL2he8LfA8dMs5kdwlcC2p31vCxbgH8kK6Y+ZVPUYE1mBh6/9Dnrzifiw3aZhNk/kk&#10;y9JkMk3W4WQ135STZRnNZtl6Va7W0U+XmWiaN5xSJtce05waIJr+ncCOrThK99wCZ4KOldpDjPcN&#10;7RHlrihJeh1HGAzowTgboz5msrIaI63sF24br3wnAYdhLmtT+nVM5xndF/fi4eBFbKPHAKmCTJ6y&#10;5vXpJDmK0w7bwfdC4vCddreKPoJggZVXJQw62DRKf8eoh6FRYPNtTzTDSLyVIPpkFl2DMuyloS+N&#10;7aVBZAVQBbagJb8trZ9MLmapltAcNfe6fWIC7J0Bw8DHcRxcbtpc2t7rabwufgEAAP//AwBQSwME&#10;FAAGAAgAAAAhAIhzdGXeAAAACAEAAA8AAABkcnMvZG93bnJldi54bWxMj0tPwzAQhO9I/Adrkbgg&#10;6iQtaQnZVDzUM0pBiOMmXpKI+KHYbdN/jznBcTSjmW/K7axHceTJD9YgpIsEBJvWqsF0CO9vu9sN&#10;CB/IKBqtYYQze9hWlxclFcqeTM3HfehELDG+IIQ+BFdI6dueNfmFdWyi92UnTSHKqZNqolMs16PM&#10;kiSXmgYTF3py/Nxz+70/aIS8fjmn6U378VQvX+ddQs2nc2vE66v58QFE4Dn8heEXP6JDFZkaezDK&#10;ixEh29zFJMIyXYGIfpav47cG4T5bgaxK+f9A9QMAAP//AwBQSwECLQAUAAYACAAAACEAtoM4kv4A&#10;AADhAQAAEwAAAAAAAAAAAAAAAAAAAAAAW0NvbnRlbnRfVHlwZXNdLnhtbFBLAQItABQABgAIAAAA&#10;IQA4/SH/1gAAAJQBAAALAAAAAAAAAAAAAAAAAC8BAABfcmVscy8ucmVsc1BLAQItABQABgAIAAAA&#10;IQCXV/8lwQIAAKYFAAAOAAAAAAAAAAAAAAAAAC4CAABkcnMvZTJvRG9jLnhtbFBLAQItABQABgAI&#10;AAAAIQCIc3Rl3gAAAAgBAAAPAAAAAAAAAAAAAAAAABsFAABkcnMvZG93bnJldi54bWxQSwUGAAAA&#10;AAQABADzAAAAJgYAAAAA&#10;" strokecolor="#66c" insetpen="t">
                <v:shadow color="#ccc"/>
                <v:textbox inset="2.85pt,2.85pt,2.85pt,2.85pt">
                  <w:txbxContent>
                    <w:p w:rsidR="00C44F28" w:rsidRDefault="00C44F28" w:rsidP="00270CFA">
                      <w:pPr>
                        <w:pStyle w:val="msoaccenttext7"/>
                        <w:widowControl w:val="0"/>
                        <w:jc w:val="both"/>
                      </w:pPr>
                      <w:r>
                        <w:t>Bulletin n°11 Septembre  2019</w:t>
                      </w:r>
                    </w:p>
                    <w:p w:rsidR="00C44F28" w:rsidRDefault="00C44F28" w:rsidP="006E35D3">
                      <w:pPr>
                        <w:pStyle w:val="msoaccenttext7"/>
                        <w:widowControl w:val="0"/>
                        <w:jc w:val="center"/>
                      </w:pPr>
                    </w:p>
                  </w:txbxContent>
                </v:textbox>
              </v:shape>
            </w:pict>
          </mc:Fallback>
        </mc:AlternateContent>
      </w:r>
      <w:r w:rsidR="002A1A91">
        <w:rPr>
          <w:bCs/>
          <w:noProof/>
          <w:sz w:val="28"/>
          <w:szCs w:val="28"/>
        </w:rPr>
        <mc:AlternateContent>
          <mc:Choice Requires="wps">
            <w:drawing>
              <wp:anchor distT="0" distB="0" distL="114300" distR="114300" simplePos="0" relativeHeight="251668480" behindDoc="0" locked="0" layoutInCell="1" allowOverlap="1" wp14:anchorId="5BFE7809" wp14:editId="4C4FEA21">
                <wp:simplePos x="0" y="0"/>
                <wp:positionH relativeFrom="margin">
                  <wp:align>left</wp:align>
                </wp:positionH>
                <wp:positionV relativeFrom="paragraph">
                  <wp:posOffset>7325944</wp:posOffset>
                </wp:positionV>
                <wp:extent cx="6073775" cy="715010"/>
                <wp:effectExtent l="0" t="0" r="22225" b="27940"/>
                <wp:wrapNone/>
                <wp:docPr id="3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715010"/>
                        </a:xfrm>
                        <a:prstGeom prst="rect">
                          <a:avLst/>
                        </a:prstGeom>
                        <a:solidFill>
                          <a:srgbClr val="FFFFFF"/>
                        </a:solidFill>
                        <a:ln w="9525">
                          <a:solidFill>
                            <a:srgbClr val="000000"/>
                          </a:solidFill>
                          <a:miter lim="800000"/>
                          <a:headEnd/>
                          <a:tailEnd/>
                        </a:ln>
                      </wps:spPr>
                      <wps:txbx>
                        <w:txbxContent>
                          <w:p w:rsidR="00C44F28" w:rsidRPr="00D330BB" w:rsidRDefault="00C44F28" w:rsidP="006E35D3">
                            <w:pPr>
                              <w:jc w:val="center"/>
                              <w:rPr>
                                <w:b/>
                                <w:sz w:val="18"/>
                                <w:szCs w:val="20"/>
                              </w:rPr>
                            </w:pPr>
                            <w:r w:rsidRPr="00D330BB">
                              <w:rPr>
                                <w:b/>
                                <w:sz w:val="18"/>
                                <w:szCs w:val="20"/>
                              </w:rPr>
                              <w:t>Direction Générale des Productions Végétales (DGPV)</w:t>
                            </w:r>
                          </w:p>
                          <w:p w:rsidR="00C44F28" w:rsidRPr="00D330BB" w:rsidRDefault="00C44F28" w:rsidP="006E35D3">
                            <w:pPr>
                              <w:jc w:val="center"/>
                              <w:rPr>
                                <w:b/>
                                <w:sz w:val="18"/>
                                <w:szCs w:val="20"/>
                              </w:rPr>
                            </w:pPr>
                            <w:r>
                              <w:rPr>
                                <w:b/>
                                <w:sz w:val="18"/>
                                <w:szCs w:val="20"/>
                              </w:rPr>
                              <w:t>Direction du Développement des Productions Agricoles (DDPA)</w:t>
                            </w:r>
                          </w:p>
                          <w:p w:rsidR="00C44F28" w:rsidRPr="00D330BB" w:rsidRDefault="00C44F28" w:rsidP="006E35D3">
                            <w:pPr>
                              <w:jc w:val="center"/>
                              <w:rPr>
                                <w:b/>
                                <w:sz w:val="18"/>
                                <w:szCs w:val="20"/>
                                <w:lang w:val="en-US"/>
                              </w:rPr>
                            </w:pPr>
                            <w:r w:rsidRPr="00D330BB">
                              <w:rPr>
                                <w:b/>
                                <w:sz w:val="18"/>
                                <w:szCs w:val="20"/>
                                <w:lang w:val="en-US"/>
                              </w:rPr>
                              <w:t xml:space="preserve">01 BP 1764 Ouagadougou 01 BURKINA FASO   </w:t>
                            </w:r>
                            <w:proofErr w:type="spellStart"/>
                            <w:r w:rsidRPr="00D330BB">
                              <w:rPr>
                                <w:b/>
                                <w:sz w:val="18"/>
                                <w:szCs w:val="20"/>
                                <w:lang w:val="en-US"/>
                              </w:rPr>
                              <w:t>Tél</w:t>
                            </w:r>
                            <w:proofErr w:type="spellEnd"/>
                            <w:r w:rsidRPr="00D330BB">
                              <w:rPr>
                                <w:b/>
                                <w:sz w:val="18"/>
                                <w:szCs w:val="20"/>
                                <w:lang w:val="en-US"/>
                              </w:rPr>
                              <w:t>. :</w:t>
                            </w:r>
                            <w:r>
                              <w:rPr>
                                <w:b/>
                                <w:sz w:val="18"/>
                                <w:szCs w:val="20"/>
                                <w:lang w:val="en-US"/>
                              </w:rPr>
                              <w:t xml:space="preserve"> (</w:t>
                            </w:r>
                            <w:r w:rsidRPr="00D330BB">
                              <w:rPr>
                                <w:b/>
                                <w:sz w:val="18"/>
                                <w:szCs w:val="20"/>
                                <w:lang w:val="en-US"/>
                              </w:rPr>
                              <w:t xml:space="preserve">00226) </w:t>
                            </w:r>
                            <w:r>
                              <w:rPr>
                                <w:b/>
                                <w:sz w:val="18"/>
                                <w:szCs w:val="20"/>
                                <w:lang w:val="en-US"/>
                              </w:rPr>
                              <w:t xml:space="preserve">25 </w:t>
                            </w:r>
                            <w:r w:rsidRPr="00D330BB">
                              <w:rPr>
                                <w:b/>
                                <w:sz w:val="18"/>
                                <w:szCs w:val="20"/>
                                <w:lang w:val="en-US"/>
                              </w:rPr>
                              <w:t xml:space="preserve">49 99 00 / 09 LD: (00226) </w:t>
                            </w:r>
                            <w:r w:rsidRPr="000E3C58">
                              <w:rPr>
                                <w:b/>
                                <w:sz w:val="18"/>
                                <w:szCs w:val="20"/>
                                <w:lang w:val="en-US"/>
                              </w:rPr>
                              <w:t>25 41 17 88</w:t>
                            </w:r>
                          </w:p>
                          <w:p w:rsidR="00C44F28" w:rsidRDefault="00C44F28" w:rsidP="006E35D3">
                            <w:pPr>
                              <w:jc w:val="center"/>
                              <w:rPr>
                                <w:b/>
                                <w:sz w:val="18"/>
                                <w:szCs w:val="20"/>
                                <w:lang w:val="en-US"/>
                              </w:rPr>
                            </w:pPr>
                            <w:r w:rsidRPr="00D330BB">
                              <w:rPr>
                                <w:b/>
                                <w:sz w:val="18"/>
                                <w:szCs w:val="20"/>
                                <w:lang w:val="en-US"/>
                              </w:rPr>
                              <w:t xml:space="preserve">Email: </w:t>
                            </w:r>
                            <w:hyperlink r:id="rId10" w:history="1">
                              <w:r w:rsidRPr="0015424F">
                                <w:rPr>
                                  <w:rStyle w:val="Lienhypertexte"/>
                                  <w:rFonts w:eastAsiaTheme="minorEastAsia"/>
                                  <w:b/>
                                  <w:sz w:val="18"/>
                                  <w:szCs w:val="20"/>
                                  <w:lang w:val="en-US"/>
                                </w:rPr>
                                <w:t>agrometeoddpa@gmail.com</w:t>
                              </w:r>
                            </w:hyperlink>
                          </w:p>
                          <w:p w:rsidR="00C44F28" w:rsidRPr="00D330BB" w:rsidRDefault="00C44F28" w:rsidP="006E35D3">
                            <w:pPr>
                              <w:jc w:val="center"/>
                              <w:rPr>
                                <w:b/>
                                <w:sz w:val="18"/>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E7809" id="Text Box 290" o:spid="_x0000_s1030" type="#_x0000_t202" style="position:absolute;left:0;text-align:left;margin-left:0;margin-top:576.85pt;width:478.25pt;height:56.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ygLwIAAFoEAAAOAAAAZHJzL2Uyb0RvYy54bWysVNtu2zAMfR+wfxD0vthJk6Yx4hRdugwD&#10;ugvQ7gNkWbaFSaImKbG7ry8lp2l2exnmB0E06cPDQ9Lr60ErchDOSzAlnU5ySoThUEvTlvTrw+7N&#10;FSU+MFMzBUaU9FF4er15/Wrd20LMoANVC0cQxPiityXtQrBFlnneCc38BKww6GzAaRbQdG1WO9Yj&#10;ulbZLM8vsx5cbR1w4T2+vR2ddJPwm0bw8LlpvAhElRS5hXS6dFbxzDZrVrSO2U7yIw32Dyw0kwaT&#10;nqBuWWBk7+RvUFpyBx6aMOGgM2gayUWqAauZ5r9Uc98xK1ItKI63J5n8/4Plnw5fHJF1SS9QHsM0&#10;9uhBDIG8hYHMVkmg3voC4+4tRoYBHdjoVKy3d8C/eWJg2zHTihvnoO8Eq5HgNEqbnX0aW+ILH0Gq&#10;/iPUmIjtAySgoXE6qod6EERHJo+n5kQyHF9e5suL5XJBCUffcrpAuVIKVjx/bZ0P7wVoEi8lddj8&#10;hM4Odz5ENqx4DonJPChZ76RSyXBttVWOHBgOyi49R/SfwpQhfUlXi9liFOCvEHl6/gShZcCJV1KX&#10;9OoUxIoo2ztTp3kMTKrxjpSVOeoYpRtFDEM1pJ7NY4IoawX1IwrrYBxwXEi8dOB+UNLjcJfUf98z&#10;JyhRHww2ZzWdz+M2JGO+WM7QcOee6tzDDEeokgZKxus2jBu0t062HWYax8HADTa0kUnrF1ZH+jjA&#10;qQXHZYsbcm6nqJdfwuYJAAD//wMAUEsDBBQABgAIAAAAIQAL3gi/4AAAAAoBAAAPAAAAZHJzL2Rv&#10;d25yZXYueG1sTI/NTsMwEITvSLyDtUhcEHXaELcNcSqEBKI3KAiubrxNIvwTbDcNb89yguPOjGa/&#10;qTaTNWzEEHvvJMxnGTB0jde9ayW8vT5cr4DFpJxWxjuU8I0RNvX5WaVK7U/uBcddahmVuFgqCV1K&#10;Q8l5bDq0Ks78gI68gw9WJTpDy3VQJyq3hi+yTHCrekcfOjXgfYfN5+5oJaxunsaPuM2f3xtxMOt0&#10;tRwfv4KUlxfT3S2whFP6C8MvPqFDTUx7f3Q6MiOBhiRS50W+BEb+uhAFsD1JCyFy4HXF/0+ofwAA&#10;AP//AwBQSwECLQAUAAYACAAAACEAtoM4kv4AAADhAQAAEwAAAAAAAAAAAAAAAAAAAAAAW0NvbnRl&#10;bnRfVHlwZXNdLnhtbFBLAQItABQABgAIAAAAIQA4/SH/1gAAAJQBAAALAAAAAAAAAAAAAAAAAC8B&#10;AABfcmVscy8ucmVsc1BLAQItABQABgAIAAAAIQBOiDygLwIAAFoEAAAOAAAAAAAAAAAAAAAAAC4C&#10;AABkcnMvZTJvRG9jLnhtbFBLAQItABQABgAIAAAAIQAL3gi/4AAAAAoBAAAPAAAAAAAAAAAAAAAA&#10;AIkEAABkcnMvZG93bnJldi54bWxQSwUGAAAAAAQABADzAAAAlgUAAAAA&#10;">
                <v:textbox>
                  <w:txbxContent>
                    <w:p w:rsidR="00C44F28" w:rsidRPr="00D330BB" w:rsidRDefault="00C44F28" w:rsidP="006E35D3">
                      <w:pPr>
                        <w:jc w:val="center"/>
                        <w:rPr>
                          <w:b/>
                          <w:sz w:val="18"/>
                          <w:szCs w:val="20"/>
                        </w:rPr>
                      </w:pPr>
                      <w:r w:rsidRPr="00D330BB">
                        <w:rPr>
                          <w:b/>
                          <w:sz w:val="18"/>
                          <w:szCs w:val="20"/>
                        </w:rPr>
                        <w:t>Direction Générale des Productions Végétales (DGPV)</w:t>
                      </w:r>
                    </w:p>
                    <w:p w:rsidR="00C44F28" w:rsidRPr="00D330BB" w:rsidRDefault="00C44F28" w:rsidP="006E35D3">
                      <w:pPr>
                        <w:jc w:val="center"/>
                        <w:rPr>
                          <w:b/>
                          <w:sz w:val="18"/>
                          <w:szCs w:val="20"/>
                        </w:rPr>
                      </w:pPr>
                      <w:r>
                        <w:rPr>
                          <w:b/>
                          <w:sz w:val="18"/>
                          <w:szCs w:val="20"/>
                        </w:rPr>
                        <w:t>Direction du Développement des Productions Agricoles (DDPA)</w:t>
                      </w:r>
                    </w:p>
                    <w:p w:rsidR="00C44F28" w:rsidRPr="00D330BB" w:rsidRDefault="00C44F28" w:rsidP="006E35D3">
                      <w:pPr>
                        <w:jc w:val="center"/>
                        <w:rPr>
                          <w:b/>
                          <w:sz w:val="18"/>
                          <w:szCs w:val="20"/>
                          <w:lang w:val="en-US"/>
                        </w:rPr>
                      </w:pPr>
                      <w:r w:rsidRPr="00D330BB">
                        <w:rPr>
                          <w:b/>
                          <w:sz w:val="18"/>
                          <w:szCs w:val="20"/>
                          <w:lang w:val="en-US"/>
                        </w:rPr>
                        <w:t xml:space="preserve">01 BP 1764 Ouagadougou 01 BURKINA FASO   </w:t>
                      </w:r>
                      <w:proofErr w:type="spellStart"/>
                      <w:r w:rsidRPr="00D330BB">
                        <w:rPr>
                          <w:b/>
                          <w:sz w:val="18"/>
                          <w:szCs w:val="20"/>
                          <w:lang w:val="en-US"/>
                        </w:rPr>
                        <w:t>Tél</w:t>
                      </w:r>
                      <w:proofErr w:type="spellEnd"/>
                      <w:r w:rsidRPr="00D330BB">
                        <w:rPr>
                          <w:b/>
                          <w:sz w:val="18"/>
                          <w:szCs w:val="20"/>
                          <w:lang w:val="en-US"/>
                        </w:rPr>
                        <w:t>. :</w:t>
                      </w:r>
                      <w:r>
                        <w:rPr>
                          <w:b/>
                          <w:sz w:val="18"/>
                          <w:szCs w:val="20"/>
                          <w:lang w:val="en-US"/>
                        </w:rPr>
                        <w:t xml:space="preserve"> (</w:t>
                      </w:r>
                      <w:r w:rsidRPr="00D330BB">
                        <w:rPr>
                          <w:b/>
                          <w:sz w:val="18"/>
                          <w:szCs w:val="20"/>
                          <w:lang w:val="en-US"/>
                        </w:rPr>
                        <w:t xml:space="preserve">00226) </w:t>
                      </w:r>
                      <w:r>
                        <w:rPr>
                          <w:b/>
                          <w:sz w:val="18"/>
                          <w:szCs w:val="20"/>
                          <w:lang w:val="en-US"/>
                        </w:rPr>
                        <w:t xml:space="preserve">25 </w:t>
                      </w:r>
                      <w:r w:rsidRPr="00D330BB">
                        <w:rPr>
                          <w:b/>
                          <w:sz w:val="18"/>
                          <w:szCs w:val="20"/>
                          <w:lang w:val="en-US"/>
                        </w:rPr>
                        <w:t xml:space="preserve">49 99 00 / 09 LD: (00226) </w:t>
                      </w:r>
                      <w:r w:rsidRPr="000E3C58">
                        <w:rPr>
                          <w:b/>
                          <w:sz w:val="18"/>
                          <w:szCs w:val="20"/>
                          <w:lang w:val="en-US"/>
                        </w:rPr>
                        <w:t>25 41 17 88</w:t>
                      </w:r>
                    </w:p>
                    <w:p w:rsidR="00C44F28" w:rsidRDefault="00C44F28" w:rsidP="006E35D3">
                      <w:pPr>
                        <w:jc w:val="center"/>
                        <w:rPr>
                          <w:b/>
                          <w:sz w:val="18"/>
                          <w:szCs w:val="20"/>
                          <w:lang w:val="en-US"/>
                        </w:rPr>
                      </w:pPr>
                      <w:r w:rsidRPr="00D330BB">
                        <w:rPr>
                          <w:b/>
                          <w:sz w:val="18"/>
                          <w:szCs w:val="20"/>
                          <w:lang w:val="en-US"/>
                        </w:rPr>
                        <w:t xml:space="preserve">Email: </w:t>
                      </w:r>
                      <w:hyperlink r:id="rId11" w:history="1">
                        <w:r w:rsidRPr="0015424F">
                          <w:rPr>
                            <w:rStyle w:val="Lienhypertexte"/>
                            <w:rFonts w:eastAsiaTheme="minorEastAsia"/>
                            <w:b/>
                            <w:sz w:val="18"/>
                            <w:szCs w:val="20"/>
                            <w:lang w:val="en-US"/>
                          </w:rPr>
                          <w:t>agrometeoddpa@gmail.com</w:t>
                        </w:r>
                      </w:hyperlink>
                    </w:p>
                    <w:p w:rsidR="00C44F28" w:rsidRPr="00D330BB" w:rsidRDefault="00C44F28" w:rsidP="006E35D3">
                      <w:pPr>
                        <w:jc w:val="center"/>
                        <w:rPr>
                          <w:b/>
                          <w:sz w:val="18"/>
                          <w:szCs w:val="20"/>
                          <w:lang w:val="en-US"/>
                        </w:rPr>
                      </w:pPr>
                    </w:p>
                  </w:txbxContent>
                </v:textbox>
                <w10:wrap anchorx="margin"/>
              </v:shape>
            </w:pict>
          </mc:Fallback>
        </mc:AlternateContent>
      </w:r>
      <w:r w:rsidR="00D31346">
        <w:rPr>
          <w:bCs/>
          <w:noProof/>
          <w:sz w:val="28"/>
          <w:szCs w:val="28"/>
        </w:rPr>
        <mc:AlternateContent>
          <mc:Choice Requires="wps">
            <w:drawing>
              <wp:anchor distT="0" distB="0" distL="114300" distR="114300" simplePos="0" relativeHeight="251667456" behindDoc="1" locked="0" layoutInCell="1" allowOverlap="1" wp14:anchorId="30D5CD4E" wp14:editId="1531F098">
                <wp:simplePos x="0" y="0"/>
                <wp:positionH relativeFrom="margin">
                  <wp:align>right</wp:align>
                </wp:positionH>
                <wp:positionV relativeFrom="paragraph">
                  <wp:posOffset>4699000</wp:posOffset>
                </wp:positionV>
                <wp:extent cx="5133975" cy="514350"/>
                <wp:effectExtent l="0" t="0" r="9525"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28" w:rsidRPr="00CB5EA7" w:rsidRDefault="00C44F28" w:rsidP="00270CFA">
                            <w:pPr>
                              <w:pStyle w:val="Sous-titre"/>
                              <w:jc w:val="center"/>
                              <w:rPr>
                                <w:rStyle w:val="lev"/>
                                <w:sz w:val="32"/>
                                <w:szCs w:val="32"/>
                              </w:rPr>
                            </w:pPr>
                            <w:r w:rsidRPr="00CB5EA7">
                              <w:rPr>
                                <w:rStyle w:val="lev"/>
                                <w:sz w:val="32"/>
                                <w:szCs w:val="32"/>
                              </w:rPr>
                              <w:t xml:space="preserve">Situation </w:t>
                            </w:r>
                            <w:r>
                              <w:rPr>
                                <w:rStyle w:val="lev"/>
                                <w:sz w:val="32"/>
                                <w:szCs w:val="32"/>
                              </w:rPr>
                              <w:t>de la campagne agricole au 31 août 2019</w:t>
                            </w:r>
                          </w:p>
                          <w:p w:rsidR="00C44F28" w:rsidRPr="001D4725" w:rsidRDefault="00C44F28" w:rsidP="006E3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5CD4E" id="Text Box 289" o:spid="_x0000_s1031" type="#_x0000_t202" style="position:absolute;left:0;text-align:left;margin-left:353.05pt;margin-top:370pt;width:404.25pt;height:40.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sR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AqhSpAeSHvno0Y0eUb6oQoUG42pwfDDg6kcwANMxW2fuNf3kkNK3HVEbfm2tHjpOGESYhZPJydEJ&#10;xwWQ9fBWM7iIbL2OQGNr+1A+KAgCdGDq6chOCIbCZpmdn1fzEiMKtjIrzstIX0Lqw2ljnX/NdY/C&#10;pMEW2I/oZHfvfIiG1AeXcJnTUrCVkDIu7GZ9Ky3aEVDKKn4xgWduUgVnpcOxCXHagSDhjmAL4Ubm&#10;v1ZZXqQ3eTVbXSzms2JVlLNqni5maVbdVBdpURV3q28hwKyoO8EYV/dC8YMKs+LvWN73w6SfqEM0&#10;NLgq83Ki6I9JpvH7XZK98NCUUvQNXhydSB2IfaUYpE1qT4Sc5snP4ccqQw0O/1iVKIPA/KQBP67H&#10;qLnyoK61Zk+gC6uBNiAfHhSYdNp+wWiA5myw+7wllmMk3yjQVpUVRejmuCjKeQ4Le2pZn1qIogDV&#10;YI/RNL310wuwNVZsOrhpUrPS16DHVkSpBOFOUe1VDA0Yc9o/FqHDT9fR68eTtvwOAAD//wMAUEsD&#10;BBQABgAIAAAAIQDnGXcU3AAAAAgBAAAPAAAAZHJzL2Rvd25yZXYueG1sTI/BTsMwEETvSPyDtUhc&#10;ELVbtU0IcSpAAnFt6Qdskm0SEa+j2G3Sv2c5wW1WM5p9k+9m16sLjaHzbGG5MKCIK1933Fg4fr0/&#10;pqBCRK6x90wWrhRgV9ze5JjVfuI9XQ6xUVLCIUMLbYxDpnWoWnIYFn4gFu/kR4dRzrHR9YiTlLte&#10;r4zZaocdy4cWB3prqfo+nJ2F0+f0sHmayo94TPbr7St2Semv1t7fzS/PoCLN8S8Mv/iCDoUwlf7M&#10;dVC9BRkSLSRrI0Ls1KQbUKWI1dKALnL9f0DxAwAA//8DAFBLAQItABQABgAIAAAAIQC2gziS/gAA&#10;AOEBAAATAAAAAAAAAAAAAAAAAAAAAABbQ29udGVudF9UeXBlc10ueG1sUEsBAi0AFAAGAAgAAAAh&#10;ADj9If/WAAAAlAEAAAsAAAAAAAAAAAAAAAAALwEAAF9yZWxzLy5yZWxzUEsBAi0AFAAGAAgAAAAh&#10;AIgbOxGJAgAAGgUAAA4AAAAAAAAAAAAAAAAALgIAAGRycy9lMm9Eb2MueG1sUEsBAi0AFAAGAAgA&#10;AAAhAOcZdxTcAAAACAEAAA8AAAAAAAAAAAAAAAAA4wQAAGRycy9kb3ducmV2LnhtbFBLBQYAAAAA&#10;BAAEAPMAAADsBQAAAAA=&#10;" stroked="f">
                <v:textbox>
                  <w:txbxContent>
                    <w:p w:rsidR="00C44F28" w:rsidRPr="00CB5EA7" w:rsidRDefault="00C44F28" w:rsidP="00270CFA">
                      <w:pPr>
                        <w:pStyle w:val="Sous-titre"/>
                        <w:jc w:val="center"/>
                        <w:rPr>
                          <w:rStyle w:val="lev"/>
                          <w:sz w:val="32"/>
                          <w:szCs w:val="32"/>
                        </w:rPr>
                      </w:pPr>
                      <w:r w:rsidRPr="00CB5EA7">
                        <w:rPr>
                          <w:rStyle w:val="lev"/>
                          <w:sz w:val="32"/>
                          <w:szCs w:val="32"/>
                        </w:rPr>
                        <w:t xml:space="preserve">Situation </w:t>
                      </w:r>
                      <w:r>
                        <w:rPr>
                          <w:rStyle w:val="lev"/>
                          <w:sz w:val="32"/>
                          <w:szCs w:val="32"/>
                        </w:rPr>
                        <w:t>de la campagne agricole au 31 août 2019</w:t>
                      </w:r>
                    </w:p>
                    <w:p w:rsidR="00C44F28" w:rsidRPr="001D4725" w:rsidRDefault="00C44F28" w:rsidP="006E35D3"/>
                  </w:txbxContent>
                </v:textbox>
                <w10:wrap anchorx="margin"/>
              </v:shape>
            </w:pict>
          </mc:Fallback>
        </mc:AlternateContent>
      </w:r>
      <w:r w:rsidR="006E35D3">
        <w:rPr>
          <w:noProof/>
        </w:rPr>
        <mc:AlternateContent>
          <mc:Choice Requires="wps">
            <w:drawing>
              <wp:anchor distT="36576" distB="36576" distL="36576" distR="36576" simplePos="0" relativeHeight="251666432" behindDoc="0" locked="0" layoutInCell="1" allowOverlap="1" wp14:anchorId="37E7C718" wp14:editId="51CDAF52">
                <wp:simplePos x="0" y="0"/>
                <wp:positionH relativeFrom="column">
                  <wp:posOffset>162763</wp:posOffset>
                </wp:positionH>
                <wp:positionV relativeFrom="paragraph">
                  <wp:posOffset>590296</wp:posOffset>
                </wp:positionV>
                <wp:extent cx="299085" cy="5493715"/>
                <wp:effectExtent l="0" t="0" r="5715" b="0"/>
                <wp:wrapNone/>
                <wp:docPr id="2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5493715"/>
                        </a:xfrm>
                        <a:prstGeom prst="rect">
                          <a:avLst/>
                        </a:prstGeom>
                        <a:solidFill>
                          <a:srgbClr val="66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737CA5" id="Rectangle 288" o:spid="_x0000_s1026" style="position:absolute;margin-left:12.8pt;margin-top:46.5pt;width:23.55pt;height:43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qU7wIAAD4GAAAOAAAAZHJzL2Uyb0RvYy54bWysVMuO0zAU3SPxD5b3mTyatyZFbadFSAOM&#10;GBBrN3Eai8QOttt0QPw7107bSWGDgCwsX+f6+NxzH7evjl2LDlQqJniB/RsPI8pLUTG+K/Cnjxsn&#10;xUhpwivSCk4L/EQVfjV/+eJ26HMaiEa0FZUIQLjKh77AjdZ97rqqbGhH1I3oKYeftZAd0WDKnVtJ&#10;MgB617qB58XuIGTVS1FSpeD0bvyJ5xa/rmmp39e1ohq1BQZu2q7SrluzuvNbku8k6RtWnmiQv2DR&#10;Ecbh0QvUHdEE7SX7DapjpRRK1PqmFJ0r6pqV1MYA0fjeL9E8NqSnNhYQR/UXmdT/gy3fHR4kYlWB&#10;A8gUJx3k6AOoRviupShIU6PQ0KscHB/7B2liVP29KL8oxMWqAT+6kFIMDSUV8PKNv3t1wRgKrqLt&#10;8FZUgE/2WlixjrXsDCDIgI42J0+XnNCjRiUcBlnmpRFGJfyKwmyW+JF9guTn271U+jUVHTKbAktg&#10;b9HJ4V5pw4bkZxfLXrSs2rC2tYbcbVetRAcC9RHH8JYtCbiipm4tN85cmGsj4nhCbYWNz5AcKMPW&#10;eBryNvvfMz8IvWWQOZs4TZxwE0ZOlnip4/nZMou9MAvvNj8MXT/MG1ZVlN8zTs+V6Id/lulTT4w1&#10;ZGsRDVZP0u6gLU+1eRWSmkbu2e+k65VbxzT0Z8u6AqcXJ5KbbK95BVqQXBPWjnv3OgorPUhxrchi&#10;E3lJOEudJIlmTjhbe84y3aycxcqP42S9XC3X/rUia6uy+ndRLJFzyowh9hDdY1MNqGKmdmZRFvgY&#10;DJgQQTLGi0YNSy0xkkJ/ZrqxfWn0NRhXQq7sdxLygj4K8fzwRKdTbM9SQemd68i2kemcsQO3onqC&#10;LgIONrUwdGHTCPkNowEGWIHV1z2RFKP2DYdOnMVREsPEmxpyamynBuElQBVYYzRuV3qckvtesl0D&#10;L/k2Wi4W0L01s41lOntkBfyNAUPKRnIaqGYKTm3r9Tz25z8BAAD//wMAUEsDBBQABgAIAAAAIQBY&#10;Nwu23gAAAAgBAAAPAAAAZHJzL2Rvd25yZXYueG1sTI/dSsNAFITvBd9hOYJ3dtNImxizKSL4UygF&#10;Wx9gkz1mg9mzIbttok/v8Uovhxm+mSk3s+vFGcfQeVKwXCQgkBpvOmoVvB+fbnIQIWoyuveECr4w&#10;wKa6vCh1YfxEb3g+xFYwhEKhFdgYh0LK0Fh0Oiz8gMTehx+djizHVppRTwx3vUyTZC2d7ogbrB7w&#10;0WLzeTg5BXd+a+tj3jzvX/dmmX2/mGm7M0pdX80P9yAizvEvDL/zeTpUvKn2JzJB9ArS1ZqTzLrl&#10;S+xnaQaiZr3KU5BVKf8fqH4AAAD//wMAUEsBAi0AFAAGAAgAAAAhALaDOJL+AAAA4QEAABMAAAAA&#10;AAAAAAAAAAAAAAAAAFtDb250ZW50X1R5cGVzXS54bWxQSwECLQAUAAYACAAAACEAOP0h/9YAAACU&#10;AQAACwAAAAAAAAAAAAAAAAAvAQAAX3JlbHMvLnJlbHNQSwECLQAUAAYACAAAACEAid2qlO8CAAA+&#10;BgAADgAAAAAAAAAAAAAAAAAuAgAAZHJzL2Uyb0RvYy54bWxQSwECLQAUAAYACAAAACEAWDcLtt4A&#10;AAAIAQAADwAAAAAAAAAAAAAAAABJBQAAZHJzL2Rvd25yZXYueG1sUEsFBgAAAAAEAAQA8wAAAFQG&#10;AAAAAA==&#10;" fillcolor="#690" stroked="f" strokeweight="0" insetpen="t">
                <v:shadow color="#ccc"/>
                <v:textbox inset="2.88pt,2.88pt,2.88pt,2.88pt"/>
              </v:rect>
            </w:pict>
          </mc:Fallback>
        </mc:AlternateContent>
      </w:r>
      <w:r w:rsidR="006E35D3">
        <w:rPr>
          <w:noProof/>
        </w:rPr>
        <mc:AlternateContent>
          <mc:Choice Requires="wps">
            <w:drawing>
              <wp:anchor distT="36576" distB="36576" distL="36576" distR="36576" simplePos="0" relativeHeight="251664384" behindDoc="0" locked="0" layoutInCell="1" allowOverlap="1" wp14:anchorId="5ACBC131" wp14:editId="55BF5DED">
                <wp:simplePos x="0" y="0"/>
                <wp:positionH relativeFrom="column">
                  <wp:posOffset>-9525</wp:posOffset>
                </wp:positionH>
                <wp:positionV relativeFrom="paragraph">
                  <wp:posOffset>18415</wp:posOffset>
                </wp:positionV>
                <wp:extent cx="172085" cy="6381115"/>
                <wp:effectExtent l="0" t="0" r="0" b="635"/>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6381115"/>
                        </a:xfrm>
                        <a:prstGeom prst="rect">
                          <a:avLst/>
                        </a:prstGeom>
                        <a:solidFill>
                          <a:srgbClr val="666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00303" id="Rectangle 286" o:spid="_x0000_s1026" style="position:absolute;margin-left:-.75pt;margin-top:1.45pt;width:13.55pt;height:502.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S7QIAAD4GAAAOAAAAZHJzL2Uyb0RvYy54bWysVMuO0zAU3SPxD5b3mTya5qVJR22mRUgD&#10;jBgQazdxGovEDrbbtCD+nWun7bTAAgFeRL7x9fG55z5u7/Zdi3ZUKiZ4jv0bDyPKS1Exvsnxxw8r&#10;J8FIacIr0gpOc3ygCt/NXr64HfqMBqIRbUUlAhCusqHPcaN1n7muKhvaEXUjesrhsBayIxpMuXEr&#10;SQZA71o38LzIHYSseilKqhT8vR8P8czi1zUt9bu6VlSjNsfATduvtN+1+bqzW5JtJOkbVh5pkL9g&#10;0RHG4dEz1D3RBG0l+wWqY6UUStT6phSdK+qaldTGANH43k/RPDWkpzYWEEf1Z5nU/4Mt3+4eJWJV&#10;joMUI046yNF7UI3wTUtRkERGoaFXGTg+9Y/SxKj6B1F+VoiLogE/OpdSDA0lFfDyjb97dcEYCq6i&#10;9fBGVIBPtlpYsfa17AwgyID2NieHc07oXqMSfvpx4CVTjEo4iiaJ7/tT+wTJTrd7qfQrKjpkNjmW&#10;wN6ik92D0oYNyU4ulr1oWbVibWsNuVkXrUQ7AvURwSqKI7q6dGu5cebCXBsRxz/UVtj4DMmAMmyN&#10;pyFvs/8t9YPQWwSps4qS2AlX4dRJYy9xPD9dpJEXpuH96ruh64dZw6qK8gfG6akS/fDPMn3sibGG&#10;bC2iwepJ2g205bE2r0JSl5F7dv0u8o5p6M+WdTlOzk4kM9le8gq0IJkmrB337nUUVnqQ4lqR+Wrq&#10;xeEkceJ4OnHCydJzFsmqcOaFH0XxclEslv61Ikursvp3USyRU8qMIbYQ3VNTDahipnYm0zTwMRgw&#10;IYJ4jBeNGpZaYiSF/sR0Y/vS6GswroQs7DoKeUYfhXh++EKnY2zPUkG1nurItpHpnLED16I6QBcB&#10;B5taGLqwaYT8itEAAyzH6suWSIpR+5pDJ06iaRzBxLs05KWxvjQILwEqxxqjcVvocUpue8k2Dbzk&#10;22i5mEP31sw2lunskRXwNwYMKRvJcaCaKXhpW6/nsT/7AQAA//8DAFBLAwQUAAYACAAAACEA+lFS&#10;ieAAAAAIAQAADwAAAGRycy9kb3ducmV2LnhtbEyPwU7DMBBE70j8g7VIXKrWTqSGJsSpqkgcEBKi&#10;hQs3116SqPE6xG6a/j3mBMfVPM28Lbez7dmEo+8cSUhWAhiSdqajRsLH+9NyA8wHRUb1jlDCFT1s&#10;q9ubUhXGXWiP0yE0LJaQL5SENoSh4NzrFq3yKzcgxezLjVaFeI4NN6O6xHLb81SIjFvVUVxo1YB1&#10;i/p0OFsJ3/qEdb54yfZv+lrvPpPXfHpeSHl/N+8egQWcwx8Mv/pRHarodHRnMp71EpbJOpIS0hxY&#10;jNN1BuwYMSEeNsCrkv9/oPoBAAD//wMAUEsBAi0AFAAGAAgAAAAhALaDOJL+AAAA4QEAABMAAAAA&#10;AAAAAAAAAAAAAAAAAFtDb250ZW50X1R5cGVzXS54bWxQSwECLQAUAAYACAAAACEAOP0h/9YAAACU&#10;AQAACwAAAAAAAAAAAAAAAAAvAQAAX3JlbHMvLnJlbHNQSwECLQAUAAYACAAAACEAPlSREu0CAAA+&#10;BgAADgAAAAAAAAAAAAAAAAAuAgAAZHJzL2Uyb0RvYy54bWxQSwECLQAUAAYACAAAACEA+lFSieAA&#10;AAAIAQAADwAAAAAAAAAAAAAAAABHBQAAZHJzL2Rvd25yZXYueG1sUEsFBgAAAAAEAAQA8wAAAFQG&#10;AAAAAA==&#10;" fillcolor="#66c" stroked="f" strokeweight="0" insetpen="t">
                <v:shadow color="#ccc"/>
                <v:textbox inset="2.88pt,2.88pt,2.88pt,2.88pt"/>
              </v:rect>
            </w:pict>
          </mc:Fallback>
        </mc:AlternateContent>
      </w:r>
      <w:r w:rsidR="006E35D3" w:rsidRPr="00CB5EA7">
        <w:rPr>
          <w:bCs/>
          <w:sz w:val="28"/>
          <w:szCs w:val="28"/>
        </w:rPr>
        <w:br w:type="page"/>
      </w:r>
      <w:bookmarkStart w:id="0" w:name="_GoBack"/>
      <w:bookmarkEnd w:id="0"/>
    </w:p>
    <w:p w:rsidR="00EF478F" w:rsidRPr="001F484D" w:rsidRDefault="00EF478F" w:rsidP="00EF478F">
      <w:pPr>
        <w:pStyle w:val="Titre1"/>
        <w:numPr>
          <w:ilvl w:val="0"/>
          <w:numId w:val="3"/>
        </w:numPr>
        <w:rPr>
          <w:b/>
          <w:sz w:val="28"/>
          <w:szCs w:val="28"/>
        </w:rPr>
      </w:pPr>
      <w:bookmarkStart w:id="1" w:name="_Toc453686089"/>
      <w:bookmarkStart w:id="2" w:name="_Toc453748845"/>
      <w:bookmarkStart w:id="3" w:name="_Toc453828150"/>
      <w:bookmarkStart w:id="4" w:name="_Toc513995328"/>
      <w:bookmarkStart w:id="5" w:name="_Toc513995423"/>
      <w:bookmarkStart w:id="6" w:name="_Toc514078350"/>
      <w:bookmarkStart w:id="7" w:name="_Toc514078400"/>
      <w:bookmarkStart w:id="8" w:name="_Toc514734844"/>
      <w:bookmarkStart w:id="9" w:name="_Toc515847113"/>
      <w:bookmarkStart w:id="10" w:name="_Toc516562516"/>
      <w:bookmarkStart w:id="11" w:name="_Toc516564925"/>
      <w:bookmarkStart w:id="12" w:name="_Toc516569873"/>
      <w:bookmarkStart w:id="13" w:name="_Toc12293953"/>
      <w:bookmarkStart w:id="14" w:name="_Toc14104732"/>
      <w:bookmarkStart w:id="15" w:name="_Toc14105538"/>
      <w:bookmarkStart w:id="16" w:name="_Toc17708999"/>
      <w:bookmarkStart w:id="17" w:name="_Toc18418129"/>
      <w:bookmarkStart w:id="18" w:name="_Toc18418778"/>
      <w:bookmarkStart w:id="19" w:name="_Toc18418786"/>
      <w:bookmarkStart w:id="20" w:name="_Toc18418800"/>
      <w:bookmarkStart w:id="21" w:name="_Toc18418939"/>
      <w:r w:rsidRPr="001F484D">
        <w:rPr>
          <w:b/>
          <w:sz w:val="28"/>
          <w:szCs w:val="28"/>
        </w:rPr>
        <w:lastRenderedPageBreak/>
        <w:t>Pluviométrie de la décade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F478F" w:rsidRPr="006C05EE" w:rsidRDefault="00EF478F" w:rsidP="00EF478F">
      <w:pPr>
        <w:rPr>
          <w:rFonts w:ascii="Clarendon" w:hAnsi="Clarendon"/>
          <w:b/>
          <w:sz w:val="14"/>
          <w:u w:val="single"/>
        </w:rPr>
      </w:pPr>
      <w:r>
        <w:rPr>
          <w:noProof/>
        </w:rPr>
        <mc:AlternateContent>
          <mc:Choice Requires="wps">
            <w:drawing>
              <wp:anchor distT="0" distB="0" distL="114300" distR="114300" simplePos="0" relativeHeight="251687936" behindDoc="0" locked="0" layoutInCell="1" allowOverlap="1" wp14:anchorId="767780E9" wp14:editId="61997470">
                <wp:simplePos x="0" y="0"/>
                <wp:positionH relativeFrom="column">
                  <wp:posOffset>3195918</wp:posOffset>
                </wp:positionH>
                <wp:positionV relativeFrom="paragraph">
                  <wp:posOffset>95549</wp:posOffset>
                </wp:positionV>
                <wp:extent cx="3181985" cy="2505112"/>
                <wp:effectExtent l="0" t="0" r="18415" b="28575"/>
                <wp:wrapNone/>
                <wp:docPr id="2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505112"/>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F478F" w:rsidRDefault="00EF478F" w:rsidP="00EF478F">
                            <w:pPr>
                              <w:ind w:left="-142"/>
                              <w:jc w:val="right"/>
                            </w:pPr>
                            <w:r w:rsidRPr="009D2B9C">
                              <w:rPr>
                                <w:noProof/>
                              </w:rPr>
                              <w:drawing>
                                <wp:inline distT="0" distB="0" distL="0" distR="0" wp14:anchorId="633A0059" wp14:editId="432C39D6">
                                  <wp:extent cx="2990215" cy="2188210"/>
                                  <wp:effectExtent l="0" t="0" r="635"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215" cy="2188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80E9" id="Text Box 327" o:spid="_x0000_s1032" type="#_x0000_t202" style="position:absolute;margin-left:251.65pt;margin-top:7.5pt;width:250.55pt;height:19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uKjgIAABoFAAAOAAAAZHJzL2Uyb0RvYy54bWysVNuOmzAQfa/Uf7D8nuUSyAUtWaWQVJW2&#10;F2m3H+AYE6wam9pOYLvqv3dskmy2famq8gA2Mz4zZ+aMb++GVqAj04YrmePoJsSISaoqLvc5/vq4&#10;nSwwMpbIigglWY6fmMF3q7dvbvsuY7FqlKiYRgAiTdZ3OW6s7bIgMLRhLTE3qmMSjLXSLbGw1fug&#10;0qQH9FYEcRjOgl7pqtOKMmPgbzka8crj1zWj9nNdG2aRyDHkZv1b+/fOvYPVLcn2mnQNp6c0yD9k&#10;0RIuIegFqiSWoIPmf0C1nGplVG1vqGoDVdecMs8B2EThb2weGtIxzwWKY7pLmcz/g6Wfjl804lWO&#10;4xgjSVro0SMbLHqnBjSN565AfWcy8HvowNMOYIBGe7Kmu1f0m0FSFQ2Re7bWWvUNIxUkGLmTwdXR&#10;Ecc4kF3/UVUQiBys8kBDrVtXPagHAnRo1NOlOS4ZCj+n0SJaLlKMKNjiNEyjKPYxSHY+3mlj3zPV&#10;IrfIsYbue3hyvDfWpUOys4uLJtWWC+EVICTqc7xM43QkpgSvnNG5Gb3fFUKjI3EaCudh4WUDYOba&#10;reUWlCx4m+NF6J5RW64cG1n5KJZwMa7hsJAOHNhBbqfVqJjnZbjcLDaLZJLEs80kCctyst4WyWS2&#10;jeZpOS2Loox+ujyjJGt4VTHpUj2rN0r+Th2nORp1d9HvK0qvmG/9c6r4lVvwOg1fZWB1/np2Xgeu&#10;9aMI7LAbvOZmDs5pZKeqJxCGVuOAwoUCi0bpHxj1MJw5Nt8PRDOMxAcJ4lpGSeKm2W+SdB7DRl9b&#10;dtcWIilA5dhiNC4LO94Ah07zfQORRjlLtQZB1txL5SWrk4xhAD2n02XhJvx6771errTVLwAAAP//&#10;AwBQSwMEFAAGAAgAAAAhAIuTiPbgAAAACwEAAA8AAABkcnMvZG93bnJldi54bWxMj0FLw0AQhe+C&#10;/2EZwYu0u5qkaMymiOBF8NAq2OM0uyax2dmQ3SbRX+/0VI/D+3jzvWI9u06MdgitJw23SwXCUuVN&#10;S7WGj/eXxT2IEJEMdp6shh8bYF1eXhSYGz/Rxo7bWAsuoZCjhibGPpcyVI11GJa+t8TZlx8cRj6H&#10;WpoBJy53nbxTaiUdtsQfGuztc2Orw/boNGxkMr2m4fMwml1Y3Yxvv9jU31pfX81PjyCineMZhpM+&#10;q0PJTnt/JBNEpyFTScIoBxlvOgFKpSmIvYZUPWQgy0L+31D+AQAA//8DAFBLAQItABQABgAIAAAA&#10;IQC2gziS/gAAAOEBAAATAAAAAAAAAAAAAAAAAAAAAABbQ29udGVudF9UeXBlc10ueG1sUEsBAi0A&#10;FAAGAAgAAAAhADj9If/WAAAAlAEAAAsAAAAAAAAAAAAAAAAALwEAAF9yZWxzLy5yZWxzUEsBAi0A&#10;FAAGAAgAAAAhABqoi4qOAgAAGgUAAA4AAAAAAAAAAAAAAAAALgIAAGRycy9lMm9Eb2MueG1sUEsB&#10;Ai0AFAAGAAgAAAAhAIuTiPbgAAAACwEAAA8AAAAAAAAAAAAAAAAA6AQAAGRycy9kb3ducmV2Lnht&#10;bFBLBQYAAAAABAAEAPMAAAD1BQAAAAA=&#10;" filled="f" strokecolor="#0070c0">
                <v:textbox>
                  <w:txbxContent>
                    <w:p w:rsidR="00EF478F" w:rsidRDefault="00EF478F" w:rsidP="00EF478F">
                      <w:pPr>
                        <w:ind w:left="-142"/>
                        <w:jc w:val="right"/>
                      </w:pPr>
                      <w:r w:rsidRPr="009D2B9C">
                        <w:rPr>
                          <w:noProof/>
                        </w:rPr>
                        <w:drawing>
                          <wp:inline distT="0" distB="0" distL="0" distR="0" wp14:anchorId="633A0059" wp14:editId="432C39D6">
                            <wp:extent cx="2990215" cy="2188210"/>
                            <wp:effectExtent l="0" t="0" r="635"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215" cy="21882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714C806" wp14:editId="534A7821">
                <wp:simplePos x="0" y="0"/>
                <wp:positionH relativeFrom="column">
                  <wp:posOffset>-53788</wp:posOffset>
                </wp:positionH>
                <wp:positionV relativeFrom="paragraph">
                  <wp:posOffset>100030</wp:posOffset>
                </wp:positionV>
                <wp:extent cx="3205480" cy="2501153"/>
                <wp:effectExtent l="0" t="0" r="13970" b="13970"/>
                <wp:wrapNone/>
                <wp:docPr id="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501153"/>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F478F" w:rsidRDefault="00EF478F" w:rsidP="00EF478F">
                            <w:pPr>
                              <w:spacing w:line="276" w:lineRule="auto"/>
                              <w:jc w:val="both"/>
                            </w:pPr>
                            <w:r>
                              <w:t>Au cours de la troisième décade d’août, la majeure partie des postes pluviométriques ont enregistré des hauteurs d’eau comprises entre</w:t>
                            </w:r>
                            <w:r>
                              <w:rPr>
                                <w:b/>
                                <w:bCs/>
                              </w:rPr>
                              <w:t xml:space="preserve"> 13,4</w:t>
                            </w:r>
                            <w:r>
                              <w:t xml:space="preserve"> et </w:t>
                            </w:r>
                            <w:r>
                              <w:rPr>
                                <w:b/>
                                <w:bCs/>
                              </w:rPr>
                              <w:t>15</w:t>
                            </w:r>
                            <w:r w:rsidRPr="00725257">
                              <w:rPr>
                                <w:b/>
                                <w:bCs/>
                              </w:rPr>
                              <w:t>0 mm</w:t>
                            </w:r>
                            <w:r>
                              <w:rPr>
                                <w:b/>
                                <w:bCs/>
                              </w:rPr>
                              <w:t xml:space="preserve"> </w:t>
                            </w:r>
                            <w:r w:rsidRPr="00725257">
                              <w:t>(confer carte ci-contre).</w:t>
                            </w:r>
                          </w:p>
                          <w:p w:rsidR="00EF478F" w:rsidRDefault="00EF478F" w:rsidP="00EF478F">
                            <w:pPr>
                              <w:spacing w:line="276" w:lineRule="auto"/>
                              <w:jc w:val="both"/>
                            </w:pPr>
                          </w:p>
                          <w:p w:rsidR="00EF478F" w:rsidRDefault="00EF478F" w:rsidP="00EF478F">
                            <w:pPr>
                              <w:spacing w:line="276" w:lineRule="auto"/>
                              <w:jc w:val="both"/>
                            </w:pPr>
                            <w:r>
                              <w:t>En effet, les plus fortes hauteurs d’eau ont été enregistrées à</w:t>
                            </w:r>
                            <w:r>
                              <w:rPr>
                                <w:b/>
                                <w:bCs/>
                              </w:rPr>
                              <w:t xml:space="preserve"> Dédougou</w:t>
                            </w:r>
                            <w:r>
                              <w:t xml:space="preserve"> (</w:t>
                            </w:r>
                            <w:r>
                              <w:rPr>
                                <w:b/>
                                <w:bCs/>
                              </w:rPr>
                              <w:t>27</w:t>
                            </w:r>
                            <w:r w:rsidRPr="00764D18">
                              <w:rPr>
                                <w:b/>
                                <w:bCs/>
                              </w:rPr>
                              <w:t xml:space="preserve">7 mm </w:t>
                            </w:r>
                            <w:r w:rsidRPr="00764D18">
                              <w:t>en</w:t>
                            </w:r>
                            <w:r w:rsidRPr="00764D18">
                              <w:rPr>
                                <w:b/>
                                <w:bCs/>
                              </w:rPr>
                              <w:t xml:space="preserve"> </w:t>
                            </w:r>
                            <w:r>
                              <w:rPr>
                                <w:b/>
                                <w:bCs/>
                              </w:rPr>
                              <w:t>9</w:t>
                            </w:r>
                            <w:r w:rsidRPr="00764D18">
                              <w:rPr>
                                <w:b/>
                                <w:bCs/>
                              </w:rPr>
                              <w:t xml:space="preserve"> jours</w:t>
                            </w:r>
                            <w:r>
                              <w:t xml:space="preserve">) dans la région de la Boucle du Mouhoun et à </w:t>
                            </w:r>
                            <w:proofErr w:type="spellStart"/>
                            <w:r>
                              <w:t>Tiéfora</w:t>
                            </w:r>
                            <w:proofErr w:type="spellEnd"/>
                            <w:r>
                              <w:t xml:space="preserve"> (</w:t>
                            </w:r>
                            <w:r w:rsidRPr="00C346EC">
                              <w:rPr>
                                <w:b/>
                                <w:bCs/>
                              </w:rPr>
                              <w:t>271 mm</w:t>
                            </w:r>
                            <w:r>
                              <w:t xml:space="preserve"> en </w:t>
                            </w:r>
                            <w:r w:rsidRPr="00C346EC">
                              <w:rPr>
                                <w:b/>
                                <w:bCs/>
                              </w:rPr>
                              <w:t>5 jours</w:t>
                            </w:r>
                            <w:r>
                              <w:t xml:space="preserve">) dans la région des Cascades. La plus faible hauteur d’eau était de </w:t>
                            </w:r>
                            <w:r>
                              <w:rPr>
                                <w:b/>
                                <w:bCs/>
                              </w:rPr>
                              <w:t>13,4</w:t>
                            </w:r>
                            <w:r w:rsidRPr="00764D18">
                              <w:rPr>
                                <w:b/>
                                <w:bCs/>
                              </w:rPr>
                              <w:t xml:space="preserve"> mm</w:t>
                            </w:r>
                            <w:r>
                              <w:rPr>
                                <w:b/>
                                <w:bCs/>
                              </w:rPr>
                              <w:t xml:space="preserve"> en 1 jour</w:t>
                            </w:r>
                            <w:r>
                              <w:t>, enregistré à</w:t>
                            </w:r>
                            <w:r>
                              <w:rPr>
                                <w:b/>
                                <w:bCs/>
                              </w:rPr>
                              <w:t xml:space="preserve"> </w:t>
                            </w:r>
                            <w:proofErr w:type="spellStart"/>
                            <w:r>
                              <w:rPr>
                                <w:b/>
                                <w:bCs/>
                              </w:rPr>
                              <w:t>Kompienga</w:t>
                            </w:r>
                            <w:proofErr w:type="spellEnd"/>
                            <w:r>
                              <w:t>, dans la région de l’Est.</w:t>
                            </w:r>
                          </w:p>
                          <w:p w:rsidR="00EF478F" w:rsidRPr="00F41771" w:rsidRDefault="00EF478F" w:rsidP="00EF478F">
                            <w:pPr>
                              <w:spacing w:line="27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C806" id="Text Box 278" o:spid="_x0000_s1033" type="#_x0000_t202" style="position:absolute;margin-left:-4.25pt;margin-top:7.9pt;width:252.4pt;height:19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VjQIAABoFAAAOAAAAZHJzL2Uyb0RvYy54bWysVNtu2zAMfR+wfxD0nvpSu0mMOkVnJ8OA&#10;3YB2H6DIcixMljRJid0N+/dRcpKm28swzA+2ZFKHPOShbu/GXqADM5YrWeLkKsaISaoaLncl/vK4&#10;mS0wso7IhgglWYmfmMV3q9evbgddsFR1SjTMIACRthh0iTvndBFFlnasJ/ZKaSbB2CrTEwdbs4sa&#10;QwZA70WUxvFNNCjTaKMosxb+1pMRrwJ+2zLqPrWtZQ6JEkNuLrxNeG/9O1rdkmJniO44PaZB/iGL&#10;nnAJQc9QNXEE7Q3/A6rn1CirWndFVR+ptuWUBQ7AJol/Y/PQEc0CFyiO1ecy2f8HSz8ePhvEmxKn&#10;CUaS9NCjRzY69EaNKJ0vfIEGbQvwe9Dg6UYwQKMDWavfK/rVIqmqjsgduzdGDR0jDSSY+JPRxdEJ&#10;x3qQ7fBBNRCI7J0KQGNrel89qAcCdGjU07k5PhkKP6/TOM8WYKJgS/M4SfLrEIMUp+PaWPeWqR75&#10;RYkNdD/Ak8N763w6pDi5+GhSbbgQQQFCoqHEyzzNJ2JK8MYbvZs1u20lDDoQr6F4HldBNgBmL916&#10;7kDJgvclXsT+mbTly7GWTYjiCBfTGg4L6cGBHeR2XE2K+bGMl+vFepHNsvRmPcviup7db6psdrNJ&#10;5nl9XVdVnfz0eSZZ0fGmYdKnelJvkv2dOo5zNOnurN8XlF4w34TnWPELt+hlGqHKwOr0DeyCDnzr&#10;JxG4cTsGzc09nNfIVjVPIAyjpgGFCwUWnTLfMRpgOEtsv+2JYRiJdxLEtUyyzE9z2GT5PIWNubRs&#10;Ly1EUoAqscNoWlZuugH22vBdB5EmOUt1D4JseZDKc1ZHGcMABk7Hy8JP+OU+eD1faatfAAAA//8D&#10;AFBLAwQUAAYACAAAACEAl1JsXuAAAAAJAQAADwAAAGRycy9kb3ducmV2LnhtbEyPQU/DMAyF70j8&#10;h8hIXNCWwraylaYTQuKCxGEDCY5eY9qyxqmarC38eswJbrbf0/P38u3kWjVQHxrPBq7nCSji0tuG&#10;KwOvL4+zNagQkS22nsnAFwXYFudnOWbWj7yjYR8rJSEcMjRQx9hlWoeyJodh7jti0T587zDK2lfa&#10;9jhKuGv1TZKk2mHD8qHGjh5qKo/7kzOw04vxaRnejoN9D+nV8PyNdfVpzOXFdH8HKtIU/8zwiy/o&#10;UAjTwZ/YBtUamK1X4pT7ShqIvtykC1AHGZLNLegi1/8bFD8AAAD//wMAUEsBAi0AFAAGAAgAAAAh&#10;ALaDOJL+AAAA4QEAABMAAAAAAAAAAAAAAAAAAAAAAFtDb250ZW50X1R5cGVzXS54bWxQSwECLQAU&#10;AAYACAAAACEAOP0h/9YAAACUAQAACwAAAAAAAAAAAAAAAAAvAQAAX3JlbHMvLnJlbHNQSwECLQAU&#10;AAYACAAAACEAfNP2FY0CAAAaBQAADgAAAAAAAAAAAAAAAAAuAgAAZHJzL2Uyb0RvYy54bWxQSwEC&#10;LQAUAAYACAAAACEAl1JsXuAAAAAJAQAADwAAAAAAAAAAAAAAAADnBAAAZHJzL2Rvd25yZXYueG1s&#10;UEsFBgAAAAAEAAQA8wAAAPQFAAAAAA==&#10;" filled="f" strokecolor="#0070c0">
                <v:textbox>
                  <w:txbxContent>
                    <w:p w:rsidR="00EF478F" w:rsidRDefault="00EF478F" w:rsidP="00EF478F">
                      <w:pPr>
                        <w:spacing w:line="276" w:lineRule="auto"/>
                        <w:jc w:val="both"/>
                      </w:pPr>
                      <w:r>
                        <w:t>Au cours de la troisième décade d’août, la majeure partie des postes pluviométriques ont enregistré des hauteurs d’eau comprises entre</w:t>
                      </w:r>
                      <w:r>
                        <w:rPr>
                          <w:b/>
                          <w:bCs/>
                        </w:rPr>
                        <w:t xml:space="preserve"> 13,4</w:t>
                      </w:r>
                      <w:r>
                        <w:t xml:space="preserve"> et </w:t>
                      </w:r>
                      <w:r>
                        <w:rPr>
                          <w:b/>
                          <w:bCs/>
                        </w:rPr>
                        <w:t>15</w:t>
                      </w:r>
                      <w:r w:rsidRPr="00725257">
                        <w:rPr>
                          <w:b/>
                          <w:bCs/>
                        </w:rPr>
                        <w:t>0 mm</w:t>
                      </w:r>
                      <w:r>
                        <w:rPr>
                          <w:b/>
                          <w:bCs/>
                        </w:rPr>
                        <w:t xml:space="preserve"> </w:t>
                      </w:r>
                      <w:r w:rsidRPr="00725257">
                        <w:t>(confer carte ci-contre).</w:t>
                      </w:r>
                    </w:p>
                    <w:p w:rsidR="00EF478F" w:rsidRDefault="00EF478F" w:rsidP="00EF478F">
                      <w:pPr>
                        <w:spacing w:line="276" w:lineRule="auto"/>
                        <w:jc w:val="both"/>
                      </w:pPr>
                    </w:p>
                    <w:p w:rsidR="00EF478F" w:rsidRDefault="00EF478F" w:rsidP="00EF478F">
                      <w:pPr>
                        <w:spacing w:line="276" w:lineRule="auto"/>
                        <w:jc w:val="both"/>
                      </w:pPr>
                      <w:r>
                        <w:t>En effet, les plus fortes hauteurs d’eau ont été enregistrées à</w:t>
                      </w:r>
                      <w:r>
                        <w:rPr>
                          <w:b/>
                          <w:bCs/>
                        </w:rPr>
                        <w:t xml:space="preserve"> Dédougou</w:t>
                      </w:r>
                      <w:r>
                        <w:t xml:space="preserve"> (</w:t>
                      </w:r>
                      <w:r>
                        <w:rPr>
                          <w:b/>
                          <w:bCs/>
                        </w:rPr>
                        <w:t>27</w:t>
                      </w:r>
                      <w:r w:rsidRPr="00764D18">
                        <w:rPr>
                          <w:b/>
                          <w:bCs/>
                        </w:rPr>
                        <w:t xml:space="preserve">7 mm </w:t>
                      </w:r>
                      <w:r w:rsidRPr="00764D18">
                        <w:t>en</w:t>
                      </w:r>
                      <w:r w:rsidRPr="00764D18">
                        <w:rPr>
                          <w:b/>
                          <w:bCs/>
                        </w:rPr>
                        <w:t xml:space="preserve"> </w:t>
                      </w:r>
                      <w:r>
                        <w:rPr>
                          <w:b/>
                          <w:bCs/>
                        </w:rPr>
                        <w:t>9</w:t>
                      </w:r>
                      <w:r w:rsidRPr="00764D18">
                        <w:rPr>
                          <w:b/>
                          <w:bCs/>
                        </w:rPr>
                        <w:t xml:space="preserve"> jours</w:t>
                      </w:r>
                      <w:r>
                        <w:t xml:space="preserve">) dans la région de la Boucle du Mouhoun et à </w:t>
                      </w:r>
                      <w:proofErr w:type="spellStart"/>
                      <w:r>
                        <w:t>Tiéfora</w:t>
                      </w:r>
                      <w:proofErr w:type="spellEnd"/>
                      <w:r>
                        <w:t xml:space="preserve"> (</w:t>
                      </w:r>
                      <w:r w:rsidRPr="00C346EC">
                        <w:rPr>
                          <w:b/>
                          <w:bCs/>
                        </w:rPr>
                        <w:t>271 mm</w:t>
                      </w:r>
                      <w:r>
                        <w:t xml:space="preserve"> en </w:t>
                      </w:r>
                      <w:r w:rsidRPr="00C346EC">
                        <w:rPr>
                          <w:b/>
                          <w:bCs/>
                        </w:rPr>
                        <w:t>5 jours</w:t>
                      </w:r>
                      <w:r>
                        <w:t xml:space="preserve">) dans la région des Cascades. La plus faible hauteur d’eau était de </w:t>
                      </w:r>
                      <w:r>
                        <w:rPr>
                          <w:b/>
                          <w:bCs/>
                        </w:rPr>
                        <w:t>13,4</w:t>
                      </w:r>
                      <w:r w:rsidRPr="00764D18">
                        <w:rPr>
                          <w:b/>
                          <w:bCs/>
                        </w:rPr>
                        <w:t xml:space="preserve"> mm</w:t>
                      </w:r>
                      <w:r>
                        <w:rPr>
                          <w:b/>
                          <w:bCs/>
                        </w:rPr>
                        <w:t xml:space="preserve"> en 1 jour</w:t>
                      </w:r>
                      <w:r>
                        <w:t>, enregistré à</w:t>
                      </w:r>
                      <w:r>
                        <w:rPr>
                          <w:b/>
                          <w:bCs/>
                        </w:rPr>
                        <w:t xml:space="preserve"> </w:t>
                      </w:r>
                      <w:proofErr w:type="spellStart"/>
                      <w:r>
                        <w:rPr>
                          <w:b/>
                          <w:bCs/>
                        </w:rPr>
                        <w:t>Kompienga</w:t>
                      </w:r>
                      <w:proofErr w:type="spellEnd"/>
                      <w:r>
                        <w:t>, dans la région de l’Est.</w:t>
                      </w:r>
                    </w:p>
                    <w:p w:rsidR="00EF478F" w:rsidRPr="00F41771" w:rsidRDefault="00EF478F" w:rsidP="00EF478F">
                      <w:pPr>
                        <w:spacing w:line="276" w:lineRule="auto"/>
                        <w:jc w:val="both"/>
                      </w:pPr>
                    </w:p>
                  </w:txbxContent>
                </v:textbox>
              </v:shape>
            </w:pict>
          </mc:Fallback>
        </mc:AlternateContent>
      </w:r>
    </w:p>
    <w:p w:rsidR="00EF478F" w:rsidRDefault="00EF478F" w:rsidP="00EF478F"/>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Default="00EF478F" w:rsidP="00EF478F">
      <w:pPr>
        <w:pStyle w:val="Titre3"/>
        <w:rPr>
          <w:sz w:val="24"/>
        </w:rPr>
      </w:pPr>
    </w:p>
    <w:p w:rsidR="00EF478F" w:rsidRPr="006C05EE" w:rsidRDefault="00EF478F" w:rsidP="00EF478F">
      <w:pPr>
        <w:pStyle w:val="Titre1"/>
        <w:numPr>
          <w:ilvl w:val="0"/>
          <w:numId w:val="3"/>
        </w:numPr>
        <w:rPr>
          <w:b/>
          <w:sz w:val="28"/>
          <w:szCs w:val="28"/>
        </w:rPr>
      </w:pPr>
      <w:bookmarkStart w:id="22" w:name="_Toc453686090"/>
      <w:bookmarkStart w:id="23" w:name="_Toc453748846"/>
      <w:bookmarkStart w:id="24" w:name="_Toc453828151"/>
      <w:bookmarkStart w:id="25" w:name="_Toc513995329"/>
      <w:bookmarkStart w:id="26" w:name="_Toc513995424"/>
      <w:bookmarkStart w:id="27" w:name="_Toc514078351"/>
      <w:bookmarkStart w:id="28" w:name="_Toc514078401"/>
      <w:bookmarkStart w:id="29" w:name="_Toc514734845"/>
      <w:bookmarkStart w:id="30" w:name="_Toc515847114"/>
      <w:bookmarkStart w:id="31" w:name="_Toc516562517"/>
      <w:bookmarkStart w:id="32" w:name="_Toc516564926"/>
      <w:bookmarkStart w:id="33" w:name="_Toc516569874"/>
      <w:bookmarkStart w:id="34" w:name="_Toc12293954"/>
      <w:bookmarkStart w:id="35" w:name="_Toc14104733"/>
      <w:bookmarkStart w:id="36" w:name="_Toc14105539"/>
      <w:bookmarkStart w:id="37" w:name="_Toc17709000"/>
      <w:bookmarkStart w:id="38" w:name="_Toc18418130"/>
      <w:bookmarkStart w:id="39" w:name="_Toc18418779"/>
      <w:bookmarkStart w:id="40" w:name="_Toc18418787"/>
      <w:bookmarkStart w:id="41" w:name="_Toc18418801"/>
      <w:bookmarkStart w:id="42" w:name="_Toc18418940"/>
      <w:proofErr w:type="spellStart"/>
      <w:r w:rsidRPr="001F484D">
        <w:rPr>
          <w:b/>
          <w:sz w:val="28"/>
          <w:szCs w:val="28"/>
        </w:rPr>
        <w:t>Evolut</w:t>
      </w:r>
      <w:r>
        <w:rPr>
          <w:b/>
          <w:sz w:val="28"/>
          <w:szCs w:val="28"/>
        </w:rPr>
        <w:t>ion</w:t>
      </w:r>
      <w:proofErr w:type="spellEnd"/>
      <w:r>
        <w:rPr>
          <w:b/>
          <w:sz w:val="28"/>
          <w:szCs w:val="28"/>
        </w:rPr>
        <w:t xml:space="preserve"> du cumul pluviométrique au 31 août</w:t>
      </w:r>
      <w:bookmarkEnd w:id="22"/>
      <w:bookmarkEnd w:id="23"/>
      <w:bookmarkEnd w:id="24"/>
      <w:r w:rsidRPr="001F484D">
        <w:rPr>
          <w:b/>
          <w:sz w:val="28"/>
          <w:szCs w:val="28"/>
        </w:rPr>
        <w:t xml:space="preserve"> 201</w:t>
      </w:r>
      <w:bookmarkEnd w:id="25"/>
      <w:bookmarkEnd w:id="26"/>
      <w:bookmarkEnd w:id="27"/>
      <w:bookmarkEnd w:id="28"/>
      <w:bookmarkEnd w:id="29"/>
      <w:bookmarkEnd w:id="30"/>
      <w:bookmarkEnd w:id="31"/>
      <w:bookmarkEnd w:id="32"/>
      <w:bookmarkEnd w:id="33"/>
      <w:r>
        <w:rPr>
          <w:b/>
          <w:sz w:val="28"/>
          <w:szCs w:val="28"/>
        </w:rPr>
        <w:t>9</w:t>
      </w:r>
      <w:bookmarkEnd w:id="34"/>
      <w:bookmarkEnd w:id="35"/>
      <w:bookmarkEnd w:id="36"/>
      <w:bookmarkEnd w:id="37"/>
      <w:bookmarkEnd w:id="38"/>
      <w:bookmarkEnd w:id="39"/>
      <w:bookmarkEnd w:id="40"/>
      <w:bookmarkEnd w:id="41"/>
      <w:bookmarkEnd w:id="42"/>
    </w:p>
    <w:p w:rsidR="00EF478F" w:rsidRDefault="00EF478F" w:rsidP="00EF478F"/>
    <w:p w:rsidR="00EF478F" w:rsidRDefault="00EF478F" w:rsidP="00EF478F">
      <w:r>
        <w:rPr>
          <w:noProof/>
        </w:rPr>
        <mc:AlternateContent>
          <mc:Choice Requires="wps">
            <w:drawing>
              <wp:anchor distT="0" distB="0" distL="114300" distR="114300" simplePos="0" relativeHeight="251691008" behindDoc="0" locked="0" layoutInCell="1" allowOverlap="1" wp14:anchorId="6AEF5DAE" wp14:editId="7BE9D84A">
                <wp:simplePos x="0" y="0"/>
                <wp:positionH relativeFrom="margin">
                  <wp:posOffset>3155576</wp:posOffset>
                </wp:positionH>
                <wp:positionV relativeFrom="paragraph">
                  <wp:posOffset>-4408</wp:posOffset>
                </wp:positionV>
                <wp:extent cx="3200400" cy="2380130"/>
                <wp:effectExtent l="0" t="0" r="19050" b="20320"/>
                <wp:wrapNone/>
                <wp:docPr id="2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0130"/>
                        </a:xfrm>
                        <a:prstGeom prst="rect">
                          <a:avLst/>
                        </a:prstGeom>
                        <a:solidFill>
                          <a:schemeClr val="lt1">
                            <a:lumMod val="100000"/>
                            <a:lumOff val="0"/>
                          </a:schemeClr>
                        </a:solidFill>
                        <a:ln w="9525">
                          <a:solidFill>
                            <a:srgbClr val="0070C0"/>
                          </a:solidFill>
                          <a:miter lim="800000"/>
                          <a:headEnd/>
                          <a:tailEnd/>
                        </a:ln>
                      </wps:spPr>
                      <wps:txbx>
                        <w:txbxContent>
                          <w:p w:rsidR="00EF478F" w:rsidRDefault="00EF478F" w:rsidP="00EF478F">
                            <w:pPr>
                              <w:tabs>
                                <w:tab w:val="left" w:pos="5245"/>
                              </w:tabs>
                              <w:ind w:hanging="142"/>
                              <w:jc w:val="right"/>
                            </w:pPr>
                            <w:r w:rsidRPr="009D2B9C">
                              <w:rPr>
                                <w:noProof/>
                              </w:rPr>
                              <w:drawing>
                                <wp:inline distT="0" distB="0" distL="0" distR="0" wp14:anchorId="4F95FC04" wp14:editId="47F2037D">
                                  <wp:extent cx="3008630" cy="2197735"/>
                                  <wp:effectExtent l="0" t="0" r="127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8630" cy="2197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AEF5DAE" id="Zone de texte 5" o:spid="_x0000_s1034" type="#_x0000_t202" style="position:absolute;margin-left:248.45pt;margin-top:-.35pt;width:252pt;height:187.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elTwIAAJUEAAAOAAAAZHJzL2Uyb0RvYy54bWysVE2P2yAQvVfqf0DcGztf3awVZ7XNdqtK&#10;2w9p20tvBOMYFRgKJPb213eAJPW2t6o5WMDAmzfvzWR9M2hFjsJ5Caam00lJiTAcGmn2Nf365f7V&#10;ihIfmGmYAiNq+iQ8vdm8fLHubSVm0IFqhCMIYnzV25p2IdiqKDzvhGZ+AlYYDLbgNAu4dfuicaxH&#10;dK2KWVm+LnpwjXXAhfd4epeDdJPw21bw8KltvQhE1RS5hfR16buL32KzZtXeMdtJfqLB/oGFZtJg&#10;0gvUHQuMHJz8C0pL7sBDGyYcdAFtK7lINWA10/KPah47ZkWqBcXx9iKT/3+w/OPxsyOyqelsQYlh&#10;Gj36hk6RRpAghiDIMmrUW1/h1UeLl8PwBgb0OtXr7QPw754Y2HbM7MWtc9B3gjXIcRpfFqOnGcdH&#10;kF3/ARrMxQ4BEtDQOh0FREkIoqNXTxd/kAfheDhHxxclhjjGZvNVOZ0nBwtWnZ9b58M7AZrERU0d&#10;NkCCZ8cHHyIdVp2vxGwelGzupVJpE5tObJUjR4btokIuUR00cs1n0zL+ctfgOfZWPj/TSH0bIVKm&#10;Z+jKkL6m18vZMgv3LLPb7y55y/Kq3F4Ax9e0DDgsSuqarkZEotxvTZNaOTCp8horVeakf5Q8ix+G&#10;3ZDsXp1t3UHzhIY4yLOBs4yLDtxPSnqci5r6HwfmBCXqvUFTr6eLRRyktFksr2a4cePIbhxhhiNU&#10;TQMlebkNefgO1sl9h5myxgZusRFamSyKHZNZnehj7yc9T3Mah2u8T7d+/5tsfgEAAP//AwBQSwME&#10;FAAGAAgAAAAhAC3E1sjfAAAACgEAAA8AAABkcnMvZG93bnJldi54bWxMj8FOwzAQRO9I/IO1SFyq&#10;1i6UloRsqioCwZWCytWJTRKId6PYacPf457gODujmbfZdnKdONrBt0wIy4UCYali01KN8P72NL8H&#10;4YMmozsmi/BjPWzzy4tMp4ZP9GqP+1CLWEI+1QhNCH0qpa8a67RfcG8pep88OB2iHGppBn2K5a6T&#10;N0qtpdMtxYVG97ZobPW9Hx0CP+8CJeNMf8weDy9fh7uiZC4Qr6+m3QOIYKfwF4YzfkSHPDKVPJLx&#10;okNYJeskRhHmGxBnXykVDyXC7Wa1BJln8v8L+S8AAAD//wMAUEsBAi0AFAAGAAgAAAAhALaDOJL+&#10;AAAA4QEAABMAAAAAAAAAAAAAAAAAAAAAAFtDb250ZW50X1R5cGVzXS54bWxQSwECLQAUAAYACAAA&#10;ACEAOP0h/9YAAACUAQAACwAAAAAAAAAAAAAAAAAvAQAAX3JlbHMvLnJlbHNQSwECLQAUAAYACAAA&#10;ACEAYMM3pU8CAACVBAAADgAAAAAAAAAAAAAAAAAuAgAAZHJzL2Uyb0RvYy54bWxQSwECLQAUAAYA&#10;CAAAACEALcTWyN8AAAAKAQAADwAAAAAAAAAAAAAAAACpBAAAZHJzL2Rvd25yZXYueG1sUEsFBgAA&#10;AAAEAAQA8wAAALUFAAAAAA==&#10;" fillcolor="white [3201]" strokecolor="#0070c0">
                <v:textbox>
                  <w:txbxContent>
                    <w:p w:rsidR="00EF478F" w:rsidRDefault="00EF478F" w:rsidP="00EF478F">
                      <w:pPr>
                        <w:tabs>
                          <w:tab w:val="left" w:pos="5245"/>
                        </w:tabs>
                        <w:ind w:hanging="142"/>
                        <w:jc w:val="right"/>
                      </w:pPr>
                      <w:r w:rsidRPr="009D2B9C">
                        <w:rPr>
                          <w:noProof/>
                        </w:rPr>
                        <w:drawing>
                          <wp:inline distT="0" distB="0" distL="0" distR="0" wp14:anchorId="4F95FC04" wp14:editId="47F2037D">
                            <wp:extent cx="3008630" cy="2197735"/>
                            <wp:effectExtent l="0" t="0" r="127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8630" cy="219773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551B874B" wp14:editId="1C221E31">
                <wp:simplePos x="0" y="0"/>
                <wp:positionH relativeFrom="margin">
                  <wp:posOffset>-53788</wp:posOffset>
                </wp:positionH>
                <wp:positionV relativeFrom="paragraph">
                  <wp:posOffset>-4408</wp:posOffset>
                </wp:positionV>
                <wp:extent cx="3138805" cy="2380130"/>
                <wp:effectExtent l="0" t="0" r="23495" b="2032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380130"/>
                        </a:xfrm>
                        <a:prstGeom prst="rect">
                          <a:avLst/>
                        </a:prstGeom>
                        <a:solidFill>
                          <a:srgbClr val="FFFFFF"/>
                        </a:solidFill>
                        <a:ln w="9525">
                          <a:solidFill>
                            <a:srgbClr val="4F81BD"/>
                          </a:solidFill>
                          <a:miter lim="800000"/>
                          <a:headEnd/>
                          <a:tailEnd/>
                        </a:ln>
                      </wps:spPr>
                      <wps:txbx>
                        <w:txbxContent>
                          <w:p w:rsidR="00EF478F" w:rsidRPr="00FF648D" w:rsidRDefault="00EF478F" w:rsidP="00EF478F">
                            <w:pPr>
                              <w:spacing w:line="276" w:lineRule="auto"/>
                              <w:jc w:val="both"/>
                            </w:pPr>
                            <w:r>
                              <w:t>Du 1</w:t>
                            </w:r>
                            <w:r w:rsidRPr="00725257">
                              <w:rPr>
                                <w:vertAlign w:val="superscript"/>
                              </w:rPr>
                              <w:t>er</w:t>
                            </w:r>
                            <w:r>
                              <w:t xml:space="preserve"> avril au 31 août 2019, la majeure partie du territoire a enregistré un cumul pluviométrique compris entre</w:t>
                            </w:r>
                            <w:r>
                              <w:rPr>
                                <w:b/>
                                <w:bCs/>
                              </w:rPr>
                              <w:t xml:space="preserve"> 350</w:t>
                            </w:r>
                            <w:r>
                              <w:t xml:space="preserve"> et </w:t>
                            </w:r>
                            <w:r>
                              <w:rPr>
                                <w:b/>
                                <w:bCs/>
                              </w:rPr>
                              <w:t>80</w:t>
                            </w:r>
                            <w:r w:rsidRPr="00725257">
                              <w:rPr>
                                <w:b/>
                                <w:bCs/>
                              </w:rPr>
                              <w:t>0</w:t>
                            </w:r>
                            <w:r>
                              <w:t xml:space="preserve"> </w:t>
                            </w:r>
                            <w:proofErr w:type="spellStart"/>
                            <w:r w:rsidRPr="00725257">
                              <w:rPr>
                                <w:b/>
                                <w:bCs/>
                              </w:rPr>
                              <w:t>mm</w:t>
                            </w:r>
                            <w:r>
                              <w:t>.</w:t>
                            </w:r>
                            <w:proofErr w:type="spellEnd"/>
                          </w:p>
                          <w:p w:rsidR="00EF478F" w:rsidRPr="00683871" w:rsidRDefault="00EF478F" w:rsidP="00EF478F">
                            <w:pPr>
                              <w:spacing w:line="276" w:lineRule="auto"/>
                              <w:jc w:val="both"/>
                              <w:rPr>
                                <w:sz w:val="22"/>
                                <w:szCs w:val="22"/>
                              </w:rPr>
                            </w:pPr>
                            <w:r>
                              <w:t xml:space="preserve">Le poste pluviométrique de </w:t>
                            </w:r>
                            <w:proofErr w:type="spellStart"/>
                            <w:r>
                              <w:rPr>
                                <w:b/>
                                <w:bCs/>
                              </w:rPr>
                              <w:t>Markoye</w:t>
                            </w:r>
                            <w:proofErr w:type="spellEnd"/>
                            <w:r>
                              <w:rPr>
                                <w:b/>
                                <w:bCs/>
                              </w:rPr>
                              <w:t xml:space="preserve">, </w:t>
                            </w:r>
                            <w:r w:rsidRPr="00764D18">
                              <w:t>dans la région du Sahel, avec</w:t>
                            </w:r>
                            <w:r>
                              <w:rPr>
                                <w:b/>
                                <w:bCs/>
                              </w:rPr>
                              <w:t xml:space="preserve"> 188,7 mm </w:t>
                            </w:r>
                            <w:r w:rsidRPr="00764D18">
                              <w:t>en</w:t>
                            </w:r>
                            <w:r>
                              <w:rPr>
                                <w:b/>
                                <w:bCs/>
                              </w:rPr>
                              <w:t xml:space="preserve"> 12 jours </w:t>
                            </w:r>
                            <w:r w:rsidRPr="00764D18">
                              <w:t>a enregistré le cumul le plus faible</w:t>
                            </w:r>
                            <w:r>
                              <w:t xml:space="preserve"> et demeure similaire comparativement à la décade passée</w:t>
                            </w:r>
                            <w:r>
                              <w:rPr>
                                <w:b/>
                                <w:sz w:val="22"/>
                                <w:szCs w:val="22"/>
                              </w:rPr>
                              <w:t>.</w:t>
                            </w:r>
                          </w:p>
                          <w:p w:rsidR="00EF478F" w:rsidRPr="00577663" w:rsidRDefault="00EF478F" w:rsidP="00EF478F">
                            <w:pPr>
                              <w:spacing w:line="276" w:lineRule="auto"/>
                              <w:jc w:val="both"/>
                            </w:pPr>
                            <w:r>
                              <w:t>Les cumuls pluviométriques les plus élevés ont été enregistrés à</w:t>
                            </w:r>
                            <w:r>
                              <w:rPr>
                                <w:b/>
                                <w:bCs/>
                              </w:rPr>
                              <w:t xml:space="preserve"> </w:t>
                            </w:r>
                            <w:proofErr w:type="spellStart"/>
                            <w:r>
                              <w:rPr>
                                <w:b/>
                                <w:bCs/>
                              </w:rPr>
                              <w:t>Béréba</w:t>
                            </w:r>
                            <w:proofErr w:type="spellEnd"/>
                            <w:r>
                              <w:rPr>
                                <w:b/>
                                <w:bCs/>
                              </w:rPr>
                              <w:t xml:space="preserve"> </w:t>
                            </w:r>
                            <w:r>
                              <w:t>(</w:t>
                            </w:r>
                            <w:r>
                              <w:rPr>
                                <w:b/>
                              </w:rPr>
                              <w:t xml:space="preserve">921,4 </w:t>
                            </w:r>
                            <w:r w:rsidRPr="00DD26ED">
                              <w:rPr>
                                <w:b/>
                              </w:rPr>
                              <w:t>mm</w:t>
                            </w:r>
                            <w:r>
                              <w:t xml:space="preserve"> en </w:t>
                            </w:r>
                            <w:r>
                              <w:rPr>
                                <w:b/>
                              </w:rPr>
                              <w:t xml:space="preserve">43 </w:t>
                            </w:r>
                            <w:r w:rsidRPr="00DD26ED">
                              <w:rPr>
                                <w:b/>
                              </w:rPr>
                              <w:t>jours</w:t>
                            </w:r>
                            <w:r>
                              <w:t>), et à</w:t>
                            </w:r>
                            <w:r>
                              <w:rPr>
                                <w:b/>
                                <w:bCs/>
                              </w:rPr>
                              <w:t xml:space="preserve"> Bobo aéroport</w:t>
                            </w:r>
                            <w:r>
                              <w:t xml:space="preserve"> (</w:t>
                            </w:r>
                            <w:r>
                              <w:rPr>
                                <w:b/>
                                <w:bCs/>
                              </w:rPr>
                              <w:t xml:space="preserve">895 mm </w:t>
                            </w:r>
                            <w:r>
                              <w:t xml:space="preserve">en </w:t>
                            </w:r>
                            <w:r>
                              <w:rPr>
                                <w:b/>
                                <w:bCs/>
                              </w:rPr>
                              <w:t xml:space="preserve">55 jours) </w:t>
                            </w:r>
                            <w:r>
                              <w:t xml:space="preserve">dans la région des Hauts-Bassins. </w:t>
                            </w:r>
                          </w:p>
                          <w:p w:rsidR="00EF478F" w:rsidRDefault="00EF478F" w:rsidP="00EF478F">
                            <w:pPr>
                              <w:pStyle w:val="Corpsdetexte"/>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B874B" id="Text Box 252" o:spid="_x0000_s1035" type="#_x0000_t202" style="position:absolute;margin-left:-4.25pt;margin-top:-.35pt;width:247.15pt;height:187.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JyNQIAAFsEAAAOAAAAZHJzL2Uyb0RvYy54bWysVNuO2yAQfa/Uf0C8N74kaR0rzmo3aapK&#10;24u02w8gGMeomKFAYqdf3wFns9G2fanqB8Qww2HmnBkvb4ZOkaOwToKuaDZJKRGaQy31vqLfHrdv&#10;CkqcZ7pmCrSo6Ek4erN6/WrZm1Lk0IKqhSUIol3Zm4q23psySRxvRcfcBIzQ6GzAdsyjafdJbVmP&#10;6J1K8jR9m/Rga2OBC+fwdDM66SriN43g/kvTOOGJqijm5uNq47oLa7JasnJvmWklP6fB/iGLjkmN&#10;j16gNswzcrDyN6hOcgsOGj/h0CXQNJKLWANWk6UvqnlomRGxFiTHmQtN7v/B8s/Hr5bIuqL5lBLN&#10;OtToUQye3MFA8nkeCOqNKzHuwWCkH9CBQsdinbkH/t0RDeuW6b24tRb6VrAaE8zCzeTq6ojjAsiu&#10;/wQ1PsQOHiLQ0NgusId8EERHoU4XcUIyHA+n2bQo0jklHH35tEizaZQvYeXTdWOd/yCgI2FTUYvq&#10;R3h2vHc+pMPKp5DwmgMl661UKhp2v1srS44MO2Ubv1jBizClSV/RxTyfjwz8FWK2LbK7zZ8gOumx&#10;5ZXsKlqk4QtBrAy8vdd13Hsm1bjHlJU+Exm4G1n0w26Ioi3C3UDyDuoTMmth7HCcSNy0YH9S0mN3&#10;V9T9ODArKFEfNaqzyGazMA7RmM3f5WjYa8/u2sM0R6iKekrG7dqPI3QwVu5bfGnsBw23qGgjI9fP&#10;WZ3Txw6OEpynLYzItR2jnv8Jq18AAAD//wMAUEsDBBQABgAIAAAAIQAtQHyF3wAAAAgBAAAPAAAA&#10;ZHJzL2Rvd25yZXYueG1sTI9BT4NAEIXvJv6HzZh4a5dqEYIsDTExrSdr24PHKbsCkZ1Fdin47x1P&#10;epq8vJc338s3s+3ExQy+daRgtYxAGKqcbqlWcDo+L1IQPiBp7BwZBd/Gw6a4vsox026iN3M5hFpw&#10;CfkMFTQh9JmUvmqMRb90vSH2PtxgMbAcaqkHnLjcdvIuih6kxZb4Q4O9eWpM9XkYrQI77bfHl12I&#10;y+R1LIfT7uu936JStzdz+QgimDn8heEXn9GhYKazG0l70SlYpDEn+SYg2F6nMS85K7hP1iuQRS7/&#10;Dyh+AAAA//8DAFBLAQItABQABgAIAAAAIQC2gziS/gAAAOEBAAATAAAAAAAAAAAAAAAAAAAAAABb&#10;Q29udGVudF9UeXBlc10ueG1sUEsBAi0AFAAGAAgAAAAhADj9If/WAAAAlAEAAAsAAAAAAAAAAAAA&#10;AAAALwEAAF9yZWxzLy5yZWxzUEsBAi0AFAAGAAgAAAAhAIwzMnI1AgAAWwQAAA4AAAAAAAAAAAAA&#10;AAAALgIAAGRycy9lMm9Eb2MueG1sUEsBAi0AFAAGAAgAAAAhAC1AfIXfAAAACAEAAA8AAAAAAAAA&#10;AAAAAAAAjwQAAGRycy9kb3ducmV2LnhtbFBLBQYAAAAABAAEAPMAAACbBQAAAAA=&#10;" strokecolor="#4f81bd">
                <v:textbox>
                  <w:txbxContent>
                    <w:p w:rsidR="00EF478F" w:rsidRPr="00FF648D" w:rsidRDefault="00EF478F" w:rsidP="00EF478F">
                      <w:pPr>
                        <w:spacing w:line="276" w:lineRule="auto"/>
                        <w:jc w:val="both"/>
                      </w:pPr>
                      <w:r>
                        <w:t>Du 1</w:t>
                      </w:r>
                      <w:r w:rsidRPr="00725257">
                        <w:rPr>
                          <w:vertAlign w:val="superscript"/>
                        </w:rPr>
                        <w:t>er</w:t>
                      </w:r>
                      <w:r>
                        <w:t xml:space="preserve"> avril au 31 août 2019, la majeure partie du territoire a enregistré un cumul pluviométrique compris entre</w:t>
                      </w:r>
                      <w:r>
                        <w:rPr>
                          <w:b/>
                          <w:bCs/>
                        </w:rPr>
                        <w:t xml:space="preserve"> 350</w:t>
                      </w:r>
                      <w:r>
                        <w:t xml:space="preserve"> et </w:t>
                      </w:r>
                      <w:r>
                        <w:rPr>
                          <w:b/>
                          <w:bCs/>
                        </w:rPr>
                        <w:t>80</w:t>
                      </w:r>
                      <w:r w:rsidRPr="00725257">
                        <w:rPr>
                          <w:b/>
                          <w:bCs/>
                        </w:rPr>
                        <w:t>0</w:t>
                      </w:r>
                      <w:r>
                        <w:t xml:space="preserve"> </w:t>
                      </w:r>
                      <w:proofErr w:type="spellStart"/>
                      <w:r w:rsidRPr="00725257">
                        <w:rPr>
                          <w:b/>
                          <w:bCs/>
                        </w:rPr>
                        <w:t>mm</w:t>
                      </w:r>
                      <w:r>
                        <w:t>.</w:t>
                      </w:r>
                      <w:proofErr w:type="spellEnd"/>
                    </w:p>
                    <w:p w:rsidR="00EF478F" w:rsidRPr="00683871" w:rsidRDefault="00EF478F" w:rsidP="00EF478F">
                      <w:pPr>
                        <w:spacing w:line="276" w:lineRule="auto"/>
                        <w:jc w:val="both"/>
                        <w:rPr>
                          <w:sz w:val="22"/>
                          <w:szCs w:val="22"/>
                        </w:rPr>
                      </w:pPr>
                      <w:r>
                        <w:t xml:space="preserve">Le poste pluviométrique de </w:t>
                      </w:r>
                      <w:proofErr w:type="spellStart"/>
                      <w:r>
                        <w:rPr>
                          <w:b/>
                          <w:bCs/>
                        </w:rPr>
                        <w:t>Markoye</w:t>
                      </w:r>
                      <w:proofErr w:type="spellEnd"/>
                      <w:r>
                        <w:rPr>
                          <w:b/>
                          <w:bCs/>
                        </w:rPr>
                        <w:t xml:space="preserve">, </w:t>
                      </w:r>
                      <w:r w:rsidRPr="00764D18">
                        <w:t>dans la région du Sahel, avec</w:t>
                      </w:r>
                      <w:r>
                        <w:rPr>
                          <w:b/>
                          <w:bCs/>
                        </w:rPr>
                        <w:t xml:space="preserve"> 188,7 mm </w:t>
                      </w:r>
                      <w:r w:rsidRPr="00764D18">
                        <w:t>en</w:t>
                      </w:r>
                      <w:r>
                        <w:rPr>
                          <w:b/>
                          <w:bCs/>
                        </w:rPr>
                        <w:t xml:space="preserve"> 12 jours </w:t>
                      </w:r>
                      <w:r w:rsidRPr="00764D18">
                        <w:t>a enregistré le cumul le plus faible</w:t>
                      </w:r>
                      <w:r>
                        <w:t xml:space="preserve"> et demeure similaire comparativement à la décade passée</w:t>
                      </w:r>
                      <w:r>
                        <w:rPr>
                          <w:b/>
                          <w:sz w:val="22"/>
                          <w:szCs w:val="22"/>
                        </w:rPr>
                        <w:t>.</w:t>
                      </w:r>
                    </w:p>
                    <w:p w:rsidR="00EF478F" w:rsidRPr="00577663" w:rsidRDefault="00EF478F" w:rsidP="00EF478F">
                      <w:pPr>
                        <w:spacing w:line="276" w:lineRule="auto"/>
                        <w:jc w:val="both"/>
                      </w:pPr>
                      <w:r>
                        <w:t>Les cumuls pluviométriques les plus élevés ont été enregistrés à</w:t>
                      </w:r>
                      <w:r>
                        <w:rPr>
                          <w:b/>
                          <w:bCs/>
                        </w:rPr>
                        <w:t xml:space="preserve"> </w:t>
                      </w:r>
                      <w:proofErr w:type="spellStart"/>
                      <w:r>
                        <w:rPr>
                          <w:b/>
                          <w:bCs/>
                        </w:rPr>
                        <w:t>Béréba</w:t>
                      </w:r>
                      <w:proofErr w:type="spellEnd"/>
                      <w:r>
                        <w:rPr>
                          <w:b/>
                          <w:bCs/>
                        </w:rPr>
                        <w:t xml:space="preserve"> </w:t>
                      </w:r>
                      <w:r>
                        <w:t>(</w:t>
                      </w:r>
                      <w:r>
                        <w:rPr>
                          <w:b/>
                        </w:rPr>
                        <w:t xml:space="preserve">921,4 </w:t>
                      </w:r>
                      <w:r w:rsidRPr="00DD26ED">
                        <w:rPr>
                          <w:b/>
                        </w:rPr>
                        <w:t>mm</w:t>
                      </w:r>
                      <w:r>
                        <w:t xml:space="preserve"> en </w:t>
                      </w:r>
                      <w:r>
                        <w:rPr>
                          <w:b/>
                        </w:rPr>
                        <w:t xml:space="preserve">43 </w:t>
                      </w:r>
                      <w:r w:rsidRPr="00DD26ED">
                        <w:rPr>
                          <w:b/>
                        </w:rPr>
                        <w:t>jours</w:t>
                      </w:r>
                      <w:r>
                        <w:t>), et à</w:t>
                      </w:r>
                      <w:r>
                        <w:rPr>
                          <w:b/>
                          <w:bCs/>
                        </w:rPr>
                        <w:t xml:space="preserve"> Bobo aéroport</w:t>
                      </w:r>
                      <w:r>
                        <w:t xml:space="preserve"> (</w:t>
                      </w:r>
                      <w:r>
                        <w:rPr>
                          <w:b/>
                          <w:bCs/>
                        </w:rPr>
                        <w:t xml:space="preserve">895 mm </w:t>
                      </w:r>
                      <w:r>
                        <w:t xml:space="preserve">en </w:t>
                      </w:r>
                      <w:r>
                        <w:rPr>
                          <w:b/>
                          <w:bCs/>
                        </w:rPr>
                        <w:t xml:space="preserve">55 jours) </w:t>
                      </w:r>
                      <w:r>
                        <w:t xml:space="preserve">dans la région des Hauts-Bassins. </w:t>
                      </w:r>
                    </w:p>
                    <w:p w:rsidR="00EF478F" w:rsidRDefault="00EF478F" w:rsidP="00EF478F">
                      <w:pPr>
                        <w:pStyle w:val="Corpsdetexte"/>
                        <w:spacing w:line="276" w:lineRule="auto"/>
                      </w:pPr>
                    </w:p>
                  </w:txbxContent>
                </v:textbox>
                <w10:wrap anchorx="margin"/>
              </v:shape>
            </w:pict>
          </mc:Fallback>
        </mc:AlternateContent>
      </w:r>
    </w:p>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Pr>
        <w:tabs>
          <w:tab w:val="left" w:pos="5360"/>
        </w:tabs>
        <w:jc w:val="center"/>
      </w:pPr>
    </w:p>
    <w:p w:rsidR="00EF478F" w:rsidRDefault="00EF478F" w:rsidP="00EF478F"/>
    <w:p w:rsidR="00EF478F" w:rsidRDefault="00EF478F" w:rsidP="00EF478F"/>
    <w:p w:rsidR="00EF478F" w:rsidRDefault="00EF478F" w:rsidP="00EF478F">
      <w:pPr>
        <w:pStyle w:val="Paragraphedeliste"/>
        <w:ind w:left="720"/>
        <w:rPr>
          <w:rFonts w:ascii="Clarendon" w:hAnsi="Clarendon"/>
          <w:sz w:val="28"/>
          <w:u w:val="single"/>
        </w:rPr>
      </w:pPr>
    </w:p>
    <w:p w:rsidR="00EF478F" w:rsidRPr="00474E05" w:rsidRDefault="00EF478F" w:rsidP="00EF478F">
      <w:pPr>
        <w:pStyle w:val="Paragraphedeliste"/>
        <w:ind w:left="720"/>
        <w:rPr>
          <w:rFonts w:ascii="Clarendon" w:hAnsi="Clarendon"/>
          <w:sz w:val="28"/>
          <w:u w:val="single"/>
        </w:rPr>
      </w:pPr>
      <w:r w:rsidRPr="00474E05">
        <w:rPr>
          <w:rFonts w:ascii="Clarendon" w:hAnsi="Clarendon"/>
          <w:sz w:val="28"/>
          <w:u w:val="single"/>
        </w:rPr>
        <w:t>Comparaison à 2018</w:t>
      </w:r>
    </w:p>
    <w:p w:rsidR="00EF478F" w:rsidRPr="00407B74" w:rsidRDefault="00EF478F" w:rsidP="00EF478F">
      <w:pPr>
        <w:pStyle w:val="Lgende"/>
        <w:tabs>
          <w:tab w:val="left" w:pos="6086"/>
        </w:tabs>
        <w:rPr>
          <w:u w:val="none"/>
        </w:rPr>
      </w:pPr>
      <w:r>
        <w:rPr>
          <w:noProof/>
        </w:rPr>
        <mc:AlternateContent>
          <mc:Choice Requires="wps">
            <w:drawing>
              <wp:anchor distT="0" distB="0" distL="114300" distR="114300" simplePos="0" relativeHeight="251684864" behindDoc="0" locked="0" layoutInCell="1" allowOverlap="1" wp14:anchorId="63ECFE63" wp14:editId="15E80BD6">
                <wp:simplePos x="0" y="0"/>
                <wp:positionH relativeFrom="column">
                  <wp:posOffset>3191435</wp:posOffset>
                </wp:positionH>
                <wp:positionV relativeFrom="paragraph">
                  <wp:posOffset>38922</wp:posOffset>
                </wp:positionV>
                <wp:extent cx="3179445" cy="2444024"/>
                <wp:effectExtent l="0" t="0" r="20955" b="13970"/>
                <wp:wrapNone/>
                <wp:docPr id="2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444024"/>
                        </a:xfrm>
                        <a:prstGeom prst="rect">
                          <a:avLst/>
                        </a:prstGeom>
                        <a:solidFill>
                          <a:schemeClr val="lt1">
                            <a:lumMod val="100000"/>
                            <a:lumOff val="0"/>
                          </a:schemeClr>
                        </a:solidFill>
                        <a:ln w="9525">
                          <a:solidFill>
                            <a:srgbClr val="0070C0"/>
                          </a:solidFill>
                          <a:miter lim="800000"/>
                          <a:headEnd/>
                          <a:tailEnd/>
                        </a:ln>
                      </wps:spPr>
                      <wps:txbx>
                        <w:txbxContent>
                          <w:p w:rsidR="00EF478F" w:rsidRDefault="00EF478F" w:rsidP="00EF478F">
                            <w:pPr>
                              <w:tabs>
                                <w:tab w:val="left" w:pos="5103"/>
                              </w:tabs>
                              <w:ind w:left="-142"/>
                              <w:jc w:val="right"/>
                            </w:pPr>
                            <w:r w:rsidRPr="0079199C">
                              <w:rPr>
                                <w:noProof/>
                              </w:rPr>
                              <w:drawing>
                                <wp:inline distT="0" distB="0" distL="0" distR="0" wp14:anchorId="0A552F7A" wp14:editId="010B164B">
                                  <wp:extent cx="2987675" cy="2190115"/>
                                  <wp:effectExtent l="0" t="0" r="3175"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675" cy="21901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CFE63" id="Zone de texte 1" o:spid="_x0000_s1036" type="#_x0000_t202" style="position:absolute;margin-left:251.3pt;margin-top:3.05pt;width:250.35pt;height:19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98UAIAAJYEAAAOAAAAZHJzL2Uyb0RvYy54bWysVE2P0zAQvSPxHyzfaZKS0m3VdLV0WYS0&#10;fEgLF26u4zQWtsfYbpPy6xnb3W4XbogeIntm/ObNm5murketyEE4L8E0tJqUlAjDoZVm19BvX+9e&#10;XVHiAzMtU2BEQ4/C0+v1yxerwS7FFHpQrXAEQYxfDrahfQh2WRSe90IzPwErDDo7cJoFvLpd0To2&#10;ILpWxbQs3xQDuNY64MJ7tN5mJ10n/K4TPHzuOi8CUQ1FbiF9Xfpu47dYr9hy55jtJT/RYP/AQjNp&#10;MOkZ6pYFRvZO/gWlJXfgoQsTDrqArpNcpBqwmqr8o5qHnlmRakFxvD3L5P8fLP90+OKIbBs6RXkM&#10;09ij79gp0goSxBgEqaJGg/VLDH2wGBzGtzBir1O93t4D/+GJgU3PzE7cOAdDL1iLHNPL4uJpxvER&#10;ZDt8hBZzsX2ABDR2TkcBURKC6EjmeO4P8iAcja+r+aKuZ5Rw9E3rui6ndWRXsOXjc+t8eC9Ak3ho&#10;qMMBSPDscO9DDn0Midk8KNneSaXSJQ6d2ChHDgzHRYVcotpr5JptVRl/eWrQjrOV7cmENNLcRohE&#10;6hm6MmRo6GI2nWXhnmV2u+05b1nOy80Z8DJMy4DLoqRu6NUFkSj3O9OmUQ5MqnxGNsogjah/lDyL&#10;H8btmNpdpQzRuYX2iB1xkJcDlxkPPbhflAy4GA31P/fMCUrUB4NdXVSoO25SutSzeZwbd+nZXnqY&#10;4QjV0EBJPm5C3r69dXLXY6YssoEbnIROph49sTrxx+FPgp4WNW7X5T1FPf2drH8DAAD//wMAUEsD&#10;BBQABgAIAAAAIQATWchj3gAAAAoBAAAPAAAAZHJzL2Rvd25yZXYueG1sTI9BT4NAFITvJv6HzTPx&#10;0thdSkossjQN0dir1dTrA1ZA2fcIu7T4792e6nEyk5lvsu1se3Eyo+uYNERLBcJQxXVHjYaP95eH&#10;RxDOI9XYMxkNv8bBNr+9yTCt+Uxv5nTwjQgl5FLU0Ho/pFK6qjUW3ZIHQ8H74tGiD3JsZD3iOZTb&#10;Xq6USqTFjsJCi4MpWlP9HCargV93njbTAj8Xz8f993FdlMyF1vd38+4JhDezv4bhgh/QIQ9MJU9U&#10;O9FrWKtVEqIakgjExVcqjkGUGuJNpEDmmfx/If8DAAD//wMAUEsBAi0AFAAGAAgAAAAhALaDOJL+&#10;AAAA4QEAABMAAAAAAAAAAAAAAAAAAAAAAFtDb250ZW50X1R5cGVzXS54bWxQSwECLQAUAAYACAAA&#10;ACEAOP0h/9YAAACUAQAACwAAAAAAAAAAAAAAAAAvAQAAX3JlbHMvLnJlbHNQSwECLQAUAAYACAAA&#10;ACEANBQPfFACAACWBAAADgAAAAAAAAAAAAAAAAAuAgAAZHJzL2Uyb0RvYy54bWxQSwECLQAUAAYA&#10;CAAAACEAE1nIY94AAAAKAQAADwAAAAAAAAAAAAAAAACqBAAAZHJzL2Rvd25yZXYueG1sUEsFBgAA&#10;AAAEAAQA8wAAALUFAAAAAA==&#10;" fillcolor="white [3201]" strokecolor="#0070c0">
                <v:textbox>
                  <w:txbxContent>
                    <w:p w:rsidR="00EF478F" w:rsidRDefault="00EF478F" w:rsidP="00EF478F">
                      <w:pPr>
                        <w:tabs>
                          <w:tab w:val="left" w:pos="5103"/>
                        </w:tabs>
                        <w:ind w:left="-142"/>
                        <w:jc w:val="right"/>
                      </w:pPr>
                      <w:r w:rsidRPr="0079199C">
                        <w:rPr>
                          <w:noProof/>
                        </w:rPr>
                        <w:drawing>
                          <wp:inline distT="0" distB="0" distL="0" distR="0" wp14:anchorId="0A552F7A" wp14:editId="010B164B">
                            <wp:extent cx="2987675" cy="2190115"/>
                            <wp:effectExtent l="0" t="0" r="3175"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675" cy="2190115"/>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83840" behindDoc="0" locked="0" layoutInCell="1" allowOverlap="1" wp14:anchorId="021ACB7D" wp14:editId="58FD3D78">
                <wp:simplePos x="0" y="0"/>
                <wp:positionH relativeFrom="column">
                  <wp:posOffset>-85165</wp:posOffset>
                </wp:positionH>
                <wp:positionV relativeFrom="paragraph">
                  <wp:posOffset>38922</wp:posOffset>
                </wp:positionV>
                <wp:extent cx="3176905" cy="2442882"/>
                <wp:effectExtent l="0" t="0" r="23495" b="14605"/>
                <wp:wrapNone/>
                <wp:docPr id="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442882"/>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F478F" w:rsidRDefault="00EF478F" w:rsidP="00EF478F">
                            <w:pPr>
                              <w:pStyle w:val="Corpsdetexte3"/>
                              <w:spacing w:line="276" w:lineRule="auto"/>
                              <w:rPr>
                                <w:sz w:val="24"/>
                              </w:rPr>
                            </w:pPr>
                            <w:r w:rsidRPr="00371C35">
                              <w:rPr>
                                <w:sz w:val="24"/>
                              </w:rPr>
                              <w:t>Le cumul pluviométrique du 1</w:t>
                            </w:r>
                            <w:r w:rsidRPr="00371C35">
                              <w:rPr>
                                <w:sz w:val="24"/>
                                <w:vertAlign w:val="superscript"/>
                              </w:rPr>
                              <w:t>er</w:t>
                            </w:r>
                            <w:r w:rsidRPr="00371C35">
                              <w:rPr>
                                <w:sz w:val="24"/>
                              </w:rPr>
                              <w:t xml:space="preserve"> avril au </w:t>
                            </w:r>
                            <w:r>
                              <w:rPr>
                                <w:sz w:val="24"/>
                              </w:rPr>
                              <w:t>31 août</w:t>
                            </w:r>
                            <w:r w:rsidRPr="00371C35">
                              <w:rPr>
                                <w:sz w:val="24"/>
                              </w:rPr>
                              <w:t xml:space="preserve"> 201</w:t>
                            </w:r>
                            <w:r>
                              <w:rPr>
                                <w:sz w:val="24"/>
                              </w:rPr>
                              <w:t xml:space="preserve">9, </w:t>
                            </w:r>
                            <w:r w:rsidRPr="00371C35">
                              <w:rPr>
                                <w:sz w:val="24"/>
                              </w:rPr>
                              <w:t xml:space="preserve">comparé à celui de la campagne écoulée à la même période, </w:t>
                            </w:r>
                            <w:r>
                              <w:rPr>
                                <w:sz w:val="24"/>
                              </w:rPr>
                              <w:t>montre</w:t>
                            </w:r>
                            <w:r w:rsidRPr="00371C35">
                              <w:rPr>
                                <w:sz w:val="24"/>
                              </w:rPr>
                              <w:t xml:space="preserve"> un</w:t>
                            </w:r>
                            <w:r>
                              <w:rPr>
                                <w:sz w:val="24"/>
                              </w:rPr>
                              <w:t>e</w:t>
                            </w:r>
                            <w:r w:rsidRPr="00371C35">
                              <w:rPr>
                                <w:sz w:val="24"/>
                              </w:rPr>
                              <w:t xml:space="preserve"> </w:t>
                            </w:r>
                            <w:r w:rsidRPr="00764D18">
                              <w:rPr>
                                <w:b/>
                                <w:bCs/>
                                <w:sz w:val="24"/>
                              </w:rPr>
                              <w:t>pluviométrie déficitaire</w:t>
                            </w:r>
                            <w:r>
                              <w:rPr>
                                <w:sz w:val="24"/>
                              </w:rPr>
                              <w:t xml:space="preserve"> </w:t>
                            </w:r>
                            <w:r w:rsidRPr="00C346EC">
                              <w:rPr>
                                <w:b/>
                                <w:bCs/>
                                <w:sz w:val="24"/>
                              </w:rPr>
                              <w:t>à similaire</w:t>
                            </w:r>
                            <w:r>
                              <w:rPr>
                                <w:sz w:val="24"/>
                              </w:rPr>
                              <w:t xml:space="preserve"> dans la majeure partie du territoire.</w:t>
                            </w:r>
                            <w:r w:rsidRPr="00371C35">
                              <w:rPr>
                                <w:sz w:val="24"/>
                              </w:rPr>
                              <w:t xml:space="preserve"> (</w:t>
                            </w:r>
                            <w:r>
                              <w:rPr>
                                <w:sz w:val="24"/>
                              </w:rPr>
                              <w:t>Confer c</w:t>
                            </w:r>
                            <w:r w:rsidRPr="00371C35">
                              <w:rPr>
                                <w:sz w:val="24"/>
                              </w:rPr>
                              <w:t>arte ci-contre).</w:t>
                            </w:r>
                          </w:p>
                          <w:p w:rsidR="00EF478F" w:rsidRDefault="00EF478F" w:rsidP="00EF478F">
                            <w:pPr>
                              <w:pStyle w:val="Corpsdetexte3"/>
                              <w:spacing w:line="276" w:lineRule="auto"/>
                              <w:rPr>
                                <w:sz w:val="24"/>
                              </w:rPr>
                            </w:pPr>
                          </w:p>
                          <w:p w:rsidR="00EF478F" w:rsidRDefault="00EF478F" w:rsidP="00EF478F">
                            <w:pPr>
                              <w:pStyle w:val="Corpsdetexte3"/>
                              <w:spacing w:line="276" w:lineRule="auto"/>
                              <w:rPr>
                                <w:sz w:val="24"/>
                              </w:rPr>
                            </w:pPr>
                            <w:r w:rsidRPr="002A07CC">
                              <w:rPr>
                                <w:sz w:val="24"/>
                              </w:rPr>
                              <w:t xml:space="preserve">Cependant </w:t>
                            </w:r>
                            <w:r>
                              <w:rPr>
                                <w:sz w:val="24"/>
                              </w:rPr>
                              <w:t>une</w:t>
                            </w:r>
                            <w:r w:rsidRPr="002A07CC">
                              <w:rPr>
                                <w:sz w:val="24"/>
                              </w:rPr>
                              <w:t xml:space="preserve"> zone à cumul pluviométrique</w:t>
                            </w:r>
                            <w:r>
                              <w:rPr>
                                <w:sz w:val="24"/>
                              </w:rPr>
                              <w:t xml:space="preserve"> </w:t>
                            </w:r>
                            <w:r>
                              <w:rPr>
                                <w:b/>
                                <w:bCs/>
                                <w:sz w:val="24"/>
                              </w:rPr>
                              <w:t>très déficitaire</w:t>
                            </w:r>
                            <w:r w:rsidRPr="002A07CC">
                              <w:rPr>
                                <w:sz w:val="24"/>
                              </w:rPr>
                              <w:t xml:space="preserve"> </w:t>
                            </w:r>
                            <w:r>
                              <w:rPr>
                                <w:sz w:val="24"/>
                              </w:rPr>
                              <w:t>est</w:t>
                            </w:r>
                            <w:r w:rsidRPr="002A07CC">
                              <w:rPr>
                                <w:sz w:val="24"/>
                              </w:rPr>
                              <w:t xml:space="preserve"> observée </w:t>
                            </w:r>
                            <w:r>
                              <w:rPr>
                                <w:sz w:val="24"/>
                              </w:rPr>
                              <w:t xml:space="preserve">dans certaines localités de la région du Centre-Nord et une zone à cumul pluviométrique </w:t>
                            </w:r>
                            <w:r w:rsidRPr="00764D18">
                              <w:rPr>
                                <w:b/>
                                <w:bCs/>
                                <w:sz w:val="24"/>
                              </w:rPr>
                              <w:t>très excédentaire</w:t>
                            </w:r>
                            <w:r>
                              <w:rPr>
                                <w:b/>
                                <w:bCs/>
                                <w:sz w:val="24"/>
                              </w:rPr>
                              <w:t xml:space="preserve"> </w:t>
                            </w:r>
                            <w:r w:rsidRPr="00C346EC">
                              <w:rPr>
                                <w:sz w:val="24"/>
                              </w:rPr>
                              <w:t>dans la région du Centre-Sud.</w:t>
                            </w:r>
                          </w:p>
                          <w:p w:rsidR="00EF478F" w:rsidRPr="002A07CC" w:rsidRDefault="00EF478F" w:rsidP="00EF478F">
                            <w:pPr>
                              <w:pStyle w:val="Corpsdetexte3"/>
                              <w:spacing w:line="276" w:lineRule="auto"/>
                              <w:rPr>
                                <w:sz w:val="24"/>
                              </w:rPr>
                            </w:pPr>
                          </w:p>
                          <w:p w:rsidR="00EF478F" w:rsidRPr="005A6262" w:rsidRDefault="00EF478F" w:rsidP="00EF478F">
                            <w:pPr>
                              <w:pStyle w:val="Corpsdetexte3"/>
                              <w:spacing w:line="276"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ACB7D" id="Text Box 241" o:spid="_x0000_s1037" type="#_x0000_t202" style="position:absolute;margin-left:-6.7pt;margin-top:3.05pt;width:250.15pt;height:19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sKiwIAABsFAAAOAAAAZHJzL2Uyb0RvYy54bWysVNuO0zAQfUfiHyy/d3PZ9BZtulqSFiEt&#10;F2mXD3Adp7Fw7GC7TRbEvzO229LCC0LkIbEz4zNzZs747n7sBDowbbiSBU5uYoyYpKrmclfgz8+b&#10;yQIjY4msiVCSFfiFGXy/ev3qbuhzlqpWiZppBCDS5ENf4NbaPo8iQ1vWEXOjeibB2CjdEQtbvYtq&#10;TQZA70SUxvEsGpSue60oMwb+VsGIVx6/aRi1H5vGMItEgSE369/av7fuHa3uSL7TpG85PaZB/iGL&#10;jnAJQc9QFbEE7TX/A6rjVCujGntDVReppuGUeQ7AJol/Y/PUkp55LlAc05/LZP4fLP1w+KQRr6F3&#10;S4wk6aBHz2y06I0aUZolrkBDb3Lwe+rB045gAGdP1vSPin4xSKqyJXLHHrRWQ8tIDQn6k9HF0YBj&#10;HMh2eK9qCET2VnmgsdGdqx7UAwE6NOrl3ByXDIWft8l8toynGFGwpVmWLhapyy4i+el4r419y1SH&#10;3KLAGrrv4cnh0djgenJx0aTacCG8AoREQ4GX03QaiCnBa2d0bkbvtqXQ6ECchuJ5XHrZQFxz6dZx&#10;C0oWvCvwInZP0JYrx1rWPoolXIQ1HBbSgQM7yO24Cor5voyX68V6kU2ydLaeZHFVTR42ZTaZbZL5&#10;tLqtyrJKfrg8kyxveV0z6VI9qTfJ/k4dxzkKujvr94rSFfONf44Vv3CLrtPwDQFWp69n53XgWh9E&#10;YMftGDR31tdW1S+gDK3ChMKNAotW6W8YDTCdBTZf90QzjMQ7CepaJlnmxtlvsuk8hY2+tGwvLURS&#10;gCqwxSgsSxuugH2v+a6FSEHPUj2AIhvuteKkG7ICKm4DE+hJHW8LN+KXe+/1605b/QQAAP//AwBQ&#10;SwMEFAAGAAgAAAAhALltVrvgAAAACQEAAA8AAABkcnMvZG93bnJldi54bWxMj0FLw0AUhO+C/2F5&#10;ghdpNzEhpGleigheBA+tgh5fs9skNvs2ZLdJ9Ne7nvQ4zDDzTblbTC8mPbrOMkK8jkBorq3quEF4&#10;e31a5SCcJ1bUW9YIX9rBrrq+KqlQdua9ng6+EaGEXUEIrfdDIaWrW23Ire2gOXgnOxryQY6NVCPN&#10;odz08j6KMmmo47DQ0qAfW12fDxeDsJfJ/Jy69/OkPlx2N718U9t8It7eLA9bEF4v/i8Mv/gBHarA&#10;dLQXVk70CKs4SUMUIYtBBD/Nsw2II0KyiXKQVSn/P6h+AAAA//8DAFBLAQItABQABgAIAAAAIQC2&#10;gziS/gAAAOEBAAATAAAAAAAAAAAAAAAAAAAAAABbQ29udGVudF9UeXBlc10ueG1sUEsBAi0AFAAG&#10;AAgAAAAhADj9If/WAAAAlAEAAAsAAAAAAAAAAAAAAAAALwEAAF9yZWxzLy5yZWxzUEsBAi0AFAAG&#10;AAgAAAAhAMBo6wqLAgAAGwUAAA4AAAAAAAAAAAAAAAAALgIAAGRycy9lMm9Eb2MueG1sUEsBAi0A&#10;FAAGAAgAAAAhALltVrvgAAAACQEAAA8AAAAAAAAAAAAAAAAA5QQAAGRycy9kb3ducmV2LnhtbFBL&#10;BQYAAAAABAAEAPMAAADyBQAAAAA=&#10;" filled="f" strokecolor="#0070c0">
                <v:textbox>
                  <w:txbxContent>
                    <w:p w:rsidR="00EF478F" w:rsidRDefault="00EF478F" w:rsidP="00EF478F">
                      <w:pPr>
                        <w:pStyle w:val="Corpsdetexte3"/>
                        <w:spacing w:line="276" w:lineRule="auto"/>
                        <w:rPr>
                          <w:sz w:val="24"/>
                        </w:rPr>
                      </w:pPr>
                      <w:r w:rsidRPr="00371C35">
                        <w:rPr>
                          <w:sz w:val="24"/>
                        </w:rPr>
                        <w:t>Le cumul pluviométrique du 1</w:t>
                      </w:r>
                      <w:r w:rsidRPr="00371C35">
                        <w:rPr>
                          <w:sz w:val="24"/>
                          <w:vertAlign w:val="superscript"/>
                        </w:rPr>
                        <w:t>er</w:t>
                      </w:r>
                      <w:r w:rsidRPr="00371C35">
                        <w:rPr>
                          <w:sz w:val="24"/>
                        </w:rPr>
                        <w:t xml:space="preserve"> avril au </w:t>
                      </w:r>
                      <w:r>
                        <w:rPr>
                          <w:sz w:val="24"/>
                        </w:rPr>
                        <w:t>31 août</w:t>
                      </w:r>
                      <w:r w:rsidRPr="00371C35">
                        <w:rPr>
                          <w:sz w:val="24"/>
                        </w:rPr>
                        <w:t xml:space="preserve"> 201</w:t>
                      </w:r>
                      <w:r>
                        <w:rPr>
                          <w:sz w:val="24"/>
                        </w:rPr>
                        <w:t xml:space="preserve">9, </w:t>
                      </w:r>
                      <w:r w:rsidRPr="00371C35">
                        <w:rPr>
                          <w:sz w:val="24"/>
                        </w:rPr>
                        <w:t xml:space="preserve">comparé à celui de la campagne écoulée à la même période, </w:t>
                      </w:r>
                      <w:r>
                        <w:rPr>
                          <w:sz w:val="24"/>
                        </w:rPr>
                        <w:t>montre</w:t>
                      </w:r>
                      <w:r w:rsidRPr="00371C35">
                        <w:rPr>
                          <w:sz w:val="24"/>
                        </w:rPr>
                        <w:t xml:space="preserve"> un</w:t>
                      </w:r>
                      <w:r>
                        <w:rPr>
                          <w:sz w:val="24"/>
                        </w:rPr>
                        <w:t>e</w:t>
                      </w:r>
                      <w:r w:rsidRPr="00371C35">
                        <w:rPr>
                          <w:sz w:val="24"/>
                        </w:rPr>
                        <w:t xml:space="preserve"> </w:t>
                      </w:r>
                      <w:r w:rsidRPr="00764D18">
                        <w:rPr>
                          <w:b/>
                          <w:bCs/>
                          <w:sz w:val="24"/>
                        </w:rPr>
                        <w:t>pluviométrie déficitaire</w:t>
                      </w:r>
                      <w:r>
                        <w:rPr>
                          <w:sz w:val="24"/>
                        </w:rPr>
                        <w:t xml:space="preserve"> </w:t>
                      </w:r>
                      <w:r w:rsidRPr="00C346EC">
                        <w:rPr>
                          <w:b/>
                          <w:bCs/>
                          <w:sz w:val="24"/>
                        </w:rPr>
                        <w:t>à similaire</w:t>
                      </w:r>
                      <w:r>
                        <w:rPr>
                          <w:sz w:val="24"/>
                        </w:rPr>
                        <w:t xml:space="preserve"> dans la majeure partie du territoire.</w:t>
                      </w:r>
                      <w:r w:rsidRPr="00371C35">
                        <w:rPr>
                          <w:sz w:val="24"/>
                        </w:rPr>
                        <w:t xml:space="preserve"> (</w:t>
                      </w:r>
                      <w:r>
                        <w:rPr>
                          <w:sz w:val="24"/>
                        </w:rPr>
                        <w:t>Confer c</w:t>
                      </w:r>
                      <w:r w:rsidRPr="00371C35">
                        <w:rPr>
                          <w:sz w:val="24"/>
                        </w:rPr>
                        <w:t>arte ci-contre).</w:t>
                      </w:r>
                    </w:p>
                    <w:p w:rsidR="00EF478F" w:rsidRDefault="00EF478F" w:rsidP="00EF478F">
                      <w:pPr>
                        <w:pStyle w:val="Corpsdetexte3"/>
                        <w:spacing w:line="276" w:lineRule="auto"/>
                        <w:rPr>
                          <w:sz w:val="24"/>
                        </w:rPr>
                      </w:pPr>
                    </w:p>
                    <w:p w:rsidR="00EF478F" w:rsidRDefault="00EF478F" w:rsidP="00EF478F">
                      <w:pPr>
                        <w:pStyle w:val="Corpsdetexte3"/>
                        <w:spacing w:line="276" w:lineRule="auto"/>
                        <w:rPr>
                          <w:sz w:val="24"/>
                        </w:rPr>
                      </w:pPr>
                      <w:r w:rsidRPr="002A07CC">
                        <w:rPr>
                          <w:sz w:val="24"/>
                        </w:rPr>
                        <w:t xml:space="preserve">Cependant </w:t>
                      </w:r>
                      <w:r>
                        <w:rPr>
                          <w:sz w:val="24"/>
                        </w:rPr>
                        <w:t>une</w:t>
                      </w:r>
                      <w:r w:rsidRPr="002A07CC">
                        <w:rPr>
                          <w:sz w:val="24"/>
                        </w:rPr>
                        <w:t xml:space="preserve"> zone à cumul pluviométrique</w:t>
                      </w:r>
                      <w:r>
                        <w:rPr>
                          <w:sz w:val="24"/>
                        </w:rPr>
                        <w:t xml:space="preserve"> </w:t>
                      </w:r>
                      <w:r>
                        <w:rPr>
                          <w:b/>
                          <w:bCs/>
                          <w:sz w:val="24"/>
                        </w:rPr>
                        <w:t>très déficitaire</w:t>
                      </w:r>
                      <w:r w:rsidRPr="002A07CC">
                        <w:rPr>
                          <w:sz w:val="24"/>
                        </w:rPr>
                        <w:t xml:space="preserve"> </w:t>
                      </w:r>
                      <w:r>
                        <w:rPr>
                          <w:sz w:val="24"/>
                        </w:rPr>
                        <w:t>est</w:t>
                      </w:r>
                      <w:r w:rsidRPr="002A07CC">
                        <w:rPr>
                          <w:sz w:val="24"/>
                        </w:rPr>
                        <w:t xml:space="preserve"> observée </w:t>
                      </w:r>
                      <w:r>
                        <w:rPr>
                          <w:sz w:val="24"/>
                        </w:rPr>
                        <w:t xml:space="preserve">dans certaines localités de la région du Centre-Nord et une zone à cumul pluviométrique </w:t>
                      </w:r>
                      <w:r w:rsidRPr="00764D18">
                        <w:rPr>
                          <w:b/>
                          <w:bCs/>
                          <w:sz w:val="24"/>
                        </w:rPr>
                        <w:t>très excédentaire</w:t>
                      </w:r>
                      <w:r>
                        <w:rPr>
                          <w:b/>
                          <w:bCs/>
                          <w:sz w:val="24"/>
                        </w:rPr>
                        <w:t xml:space="preserve"> </w:t>
                      </w:r>
                      <w:r w:rsidRPr="00C346EC">
                        <w:rPr>
                          <w:sz w:val="24"/>
                        </w:rPr>
                        <w:t>dans la région du Centre-Sud.</w:t>
                      </w:r>
                    </w:p>
                    <w:p w:rsidR="00EF478F" w:rsidRPr="002A07CC" w:rsidRDefault="00EF478F" w:rsidP="00EF478F">
                      <w:pPr>
                        <w:pStyle w:val="Corpsdetexte3"/>
                        <w:spacing w:line="276" w:lineRule="auto"/>
                        <w:rPr>
                          <w:sz w:val="24"/>
                        </w:rPr>
                      </w:pPr>
                    </w:p>
                    <w:p w:rsidR="00EF478F" w:rsidRPr="005A6262" w:rsidRDefault="00EF478F" w:rsidP="00EF478F">
                      <w:pPr>
                        <w:pStyle w:val="Corpsdetexte3"/>
                        <w:spacing w:line="276" w:lineRule="auto"/>
                        <w:rPr>
                          <w:sz w:val="24"/>
                        </w:rPr>
                      </w:pPr>
                    </w:p>
                  </w:txbxContent>
                </v:textbox>
              </v:shape>
            </w:pict>
          </mc:Fallback>
        </mc:AlternateContent>
      </w:r>
      <w:r w:rsidRPr="00407B74">
        <w:rPr>
          <w:u w:val="none"/>
        </w:rPr>
        <w:tab/>
      </w:r>
    </w:p>
    <w:p w:rsidR="00EF478F" w:rsidRDefault="00EF478F" w:rsidP="00EF478F"/>
    <w:p w:rsidR="00EF478F" w:rsidRDefault="00EF478F" w:rsidP="00EF478F"/>
    <w:p w:rsidR="00EF478F" w:rsidRPr="00407B74"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 w:rsidR="00EF478F" w:rsidRDefault="00EF478F" w:rsidP="00EF478F">
      <w:pPr>
        <w:pStyle w:val="Lgende"/>
        <w:rPr>
          <w:rFonts w:ascii="Times New Roman" w:hAnsi="Times New Roman"/>
        </w:rPr>
      </w:pPr>
    </w:p>
    <w:p w:rsidR="00EF478F" w:rsidRDefault="00EF478F" w:rsidP="00EF478F"/>
    <w:p w:rsidR="00EF478F" w:rsidRDefault="00EF478F" w:rsidP="00EF478F">
      <w:pPr>
        <w:pStyle w:val="Titre3"/>
        <w:rPr>
          <w:u w:val="none"/>
        </w:rPr>
      </w:pPr>
    </w:p>
    <w:p w:rsidR="00EF478F" w:rsidRDefault="00EF478F" w:rsidP="00EF478F"/>
    <w:p w:rsidR="00EF478F" w:rsidRDefault="00EF478F" w:rsidP="00EF478F">
      <w:pPr>
        <w:pStyle w:val="Paragraphedeliste"/>
        <w:ind w:left="720"/>
        <w:rPr>
          <w:rFonts w:ascii="Clarendon" w:hAnsi="Clarendon"/>
          <w:sz w:val="28"/>
          <w:u w:val="single"/>
        </w:rPr>
      </w:pPr>
    </w:p>
    <w:p w:rsidR="00EF478F" w:rsidRDefault="00EF478F" w:rsidP="00EF478F">
      <w:pPr>
        <w:pStyle w:val="Paragraphedeliste"/>
        <w:ind w:left="720"/>
        <w:rPr>
          <w:rFonts w:ascii="Clarendon" w:hAnsi="Clarendon"/>
          <w:sz w:val="28"/>
          <w:u w:val="single"/>
        </w:rPr>
      </w:pPr>
    </w:p>
    <w:p w:rsidR="00EF478F" w:rsidRPr="00474E05" w:rsidRDefault="00EF478F" w:rsidP="00EF478F">
      <w:pPr>
        <w:pStyle w:val="Paragraphedeliste"/>
        <w:ind w:left="720"/>
        <w:rPr>
          <w:rFonts w:ascii="Clarendon" w:hAnsi="Clarendon"/>
          <w:sz w:val="28"/>
          <w:u w:val="single"/>
        </w:rPr>
      </w:pPr>
      <w:r w:rsidRPr="00474E05">
        <w:rPr>
          <w:rFonts w:ascii="Clarendon" w:hAnsi="Clarendon"/>
          <w:sz w:val="28"/>
          <w:u w:val="single"/>
        </w:rPr>
        <w:lastRenderedPageBreak/>
        <w:t>Comparaison à la normale</w:t>
      </w:r>
    </w:p>
    <w:p w:rsidR="00EF478F" w:rsidRDefault="00EF478F" w:rsidP="00EF478F">
      <w:pPr>
        <w:pStyle w:val="Lgende"/>
        <w:tabs>
          <w:tab w:val="left" w:pos="8477"/>
        </w:tabs>
        <w:rPr>
          <w:rFonts w:ascii="Times New Roman" w:hAnsi="Times New Roman"/>
        </w:rPr>
      </w:pPr>
      <w:r>
        <w:rPr>
          <w:noProof/>
        </w:rPr>
        <mc:AlternateContent>
          <mc:Choice Requires="wps">
            <w:drawing>
              <wp:anchor distT="0" distB="0" distL="114300" distR="114300" simplePos="0" relativeHeight="251688960" behindDoc="0" locked="0" layoutInCell="1" allowOverlap="1" wp14:anchorId="062C143E" wp14:editId="64114B5D">
                <wp:simplePos x="0" y="0"/>
                <wp:positionH relativeFrom="column">
                  <wp:posOffset>3048000</wp:posOffset>
                </wp:positionH>
                <wp:positionV relativeFrom="paragraph">
                  <wp:posOffset>91065</wp:posOffset>
                </wp:positionV>
                <wp:extent cx="3286125" cy="2885663"/>
                <wp:effectExtent l="0" t="0" r="28575" b="10160"/>
                <wp:wrapNone/>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85663"/>
                        </a:xfrm>
                        <a:prstGeom prst="rect">
                          <a:avLst/>
                        </a:prstGeom>
                        <a:solidFill>
                          <a:schemeClr val="lt1">
                            <a:lumMod val="100000"/>
                            <a:lumOff val="0"/>
                          </a:schemeClr>
                        </a:solidFill>
                        <a:ln w="9525">
                          <a:solidFill>
                            <a:srgbClr val="0070C0"/>
                          </a:solidFill>
                          <a:miter lim="800000"/>
                          <a:headEnd/>
                          <a:tailEnd/>
                        </a:ln>
                      </wps:spPr>
                      <wps:txbx>
                        <w:txbxContent>
                          <w:p w:rsidR="00EF478F" w:rsidRDefault="00EF478F" w:rsidP="00EF478F">
                            <w:pPr>
                              <w:ind w:left="142" w:right="-49" w:hanging="284"/>
                              <w:jc w:val="center"/>
                            </w:pPr>
                            <w:r w:rsidRPr="009D2B9C">
                              <w:rPr>
                                <w:noProof/>
                              </w:rPr>
                              <w:drawing>
                                <wp:inline distT="0" distB="0" distL="0" distR="0" wp14:anchorId="5C11E710" wp14:editId="35DA34C5">
                                  <wp:extent cx="3094355" cy="2277110"/>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355" cy="2277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143E" id="Zone de texte 3" o:spid="_x0000_s1038" type="#_x0000_t202" style="position:absolute;margin-left:240pt;margin-top:7.15pt;width:258.75pt;height:2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StTwIAAJYEAAAOAAAAZHJzL2Uyb0RvYy54bWysVE1vGyEQvVfqf0Dcm11vbMdZeR2lTlNV&#10;Sj+ktJfeMMt6UYGhgL2b/PoOYLtuc6vqwwoGePPmvRkvb0atyF44L8E0dHJRUiIMh1aabUO/fb1/&#10;s6DEB2ZapsCIhj4JT29Wr18tB1uLCnpQrXAEQYyvB9vQPgRbF4XnvdDMX4AVBg87cJoF3Lpt0To2&#10;ILpWRVWW82IA11oHXHiP0bt8SFcJv+sED5+7zotAVEORW0hfl76b+C1WS1ZvHbO95Aca7B9YaCYN&#10;Jj1B3bHAyM7JF1BacgceunDBQRfQdZKLVANWMyn/quaxZ1akWlAcb08y+f8Hyz/tvzgiW/QOnTJM&#10;o0ff0SnSChLEGAS5jBoN1td49dHi5TC+hRHvp3q9fQD+wxMD656Zrbh1DoZesBY5TuLL4uxpxvER&#10;ZDN8hBZzsV2ABDR2TkcBURKC6OjV08kf5EE4Bi+rxXxSzSjheFYtFrP5PLErWH18bp0P7wVoEhcN&#10;ddgACZ7tH3yIdFh9vBKzeVCyvZdKpU1sOrFWjuwZtosKuUS108g1xyZl/OWuwTj2Vo6nEGKnvo0Q&#10;KdMf6MqQoaHXM+T/MrPbbk55y/KqXJ8AzwlqGXBYlNQNXZwRiXK/M21q5cCkymtko8xB/yh5Fj+M&#10;mzHbXR193UD7hI44yMOBw4yLHtwzJQMORkP9zx1zghL1waCr15PpNE5S2kxnVxVu3PnJ5vyEGY5Q&#10;DQ2U5OU65OnbWSe3PWbKIhu4xU7oZPIotkxmdeCPzZ8EPQxqnK7zfbr1++9k9QsAAP//AwBQSwME&#10;FAAGAAgAAAAhAOUiAPjfAAAACgEAAA8AAABkcnMvZG93bnJldi54bWxMj8tOwzAQRfdI/IM1SGwq&#10;6gB9JCFOVUUguqVU7daJhyQQj6PYacPfM6xgOTpXd87NNpPtxBkH3zpScD+PQCBVzrRUKzi8v9zF&#10;IHzQZHTnCBV8o4dNfn2V6dS4C73heR9qwSXkU62gCaFPpfRVg1b7ueuRmH24werA51BLM+gLl9tO&#10;PkTRSlrdEn9odI9Fg9XXfrQK3Os2UDLO9Gn2fNx9HpdF6Vyh1O3NtH0CEXAKf2H41Wd1yNmpdCMZ&#10;LzoFizjiLYHB4hEEB5JkvQRRMlnFa5B5Jv9PyH8AAAD//wMAUEsBAi0AFAAGAAgAAAAhALaDOJL+&#10;AAAA4QEAABMAAAAAAAAAAAAAAAAAAAAAAFtDb250ZW50X1R5cGVzXS54bWxQSwECLQAUAAYACAAA&#10;ACEAOP0h/9YAAACUAQAACwAAAAAAAAAAAAAAAAAvAQAAX3JlbHMvLnJlbHNQSwECLQAUAAYACAAA&#10;ACEAolFUrU8CAACWBAAADgAAAAAAAAAAAAAAAAAuAgAAZHJzL2Uyb0RvYy54bWxQSwECLQAUAAYA&#10;CAAAACEA5SIA+N8AAAAKAQAADwAAAAAAAAAAAAAAAACpBAAAZHJzL2Rvd25yZXYueG1sUEsFBgAA&#10;AAAEAAQA8wAAALUFAAAAAA==&#10;" fillcolor="white [3201]" strokecolor="#0070c0">
                <v:textbox>
                  <w:txbxContent>
                    <w:p w:rsidR="00EF478F" w:rsidRDefault="00EF478F" w:rsidP="00EF478F">
                      <w:pPr>
                        <w:ind w:left="142" w:right="-49" w:hanging="284"/>
                        <w:jc w:val="center"/>
                      </w:pPr>
                      <w:r w:rsidRPr="009D2B9C">
                        <w:rPr>
                          <w:noProof/>
                        </w:rPr>
                        <w:drawing>
                          <wp:inline distT="0" distB="0" distL="0" distR="0" wp14:anchorId="5C11E710" wp14:editId="35DA34C5">
                            <wp:extent cx="3094355" cy="2277110"/>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355" cy="2277110"/>
                                    </a:xfrm>
                                    <a:prstGeom prst="rect">
                                      <a:avLst/>
                                    </a:prstGeom>
                                    <a:noFill/>
                                    <a:ln>
                                      <a:noFill/>
                                    </a:ln>
                                  </pic:spPr>
                                </pic:pic>
                              </a:graphicData>
                            </a:graphic>
                          </wp:inline>
                        </w:drawing>
                      </w:r>
                    </w:p>
                  </w:txbxContent>
                </v:textbox>
              </v:shape>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14:anchorId="06851B83" wp14:editId="3B7D1335">
                <wp:simplePos x="0" y="0"/>
                <wp:positionH relativeFrom="column">
                  <wp:posOffset>-107576</wp:posOffset>
                </wp:positionH>
                <wp:positionV relativeFrom="paragraph">
                  <wp:posOffset>86584</wp:posOffset>
                </wp:positionV>
                <wp:extent cx="3100705" cy="2891118"/>
                <wp:effectExtent l="0" t="0" r="23495" b="24130"/>
                <wp:wrapNone/>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891118"/>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F478F" w:rsidRDefault="00EF478F" w:rsidP="00EF478F">
                            <w:pPr>
                              <w:pStyle w:val="Corpsdetexte3"/>
                              <w:spacing w:line="276" w:lineRule="auto"/>
                              <w:rPr>
                                <w:sz w:val="24"/>
                              </w:rPr>
                            </w:pPr>
                            <w:r w:rsidRPr="00C41ECC">
                              <w:rPr>
                                <w:sz w:val="24"/>
                              </w:rPr>
                              <w:t>L</w:t>
                            </w:r>
                            <w:r>
                              <w:rPr>
                                <w:sz w:val="24"/>
                              </w:rPr>
                              <w:t>e cumul pluviométrique du 1</w:t>
                            </w:r>
                            <w:r w:rsidRPr="005A6045">
                              <w:rPr>
                                <w:sz w:val="24"/>
                                <w:vertAlign w:val="superscript"/>
                              </w:rPr>
                              <w:t>er</w:t>
                            </w:r>
                            <w:r>
                              <w:rPr>
                                <w:sz w:val="24"/>
                              </w:rPr>
                              <w:t xml:space="preserve"> avril au 31 août</w:t>
                            </w:r>
                            <w:r w:rsidRPr="00C41ECC">
                              <w:rPr>
                                <w:sz w:val="24"/>
                              </w:rPr>
                              <w:t xml:space="preserve"> </w:t>
                            </w:r>
                            <w:r>
                              <w:rPr>
                                <w:sz w:val="24"/>
                              </w:rPr>
                              <w:t xml:space="preserve">2019 comparé </w:t>
                            </w:r>
                            <w:r w:rsidRPr="00C41ECC">
                              <w:rPr>
                                <w:sz w:val="24"/>
                              </w:rPr>
                              <w:t>à la normale (1981-2010) fait res</w:t>
                            </w:r>
                            <w:r>
                              <w:rPr>
                                <w:sz w:val="24"/>
                              </w:rPr>
                              <w:t xml:space="preserve">sortir une pluviométrie </w:t>
                            </w:r>
                            <w:r w:rsidRPr="00764D18">
                              <w:rPr>
                                <w:b/>
                                <w:bCs/>
                                <w:sz w:val="24"/>
                              </w:rPr>
                              <w:t>déficitaire à similaire</w:t>
                            </w:r>
                            <w:r>
                              <w:rPr>
                                <w:sz w:val="24"/>
                              </w:rPr>
                              <w:t xml:space="preserve"> </w:t>
                            </w:r>
                            <w:r w:rsidRPr="00C41ECC">
                              <w:rPr>
                                <w:sz w:val="24"/>
                              </w:rPr>
                              <w:t xml:space="preserve">dans </w:t>
                            </w:r>
                            <w:r>
                              <w:rPr>
                                <w:sz w:val="24"/>
                              </w:rPr>
                              <w:t xml:space="preserve">la majeure </w:t>
                            </w:r>
                            <w:r w:rsidRPr="00C41ECC">
                              <w:rPr>
                                <w:sz w:val="24"/>
                              </w:rPr>
                              <w:t>partie du territoire.</w:t>
                            </w:r>
                          </w:p>
                          <w:p w:rsidR="00EF478F" w:rsidRDefault="00EF478F" w:rsidP="00EF478F">
                            <w:pPr>
                              <w:pStyle w:val="Corpsdetexte3"/>
                              <w:spacing w:line="276" w:lineRule="auto"/>
                              <w:rPr>
                                <w:sz w:val="24"/>
                              </w:rPr>
                            </w:pPr>
                          </w:p>
                          <w:p w:rsidR="00EF478F" w:rsidRDefault="00EF478F" w:rsidP="00EF478F">
                            <w:pPr>
                              <w:pStyle w:val="Corpsdetexte3"/>
                              <w:spacing w:line="276" w:lineRule="auto"/>
                              <w:rPr>
                                <w:sz w:val="24"/>
                              </w:rPr>
                            </w:pPr>
                            <w:r>
                              <w:rPr>
                                <w:sz w:val="24"/>
                              </w:rPr>
                              <w:t xml:space="preserve">Toutefois, des </w:t>
                            </w:r>
                            <w:r w:rsidRPr="00C41ECC">
                              <w:rPr>
                                <w:sz w:val="24"/>
                              </w:rPr>
                              <w:t>zones</w:t>
                            </w:r>
                            <w:r>
                              <w:rPr>
                                <w:sz w:val="24"/>
                              </w:rPr>
                              <w:t xml:space="preserve"> à cumul pluviométrique </w:t>
                            </w:r>
                            <w:r w:rsidRPr="00764D18">
                              <w:rPr>
                                <w:b/>
                                <w:bCs/>
                                <w:sz w:val="24"/>
                              </w:rPr>
                              <w:t>excédentaire</w:t>
                            </w:r>
                            <w:r>
                              <w:rPr>
                                <w:sz w:val="24"/>
                              </w:rPr>
                              <w:t xml:space="preserve"> par rapport à la normale</w:t>
                            </w:r>
                            <w:r w:rsidRPr="00C41ECC">
                              <w:rPr>
                                <w:sz w:val="24"/>
                              </w:rPr>
                              <w:t xml:space="preserve"> </w:t>
                            </w:r>
                            <w:r>
                              <w:rPr>
                                <w:sz w:val="24"/>
                              </w:rPr>
                              <w:t xml:space="preserve">ont été observées dans les régions du Sahel, du Nord, du Centre-Ouest, du Centre, de la Boucle du Mouhoun, des Hauts-Bassins, du Centre-Sud, du Centre-Est et de l’Est. </w:t>
                            </w:r>
                          </w:p>
                          <w:p w:rsidR="00EF478F" w:rsidRPr="00C41ECC" w:rsidRDefault="00EF478F" w:rsidP="00EF478F">
                            <w:pPr>
                              <w:pStyle w:val="Corpsdetexte3"/>
                              <w:spacing w:line="276" w:lineRule="auto"/>
                              <w:rPr>
                                <w:sz w:val="24"/>
                              </w:rPr>
                            </w:pPr>
                            <w:r>
                              <w:rPr>
                                <w:sz w:val="24"/>
                              </w:rPr>
                              <w:t xml:space="preserve">Seule la région du Sahel a enregistré une zone à cumul pluviométrique </w:t>
                            </w:r>
                            <w:r w:rsidRPr="00764D18">
                              <w:rPr>
                                <w:b/>
                                <w:bCs/>
                                <w:sz w:val="24"/>
                              </w:rPr>
                              <w:t xml:space="preserve">très </w:t>
                            </w:r>
                            <w:r>
                              <w:rPr>
                                <w:b/>
                                <w:bCs/>
                                <w:sz w:val="24"/>
                              </w:rPr>
                              <w:t>excédentaire</w:t>
                            </w:r>
                            <w:r>
                              <w:rPr>
                                <w:sz w:val="24"/>
                              </w:rPr>
                              <w:t xml:space="preserve"> par rapport à la moyenne normale.</w:t>
                            </w:r>
                          </w:p>
                          <w:p w:rsidR="00EF478F" w:rsidRPr="00C41ECC" w:rsidRDefault="00EF478F" w:rsidP="00EF478F">
                            <w:pPr>
                              <w:pStyle w:val="Corpsdetexte3"/>
                              <w:spacing w:line="276"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1B83" id="Text Box 328" o:spid="_x0000_s1039" type="#_x0000_t202" style="position:absolute;margin-left:-8.45pt;margin-top:6.8pt;width:244.15pt;height:22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r1jAIAABsFAAAOAAAAZHJzL2Uyb0RvYy54bWysVNuO2yAQfa/Uf0C8Z32Js0msdVZbO6kq&#10;bS/Sbj+AYByjYnCBxN5W/fcOkKRJ+1JV9YMNnuFwzsyBu/uxE+jAtOFKFji5iTFikqqay12BPz9v&#10;JguMjCWyJkJJVuAXZvD96vWru6HPWapaJWqmEYBIkw99gVtr+zyKDG1ZR8yN6pmEYKN0RyxM9S6q&#10;NRkAvRNRGse30aB03WtFmTHwtwpBvPL4TcOo/dg0hlkkCgzcrH9r/966d7S6I/lOk77l9EiD/AOL&#10;jnAJm56hKmIJ2mv+B1THqVZGNfaGqi5STcMp8xpATRL/puapJT3zWqA4pj+Xyfw/WPrh8EkjXkPv&#10;5hhJ0kGPntlo0Rs1omm6cAUaepND3lMPmXaEACR7saZ/VPSLQVKVLZE79qC1GlpGaiCYuJXRxdKA&#10;YxzIdnivatiI7K3yQGOjO1c9qAcCdGjUy7k5jgyFn9MkjufxDCMKsXSxTJLEs4tIflrea2PfMtUh&#10;Nyiwhu57eHJ4NNbRIfkpxe0m1YYL4R0gJBoKvJylsyBMCV67oEszercthUYH4jwEHEpvGwAzl2kd&#10;t+BkwbsCL2L3BG+5cqxl7XexhIswhsVCOnBQB9yOo+CY78t4uV6sF9kkS2/XkyyuqsnDpswmt5tk&#10;PqumVVlWyQ/HM8nyltc1k47qyb1J9nfuOJ6j4Luzf68kXSnf+Md39Up5dE3DVxlUnb5enfeBa30w&#10;gR23Y/Dc9OSvrapfwBlahRMKNwoMWqW/YTTA6Syw+bonmmEk3klw1zLJMnec/SSbzVOY6MvI9jJC&#10;JAWoAluMwrC04QrY95rvWtgp+FmqB3Bkw71XnHUDq6OP4QR6Ucfbwh3xy7nP+nWnrX4CAAD//wMA&#10;UEsDBBQABgAIAAAAIQDWSw6r4AAAAAoBAAAPAAAAZHJzL2Rvd25yZXYueG1sTI/BTsMwDIbvSLxD&#10;ZCQuaEvLqrKVphNC4oLEYQMJjl4TmrLGqZqsLTw95jRutv5Pvz+X29l1YjRDaD0pSJcJCEO11y01&#10;Ct5enxZrECEiaew8GQXfJsC2urwosdB+op0Z97ERXEKhQAU2xr6QMtTWOAxL3xvi7NMPDiOvQyP1&#10;gBOXu07eJkkuHbbEFyz25tGa+rg/OQU7uZqes/B+HPVHyG/Glx+0zZdS11fzwz2IaOZ4huFPn9Wh&#10;YqeDP5EOolOwSPMNoxyschAMZHdpBuLAQ77egKxK+f+F6hcAAP//AwBQSwECLQAUAAYACAAAACEA&#10;toM4kv4AAADhAQAAEwAAAAAAAAAAAAAAAAAAAAAAW0NvbnRlbnRfVHlwZXNdLnhtbFBLAQItABQA&#10;BgAIAAAAIQA4/SH/1gAAAJQBAAALAAAAAAAAAAAAAAAAAC8BAABfcmVscy8ucmVsc1BLAQItABQA&#10;BgAIAAAAIQB7kJr1jAIAABsFAAAOAAAAAAAAAAAAAAAAAC4CAABkcnMvZTJvRG9jLnhtbFBLAQIt&#10;ABQABgAIAAAAIQDWSw6r4AAAAAoBAAAPAAAAAAAAAAAAAAAAAOYEAABkcnMvZG93bnJldi54bWxQ&#10;SwUGAAAAAAQABADzAAAA8wUAAAAA&#10;" filled="f" strokecolor="#0070c0">
                <v:textbox>
                  <w:txbxContent>
                    <w:p w:rsidR="00EF478F" w:rsidRDefault="00EF478F" w:rsidP="00EF478F">
                      <w:pPr>
                        <w:pStyle w:val="Corpsdetexte3"/>
                        <w:spacing w:line="276" w:lineRule="auto"/>
                        <w:rPr>
                          <w:sz w:val="24"/>
                        </w:rPr>
                      </w:pPr>
                      <w:r w:rsidRPr="00C41ECC">
                        <w:rPr>
                          <w:sz w:val="24"/>
                        </w:rPr>
                        <w:t>L</w:t>
                      </w:r>
                      <w:r>
                        <w:rPr>
                          <w:sz w:val="24"/>
                        </w:rPr>
                        <w:t>e cumul pluviométrique du 1</w:t>
                      </w:r>
                      <w:r w:rsidRPr="005A6045">
                        <w:rPr>
                          <w:sz w:val="24"/>
                          <w:vertAlign w:val="superscript"/>
                        </w:rPr>
                        <w:t>er</w:t>
                      </w:r>
                      <w:r>
                        <w:rPr>
                          <w:sz w:val="24"/>
                        </w:rPr>
                        <w:t xml:space="preserve"> avril au 31 août</w:t>
                      </w:r>
                      <w:r w:rsidRPr="00C41ECC">
                        <w:rPr>
                          <w:sz w:val="24"/>
                        </w:rPr>
                        <w:t xml:space="preserve"> </w:t>
                      </w:r>
                      <w:r>
                        <w:rPr>
                          <w:sz w:val="24"/>
                        </w:rPr>
                        <w:t xml:space="preserve">2019 comparé </w:t>
                      </w:r>
                      <w:r w:rsidRPr="00C41ECC">
                        <w:rPr>
                          <w:sz w:val="24"/>
                        </w:rPr>
                        <w:t>à la normale (1981-2010) fait res</w:t>
                      </w:r>
                      <w:r>
                        <w:rPr>
                          <w:sz w:val="24"/>
                        </w:rPr>
                        <w:t xml:space="preserve">sortir une pluviométrie </w:t>
                      </w:r>
                      <w:r w:rsidRPr="00764D18">
                        <w:rPr>
                          <w:b/>
                          <w:bCs/>
                          <w:sz w:val="24"/>
                        </w:rPr>
                        <w:t>déficitaire à similaire</w:t>
                      </w:r>
                      <w:r>
                        <w:rPr>
                          <w:sz w:val="24"/>
                        </w:rPr>
                        <w:t xml:space="preserve"> </w:t>
                      </w:r>
                      <w:r w:rsidRPr="00C41ECC">
                        <w:rPr>
                          <w:sz w:val="24"/>
                        </w:rPr>
                        <w:t xml:space="preserve">dans </w:t>
                      </w:r>
                      <w:r>
                        <w:rPr>
                          <w:sz w:val="24"/>
                        </w:rPr>
                        <w:t xml:space="preserve">la majeure </w:t>
                      </w:r>
                      <w:r w:rsidRPr="00C41ECC">
                        <w:rPr>
                          <w:sz w:val="24"/>
                        </w:rPr>
                        <w:t>partie du territoire.</w:t>
                      </w:r>
                    </w:p>
                    <w:p w:rsidR="00EF478F" w:rsidRDefault="00EF478F" w:rsidP="00EF478F">
                      <w:pPr>
                        <w:pStyle w:val="Corpsdetexte3"/>
                        <w:spacing w:line="276" w:lineRule="auto"/>
                        <w:rPr>
                          <w:sz w:val="24"/>
                        </w:rPr>
                      </w:pPr>
                    </w:p>
                    <w:p w:rsidR="00EF478F" w:rsidRDefault="00EF478F" w:rsidP="00EF478F">
                      <w:pPr>
                        <w:pStyle w:val="Corpsdetexte3"/>
                        <w:spacing w:line="276" w:lineRule="auto"/>
                        <w:rPr>
                          <w:sz w:val="24"/>
                        </w:rPr>
                      </w:pPr>
                      <w:r>
                        <w:rPr>
                          <w:sz w:val="24"/>
                        </w:rPr>
                        <w:t xml:space="preserve">Toutefois, des </w:t>
                      </w:r>
                      <w:r w:rsidRPr="00C41ECC">
                        <w:rPr>
                          <w:sz w:val="24"/>
                        </w:rPr>
                        <w:t>zones</w:t>
                      </w:r>
                      <w:r>
                        <w:rPr>
                          <w:sz w:val="24"/>
                        </w:rPr>
                        <w:t xml:space="preserve"> à cumul pluviométrique </w:t>
                      </w:r>
                      <w:r w:rsidRPr="00764D18">
                        <w:rPr>
                          <w:b/>
                          <w:bCs/>
                          <w:sz w:val="24"/>
                        </w:rPr>
                        <w:t>excédentaire</w:t>
                      </w:r>
                      <w:r>
                        <w:rPr>
                          <w:sz w:val="24"/>
                        </w:rPr>
                        <w:t xml:space="preserve"> par rapport à la normale</w:t>
                      </w:r>
                      <w:r w:rsidRPr="00C41ECC">
                        <w:rPr>
                          <w:sz w:val="24"/>
                        </w:rPr>
                        <w:t xml:space="preserve"> </w:t>
                      </w:r>
                      <w:r>
                        <w:rPr>
                          <w:sz w:val="24"/>
                        </w:rPr>
                        <w:t xml:space="preserve">ont été observées dans les régions du Sahel, du Nord, du Centre-Ouest, du Centre, de la Boucle du Mouhoun, des Hauts-Bassins, du Centre-Sud, du Centre-Est et de l’Est. </w:t>
                      </w:r>
                    </w:p>
                    <w:p w:rsidR="00EF478F" w:rsidRPr="00C41ECC" w:rsidRDefault="00EF478F" w:rsidP="00EF478F">
                      <w:pPr>
                        <w:pStyle w:val="Corpsdetexte3"/>
                        <w:spacing w:line="276" w:lineRule="auto"/>
                        <w:rPr>
                          <w:sz w:val="24"/>
                        </w:rPr>
                      </w:pPr>
                      <w:r>
                        <w:rPr>
                          <w:sz w:val="24"/>
                        </w:rPr>
                        <w:t xml:space="preserve">Seule la région du Sahel a enregistré une zone à cumul pluviométrique </w:t>
                      </w:r>
                      <w:r w:rsidRPr="00764D18">
                        <w:rPr>
                          <w:b/>
                          <w:bCs/>
                          <w:sz w:val="24"/>
                        </w:rPr>
                        <w:t xml:space="preserve">très </w:t>
                      </w:r>
                      <w:r>
                        <w:rPr>
                          <w:b/>
                          <w:bCs/>
                          <w:sz w:val="24"/>
                        </w:rPr>
                        <w:t>excédentaire</w:t>
                      </w:r>
                      <w:r>
                        <w:rPr>
                          <w:sz w:val="24"/>
                        </w:rPr>
                        <w:t xml:space="preserve"> par rapport à la moyenne normale.</w:t>
                      </w:r>
                    </w:p>
                    <w:p w:rsidR="00EF478F" w:rsidRPr="00C41ECC" w:rsidRDefault="00EF478F" w:rsidP="00EF478F">
                      <w:pPr>
                        <w:pStyle w:val="Corpsdetexte3"/>
                        <w:spacing w:line="276" w:lineRule="auto"/>
                        <w:rPr>
                          <w:sz w:val="24"/>
                        </w:rPr>
                      </w:pPr>
                    </w:p>
                  </w:txbxContent>
                </v:textbox>
              </v:shape>
            </w:pict>
          </mc:Fallback>
        </mc:AlternateContent>
      </w:r>
    </w:p>
    <w:p w:rsidR="00EF478F" w:rsidRDefault="00EF478F" w:rsidP="00EF478F"/>
    <w:p w:rsidR="00EF478F" w:rsidRDefault="00EF478F" w:rsidP="00EF478F"/>
    <w:p w:rsidR="00EF478F" w:rsidRDefault="00EF478F" w:rsidP="00EF478F"/>
    <w:p w:rsidR="00EF478F" w:rsidRPr="00F03839" w:rsidRDefault="00EF478F" w:rsidP="00EF478F">
      <w:pPr>
        <w:tabs>
          <w:tab w:val="left" w:pos="5515"/>
        </w:tabs>
      </w:pPr>
    </w:p>
    <w:p w:rsidR="00EF478F" w:rsidRPr="00F11130" w:rsidRDefault="00EF478F" w:rsidP="00EF478F">
      <w:pPr>
        <w:pStyle w:val="Titre2"/>
        <w:ind w:left="720"/>
        <w:rPr>
          <w:b w:val="0"/>
          <w:bCs w:val="0"/>
          <w:szCs w:val="28"/>
          <w:u w:val="none"/>
        </w:rPr>
      </w:pPr>
    </w:p>
    <w:p w:rsidR="00EF478F" w:rsidRPr="00F11130" w:rsidRDefault="00EF478F" w:rsidP="00EF478F">
      <w:pPr>
        <w:pStyle w:val="Titre2"/>
        <w:ind w:left="720"/>
        <w:rPr>
          <w:b w:val="0"/>
          <w:bCs w:val="0"/>
          <w:szCs w:val="28"/>
          <w:u w:val="none"/>
        </w:rPr>
      </w:pPr>
    </w:p>
    <w:p w:rsidR="00EF478F" w:rsidRPr="00F11130" w:rsidRDefault="00EF478F" w:rsidP="00EF478F">
      <w:pPr>
        <w:pStyle w:val="Titre2"/>
        <w:ind w:left="720"/>
        <w:rPr>
          <w:b w:val="0"/>
          <w:bCs w:val="0"/>
          <w:szCs w:val="28"/>
          <w:u w:val="none"/>
        </w:rPr>
      </w:pPr>
    </w:p>
    <w:p w:rsidR="00EF478F" w:rsidRPr="00F11130" w:rsidRDefault="00EF478F" w:rsidP="00EF478F">
      <w:pPr>
        <w:pStyle w:val="Titre2"/>
        <w:ind w:left="720"/>
        <w:rPr>
          <w:b w:val="0"/>
          <w:bCs w:val="0"/>
          <w:szCs w:val="28"/>
          <w:u w:val="none"/>
        </w:rPr>
      </w:pPr>
    </w:p>
    <w:p w:rsidR="00EF478F" w:rsidRPr="00F11130" w:rsidRDefault="00EF478F" w:rsidP="00EF478F">
      <w:pPr>
        <w:pStyle w:val="Titre2"/>
        <w:ind w:left="720"/>
        <w:rPr>
          <w:b w:val="0"/>
          <w:bCs w:val="0"/>
          <w:szCs w:val="28"/>
          <w:u w:val="none"/>
        </w:rPr>
      </w:pPr>
    </w:p>
    <w:p w:rsidR="00EF478F" w:rsidRDefault="00EF478F" w:rsidP="00EF478F">
      <w:pPr>
        <w:pStyle w:val="Titre2"/>
        <w:ind w:left="720"/>
        <w:rPr>
          <w:bCs w:val="0"/>
          <w:szCs w:val="28"/>
        </w:rPr>
      </w:pPr>
    </w:p>
    <w:p w:rsidR="00EF478F" w:rsidRDefault="00EF478F" w:rsidP="00EF478F">
      <w:pPr>
        <w:pStyle w:val="Titre2"/>
        <w:ind w:left="720"/>
        <w:rPr>
          <w:bCs w:val="0"/>
          <w:szCs w:val="28"/>
        </w:rPr>
      </w:pPr>
    </w:p>
    <w:p w:rsidR="00EF478F" w:rsidRDefault="00EF478F" w:rsidP="00EF478F">
      <w:pPr>
        <w:pStyle w:val="Titre2"/>
        <w:ind w:left="720"/>
        <w:rPr>
          <w:bCs w:val="0"/>
          <w:szCs w:val="28"/>
        </w:rPr>
      </w:pPr>
    </w:p>
    <w:p w:rsidR="006E35D3" w:rsidRPr="00CB5EA7" w:rsidRDefault="006E35D3" w:rsidP="006E35D3"/>
    <w:p w:rsidR="006E35D3" w:rsidRPr="00CB5EA7" w:rsidRDefault="006E35D3" w:rsidP="006E35D3"/>
    <w:p w:rsidR="006E35D3" w:rsidRPr="00CB5EA7" w:rsidRDefault="006E35D3" w:rsidP="006E35D3"/>
    <w:p w:rsidR="006E35D3" w:rsidRPr="00CB5EA7" w:rsidRDefault="006E35D3" w:rsidP="006E35D3"/>
    <w:p w:rsidR="006E35D3" w:rsidRPr="00CB5EA7" w:rsidRDefault="006E35D3" w:rsidP="006E35D3"/>
    <w:p w:rsidR="006E35D3" w:rsidRDefault="006E35D3" w:rsidP="006E35D3"/>
    <w:p w:rsidR="006E35D3" w:rsidRPr="00CB5EA7" w:rsidRDefault="006E35D3" w:rsidP="006E35D3"/>
    <w:p w:rsidR="006E35D3" w:rsidRDefault="006E35D3" w:rsidP="006E35D3"/>
    <w:p w:rsidR="006E35D3" w:rsidRDefault="006E35D3" w:rsidP="006E35D3"/>
    <w:p w:rsidR="006E35D3" w:rsidRPr="00F11130" w:rsidRDefault="006E35D3" w:rsidP="006E35D3"/>
    <w:p w:rsidR="006E35D3" w:rsidRDefault="006E35D3" w:rsidP="006E35D3">
      <w:pPr>
        <w:pStyle w:val="Titre1"/>
        <w:numPr>
          <w:ilvl w:val="0"/>
          <w:numId w:val="3"/>
        </w:numPr>
        <w:rPr>
          <w:b/>
          <w:sz w:val="28"/>
          <w:szCs w:val="28"/>
        </w:rPr>
      </w:pPr>
      <w:r w:rsidRPr="00CB5EA7">
        <w:br w:type="page"/>
      </w:r>
      <w:bookmarkStart w:id="43" w:name="_Toc453686091"/>
      <w:bookmarkStart w:id="44" w:name="_Toc453748847"/>
      <w:bookmarkStart w:id="45" w:name="_Toc453828152"/>
      <w:bookmarkStart w:id="46" w:name="_Toc513995330"/>
      <w:bookmarkStart w:id="47" w:name="_Toc513995425"/>
      <w:bookmarkStart w:id="48" w:name="_Toc514078352"/>
      <w:bookmarkStart w:id="49" w:name="_Toc514078402"/>
      <w:bookmarkStart w:id="50" w:name="_Toc514734846"/>
      <w:bookmarkStart w:id="51" w:name="_Toc515847115"/>
      <w:bookmarkStart w:id="52" w:name="_Toc516562518"/>
      <w:bookmarkStart w:id="53" w:name="_Toc516564927"/>
      <w:bookmarkStart w:id="54" w:name="_Toc516569875"/>
      <w:bookmarkStart w:id="55" w:name="_Toc12293955"/>
      <w:bookmarkStart w:id="56" w:name="_Toc14104734"/>
      <w:bookmarkStart w:id="57" w:name="_Toc14105540"/>
      <w:bookmarkStart w:id="58" w:name="_Toc14782785"/>
      <w:bookmarkStart w:id="59" w:name="_Toc15932705"/>
      <w:bookmarkStart w:id="60" w:name="_Toc17672652"/>
      <w:bookmarkStart w:id="61" w:name="_Toc18418131"/>
      <w:bookmarkStart w:id="62" w:name="_Toc18418780"/>
      <w:bookmarkStart w:id="63" w:name="_Toc18418788"/>
      <w:bookmarkStart w:id="64" w:name="_Toc18418802"/>
      <w:bookmarkStart w:id="65" w:name="_Toc18418941"/>
      <w:r w:rsidR="00E200BA">
        <w:rPr>
          <w:noProof/>
          <w:sz w:val="28"/>
          <w:szCs w:val="28"/>
        </w:rPr>
        <w:lastRenderedPageBreak/>
        <mc:AlternateContent>
          <mc:Choice Requires="wps">
            <w:drawing>
              <wp:anchor distT="0" distB="0" distL="114300" distR="114300" simplePos="0" relativeHeight="251679744" behindDoc="0" locked="0" layoutInCell="1" allowOverlap="1" wp14:anchorId="4F7A99C8" wp14:editId="2D6A68C5">
                <wp:simplePos x="0" y="0"/>
                <wp:positionH relativeFrom="margin">
                  <wp:posOffset>-333375</wp:posOffset>
                </wp:positionH>
                <wp:positionV relativeFrom="paragraph">
                  <wp:posOffset>277496</wp:posOffset>
                </wp:positionV>
                <wp:extent cx="6911340" cy="8515350"/>
                <wp:effectExtent l="0" t="0" r="22860" b="19050"/>
                <wp:wrapNone/>
                <wp:docPr id="1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851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4F28" w:rsidRDefault="00C44F28" w:rsidP="002A5682">
                            <w:pPr>
                              <w:pStyle w:val="Corpsdetexte"/>
                              <w:numPr>
                                <w:ilvl w:val="1"/>
                                <w:numId w:val="2"/>
                              </w:numPr>
                              <w:rPr>
                                <w:b/>
                              </w:rPr>
                            </w:pPr>
                            <w:r w:rsidRPr="00540C24">
                              <w:t xml:space="preserve"> </w:t>
                            </w:r>
                            <w:r w:rsidRPr="00540C24">
                              <w:rPr>
                                <w:b/>
                              </w:rPr>
                              <w:t>REGION AGRICOLE DE LA BOUCLE DU MOUHOUN</w:t>
                            </w:r>
                          </w:p>
                          <w:p w:rsidR="00C44F28" w:rsidRPr="0075311C" w:rsidRDefault="00C44F28" w:rsidP="00601C81">
                            <w:pPr>
                              <w:pStyle w:val="Corpsdetexte"/>
                              <w:rPr>
                                <w:b/>
                              </w:rPr>
                            </w:pPr>
                            <w:r w:rsidRPr="0075311C">
                              <w:rPr>
                                <w:rFonts w:eastAsia="Calibri"/>
                                <w:szCs w:val="22"/>
                                <w:lang w:eastAsia="en-US"/>
                              </w:rPr>
                              <w:t>Les principales opérations culturales en cours sont le sarclage et le buttage. Le taux d’exécution du sarclage est compris entre 50 et 75% pour les légumineuses et entre 75 et 100% pour les céréales et le cotonnier. Le taux d’exécution du buttage est compris entre 50 et 75% pour le maïs, le sorgho et le cotonnier.</w:t>
                            </w:r>
                          </w:p>
                          <w:p w:rsidR="00C44F28" w:rsidRPr="0075311C" w:rsidRDefault="00C44F28" w:rsidP="00601C81">
                            <w:pPr>
                              <w:pStyle w:val="Corpsdetexte"/>
                              <w:rPr>
                                <w:rFonts w:eastAsia="Calibri"/>
                                <w:szCs w:val="22"/>
                                <w:lang w:eastAsia="en-US"/>
                              </w:rPr>
                            </w:pPr>
                            <w:r w:rsidRPr="0075311C">
                              <w:rPr>
                                <w:rFonts w:eastAsia="Calibri"/>
                                <w:szCs w:val="22"/>
                                <w:lang w:eastAsia="en-US"/>
                              </w:rPr>
                              <w:t>La ramification et l’épiaison/floraison sont les stades phénologiques dominants. La ramification est observée entre 50 et 75% pour les légumineuses et entre 75 et 100% pour le cotonnier. L’épiaison/floraison est observée entre 0 et 25% pour le sorgho et le mil et entre 50 et 75% pour le maïs et le fonio. La floraison du cotonnier et de l’arachide est observée à un taux compris entre 50 et 75%.</w:t>
                            </w:r>
                          </w:p>
                          <w:p w:rsidR="00C44F28" w:rsidRPr="0075311C" w:rsidRDefault="00C44F28" w:rsidP="007329D6">
                            <w:pPr>
                              <w:pStyle w:val="Corpsdetexte"/>
                              <w:rPr>
                                <w:rFonts w:eastAsia="Calibri"/>
                                <w:szCs w:val="22"/>
                                <w:lang w:eastAsia="en-US"/>
                              </w:rPr>
                            </w:pPr>
                          </w:p>
                          <w:p w:rsidR="00C44F28" w:rsidRPr="0075311C" w:rsidRDefault="00C44F28" w:rsidP="002A5682">
                            <w:pPr>
                              <w:pStyle w:val="Corpsdetexte"/>
                              <w:numPr>
                                <w:ilvl w:val="1"/>
                                <w:numId w:val="2"/>
                              </w:numPr>
                              <w:rPr>
                                <w:b/>
                              </w:rPr>
                            </w:pPr>
                            <w:r w:rsidRPr="0075311C">
                              <w:rPr>
                                <w:b/>
                              </w:rPr>
                              <w:t xml:space="preserve"> REGION AGRICOLE DES CASCADES</w:t>
                            </w:r>
                          </w:p>
                          <w:p w:rsidR="00C44F28" w:rsidRPr="0075311C" w:rsidRDefault="00C44F28" w:rsidP="00601C81">
                            <w:pPr>
                              <w:pStyle w:val="Corpsdetexte"/>
                              <w:rPr>
                                <w:b/>
                              </w:rPr>
                            </w:pPr>
                            <w:r w:rsidRPr="0075311C">
                              <w:rPr>
                                <w:rFonts w:eastAsia="Calibri"/>
                                <w:szCs w:val="22"/>
                                <w:lang w:eastAsia="en-US"/>
                              </w:rPr>
                              <w:t>Les principales opérations culturales en cours sont le sarclage et le buttage. Le taux d’exécution du sarclage est compris entre 50 et 75% pour la plupart des cultures. Le taux d’exécutio</w:t>
                            </w:r>
                            <w:r w:rsidR="00DE4DD0">
                              <w:rPr>
                                <w:rFonts w:eastAsia="Calibri"/>
                                <w:szCs w:val="22"/>
                                <w:lang w:eastAsia="en-US"/>
                              </w:rPr>
                              <w:t>n du buttage est compris entre 25 et 50</w:t>
                            </w:r>
                            <w:r w:rsidRPr="0075311C">
                              <w:rPr>
                                <w:rFonts w:eastAsia="Calibri"/>
                                <w:szCs w:val="22"/>
                                <w:lang w:eastAsia="en-US"/>
                              </w:rPr>
                              <w:t>% pour les céréales et entre 50 et 75% le cotonnier.</w:t>
                            </w:r>
                          </w:p>
                          <w:p w:rsidR="0062147D" w:rsidRPr="0062147D" w:rsidRDefault="00C44F28" w:rsidP="0062147D">
                            <w:pPr>
                              <w:pStyle w:val="Corpsdetexte"/>
                              <w:rPr>
                                <w:rFonts w:eastAsia="Calibri"/>
                                <w:szCs w:val="22"/>
                                <w:lang w:eastAsia="en-US"/>
                              </w:rPr>
                            </w:pPr>
                            <w:r w:rsidRPr="0075311C">
                              <w:rPr>
                                <w:rFonts w:eastAsia="Calibri"/>
                                <w:szCs w:val="22"/>
                                <w:lang w:eastAsia="en-US"/>
                              </w:rPr>
                              <w:t>La montaison et l’épiaison/floraison sont les stades phénologiques dominants. La montaison est observée entre 75 et 100% pour les céréales. L’épiaison/floraison est observée entre 0 et 25% pour  le sorgho et le mil, et entre 50 et 75% pour le maïs et le fonio. La floraison du cotonnier et du niébé est observée entre 25 et 50%.</w:t>
                            </w:r>
                            <w:r w:rsidR="0062147D" w:rsidRPr="0062147D">
                              <w:t xml:space="preserve"> </w:t>
                            </w:r>
                            <w:r w:rsidR="0062147D">
                              <w:t>U</w:t>
                            </w:r>
                            <w:r w:rsidR="0062147D" w:rsidRPr="0062147D">
                              <w:rPr>
                                <w:rFonts w:eastAsia="Calibri"/>
                                <w:szCs w:val="22"/>
                                <w:lang w:eastAsia="en-US"/>
                              </w:rPr>
                              <w:t>n début de maturation</w:t>
                            </w:r>
                            <w:r w:rsidR="0062147D">
                              <w:rPr>
                                <w:rFonts w:eastAsia="Calibri"/>
                                <w:szCs w:val="22"/>
                                <w:lang w:eastAsia="en-US"/>
                              </w:rPr>
                              <w:t xml:space="preserve"> est observé</w:t>
                            </w:r>
                            <w:r w:rsidR="0062147D" w:rsidRPr="0062147D">
                              <w:rPr>
                                <w:rFonts w:eastAsia="Calibri"/>
                                <w:szCs w:val="22"/>
                                <w:lang w:eastAsia="en-US"/>
                              </w:rPr>
                              <w:t xml:space="preserve"> au niveau du maïs et de l’arachide. </w:t>
                            </w:r>
                          </w:p>
                          <w:p w:rsidR="00C44F28" w:rsidRPr="0075311C" w:rsidRDefault="00C44F28" w:rsidP="007329D6">
                            <w:pPr>
                              <w:pStyle w:val="Corpsdetexte"/>
                              <w:rPr>
                                <w:rFonts w:eastAsia="Calibri"/>
                                <w:szCs w:val="22"/>
                                <w:lang w:eastAsia="en-US"/>
                              </w:rPr>
                            </w:pPr>
                          </w:p>
                          <w:p w:rsidR="00C44F28" w:rsidRPr="0075311C" w:rsidRDefault="00C44F28" w:rsidP="007329D6">
                            <w:pPr>
                              <w:pStyle w:val="Corpsdetexte"/>
                              <w:numPr>
                                <w:ilvl w:val="1"/>
                                <w:numId w:val="2"/>
                              </w:numPr>
                              <w:rPr>
                                <w:b/>
                              </w:rPr>
                            </w:pPr>
                            <w:r w:rsidRPr="0075311C">
                              <w:rPr>
                                <w:b/>
                              </w:rPr>
                              <w:t xml:space="preserve"> REGION AGRICOLE DU CENTRE</w:t>
                            </w:r>
                          </w:p>
                          <w:p w:rsidR="00C44F28" w:rsidRPr="0075311C" w:rsidRDefault="00C44F28" w:rsidP="00A4037E">
                            <w:pPr>
                              <w:pStyle w:val="Corpsdetexte"/>
                              <w:rPr>
                                <w:rFonts w:eastAsia="Calibri"/>
                                <w:szCs w:val="22"/>
                                <w:lang w:eastAsia="en-US"/>
                              </w:rPr>
                            </w:pPr>
                            <w:r w:rsidRPr="0075311C">
                              <w:rPr>
                                <w:rFonts w:eastAsia="Calibri"/>
                                <w:szCs w:val="22"/>
                                <w:lang w:eastAsia="en-US"/>
                              </w:rPr>
                              <w:t>Les principales opérations culturales</w:t>
                            </w:r>
                            <w:r w:rsidR="005D1BA8">
                              <w:rPr>
                                <w:rFonts w:eastAsia="Calibri"/>
                                <w:szCs w:val="22"/>
                                <w:lang w:eastAsia="en-US"/>
                              </w:rPr>
                              <w:t xml:space="preserve"> en cours sont le sarclage </w:t>
                            </w:r>
                            <w:r w:rsidRPr="0075311C">
                              <w:rPr>
                                <w:rFonts w:eastAsia="Calibri"/>
                                <w:szCs w:val="22"/>
                                <w:lang w:eastAsia="en-US"/>
                              </w:rPr>
                              <w:t>et le buttage. Le t</w:t>
                            </w:r>
                            <w:r w:rsidR="005D1BA8">
                              <w:rPr>
                                <w:rFonts w:eastAsia="Calibri"/>
                                <w:szCs w:val="22"/>
                                <w:lang w:eastAsia="en-US"/>
                              </w:rPr>
                              <w:t xml:space="preserve">aux d’exécution du sarclage </w:t>
                            </w:r>
                            <w:r w:rsidRPr="0075311C">
                              <w:rPr>
                                <w:rFonts w:eastAsia="Calibri"/>
                                <w:szCs w:val="22"/>
                                <w:lang w:eastAsia="en-US"/>
                              </w:rPr>
                              <w:t xml:space="preserve"> est estimé entre 50 et 75% pour toutes les cultures excepté le sésame dont le taux d’exécution est estimé entre 0 et 25%. Le buttage est exécuté  entre 25 et 50% pour les céréales. </w:t>
                            </w:r>
                          </w:p>
                          <w:p w:rsidR="00C44F28" w:rsidRPr="0075311C" w:rsidRDefault="00C44F28" w:rsidP="00A4037E">
                            <w:pPr>
                              <w:pStyle w:val="Corpsdetexte"/>
                              <w:rPr>
                                <w:rFonts w:eastAsia="Calibri"/>
                                <w:szCs w:val="22"/>
                                <w:lang w:eastAsia="en-US"/>
                              </w:rPr>
                            </w:pPr>
                            <w:r w:rsidRPr="0075311C">
                              <w:rPr>
                                <w:rFonts w:eastAsia="Calibri"/>
                                <w:szCs w:val="22"/>
                                <w:lang w:eastAsia="en-US"/>
                              </w:rPr>
                              <w:t xml:space="preserve">La montaison et l’épiaison/floraison sont les principaux stades phénologiques dominants. La montaison est estimée entre 50 et 75% pour le sorgho, le maïs et le riz pluvial, et entre 25 et 50% pour le mil. Le taux d’épiaison/floraison est estimé entre 0 et 25% pour l’arachide, le riz et le maïs. </w:t>
                            </w:r>
                          </w:p>
                          <w:p w:rsidR="00C44F28" w:rsidRPr="0075311C" w:rsidRDefault="00C44F28" w:rsidP="007329D6">
                            <w:pPr>
                              <w:pStyle w:val="Corpsdetexte"/>
                              <w:rPr>
                                <w:rFonts w:eastAsia="Calibri"/>
                                <w:szCs w:val="22"/>
                                <w:lang w:eastAsia="en-US"/>
                              </w:rPr>
                            </w:pPr>
                          </w:p>
                          <w:p w:rsidR="00C44F28" w:rsidRPr="0075311C" w:rsidRDefault="00C44F28" w:rsidP="007329D6">
                            <w:pPr>
                              <w:pStyle w:val="Corpsdetexte"/>
                              <w:rPr>
                                <w:b/>
                              </w:rPr>
                            </w:pPr>
                            <w:r w:rsidRPr="0075311C">
                              <w:rPr>
                                <w:b/>
                              </w:rPr>
                              <w:t xml:space="preserve"> 3.4. REGION AGRICOLE DU CENTRE-EST</w:t>
                            </w:r>
                          </w:p>
                          <w:p w:rsidR="00C44F28" w:rsidRPr="0075311C" w:rsidRDefault="005D1BA8" w:rsidP="00CF3FCC">
                            <w:pPr>
                              <w:pStyle w:val="Corpsdetexte"/>
                            </w:pPr>
                            <w:r>
                              <w:t xml:space="preserve">Le sarclage </w:t>
                            </w:r>
                            <w:r w:rsidR="00C44F28" w:rsidRPr="0075311C">
                              <w:t>et le buttage sont les principales opérations culturales en cours. Le sar</w:t>
                            </w:r>
                            <w:r>
                              <w:t xml:space="preserve">clage </w:t>
                            </w:r>
                            <w:r w:rsidR="00C44F28" w:rsidRPr="0075311C">
                              <w:t xml:space="preserve"> est exécuté entre  75 et 100% pour les céréales et le coton, et entre 50 et 75% pour les légumineuses. Le buttage est exécuté entre 50 et 75% pour le mil, le sorgho et le maïs. </w:t>
                            </w:r>
                          </w:p>
                          <w:p w:rsidR="00C44F28" w:rsidRPr="0075311C" w:rsidRDefault="00C44F28" w:rsidP="00CF3FCC">
                            <w:pPr>
                              <w:pStyle w:val="Corpsdetexte"/>
                            </w:pPr>
                            <w:r w:rsidRPr="0075311C">
                              <w:t xml:space="preserve">Les principaux stades de développement des cultures en cours sont la montaison et l’épiaison/floraison. La montaison est estimée entre 75 et 100% pour le maïs, le sorgho et le mil. On estime entre 25 et 50% le taux de l’épiaison/floraison pour toutes les cultures. </w:t>
                            </w:r>
                          </w:p>
                          <w:p w:rsidR="00C44F28" w:rsidRPr="0075311C" w:rsidRDefault="00C44F28" w:rsidP="00135FA2">
                            <w:pPr>
                              <w:pStyle w:val="Corpsdetexte"/>
                            </w:pPr>
                            <w:r w:rsidRPr="0075311C">
                              <w:t xml:space="preserve"> </w:t>
                            </w:r>
                          </w:p>
                          <w:p w:rsidR="00C44F28" w:rsidRPr="0075311C" w:rsidRDefault="00C44F28" w:rsidP="00C24E85">
                            <w:pPr>
                              <w:pStyle w:val="Corpsdetexte"/>
                              <w:numPr>
                                <w:ilvl w:val="1"/>
                                <w:numId w:val="4"/>
                              </w:numPr>
                              <w:spacing w:line="276" w:lineRule="auto"/>
                              <w:rPr>
                                <w:b/>
                              </w:rPr>
                            </w:pPr>
                            <w:r w:rsidRPr="0075311C">
                              <w:rPr>
                                <w:b/>
                              </w:rPr>
                              <w:t xml:space="preserve"> REGION AGRICOLE DU CENTRE-NORD</w:t>
                            </w:r>
                          </w:p>
                          <w:p w:rsidR="00C44F28" w:rsidRPr="0075311C" w:rsidRDefault="00C44F28" w:rsidP="00A4037E">
                            <w:pPr>
                              <w:jc w:val="both"/>
                            </w:pPr>
                            <w:r w:rsidRPr="0075311C">
                              <w:t>La principale opération cultura</w:t>
                            </w:r>
                            <w:r w:rsidR="00E05CAC">
                              <w:t xml:space="preserve">le en cours est le sarclage </w:t>
                            </w:r>
                            <w:r w:rsidRPr="0075311C">
                              <w:t xml:space="preserve"> qui est exécuté entre 75 et 100% pour la plupart des cultures. Les principaux stades de développement des cultures observés sont la montaison et l’épiaison /floraison. La montaison est estimée entre 50 et 75% pour toutes les cultures. L’épiaison/floraison est estimée entre 25 et 50% pour toutes les cultures. </w:t>
                            </w:r>
                          </w:p>
                          <w:p w:rsidR="00C44F28" w:rsidRPr="0075311C" w:rsidRDefault="00C44F28" w:rsidP="007329D6">
                            <w:pPr>
                              <w:jc w:val="both"/>
                            </w:pPr>
                          </w:p>
                          <w:p w:rsidR="00C44F28" w:rsidRPr="0075311C" w:rsidRDefault="00C44F28" w:rsidP="007329D6">
                            <w:pPr>
                              <w:pStyle w:val="Corpsdetexte"/>
                              <w:numPr>
                                <w:ilvl w:val="1"/>
                                <w:numId w:val="4"/>
                              </w:numPr>
                              <w:rPr>
                                <w:b/>
                              </w:rPr>
                            </w:pPr>
                            <w:r w:rsidRPr="0075311C">
                              <w:rPr>
                                <w:b/>
                              </w:rPr>
                              <w:t xml:space="preserve"> REGION AGRICOLE DU CENTRE-OUEST</w:t>
                            </w:r>
                          </w:p>
                          <w:p w:rsidR="00C44F28" w:rsidRPr="0075311C" w:rsidRDefault="00C44F28" w:rsidP="00A4037E">
                            <w:pPr>
                              <w:jc w:val="both"/>
                            </w:pPr>
                            <w:r w:rsidRPr="0075311C">
                              <w:t xml:space="preserve">Le buttage </w:t>
                            </w:r>
                            <w:r w:rsidR="0062147D">
                              <w:t>est l’opération culturale dominante</w:t>
                            </w:r>
                            <w:r w:rsidRPr="0075311C">
                              <w:t xml:space="preserve">. </w:t>
                            </w:r>
                            <w:r w:rsidR="0062147D">
                              <w:t>Il</w:t>
                            </w:r>
                            <w:r w:rsidRPr="0075311C">
                              <w:t xml:space="preserve"> est exécuté entre 50 et 75% pour</w:t>
                            </w:r>
                            <w:r w:rsidR="0062147D">
                              <w:t xml:space="preserve"> le cotonnier et</w:t>
                            </w:r>
                            <w:r w:rsidRPr="0075311C">
                              <w:t xml:space="preserve"> les céréales excepté le mil où le taux d’exécution est estimé entre 0 et 25%.  </w:t>
                            </w:r>
                          </w:p>
                          <w:p w:rsidR="00C44F28" w:rsidRDefault="0062147D" w:rsidP="00922879">
                            <w:pPr>
                              <w:pStyle w:val="Corpsdetexte"/>
                              <w:spacing w:line="276" w:lineRule="auto"/>
                            </w:pPr>
                            <w:r>
                              <w:t>L’épiaison</w:t>
                            </w:r>
                            <w:r w:rsidR="00C44F28" w:rsidRPr="0075311C">
                              <w:t>/</w:t>
                            </w:r>
                            <w:r>
                              <w:t>floraison</w:t>
                            </w:r>
                            <w:r w:rsidR="00C44F28" w:rsidRPr="0075311C">
                              <w:t xml:space="preserve"> </w:t>
                            </w:r>
                            <w:r>
                              <w:t xml:space="preserve">est le stade de développement dominant. Elle est observée </w:t>
                            </w:r>
                            <w:r w:rsidR="00C44F28" w:rsidRPr="0075311C">
                              <w:t>entre 25 et 50% pour le sorgho et le niébé, 50 et 75% pour le maïs, le coton</w:t>
                            </w:r>
                            <w:r>
                              <w:t>nier</w:t>
                            </w:r>
                            <w:r w:rsidR="00C44F28" w:rsidRPr="0075311C">
                              <w:t xml:space="preserve">, l’arachide et l’igname. </w:t>
                            </w:r>
                            <w:r>
                              <w:t>On note un début de</w:t>
                            </w:r>
                            <w:r w:rsidR="00C44F28" w:rsidRPr="0075311C">
                              <w:t xml:space="preserve"> maturation </w:t>
                            </w:r>
                            <w:r>
                              <w:t>au niveau du maïs et de l’arachide</w:t>
                            </w:r>
                            <w:r w:rsidR="00C44F28" w:rsidRPr="0075311C">
                              <w:t>.</w:t>
                            </w:r>
                            <w:r w:rsidR="00C44F28">
                              <w:t xml:space="preserve"> </w:t>
                            </w:r>
                          </w:p>
                          <w:p w:rsidR="00C44F28" w:rsidRPr="00540C24" w:rsidRDefault="00C44F28" w:rsidP="009228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99C8" id="Text Box 320" o:spid="_x0000_s1040" type="#_x0000_t202" style="position:absolute;left:0;text-align:left;margin-left:-26.25pt;margin-top:21.85pt;width:544.2pt;height:67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HehwIAABsFAAAOAAAAZHJzL2Uyb0RvYy54bWysVF1v2yAUfZ+0/4B4Tx0ndppYdaouTqZJ&#10;3YfU7gcQwDEaBgYkdjftv++CkzRdX6ZpfsDge304594DN7d9K9GBWye0KnF6NcaIK6qZULsSf33c&#10;jOYYOU8UI1IrXuIn7vDt8u2bm84UfKIbLRm3CECUKzpT4sZ7UySJow1vibvShisI1tq2xMPS7hJm&#10;SQforUwm4/Es6bRlxmrKnYOv1RDEy4hf15z6z3XtuEeyxMDNx9HGcRvGZHlDip0lphH0SIP8A4uW&#10;CAWbnqEq4gnaW/EKqhXUaqdrf0V1m+i6FpRHDaAmHf+h5qEhhkctUBxnzmVy/w+Wfjp8sUgw6N0M&#10;I0Va6NEj7z16p3s0ncQCdcYVkPdgINP3EIDkKNaZe02/OaT0qiFqx++s1V3DCQOCaShtcvFraIkr&#10;XADZdh81g43I3usI1Ne2DdWDeiBAh0Y9nZsTyFD4OFuk6TSDEIXYPE/zaR7ZJaQ4/W6s8++5blGY&#10;lNhC9yM8Odw7H+iQ4pQSdlN6I6SMDpAKdSVe5JN8EKalYCEY0pzdbVfSogMJHopP1AaRy7RWeHCy&#10;FC2wOyeRIpRjrVjcxRMhhzkwkSqAgzrgdpwNjvm5GC/W8/U8G2WT2XqUjatqdLdZZaPZJr3Oq2m1&#10;WlXpr8AzzYpGMMZVoHpyb5r9nTuO52jw3dm/LyS9UL6Jz2vlyUsascqg6vSO6qIPQusHE/h+2w+e&#10;ywJe8MVWsydwhtXDCYUbBSaNtj8w6uB0lth93xPLMZIfFLhrkWbBCj4usvwajIrsZWR7GSGKAlSJ&#10;PUbDdOWHK2BvrNg1sNPgZ6XvwJG1iF55ZnX0MZzAKOp4W4QjfrmOWc932vI3AAAA//8DAFBLAwQU&#10;AAYACAAAACEAhOc2AOAAAAAMAQAADwAAAGRycy9kb3ducmV2LnhtbEyPwU7DMAyG70i8Q2QkbltK&#10;s9KtNJ0QgzsrY7umjddWNE7VZFvh6clOcLPlz78/5+vJ9OyMo+ssSXiYR8CQaqs7aiTsPt5mS2DO&#10;K9Kqt4QSvtHBuri9yVWm7YW2eC59w0IIuUxJaL0fMs5d3aJRbm4HpDA72tEoH9qx4XpUlxBueh5H&#10;0SM3qqNwoVUDvrRYf5UnEzTiw05s3ktMU1WJzevP5+q476W8v5uen4B5nPwfDFf9sANFcKrsibRj&#10;vYRZEicBlbAQKbArEIlkBawKlVguUuBFzv8/UfwCAAD//wMAUEsBAi0AFAAGAAgAAAAhALaDOJL+&#10;AAAA4QEAABMAAAAAAAAAAAAAAAAAAAAAAFtDb250ZW50X1R5cGVzXS54bWxQSwECLQAUAAYACAAA&#10;ACEAOP0h/9YAAACUAQAACwAAAAAAAAAAAAAAAAAvAQAAX3JlbHMvLnJlbHNQSwECLQAUAAYACAAA&#10;ACEAUBnB3ocCAAAbBQAADgAAAAAAAAAAAAAAAAAuAgAAZHJzL2Uyb0RvYy54bWxQSwECLQAUAAYA&#10;CAAAACEAhOc2AOAAAAAMAQAADwAAAAAAAAAAAAAAAADhBAAAZHJzL2Rvd25yZXYueG1sUEsFBgAA&#10;AAAEAAQA8wAAAO4FAAAAAA==&#10;" filled="f">
                <v:textbox>
                  <w:txbxContent>
                    <w:p w:rsidR="00C44F28" w:rsidRDefault="00C44F28" w:rsidP="002A5682">
                      <w:pPr>
                        <w:pStyle w:val="Corpsdetexte"/>
                        <w:numPr>
                          <w:ilvl w:val="1"/>
                          <w:numId w:val="2"/>
                        </w:numPr>
                        <w:rPr>
                          <w:b/>
                        </w:rPr>
                      </w:pPr>
                      <w:r w:rsidRPr="00540C24">
                        <w:t xml:space="preserve"> </w:t>
                      </w:r>
                      <w:r w:rsidRPr="00540C24">
                        <w:rPr>
                          <w:b/>
                        </w:rPr>
                        <w:t>REGION AGRICOLE DE LA BOUCLE DU MOUHOUN</w:t>
                      </w:r>
                    </w:p>
                    <w:p w:rsidR="00C44F28" w:rsidRPr="0075311C" w:rsidRDefault="00C44F28" w:rsidP="00601C81">
                      <w:pPr>
                        <w:pStyle w:val="Corpsdetexte"/>
                        <w:rPr>
                          <w:b/>
                        </w:rPr>
                      </w:pPr>
                      <w:r w:rsidRPr="0075311C">
                        <w:rPr>
                          <w:rFonts w:eastAsia="Calibri"/>
                          <w:szCs w:val="22"/>
                          <w:lang w:eastAsia="en-US"/>
                        </w:rPr>
                        <w:t>Les principales opérations culturales en cours sont le sarclage et le buttage. Le taux d’exécution du sarclage est compris entre 50 et 75% pour les légumineuses et entre 75 et 100% pour les céréales et le cotonnier. Le taux d’exécution du buttage est compris entre 50 et 75% pour le maïs, le sorgho et le cotonnier.</w:t>
                      </w:r>
                    </w:p>
                    <w:p w:rsidR="00C44F28" w:rsidRPr="0075311C" w:rsidRDefault="00C44F28" w:rsidP="00601C81">
                      <w:pPr>
                        <w:pStyle w:val="Corpsdetexte"/>
                        <w:rPr>
                          <w:rFonts w:eastAsia="Calibri"/>
                          <w:szCs w:val="22"/>
                          <w:lang w:eastAsia="en-US"/>
                        </w:rPr>
                      </w:pPr>
                      <w:r w:rsidRPr="0075311C">
                        <w:rPr>
                          <w:rFonts w:eastAsia="Calibri"/>
                          <w:szCs w:val="22"/>
                          <w:lang w:eastAsia="en-US"/>
                        </w:rPr>
                        <w:t>La ramification et l’épiaison/floraison sont les stades phénologiques dominants. La ramification est observée entre 50 et 75% pour les légumineuses et entre 75 et 100% pour le cotonnier. L’épiaison/floraison est observée entre 0 et 25% pour le sorgho et le mil et entre 50 et 75% pour le maïs et le fonio. La floraison du cotonnier et de l’arachide est observée à un taux compris entre 50 et 75%.</w:t>
                      </w:r>
                    </w:p>
                    <w:p w:rsidR="00C44F28" w:rsidRPr="0075311C" w:rsidRDefault="00C44F28" w:rsidP="007329D6">
                      <w:pPr>
                        <w:pStyle w:val="Corpsdetexte"/>
                        <w:rPr>
                          <w:rFonts w:eastAsia="Calibri"/>
                          <w:szCs w:val="22"/>
                          <w:lang w:eastAsia="en-US"/>
                        </w:rPr>
                      </w:pPr>
                    </w:p>
                    <w:p w:rsidR="00C44F28" w:rsidRPr="0075311C" w:rsidRDefault="00C44F28" w:rsidP="002A5682">
                      <w:pPr>
                        <w:pStyle w:val="Corpsdetexte"/>
                        <w:numPr>
                          <w:ilvl w:val="1"/>
                          <w:numId w:val="2"/>
                        </w:numPr>
                        <w:rPr>
                          <w:b/>
                        </w:rPr>
                      </w:pPr>
                      <w:r w:rsidRPr="0075311C">
                        <w:rPr>
                          <w:b/>
                        </w:rPr>
                        <w:t xml:space="preserve"> REGION AGRICOLE DES CASCADES</w:t>
                      </w:r>
                    </w:p>
                    <w:p w:rsidR="00C44F28" w:rsidRPr="0075311C" w:rsidRDefault="00C44F28" w:rsidP="00601C81">
                      <w:pPr>
                        <w:pStyle w:val="Corpsdetexte"/>
                        <w:rPr>
                          <w:b/>
                        </w:rPr>
                      </w:pPr>
                      <w:r w:rsidRPr="0075311C">
                        <w:rPr>
                          <w:rFonts w:eastAsia="Calibri"/>
                          <w:szCs w:val="22"/>
                          <w:lang w:eastAsia="en-US"/>
                        </w:rPr>
                        <w:t>Les principales opérations culturales en cours sont le sarclage et le buttage. Le taux d’exécution du sarclage est compris entre 50 et 75% pour la plupart des cultures. Le taux d’exécutio</w:t>
                      </w:r>
                      <w:r w:rsidR="00DE4DD0">
                        <w:rPr>
                          <w:rFonts w:eastAsia="Calibri"/>
                          <w:szCs w:val="22"/>
                          <w:lang w:eastAsia="en-US"/>
                        </w:rPr>
                        <w:t>n du buttage est compris entre 25 et 50</w:t>
                      </w:r>
                      <w:r w:rsidRPr="0075311C">
                        <w:rPr>
                          <w:rFonts w:eastAsia="Calibri"/>
                          <w:szCs w:val="22"/>
                          <w:lang w:eastAsia="en-US"/>
                        </w:rPr>
                        <w:t>% pour les céréales et entre 50 et 75% le cotonnier.</w:t>
                      </w:r>
                    </w:p>
                    <w:p w:rsidR="0062147D" w:rsidRPr="0062147D" w:rsidRDefault="00C44F28" w:rsidP="0062147D">
                      <w:pPr>
                        <w:pStyle w:val="Corpsdetexte"/>
                        <w:rPr>
                          <w:rFonts w:eastAsia="Calibri"/>
                          <w:szCs w:val="22"/>
                          <w:lang w:eastAsia="en-US"/>
                        </w:rPr>
                      </w:pPr>
                      <w:r w:rsidRPr="0075311C">
                        <w:rPr>
                          <w:rFonts w:eastAsia="Calibri"/>
                          <w:szCs w:val="22"/>
                          <w:lang w:eastAsia="en-US"/>
                        </w:rPr>
                        <w:t>La montaison et l’épiaison/floraison sont les stades phénologiques dominants. La montaison est observée entre 75 et 100% pour les céréales. L’épiaison/floraison est observée entre 0 et 25% pour  le sorgho et le mil, et entre 50 et 75% pour le maïs et le fonio. La floraison du cotonnier et du niébé est observée entre 25 et 50%.</w:t>
                      </w:r>
                      <w:r w:rsidR="0062147D" w:rsidRPr="0062147D">
                        <w:t xml:space="preserve"> </w:t>
                      </w:r>
                      <w:r w:rsidR="0062147D">
                        <w:t>U</w:t>
                      </w:r>
                      <w:r w:rsidR="0062147D" w:rsidRPr="0062147D">
                        <w:rPr>
                          <w:rFonts w:eastAsia="Calibri"/>
                          <w:szCs w:val="22"/>
                          <w:lang w:eastAsia="en-US"/>
                        </w:rPr>
                        <w:t>n début de maturation</w:t>
                      </w:r>
                      <w:r w:rsidR="0062147D">
                        <w:rPr>
                          <w:rFonts w:eastAsia="Calibri"/>
                          <w:szCs w:val="22"/>
                          <w:lang w:eastAsia="en-US"/>
                        </w:rPr>
                        <w:t xml:space="preserve"> est observé</w:t>
                      </w:r>
                      <w:r w:rsidR="0062147D" w:rsidRPr="0062147D">
                        <w:rPr>
                          <w:rFonts w:eastAsia="Calibri"/>
                          <w:szCs w:val="22"/>
                          <w:lang w:eastAsia="en-US"/>
                        </w:rPr>
                        <w:t xml:space="preserve"> au niveau du maïs et de l’arachide. </w:t>
                      </w:r>
                    </w:p>
                    <w:p w:rsidR="00C44F28" w:rsidRPr="0075311C" w:rsidRDefault="00C44F28" w:rsidP="007329D6">
                      <w:pPr>
                        <w:pStyle w:val="Corpsdetexte"/>
                        <w:rPr>
                          <w:rFonts w:eastAsia="Calibri"/>
                          <w:szCs w:val="22"/>
                          <w:lang w:eastAsia="en-US"/>
                        </w:rPr>
                      </w:pPr>
                    </w:p>
                    <w:p w:rsidR="00C44F28" w:rsidRPr="0075311C" w:rsidRDefault="00C44F28" w:rsidP="007329D6">
                      <w:pPr>
                        <w:pStyle w:val="Corpsdetexte"/>
                        <w:numPr>
                          <w:ilvl w:val="1"/>
                          <w:numId w:val="2"/>
                        </w:numPr>
                        <w:rPr>
                          <w:b/>
                        </w:rPr>
                      </w:pPr>
                      <w:r w:rsidRPr="0075311C">
                        <w:rPr>
                          <w:b/>
                        </w:rPr>
                        <w:t xml:space="preserve"> REGION AGRICOLE DU CENTRE</w:t>
                      </w:r>
                    </w:p>
                    <w:p w:rsidR="00C44F28" w:rsidRPr="0075311C" w:rsidRDefault="00C44F28" w:rsidP="00A4037E">
                      <w:pPr>
                        <w:pStyle w:val="Corpsdetexte"/>
                        <w:rPr>
                          <w:rFonts w:eastAsia="Calibri"/>
                          <w:szCs w:val="22"/>
                          <w:lang w:eastAsia="en-US"/>
                        </w:rPr>
                      </w:pPr>
                      <w:r w:rsidRPr="0075311C">
                        <w:rPr>
                          <w:rFonts w:eastAsia="Calibri"/>
                          <w:szCs w:val="22"/>
                          <w:lang w:eastAsia="en-US"/>
                        </w:rPr>
                        <w:t>Les principales opérations culturales</w:t>
                      </w:r>
                      <w:r w:rsidR="005D1BA8">
                        <w:rPr>
                          <w:rFonts w:eastAsia="Calibri"/>
                          <w:szCs w:val="22"/>
                          <w:lang w:eastAsia="en-US"/>
                        </w:rPr>
                        <w:t xml:space="preserve"> en cours sont le sarclage </w:t>
                      </w:r>
                      <w:r w:rsidRPr="0075311C">
                        <w:rPr>
                          <w:rFonts w:eastAsia="Calibri"/>
                          <w:szCs w:val="22"/>
                          <w:lang w:eastAsia="en-US"/>
                        </w:rPr>
                        <w:t>et le buttage. Le t</w:t>
                      </w:r>
                      <w:r w:rsidR="005D1BA8">
                        <w:rPr>
                          <w:rFonts w:eastAsia="Calibri"/>
                          <w:szCs w:val="22"/>
                          <w:lang w:eastAsia="en-US"/>
                        </w:rPr>
                        <w:t xml:space="preserve">aux d’exécution du sarclage </w:t>
                      </w:r>
                      <w:r w:rsidRPr="0075311C">
                        <w:rPr>
                          <w:rFonts w:eastAsia="Calibri"/>
                          <w:szCs w:val="22"/>
                          <w:lang w:eastAsia="en-US"/>
                        </w:rPr>
                        <w:t xml:space="preserve"> est estimé entre 50 et 75% pour toutes les cultures excepté le sésame dont le taux d’exécution est estimé entre 0 et 25%. Le buttage est exécuté  entre 25 et 50% pour les céréales. </w:t>
                      </w:r>
                    </w:p>
                    <w:p w:rsidR="00C44F28" w:rsidRPr="0075311C" w:rsidRDefault="00C44F28" w:rsidP="00A4037E">
                      <w:pPr>
                        <w:pStyle w:val="Corpsdetexte"/>
                        <w:rPr>
                          <w:rFonts w:eastAsia="Calibri"/>
                          <w:szCs w:val="22"/>
                          <w:lang w:eastAsia="en-US"/>
                        </w:rPr>
                      </w:pPr>
                      <w:r w:rsidRPr="0075311C">
                        <w:rPr>
                          <w:rFonts w:eastAsia="Calibri"/>
                          <w:szCs w:val="22"/>
                          <w:lang w:eastAsia="en-US"/>
                        </w:rPr>
                        <w:t xml:space="preserve">La montaison et l’épiaison/floraison sont les principaux stades phénologiques dominants. La montaison est estimée entre 50 et 75% pour le sorgho, le maïs et le riz pluvial, et entre 25 et 50% pour le mil. Le taux d’épiaison/floraison est estimé entre 0 et 25% pour l’arachide, le riz et le maïs. </w:t>
                      </w:r>
                    </w:p>
                    <w:p w:rsidR="00C44F28" w:rsidRPr="0075311C" w:rsidRDefault="00C44F28" w:rsidP="007329D6">
                      <w:pPr>
                        <w:pStyle w:val="Corpsdetexte"/>
                        <w:rPr>
                          <w:rFonts w:eastAsia="Calibri"/>
                          <w:szCs w:val="22"/>
                          <w:lang w:eastAsia="en-US"/>
                        </w:rPr>
                      </w:pPr>
                    </w:p>
                    <w:p w:rsidR="00C44F28" w:rsidRPr="0075311C" w:rsidRDefault="00C44F28" w:rsidP="007329D6">
                      <w:pPr>
                        <w:pStyle w:val="Corpsdetexte"/>
                        <w:rPr>
                          <w:b/>
                        </w:rPr>
                      </w:pPr>
                      <w:r w:rsidRPr="0075311C">
                        <w:rPr>
                          <w:b/>
                        </w:rPr>
                        <w:t xml:space="preserve"> 3.4. REGION AGRICOLE DU CENTRE-EST</w:t>
                      </w:r>
                    </w:p>
                    <w:p w:rsidR="00C44F28" w:rsidRPr="0075311C" w:rsidRDefault="005D1BA8" w:rsidP="00CF3FCC">
                      <w:pPr>
                        <w:pStyle w:val="Corpsdetexte"/>
                      </w:pPr>
                      <w:r>
                        <w:t xml:space="preserve">Le sarclage </w:t>
                      </w:r>
                      <w:r w:rsidR="00C44F28" w:rsidRPr="0075311C">
                        <w:t>et le buttage sont les principales opérations culturales en cours. Le sar</w:t>
                      </w:r>
                      <w:r>
                        <w:t xml:space="preserve">clage </w:t>
                      </w:r>
                      <w:r w:rsidR="00C44F28" w:rsidRPr="0075311C">
                        <w:t xml:space="preserve"> est exécuté entre  75 et 100% pour les céréales et le coton, et entre 50 et 75% pour les légumineuses. Le buttage est exécuté entre 50 et 75% pour le mil, le sorgho et le maïs. </w:t>
                      </w:r>
                    </w:p>
                    <w:p w:rsidR="00C44F28" w:rsidRPr="0075311C" w:rsidRDefault="00C44F28" w:rsidP="00CF3FCC">
                      <w:pPr>
                        <w:pStyle w:val="Corpsdetexte"/>
                      </w:pPr>
                      <w:r w:rsidRPr="0075311C">
                        <w:t xml:space="preserve">Les principaux stades de développement des cultures en cours sont la montaison et l’épiaison/floraison. La montaison est estimée entre 75 et 100% pour le maïs, le sorgho et le mil. On estime entre 25 et 50% le taux de l’épiaison/floraison pour toutes les cultures. </w:t>
                      </w:r>
                    </w:p>
                    <w:p w:rsidR="00C44F28" w:rsidRPr="0075311C" w:rsidRDefault="00C44F28" w:rsidP="00135FA2">
                      <w:pPr>
                        <w:pStyle w:val="Corpsdetexte"/>
                      </w:pPr>
                      <w:r w:rsidRPr="0075311C">
                        <w:t xml:space="preserve"> </w:t>
                      </w:r>
                    </w:p>
                    <w:p w:rsidR="00C44F28" w:rsidRPr="0075311C" w:rsidRDefault="00C44F28" w:rsidP="00C24E85">
                      <w:pPr>
                        <w:pStyle w:val="Corpsdetexte"/>
                        <w:numPr>
                          <w:ilvl w:val="1"/>
                          <w:numId w:val="4"/>
                        </w:numPr>
                        <w:spacing w:line="276" w:lineRule="auto"/>
                        <w:rPr>
                          <w:b/>
                        </w:rPr>
                      </w:pPr>
                      <w:r w:rsidRPr="0075311C">
                        <w:rPr>
                          <w:b/>
                        </w:rPr>
                        <w:t xml:space="preserve"> REGION AGRICOLE DU CENTRE-NORD</w:t>
                      </w:r>
                    </w:p>
                    <w:p w:rsidR="00C44F28" w:rsidRPr="0075311C" w:rsidRDefault="00C44F28" w:rsidP="00A4037E">
                      <w:pPr>
                        <w:jc w:val="both"/>
                      </w:pPr>
                      <w:r w:rsidRPr="0075311C">
                        <w:t>La principale opération cultura</w:t>
                      </w:r>
                      <w:r w:rsidR="00E05CAC">
                        <w:t xml:space="preserve">le en cours est le sarclage </w:t>
                      </w:r>
                      <w:r w:rsidRPr="0075311C">
                        <w:t xml:space="preserve"> qui est exécuté entre 75 et 100% pour la plupart des cultures. Les principaux stades de développement des cultures observés sont la montaison et l’épiaison /floraison. La montaison est estimée entre 50 et 75% pour toutes les cultures. L’épiaison/floraison est estimée entre 25 et 50% pour toutes les cultures. </w:t>
                      </w:r>
                    </w:p>
                    <w:p w:rsidR="00C44F28" w:rsidRPr="0075311C" w:rsidRDefault="00C44F28" w:rsidP="007329D6">
                      <w:pPr>
                        <w:jc w:val="both"/>
                      </w:pPr>
                    </w:p>
                    <w:p w:rsidR="00C44F28" w:rsidRPr="0075311C" w:rsidRDefault="00C44F28" w:rsidP="007329D6">
                      <w:pPr>
                        <w:pStyle w:val="Corpsdetexte"/>
                        <w:numPr>
                          <w:ilvl w:val="1"/>
                          <w:numId w:val="4"/>
                        </w:numPr>
                        <w:rPr>
                          <w:b/>
                        </w:rPr>
                      </w:pPr>
                      <w:r w:rsidRPr="0075311C">
                        <w:rPr>
                          <w:b/>
                        </w:rPr>
                        <w:t xml:space="preserve"> REGION AGRICOLE DU CENTRE-OUEST</w:t>
                      </w:r>
                    </w:p>
                    <w:p w:rsidR="00C44F28" w:rsidRPr="0075311C" w:rsidRDefault="00C44F28" w:rsidP="00A4037E">
                      <w:pPr>
                        <w:jc w:val="both"/>
                      </w:pPr>
                      <w:r w:rsidRPr="0075311C">
                        <w:t xml:space="preserve">Le buttage </w:t>
                      </w:r>
                      <w:r w:rsidR="0062147D">
                        <w:t>est l’opération culturale dominante</w:t>
                      </w:r>
                      <w:r w:rsidRPr="0075311C">
                        <w:t xml:space="preserve">. </w:t>
                      </w:r>
                      <w:r w:rsidR="0062147D">
                        <w:t>Il</w:t>
                      </w:r>
                      <w:r w:rsidRPr="0075311C">
                        <w:t xml:space="preserve"> est exécuté entre 50 et 75% pour</w:t>
                      </w:r>
                      <w:r w:rsidR="0062147D">
                        <w:t xml:space="preserve"> le cotonnier et</w:t>
                      </w:r>
                      <w:r w:rsidRPr="0075311C">
                        <w:t xml:space="preserve"> les céréales excepté le mil où le taux d’exécution est estimé entre 0 et 25%.  </w:t>
                      </w:r>
                    </w:p>
                    <w:p w:rsidR="00C44F28" w:rsidRDefault="0062147D" w:rsidP="00922879">
                      <w:pPr>
                        <w:pStyle w:val="Corpsdetexte"/>
                        <w:spacing w:line="276" w:lineRule="auto"/>
                      </w:pPr>
                      <w:r>
                        <w:t>L’épiaison</w:t>
                      </w:r>
                      <w:r w:rsidR="00C44F28" w:rsidRPr="0075311C">
                        <w:t>/</w:t>
                      </w:r>
                      <w:r>
                        <w:t>floraison</w:t>
                      </w:r>
                      <w:r w:rsidR="00C44F28" w:rsidRPr="0075311C">
                        <w:t xml:space="preserve"> </w:t>
                      </w:r>
                      <w:r>
                        <w:t xml:space="preserve">est le stade de développement dominant. Elle est observée </w:t>
                      </w:r>
                      <w:r w:rsidR="00C44F28" w:rsidRPr="0075311C">
                        <w:t>entre 25 et 50% pour le sorgho et le niébé, 50 et 75% pour le maïs, le coton</w:t>
                      </w:r>
                      <w:r>
                        <w:t>nier</w:t>
                      </w:r>
                      <w:r w:rsidR="00C44F28" w:rsidRPr="0075311C">
                        <w:t xml:space="preserve">, l’arachide et l’igname. </w:t>
                      </w:r>
                      <w:r>
                        <w:t>On note un début de</w:t>
                      </w:r>
                      <w:r w:rsidR="00C44F28" w:rsidRPr="0075311C">
                        <w:t xml:space="preserve"> maturation </w:t>
                      </w:r>
                      <w:r>
                        <w:t>au niveau du maïs et de l’arachide</w:t>
                      </w:r>
                      <w:r w:rsidR="00C44F28" w:rsidRPr="0075311C">
                        <w:t>.</w:t>
                      </w:r>
                      <w:r w:rsidR="00C44F28">
                        <w:t xml:space="preserve"> </w:t>
                      </w:r>
                    </w:p>
                    <w:p w:rsidR="00C44F28" w:rsidRPr="00540C24" w:rsidRDefault="00C44F28" w:rsidP="00922879">
                      <w:pPr>
                        <w:jc w:val="both"/>
                      </w:pPr>
                    </w:p>
                  </w:txbxContent>
                </v:textbox>
                <w10:wrap anchorx="margin"/>
              </v:shape>
            </w:pict>
          </mc:Fallback>
        </mc:AlternateContent>
      </w:r>
      <w:r w:rsidRPr="001F484D">
        <w:rPr>
          <w:b/>
          <w:sz w:val="28"/>
          <w:szCs w:val="28"/>
        </w:rPr>
        <w:t>Physionomie de la campagne agricole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6E35D3" w:rsidRPr="00304E9F" w:rsidRDefault="006E35D3" w:rsidP="006E35D3"/>
    <w:p w:rsidR="006E35D3" w:rsidRDefault="006E35D3" w:rsidP="006E35D3"/>
    <w:p w:rsidR="006E35D3" w:rsidRDefault="006E35D3" w:rsidP="006E35D3"/>
    <w:p w:rsidR="006E35D3" w:rsidRDefault="006E35D3" w:rsidP="006E35D3"/>
    <w:p w:rsidR="006E35D3" w:rsidRDefault="006E35D3" w:rsidP="006E35D3"/>
    <w:p w:rsidR="006E35D3" w:rsidRDefault="006E35D3" w:rsidP="006E35D3">
      <w:pPr>
        <w:ind w:left="435"/>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p>
    <w:p w:rsidR="006E35D3" w:rsidRDefault="006E35D3" w:rsidP="006E35D3">
      <w:pPr>
        <w:rPr>
          <w:sz w:val="28"/>
          <w:szCs w:val="28"/>
        </w:rPr>
      </w:pPr>
      <w:r>
        <w:rPr>
          <w:sz w:val="28"/>
          <w:szCs w:val="28"/>
        </w:rPr>
        <w:br w:type="page"/>
      </w:r>
    </w:p>
    <w:p w:rsidR="006E35D3" w:rsidRPr="003C648E" w:rsidRDefault="006E35D3" w:rsidP="006E35D3">
      <w:pPr>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14:anchorId="488AC7A4" wp14:editId="0F19BF77">
                <wp:simplePos x="0" y="0"/>
                <wp:positionH relativeFrom="column">
                  <wp:posOffset>-314325</wp:posOffset>
                </wp:positionH>
                <wp:positionV relativeFrom="paragraph">
                  <wp:posOffset>-427355</wp:posOffset>
                </wp:positionV>
                <wp:extent cx="6896100" cy="9220200"/>
                <wp:effectExtent l="0" t="0" r="19050" b="1905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22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4F28" w:rsidRPr="0075311C" w:rsidRDefault="00C44F28" w:rsidP="00B338B8">
                            <w:pPr>
                              <w:pStyle w:val="Corpsdetexte"/>
                              <w:numPr>
                                <w:ilvl w:val="1"/>
                                <w:numId w:val="4"/>
                              </w:numPr>
                              <w:rPr>
                                <w:b/>
                              </w:rPr>
                            </w:pPr>
                            <w:r>
                              <w:rPr>
                                <w:b/>
                              </w:rPr>
                              <w:t xml:space="preserve"> </w:t>
                            </w:r>
                            <w:r w:rsidRPr="0075311C">
                              <w:rPr>
                                <w:b/>
                              </w:rPr>
                              <w:t>REGION AGRICOLE DU CENTRE-SUD</w:t>
                            </w:r>
                          </w:p>
                          <w:p w:rsidR="00C44F28" w:rsidRPr="0075311C" w:rsidRDefault="00C44F28" w:rsidP="008541B4">
                            <w:pPr>
                              <w:pStyle w:val="Corpsdetexte"/>
                              <w:rPr>
                                <w:b/>
                              </w:rPr>
                            </w:pPr>
                            <w:r w:rsidRPr="0075311C">
                              <w:t>Le sarclage des légumineuses et le buttage sont les opérations culturales en cours. Le niveau de réalisation de ces opérations est estimé entre 50 et 75% pour le sarclage des légumineuses et le buttage des cultures céréalières. Les stades phénologiques dominants au niveau du sorgho, du maïs et du mil sont  la montaison et le tallage de l’ordre de 75 à 100%. L’apparition des inflorescences et la formation des fleurs (épiaison/floraison) concernent principalement le sorgho (0 à 25% des spéculations) et le maïs (50 à 75%). La majeure partie des semis précoces de maïs et d’arachide sont au stade maturité.</w:t>
                            </w:r>
                          </w:p>
                          <w:p w:rsidR="00C44F28" w:rsidRPr="0075311C" w:rsidRDefault="00C44F28" w:rsidP="00CF46CF">
                            <w:pPr>
                              <w:pStyle w:val="Corpsdetexte"/>
                              <w:ind w:left="360"/>
                              <w:rPr>
                                <w:b/>
                              </w:rPr>
                            </w:pPr>
                          </w:p>
                          <w:p w:rsidR="00C44F28" w:rsidRPr="0075311C" w:rsidRDefault="00C44F28" w:rsidP="00CF46CF">
                            <w:pPr>
                              <w:pStyle w:val="Corpsdetexte"/>
                              <w:numPr>
                                <w:ilvl w:val="1"/>
                                <w:numId w:val="5"/>
                              </w:numPr>
                              <w:rPr>
                                <w:b/>
                              </w:rPr>
                            </w:pPr>
                            <w:r w:rsidRPr="0075311C">
                              <w:rPr>
                                <w:b/>
                              </w:rPr>
                              <w:t xml:space="preserve"> REGION AGRICOLE DE L’EST</w:t>
                            </w:r>
                          </w:p>
                          <w:p w:rsidR="00C44F28" w:rsidRPr="0075311C" w:rsidRDefault="00C44F28" w:rsidP="00CF3FCC">
                            <w:pPr>
                              <w:pStyle w:val="Corpsdetexte"/>
                              <w:spacing w:line="276" w:lineRule="auto"/>
                            </w:pPr>
                            <w:r w:rsidRPr="0075311C">
                              <w:t xml:space="preserve">Les principales opérations culturales sont le sarclage et le buttage. Le sarclage est exécuté entre 25 et 50% pour les légumineuses et 75 et 100% pour les autres cultures. Le buttage est exécuté entre 25 et 50% pour toutes les cultures concernées.  On note un début de récolte du maïs et de l’arachide estimé entre 0 et 25%. </w:t>
                            </w:r>
                          </w:p>
                          <w:p w:rsidR="00C44F28" w:rsidRPr="0075311C" w:rsidRDefault="00C44F28" w:rsidP="00CF3FCC">
                            <w:pPr>
                              <w:pStyle w:val="Corpsdetexte"/>
                              <w:spacing w:line="276" w:lineRule="auto"/>
                            </w:pPr>
                            <w:r w:rsidRPr="0075311C">
                              <w:t>L’épiaison/floraison et la maturation constituent les principaux stades phénologiques des cultures. L’épiaison/floraison est estimée entre 25 et 50% pour le mil, le riz, le niébé et entre 50 et 75% pour le maïs, le sorgho</w:t>
                            </w:r>
                            <w:r w:rsidR="00F1060A">
                              <w:t xml:space="preserve"> et l’arachide.</w:t>
                            </w:r>
                            <w:r w:rsidRPr="0075311C">
                              <w:t xml:space="preserve"> La maturation est constatée pour le maïs, le mil hâtif et l’arachide à un taux estimé entre 0 et 25%.   </w:t>
                            </w:r>
                          </w:p>
                          <w:p w:rsidR="00C44F28" w:rsidRPr="0075311C" w:rsidRDefault="00C44F28" w:rsidP="00CF3FCC">
                            <w:pPr>
                              <w:pStyle w:val="Corpsdetexte"/>
                              <w:spacing w:line="276" w:lineRule="auto"/>
                            </w:pPr>
                          </w:p>
                          <w:p w:rsidR="00C44F28" w:rsidRPr="0075311C" w:rsidRDefault="00C44F28" w:rsidP="005677F4">
                            <w:pPr>
                              <w:pStyle w:val="Corpsdetexte"/>
                              <w:numPr>
                                <w:ilvl w:val="1"/>
                                <w:numId w:val="5"/>
                              </w:numPr>
                              <w:spacing w:line="276" w:lineRule="auto"/>
                              <w:rPr>
                                <w:b/>
                              </w:rPr>
                            </w:pPr>
                            <w:r w:rsidRPr="0075311C">
                              <w:rPr>
                                <w:b/>
                              </w:rPr>
                              <w:t xml:space="preserve"> REGION AGRICOLE DES HAUTS-BASSINS</w:t>
                            </w:r>
                          </w:p>
                          <w:p w:rsidR="00C44F28" w:rsidRPr="0075311C" w:rsidRDefault="001B7B35" w:rsidP="00922879">
                            <w:pPr>
                              <w:pStyle w:val="Corpsdetexte"/>
                            </w:pPr>
                            <w:r>
                              <w:t>Les</w:t>
                            </w:r>
                            <w:r w:rsidR="00F1060A">
                              <w:t xml:space="preserve"> principale</w:t>
                            </w:r>
                            <w:r>
                              <w:t>s</w:t>
                            </w:r>
                            <w:r w:rsidR="00F1060A">
                              <w:t xml:space="preserve"> opération</w:t>
                            </w:r>
                            <w:r>
                              <w:t>s</w:t>
                            </w:r>
                            <w:r w:rsidR="00F1060A">
                              <w:t xml:space="preserve"> culturale</w:t>
                            </w:r>
                            <w:r>
                              <w:t>s</w:t>
                            </w:r>
                            <w:r w:rsidR="00C44F28" w:rsidRPr="0075311C">
                              <w:t xml:space="preserve"> en cours </w:t>
                            </w:r>
                            <w:r>
                              <w:t>son</w:t>
                            </w:r>
                            <w:r w:rsidR="00F1060A">
                              <w:t>t</w:t>
                            </w:r>
                            <w:r>
                              <w:t xml:space="preserve"> le sarclage des légumineuses</w:t>
                            </w:r>
                            <w:r w:rsidR="00C44F28" w:rsidRPr="0075311C">
                              <w:t xml:space="preserve"> </w:t>
                            </w:r>
                            <w:r>
                              <w:t xml:space="preserve">et </w:t>
                            </w:r>
                            <w:r w:rsidR="00F1060A">
                              <w:t>le buttage</w:t>
                            </w:r>
                            <w:r w:rsidR="00C44F28" w:rsidRPr="0075311C">
                              <w:t xml:space="preserve">. </w:t>
                            </w:r>
                            <w:r>
                              <w:t xml:space="preserve">Le taux d’exécution du sarclage est compris entre 50 et 75%. </w:t>
                            </w:r>
                            <w:r w:rsidR="00C44F28" w:rsidRPr="0075311C">
                              <w:t>Le taux d’exécution</w:t>
                            </w:r>
                            <w:r>
                              <w:t xml:space="preserve"> du buttage</w:t>
                            </w:r>
                            <w:r w:rsidR="00C44F28" w:rsidRPr="0075311C">
                              <w:t xml:space="preserve"> varie entre 50 et 75% pour les céréales et le coton</w:t>
                            </w:r>
                            <w:r>
                              <w:t>nier.</w:t>
                            </w:r>
                          </w:p>
                          <w:p w:rsidR="00C44F28" w:rsidRPr="0075311C" w:rsidRDefault="00C44F28" w:rsidP="00922879">
                            <w:pPr>
                              <w:pStyle w:val="Corpsdetexte"/>
                            </w:pPr>
                            <w:r w:rsidRPr="0075311C">
                              <w:t>Les stades phénologiques dominants sont l’épiaison/floraison</w:t>
                            </w:r>
                            <w:r w:rsidR="00051339">
                              <w:t xml:space="preserve"> et la maturation</w:t>
                            </w:r>
                            <w:r w:rsidRPr="0075311C">
                              <w:t xml:space="preserve">. L’épiaison/floraison est estimée entre 0 et 25% pour le sorgho, le mil, le riz et le sésame. Elle varie entre 75 et 100% pour le maïs et l’arachide. Le taux de la maturation est estimé entre 25 et 50% pour le maïs et l’arachide. </w:t>
                            </w:r>
                          </w:p>
                          <w:p w:rsidR="00C44F28" w:rsidRPr="0075311C" w:rsidRDefault="00C44F28" w:rsidP="00B26F85">
                            <w:pPr>
                              <w:pStyle w:val="Corpsdetexte"/>
                              <w:spacing w:line="276" w:lineRule="auto"/>
                            </w:pPr>
                          </w:p>
                          <w:p w:rsidR="00C44F28" w:rsidRPr="0075311C" w:rsidRDefault="00C44F28" w:rsidP="007329D6">
                            <w:pPr>
                              <w:pStyle w:val="Corpsdetexte"/>
                              <w:numPr>
                                <w:ilvl w:val="1"/>
                                <w:numId w:val="5"/>
                              </w:numPr>
                              <w:rPr>
                                <w:rFonts w:cs="Courier New"/>
                                <w:b/>
                              </w:rPr>
                            </w:pPr>
                            <w:r w:rsidRPr="0075311C">
                              <w:rPr>
                                <w:b/>
                              </w:rPr>
                              <w:t xml:space="preserve">REGION AGRICOLE DU </w:t>
                            </w:r>
                            <w:r w:rsidRPr="0075311C">
                              <w:rPr>
                                <w:rFonts w:cs="Courier New"/>
                                <w:b/>
                              </w:rPr>
                              <w:t>NORD</w:t>
                            </w:r>
                          </w:p>
                          <w:p w:rsidR="00051339" w:rsidRDefault="00C44F28" w:rsidP="00CF3FCC">
                            <w:pPr>
                              <w:pStyle w:val="Corpsdetexte"/>
                              <w:tabs>
                                <w:tab w:val="left" w:pos="851"/>
                              </w:tabs>
                            </w:pPr>
                            <w:r w:rsidRPr="0075311C">
                              <w:t xml:space="preserve">Les principales opérations culturales observées sont le sarclage et le buttage. Le sarclage </w:t>
                            </w:r>
                            <w:r w:rsidR="00051339">
                              <w:t>est exécuté entre 75 et</w:t>
                            </w:r>
                            <w:r w:rsidRPr="0075311C">
                              <w:t xml:space="preserve">100% et le buttage est à un taux compris entre 25 et 50% </w:t>
                            </w:r>
                            <w:r w:rsidR="00051339">
                              <w:t>pour</w:t>
                            </w:r>
                            <w:r w:rsidRPr="0075311C">
                              <w:t xml:space="preserve"> le sorgho et 50 et 75% </w:t>
                            </w:r>
                            <w:r w:rsidR="00051339">
                              <w:t xml:space="preserve">pour le maïs. </w:t>
                            </w:r>
                          </w:p>
                          <w:p w:rsidR="00C44F28" w:rsidRPr="0075311C" w:rsidRDefault="00051339" w:rsidP="00CF3FCC">
                            <w:pPr>
                              <w:pStyle w:val="Corpsdetexte"/>
                              <w:tabs>
                                <w:tab w:val="left" w:pos="851"/>
                              </w:tabs>
                            </w:pPr>
                            <w:r>
                              <w:t>L</w:t>
                            </w:r>
                            <w:r w:rsidR="00C44F28" w:rsidRPr="0075311C">
                              <w:t xml:space="preserve">a montaison et la floraison sont les principaux stades de développement des cultures. La montaison est observée </w:t>
                            </w:r>
                            <w:r>
                              <w:t>pour le sorgho, le mil et le riz</w:t>
                            </w:r>
                            <w:r w:rsidR="00C44F28" w:rsidRPr="0075311C">
                              <w:t xml:space="preserve"> à niveau compris entre 75 et 100% et</w:t>
                            </w:r>
                            <w:r>
                              <w:t xml:space="preserve"> entre </w:t>
                            </w:r>
                            <w:r w:rsidR="00C44F28" w:rsidRPr="0075311C">
                              <w:t xml:space="preserve">50 et 75% </w:t>
                            </w:r>
                            <w:r>
                              <w:t>pour</w:t>
                            </w:r>
                            <w:r w:rsidR="00C44F28" w:rsidRPr="0075311C">
                              <w:t xml:space="preserve"> le maïs. La floraison est</w:t>
                            </w:r>
                            <w:r>
                              <w:t xml:space="preserve"> observée</w:t>
                            </w:r>
                            <w:r w:rsidR="00C44F28" w:rsidRPr="0075311C">
                              <w:t xml:space="preserve"> </w:t>
                            </w:r>
                            <w:r>
                              <w:t>pour</w:t>
                            </w:r>
                            <w:r w:rsidR="00C44F28" w:rsidRPr="0075311C">
                              <w:t xml:space="preserve"> le maïs, le niébé et le sésame à taux compris entre 50 et 75% et </w:t>
                            </w:r>
                            <w:r>
                              <w:t xml:space="preserve">entre </w:t>
                            </w:r>
                            <w:r w:rsidR="00C44F28" w:rsidRPr="0075311C">
                              <w:t xml:space="preserve">75 et 100% </w:t>
                            </w:r>
                            <w:r>
                              <w:t>pour</w:t>
                            </w:r>
                            <w:r w:rsidR="00C44F28" w:rsidRPr="0075311C">
                              <w:t xml:space="preserve"> l’arachide.</w:t>
                            </w:r>
                          </w:p>
                          <w:p w:rsidR="00C44F28" w:rsidRPr="0075311C" w:rsidRDefault="00C44F28" w:rsidP="00CF3FCC">
                            <w:pPr>
                              <w:pStyle w:val="Corpsdetexte"/>
                              <w:tabs>
                                <w:tab w:val="left" w:pos="851"/>
                              </w:tabs>
                            </w:pPr>
                          </w:p>
                          <w:p w:rsidR="00C44F28" w:rsidRPr="0075311C" w:rsidRDefault="00C44F28" w:rsidP="00CF3FCC">
                            <w:pPr>
                              <w:pStyle w:val="Corpsdetexte"/>
                              <w:tabs>
                                <w:tab w:val="left" w:pos="851"/>
                              </w:tabs>
                            </w:pPr>
                          </w:p>
                          <w:p w:rsidR="00C44F28" w:rsidRPr="0075311C" w:rsidRDefault="00C44F28" w:rsidP="007329D6">
                            <w:pPr>
                              <w:pStyle w:val="Corpsdetexte"/>
                              <w:numPr>
                                <w:ilvl w:val="1"/>
                                <w:numId w:val="5"/>
                              </w:numPr>
                              <w:tabs>
                                <w:tab w:val="left" w:pos="851"/>
                              </w:tabs>
                              <w:rPr>
                                <w:rFonts w:cs="Courier New"/>
                                <w:b/>
                              </w:rPr>
                            </w:pPr>
                            <w:r w:rsidRPr="0075311C">
                              <w:rPr>
                                <w:rFonts w:cs="Courier New"/>
                                <w:b/>
                              </w:rPr>
                              <w:t>REGION AGRICOLE DU PLATEAU CENTRAL</w:t>
                            </w:r>
                          </w:p>
                          <w:p w:rsidR="00C44F28" w:rsidRPr="0075311C" w:rsidRDefault="00C44F28" w:rsidP="007329D6">
                            <w:pPr>
                              <w:pStyle w:val="Corpsdetexte"/>
                              <w:tabs>
                                <w:tab w:val="left" w:pos="709"/>
                                <w:tab w:val="left" w:pos="851"/>
                              </w:tabs>
                            </w:pPr>
                            <w:r w:rsidRPr="0075311C">
                              <w:t xml:space="preserve">La poursuite </w:t>
                            </w:r>
                            <w:r w:rsidR="000356D5">
                              <w:t>du sarcl</w:t>
                            </w:r>
                            <w:r w:rsidRPr="0075311C">
                              <w:t>age et le buttage constituent les principales opérations culturales en cours. Le sarcl</w:t>
                            </w:r>
                            <w:r w:rsidR="000356D5">
                              <w:t>age</w:t>
                            </w:r>
                            <w:r w:rsidRPr="0075311C">
                              <w:t xml:space="preserve"> est exécuté entre 50 et 75% pour toutes les cultures. Le taux d’exécution du buttage varie entre 25 et 50% pour le sésame, le coton</w:t>
                            </w:r>
                            <w:r w:rsidR="000356D5">
                              <w:t>nier</w:t>
                            </w:r>
                            <w:r w:rsidRPr="0075311C">
                              <w:t>, le mil et le sorgho, et entre 50 et 75% pour le maïs. L’épiaison/floraison est le principal stade de développement des cultures. Elle est estimée entre 0 et 25% pour les légumineuses, le sorg</w:t>
                            </w:r>
                            <w:r w:rsidR="000356D5">
                              <w:t>ho et le mil, et entre 50 et 75%</w:t>
                            </w:r>
                            <w:r w:rsidRPr="0075311C">
                              <w:t xml:space="preserve"> pour le maïs. </w:t>
                            </w:r>
                            <w:r w:rsidR="000356D5">
                              <w:t>O</w:t>
                            </w:r>
                            <w:r w:rsidRPr="0075311C">
                              <w:t xml:space="preserve">n observe un début de maturation du maïs entre 0 et 25%. </w:t>
                            </w:r>
                          </w:p>
                          <w:p w:rsidR="00C44F28" w:rsidRPr="0075311C" w:rsidRDefault="00C44F28" w:rsidP="007329D6">
                            <w:pPr>
                              <w:pStyle w:val="Corpsdetexte"/>
                              <w:tabs>
                                <w:tab w:val="left" w:pos="709"/>
                                <w:tab w:val="left" w:pos="851"/>
                              </w:tabs>
                            </w:pPr>
                          </w:p>
                          <w:p w:rsidR="00C44F28" w:rsidRPr="0075311C" w:rsidRDefault="00C44F28" w:rsidP="007329D6">
                            <w:pPr>
                              <w:pStyle w:val="Corpsdetexte"/>
                              <w:tabs>
                                <w:tab w:val="left" w:pos="709"/>
                                <w:tab w:val="left" w:pos="851"/>
                              </w:tabs>
                            </w:pPr>
                          </w:p>
                          <w:p w:rsidR="00C44F28" w:rsidRPr="0075311C" w:rsidRDefault="00C44F28" w:rsidP="007329D6">
                            <w:pPr>
                              <w:pStyle w:val="Corpsdetexte"/>
                              <w:numPr>
                                <w:ilvl w:val="1"/>
                                <w:numId w:val="5"/>
                              </w:numPr>
                              <w:tabs>
                                <w:tab w:val="left" w:pos="851"/>
                                <w:tab w:val="left" w:pos="1134"/>
                              </w:tabs>
                              <w:rPr>
                                <w:rFonts w:cs="Courier New"/>
                                <w:b/>
                              </w:rPr>
                            </w:pPr>
                            <w:r w:rsidRPr="0075311C">
                              <w:rPr>
                                <w:rFonts w:cs="Courier New"/>
                                <w:b/>
                              </w:rPr>
                              <w:t>REGION AGRICOLE DU SAHEL</w:t>
                            </w:r>
                          </w:p>
                          <w:p w:rsidR="00C44F28" w:rsidRDefault="00C44F28" w:rsidP="00895132">
                            <w:pPr>
                              <w:pStyle w:val="Corpsdetexte"/>
                            </w:pPr>
                            <w:r w:rsidRPr="0075311C">
                              <w:t xml:space="preserve">Les principales opérations culturales en cours sont </w:t>
                            </w:r>
                            <w:r w:rsidR="000356D5">
                              <w:t xml:space="preserve">le </w:t>
                            </w:r>
                            <w:r w:rsidRPr="0075311C">
                              <w:t>sarclage et le buttage. Le taux d’exécution du sarclage est estimé entre 75 et 100% pour toutes les cultures. Le buttage est exécuté entre 25 et 50% pour le maïs</w:t>
                            </w:r>
                            <w:r w:rsidR="000356D5">
                              <w:t xml:space="preserve">. Le principal stade </w:t>
                            </w:r>
                            <w:proofErr w:type="spellStart"/>
                            <w:r w:rsidR="000356D5">
                              <w:t>ph</w:t>
                            </w:r>
                            <w:r w:rsidRPr="0075311C">
                              <w:t>énologique</w:t>
                            </w:r>
                            <w:proofErr w:type="spellEnd"/>
                            <w:r w:rsidRPr="0075311C">
                              <w:t xml:space="preserve"> observé est l’épiaison/floraison. Il est estimé entre 0 et 25%</w:t>
                            </w:r>
                            <w:r w:rsidR="000356D5">
                              <w:t xml:space="preserve"> pour le sorgho, et entre 25 et</w:t>
                            </w:r>
                            <w:r w:rsidRPr="0075311C">
                              <w:t xml:space="preserve"> 50% pour le maïs, le mil, le niébé, l’arachide et le sésame.</w:t>
                            </w:r>
                            <w:r>
                              <w:t xml:space="preserve"> </w:t>
                            </w:r>
                            <w:r w:rsidRPr="00757B46">
                              <w:t xml:space="preserve"> </w:t>
                            </w:r>
                          </w:p>
                          <w:p w:rsidR="00C44F28" w:rsidRPr="00757B46" w:rsidRDefault="00C44F28" w:rsidP="00895132">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C7A4" id="_x0000_s1041" type="#_x0000_t202" style="position:absolute;margin-left:-24.75pt;margin-top:-33.65pt;width:543pt;height:7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KBhwIAABoFAAAOAAAAZHJzL2Uyb0RvYy54bWysVNuO2jAQfa/Uf7D8zuaygYWIsKIEqkrb&#10;i7TbDzC2Q6w6dmobkm3Vf+/YARa6L1XVPDh2ZnJmzswZz+/7RqIDN1ZoVeDkJsaIK6qZULsCf33a&#10;jKYYWUcUI1IrXuBnbvH94u2bedfmPNW1lowbBCDK5l1b4Nq5No8iS2veEHujW67AWGnTEAdHs4uY&#10;IR2gNzJK43gSddqw1mjKrYWv5WDEi4BfVZy6z1VluUOywJCbC6sJ69av0WJO8p0hbS3oMQ3yD1k0&#10;RCgIeoYqiSNob8QrqEZQo62u3A3VTaSrSlAeOACbJP6DzWNNWh64QHFsey6T/X+w9NPhi0GCFTjF&#10;SJEGWvTEe4fe6R7dpqE+XWtzcHtswdH1YIA+B662fdD0m0VKr2qidnxpjO5qThjkl/jKRhe/+o7Y&#10;3HqQbfdRMwhE9k4HoL4yjS8elAMBOvTp+dwbnwyFj5PpbJLEYKJgm6VpDN0PMUh++r011r3nukF+&#10;U2ADzQ/w5PBgnU+H5CcXH03pjZAyCEAq1AHqOB0PxLQUzBu9mzW77UoadCBeQuE5xrWXbo1wIGQp&#10;mgJPz04k9+VYKxaiOCLksIdMpPLgwA5yO+4GwfycxbP1dD3NRlk6WY+yuCxHy80qG002yd24vC1X&#10;qzL55fNMsrwWjHHlUz2JN8n+ThzHMRpkd5bvFaUr5pvwvGYeXacRqgysTu/ALujAt34Qgeu3fZBc&#10;MvZ4XhdbzZ5BGUYPAwoXCmxqbX5g1MFwFth+3xPDMZIfFKhrlmSZn+ZwyMZ3IFRkLi3bSwtRFKAK&#10;7DAatis33AD71ohdDZEGPSu9BEVWImjlJaujjmEAA6njZeEn/PIcvF6utMVvAAAA//8DAFBLAwQU&#10;AAYACAAAACEAZXJEwuAAAAANAQAADwAAAGRycy9kb3ducmV2LnhtbEyPT0/DMAzF70h8h8hI3LaU&#10;ZbRbaTohBndWBlzTxmsr8qdqsq3w6fFOcHu2n59/LjaTNeyEY+i9k3A3T4Cha7zuXSth//YyWwEL&#10;UTmtjHco4RsDbMrrq0Ll2p/dDk9VbBmFuJArCV2MQ855aDq0Ksz9gI5mBz9aFakcW65HdaZwa/gi&#10;SVJuVe/oQqcGfOqw+aqOljAWn3uxfa0wy1Qtts8/7+vDh5Hy9mZ6fAAWcYp/Zrjg0w6UxFT7o9OB&#10;GQmz5fqerCTSTAC7OBKRUqsmJVbLDHhZ8P9flL8AAAD//wMAUEsBAi0AFAAGAAgAAAAhALaDOJL+&#10;AAAA4QEAABMAAAAAAAAAAAAAAAAAAAAAAFtDb250ZW50X1R5cGVzXS54bWxQSwECLQAUAAYACAAA&#10;ACEAOP0h/9YAAACUAQAACwAAAAAAAAAAAAAAAAAvAQAAX3JlbHMvLnJlbHNQSwECLQAUAAYACAAA&#10;ACEA2niygYcCAAAaBQAADgAAAAAAAAAAAAAAAAAuAgAAZHJzL2Uyb0RvYy54bWxQSwECLQAUAAYA&#10;CAAAACEAZXJEwuAAAAANAQAADwAAAAAAAAAAAAAAAADhBAAAZHJzL2Rvd25yZXYueG1sUEsFBgAA&#10;AAAEAAQA8wAAAO4FAAAAAA==&#10;" filled="f">
                <v:textbox>
                  <w:txbxContent>
                    <w:p w:rsidR="00C44F28" w:rsidRPr="0075311C" w:rsidRDefault="00C44F28" w:rsidP="00B338B8">
                      <w:pPr>
                        <w:pStyle w:val="Corpsdetexte"/>
                        <w:numPr>
                          <w:ilvl w:val="1"/>
                          <w:numId w:val="4"/>
                        </w:numPr>
                        <w:rPr>
                          <w:b/>
                        </w:rPr>
                      </w:pPr>
                      <w:r>
                        <w:rPr>
                          <w:b/>
                        </w:rPr>
                        <w:t xml:space="preserve"> </w:t>
                      </w:r>
                      <w:r w:rsidRPr="0075311C">
                        <w:rPr>
                          <w:b/>
                        </w:rPr>
                        <w:t>REGION AGRICOLE DU CENTRE-SUD</w:t>
                      </w:r>
                    </w:p>
                    <w:p w:rsidR="00C44F28" w:rsidRPr="0075311C" w:rsidRDefault="00C44F28" w:rsidP="008541B4">
                      <w:pPr>
                        <w:pStyle w:val="Corpsdetexte"/>
                        <w:rPr>
                          <w:b/>
                        </w:rPr>
                      </w:pPr>
                      <w:r w:rsidRPr="0075311C">
                        <w:t>Le sarclage des légumineuses et le buttage sont les opérations culturales en cours. Le niveau de réalisation de ces opérations est estimé entre 50 et 75% pour le sarclage des légumineuses et le buttage des cultures céréalières. Les stades phénologiques dominants au niveau du sorgho, du maïs et du mil sont  la montaison et le tallage de l’ordre de 75 à 100%. L’apparition des inflorescences et la formation des fleurs (épiaison/floraison) concernent principalement le sorgho (0 à 25% des spéculations) et le maïs (50 à 75%). La majeure partie des semis précoces de maïs et d’arachide sont au stade maturité.</w:t>
                      </w:r>
                    </w:p>
                    <w:p w:rsidR="00C44F28" w:rsidRPr="0075311C" w:rsidRDefault="00C44F28" w:rsidP="00CF46CF">
                      <w:pPr>
                        <w:pStyle w:val="Corpsdetexte"/>
                        <w:ind w:left="360"/>
                        <w:rPr>
                          <w:b/>
                        </w:rPr>
                      </w:pPr>
                    </w:p>
                    <w:p w:rsidR="00C44F28" w:rsidRPr="0075311C" w:rsidRDefault="00C44F28" w:rsidP="00CF46CF">
                      <w:pPr>
                        <w:pStyle w:val="Corpsdetexte"/>
                        <w:numPr>
                          <w:ilvl w:val="1"/>
                          <w:numId w:val="5"/>
                        </w:numPr>
                        <w:rPr>
                          <w:b/>
                        </w:rPr>
                      </w:pPr>
                      <w:r w:rsidRPr="0075311C">
                        <w:rPr>
                          <w:b/>
                        </w:rPr>
                        <w:t xml:space="preserve"> REGION AGRICOLE DE L’EST</w:t>
                      </w:r>
                    </w:p>
                    <w:p w:rsidR="00C44F28" w:rsidRPr="0075311C" w:rsidRDefault="00C44F28" w:rsidP="00CF3FCC">
                      <w:pPr>
                        <w:pStyle w:val="Corpsdetexte"/>
                        <w:spacing w:line="276" w:lineRule="auto"/>
                      </w:pPr>
                      <w:r w:rsidRPr="0075311C">
                        <w:t xml:space="preserve">Les principales opérations culturales sont le sarclage et le buttage. Le sarclage est exécuté entre 25 et 50% pour les légumineuses et 75 et 100% pour les autres cultures. Le buttage est exécuté entre 25 et 50% pour toutes les cultures concernées.  On note un début de récolte du maïs et de l’arachide estimé entre 0 et 25%. </w:t>
                      </w:r>
                    </w:p>
                    <w:p w:rsidR="00C44F28" w:rsidRPr="0075311C" w:rsidRDefault="00C44F28" w:rsidP="00CF3FCC">
                      <w:pPr>
                        <w:pStyle w:val="Corpsdetexte"/>
                        <w:spacing w:line="276" w:lineRule="auto"/>
                      </w:pPr>
                      <w:r w:rsidRPr="0075311C">
                        <w:t>L’épiaison/floraison et la maturation constituent les principaux stades phénologiques des cultures. L’épiaison/floraison est estimée entre 25 et 50% pour le mil, le riz, le niébé et entre 50 et 75% pour le maïs, le sorgho</w:t>
                      </w:r>
                      <w:r w:rsidR="00F1060A">
                        <w:t xml:space="preserve"> et l’arachide.</w:t>
                      </w:r>
                      <w:r w:rsidRPr="0075311C">
                        <w:t xml:space="preserve"> La maturation est constatée pour le maïs, le mil hâtif et l’arachide à un taux estimé entre 0 et 25%.   </w:t>
                      </w:r>
                    </w:p>
                    <w:p w:rsidR="00C44F28" w:rsidRPr="0075311C" w:rsidRDefault="00C44F28" w:rsidP="00CF3FCC">
                      <w:pPr>
                        <w:pStyle w:val="Corpsdetexte"/>
                        <w:spacing w:line="276" w:lineRule="auto"/>
                      </w:pPr>
                    </w:p>
                    <w:p w:rsidR="00C44F28" w:rsidRPr="0075311C" w:rsidRDefault="00C44F28" w:rsidP="005677F4">
                      <w:pPr>
                        <w:pStyle w:val="Corpsdetexte"/>
                        <w:numPr>
                          <w:ilvl w:val="1"/>
                          <w:numId w:val="5"/>
                        </w:numPr>
                        <w:spacing w:line="276" w:lineRule="auto"/>
                        <w:rPr>
                          <w:b/>
                        </w:rPr>
                      </w:pPr>
                      <w:r w:rsidRPr="0075311C">
                        <w:rPr>
                          <w:b/>
                        </w:rPr>
                        <w:t xml:space="preserve"> REGION AGRICOLE DES HAUTS-BASSINS</w:t>
                      </w:r>
                    </w:p>
                    <w:p w:rsidR="00C44F28" w:rsidRPr="0075311C" w:rsidRDefault="001B7B35" w:rsidP="00922879">
                      <w:pPr>
                        <w:pStyle w:val="Corpsdetexte"/>
                      </w:pPr>
                      <w:r>
                        <w:t>Les</w:t>
                      </w:r>
                      <w:r w:rsidR="00F1060A">
                        <w:t xml:space="preserve"> principale</w:t>
                      </w:r>
                      <w:r>
                        <w:t>s</w:t>
                      </w:r>
                      <w:r w:rsidR="00F1060A">
                        <w:t xml:space="preserve"> opération</w:t>
                      </w:r>
                      <w:r>
                        <w:t>s</w:t>
                      </w:r>
                      <w:r w:rsidR="00F1060A">
                        <w:t xml:space="preserve"> culturale</w:t>
                      </w:r>
                      <w:r>
                        <w:t>s</w:t>
                      </w:r>
                      <w:r w:rsidR="00C44F28" w:rsidRPr="0075311C">
                        <w:t xml:space="preserve"> en cours </w:t>
                      </w:r>
                      <w:r>
                        <w:t>son</w:t>
                      </w:r>
                      <w:r w:rsidR="00F1060A">
                        <w:t>t</w:t>
                      </w:r>
                      <w:r>
                        <w:t xml:space="preserve"> le sarclage des légumineuses</w:t>
                      </w:r>
                      <w:r w:rsidR="00C44F28" w:rsidRPr="0075311C">
                        <w:t xml:space="preserve"> </w:t>
                      </w:r>
                      <w:r>
                        <w:t xml:space="preserve">et </w:t>
                      </w:r>
                      <w:r w:rsidR="00F1060A">
                        <w:t>le buttage</w:t>
                      </w:r>
                      <w:r w:rsidR="00C44F28" w:rsidRPr="0075311C">
                        <w:t xml:space="preserve">. </w:t>
                      </w:r>
                      <w:r>
                        <w:t xml:space="preserve">Le taux d’exécution du sarclage est compris entre 50 et 75%. </w:t>
                      </w:r>
                      <w:r w:rsidR="00C44F28" w:rsidRPr="0075311C">
                        <w:t>Le taux d’exécution</w:t>
                      </w:r>
                      <w:r>
                        <w:t xml:space="preserve"> du buttage</w:t>
                      </w:r>
                      <w:r w:rsidR="00C44F28" w:rsidRPr="0075311C">
                        <w:t xml:space="preserve"> varie entre 50 et 75% pour les céréales et le coton</w:t>
                      </w:r>
                      <w:r>
                        <w:t>nier.</w:t>
                      </w:r>
                    </w:p>
                    <w:p w:rsidR="00C44F28" w:rsidRPr="0075311C" w:rsidRDefault="00C44F28" w:rsidP="00922879">
                      <w:pPr>
                        <w:pStyle w:val="Corpsdetexte"/>
                      </w:pPr>
                      <w:r w:rsidRPr="0075311C">
                        <w:t>Les stades phénologiques dominants sont l’épiaison/floraison</w:t>
                      </w:r>
                      <w:r w:rsidR="00051339">
                        <w:t xml:space="preserve"> et la maturation</w:t>
                      </w:r>
                      <w:r w:rsidRPr="0075311C">
                        <w:t xml:space="preserve">. L’épiaison/floraison est estimée entre 0 et 25% pour le sorgho, le mil, le riz et le sésame. Elle varie entre 75 et 100% pour le maïs et l’arachide. Le taux de la maturation est estimé entre 25 et 50% pour le maïs et l’arachide. </w:t>
                      </w:r>
                    </w:p>
                    <w:p w:rsidR="00C44F28" w:rsidRPr="0075311C" w:rsidRDefault="00C44F28" w:rsidP="00B26F85">
                      <w:pPr>
                        <w:pStyle w:val="Corpsdetexte"/>
                        <w:spacing w:line="276" w:lineRule="auto"/>
                      </w:pPr>
                    </w:p>
                    <w:p w:rsidR="00C44F28" w:rsidRPr="0075311C" w:rsidRDefault="00C44F28" w:rsidP="007329D6">
                      <w:pPr>
                        <w:pStyle w:val="Corpsdetexte"/>
                        <w:numPr>
                          <w:ilvl w:val="1"/>
                          <w:numId w:val="5"/>
                        </w:numPr>
                        <w:rPr>
                          <w:rFonts w:cs="Courier New"/>
                          <w:b/>
                        </w:rPr>
                      </w:pPr>
                      <w:r w:rsidRPr="0075311C">
                        <w:rPr>
                          <w:b/>
                        </w:rPr>
                        <w:t xml:space="preserve">REGION AGRICOLE DU </w:t>
                      </w:r>
                      <w:r w:rsidRPr="0075311C">
                        <w:rPr>
                          <w:rFonts w:cs="Courier New"/>
                          <w:b/>
                        </w:rPr>
                        <w:t>NORD</w:t>
                      </w:r>
                    </w:p>
                    <w:p w:rsidR="00051339" w:rsidRDefault="00C44F28" w:rsidP="00CF3FCC">
                      <w:pPr>
                        <w:pStyle w:val="Corpsdetexte"/>
                        <w:tabs>
                          <w:tab w:val="left" w:pos="851"/>
                        </w:tabs>
                      </w:pPr>
                      <w:r w:rsidRPr="0075311C">
                        <w:t xml:space="preserve">Les principales opérations culturales observées sont le sarclage et le buttage. Le sarclage </w:t>
                      </w:r>
                      <w:r w:rsidR="00051339">
                        <w:t>est exécuté entre 75 et</w:t>
                      </w:r>
                      <w:r w:rsidRPr="0075311C">
                        <w:t xml:space="preserve">100% et le buttage est à un taux compris entre 25 et 50% </w:t>
                      </w:r>
                      <w:r w:rsidR="00051339">
                        <w:t>pour</w:t>
                      </w:r>
                      <w:r w:rsidRPr="0075311C">
                        <w:t xml:space="preserve"> le sorgho et 50 et 75% </w:t>
                      </w:r>
                      <w:r w:rsidR="00051339">
                        <w:t xml:space="preserve">pour le maïs. </w:t>
                      </w:r>
                    </w:p>
                    <w:p w:rsidR="00C44F28" w:rsidRPr="0075311C" w:rsidRDefault="00051339" w:rsidP="00CF3FCC">
                      <w:pPr>
                        <w:pStyle w:val="Corpsdetexte"/>
                        <w:tabs>
                          <w:tab w:val="left" w:pos="851"/>
                        </w:tabs>
                      </w:pPr>
                      <w:r>
                        <w:t>L</w:t>
                      </w:r>
                      <w:r w:rsidR="00C44F28" w:rsidRPr="0075311C">
                        <w:t xml:space="preserve">a montaison et la floraison sont les principaux stades de développement des cultures. La montaison est observée </w:t>
                      </w:r>
                      <w:r>
                        <w:t>pour le sorgho, le mil et le riz</w:t>
                      </w:r>
                      <w:r w:rsidR="00C44F28" w:rsidRPr="0075311C">
                        <w:t xml:space="preserve"> à niveau compris entre 75 et 100% et</w:t>
                      </w:r>
                      <w:r>
                        <w:t xml:space="preserve"> entre </w:t>
                      </w:r>
                      <w:r w:rsidR="00C44F28" w:rsidRPr="0075311C">
                        <w:t xml:space="preserve">50 et 75% </w:t>
                      </w:r>
                      <w:r>
                        <w:t>pour</w:t>
                      </w:r>
                      <w:r w:rsidR="00C44F28" w:rsidRPr="0075311C">
                        <w:t xml:space="preserve"> le maïs. La floraison est</w:t>
                      </w:r>
                      <w:r>
                        <w:t xml:space="preserve"> observée</w:t>
                      </w:r>
                      <w:r w:rsidR="00C44F28" w:rsidRPr="0075311C">
                        <w:t xml:space="preserve"> </w:t>
                      </w:r>
                      <w:r>
                        <w:t>pour</w:t>
                      </w:r>
                      <w:r w:rsidR="00C44F28" w:rsidRPr="0075311C">
                        <w:t xml:space="preserve"> le maïs, le niébé et le sésame à taux compris entre 50 et 75% et </w:t>
                      </w:r>
                      <w:r>
                        <w:t xml:space="preserve">entre </w:t>
                      </w:r>
                      <w:r w:rsidR="00C44F28" w:rsidRPr="0075311C">
                        <w:t xml:space="preserve">75 et 100% </w:t>
                      </w:r>
                      <w:r>
                        <w:t>pour</w:t>
                      </w:r>
                      <w:r w:rsidR="00C44F28" w:rsidRPr="0075311C">
                        <w:t xml:space="preserve"> l’arachide.</w:t>
                      </w:r>
                    </w:p>
                    <w:p w:rsidR="00C44F28" w:rsidRPr="0075311C" w:rsidRDefault="00C44F28" w:rsidP="00CF3FCC">
                      <w:pPr>
                        <w:pStyle w:val="Corpsdetexte"/>
                        <w:tabs>
                          <w:tab w:val="left" w:pos="851"/>
                        </w:tabs>
                      </w:pPr>
                    </w:p>
                    <w:p w:rsidR="00C44F28" w:rsidRPr="0075311C" w:rsidRDefault="00C44F28" w:rsidP="00CF3FCC">
                      <w:pPr>
                        <w:pStyle w:val="Corpsdetexte"/>
                        <w:tabs>
                          <w:tab w:val="left" w:pos="851"/>
                        </w:tabs>
                      </w:pPr>
                    </w:p>
                    <w:p w:rsidR="00C44F28" w:rsidRPr="0075311C" w:rsidRDefault="00C44F28" w:rsidP="007329D6">
                      <w:pPr>
                        <w:pStyle w:val="Corpsdetexte"/>
                        <w:numPr>
                          <w:ilvl w:val="1"/>
                          <w:numId w:val="5"/>
                        </w:numPr>
                        <w:tabs>
                          <w:tab w:val="left" w:pos="851"/>
                        </w:tabs>
                        <w:rPr>
                          <w:rFonts w:cs="Courier New"/>
                          <w:b/>
                        </w:rPr>
                      </w:pPr>
                      <w:r w:rsidRPr="0075311C">
                        <w:rPr>
                          <w:rFonts w:cs="Courier New"/>
                          <w:b/>
                        </w:rPr>
                        <w:t>REGION AGRICOLE DU PLATEAU CENTRAL</w:t>
                      </w:r>
                    </w:p>
                    <w:p w:rsidR="00C44F28" w:rsidRPr="0075311C" w:rsidRDefault="00C44F28" w:rsidP="007329D6">
                      <w:pPr>
                        <w:pStyle w:val="Corpsdetexte"/>
                        <w:tabs>
                          <w:tab w:val="left" w:pos="709"/>
                          <w:tab w:val="left" w:pos="851"/>
                        </w:tabs>
                      </w:pPr>
                      <w:r w:rsidRPr="0075311C">
                        <w:t xml:space="preserve">La poursuite </w:t>
                      </w:r>
                      <w:r w:rsidR="000356D5">
                        <w:t>du sarcl</w:t>
                      </w:r>
                      <w:r w:rsidRPr="0075311C">
                        <w:t>age et le buttage constituent les principales opérations culturales en cours. Le sarcl</w:t>
                      </w:r>
                      <w:r w:rsidR="000356D5">
                        <w:t>age</w:t>
                      </w:r>
                      <w:r w:rsidRPr="0075311C">
                        <w:t xml:space="preserve"> est exécuté entre 50 et 75% pour toutes les cultures. Le taux d’exécution du buttage varie entre 25 et 50% pour le sésame, le coton</w:t>
                      </w:r>
                      <w:r w:rsidR="000356D5">
                        <w:t>nier</w:t>
                      </w:r>
                      <w:r w:rsidRPr="0075311C">
                        <w:t>, le mil et le sorgho, et entre 50 et 75% pour le maïs. L’épiaison/floraison est le principal stade de développement des cultures. Elle est estimée entre 0 et 25% pour les légumineuses, le sorg</w:t>
                      </w:r>
                      <w:r w:rsidR="000356D5">
                        <w:t>ho et le mil, et entre 50 et 75%</w:t>
                      </w:r>
                      <w:r w:rsidRPr="0075311C">
                        <w:t xml:space="preserve"> pour le maïs. </w:t>
                      </w:r>
                      <w:r w:rsidR="000356D5">
                        <w:t>O</w:t>
                      </w:r>
                      <w:r w:rsidRPr="0075311C">
                        <w:t xml:space="preserve">n observe un début de maturation du maïs entre 0 et 25%. </w:t>
                      </w:r>
                    </w:p>
                    <w:p w:rsidR="00C44F28" w:rsidRPr="0075311C" w:rsidRDefault="00C44F28" w:rsidP="007329D6">
                      <w:pPr>
                        <w:pStyle w:val="Corpsdetexte"/>
                        <w:tabs>
                          <w:tab w:val="left" w:pos="709"/>
                          <w:tab w:val="left" w:pos="851"/>
                        </w:tabs>
                      </w:pPr>
                    </w:p>
                    <w:p w:rsidR="00C44F28" w:rsidRPr="0075311C" w:rsidRDefault="00C44F28" w:rsidP="007329D6">
                      <w:pPr>
                        <w:pStyle w:val="Corpsdetexte"/>
                        <w:tabs>
                          <w:tab w:val="left" w:pos="709"/>
                          <w:tab w:val="left" w:pos="851"/>
                        </w:tabs>
                      </w:pPr>
                    </w:p>
                    <w:p w:rsidR="00C44F28" w:rsidRPr="0075311C" w:rsidRDefault="00C44F28" w:rsidP="007329D6">
                      <w:pPr>
                        <w:pStyle w:val="Corpsdetexte"/>
                        <w:numPr>
                          <w:ilvl w:val="1"/>
                          <w:numId w:val="5"/>
                        </w:numPr>
                        <w:tabs>
                          <w:tab w:val="left" w:pos="851"/>
                          <w:tab w:val="left" w:pos="1134"/>
                        </w:tabs>
                        <w:rPr>
                          <w:rFonts w:cs="Courier New"/>
                          <w:b/>
                        </w:rPr>
                      </w:pPr>
                      <w:r w:rsidRPr="0075311C">
                        <w:rPr>
                          <w:rFonts w:cs="Courier New"/>
                          <w:b/>
                        </w:rPr>
                        <w:t>REGION AGRICOLE DU SAHEL</w:t>
                      </w:r>
                    </w:p>
                    <w:p w:rsidR="00C44F28" w:rsidRDefault="00C44F28" w:rsidP="00895132">
                      <w:pPr>
                        <w:pStyle w:val="Corpsdetexte"/>
                      </w:pPr>
                      <w:r w:rsidRPr="0075311C">
                        <w:t xml:space="preserve">Les principales opérations culturales en cours sont </w:t>
                      </w:r>
                      <w:r w:rsidR="000356D5">
                        <w:t xml:space="preserve">le </w:t>
                      </w:r>
                      <w:r w:rsidRPr="0075311C">
                        <w:t>sarclage et le buttage. Le taux d’exécution du sarclage est estimé entre 75 et 100% pour toutes les cultures. Le buttage est exécuté entre 25 et 50% pour le maïs</w:t>
                      </w:r>
                      <w:r w:rsidR="000356D5">
                        <w:t xml:space="preserve">. Le principal stade </w:t>
                      </w:r>
                      <w:proofErr w:type="spellStart"/>
                      <w:r w:rsidR="000356D5">
                        <w:t>ph</w:t>
                      </w:r>
                      <w:r w:rsidRPr="0075311C">
                        <w:t>énologique</w:t>
                      </w:r>
                      <w:proofErr w:type="spellEnd"/>
                      <w:r w:rsidRPr="0075311C">
                        <w:t xml:space="preserve"> observé est l’épiaison/floraison. Il est estimé entre 0 et 25%</w:t>
                      </w:r>
                      <w:r w:rsidR="000356D5">
                        <w:t xml:space="preserve"> pour le sorgho, et entre 25 et</w:t>
                      </w:r>
                      <w:r w:rsidRPr="0075311C">
                        <w:t xml:space="preserve"> 50% pour le maïs, le mil, le niébé, l’arachide et le sésame.</w:t>
                      </w:r>
                      <w:r>
                        <w:t xml:space="preserve"> </w:t>
                      </w:r>
                      <w:r w:rsidRPr="00757B46">
                        <w:t xml:space="preserve"> </w:t>
                      </w:r>
                    </w:p>
                    <w:p w:rsidR="00C44F28" w:rsidRPr="00757B46" w:rsidRDefault="00C44F28" w:rsidP="00895132">
                      <w:pPr>
                        <w:pStyle w:val="Corpsdetexte"/>
                      </w:pPr>
                    </w:p>
                  </w:txbxContent>
                </v:textbox>
              </v:shape>
            </w:pict>
          </mc:Fallback>
        </mc:AlternateContent>
      </w: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Pr="003C648E" w:rsidRDefault="006E35D3" w:rsidP="006E35D3">
      <w:pPr>
        <w:rPr>
          <w:sz w:val="28"/>
          <w:szCs w:val="28"/>
        </w:rPr>
      </w:pPr>
    </w:p>
    <w:p w:rsidR="006E35D3" w:rsidRDefault="006E35D3" w:rsidP="006E35D3">
      <w:pPr>
        <w:rPr>
          <w:sz w:val="28"/>
          <w:szCs w:val="28"/>
        </w:rPr>
      </w:pPr>
    </w:p>
    <w:p w:rsidR="006E35D3" w:rsidRDefault="006E35D3" w:rsidP="006E35D3">
      <w:pPr>
        <w:pStyle w:val="Titre1"/>
        <w:ind w:left="644"/>
        <w:rPr>
          <w:b/>
          <w:sz w:val="28"/>
          <w:szCs w:val="28"/>
        </w:rPr>
      </w:pPr>
      <w:bookmarkStart w:id="66" w:name="_Toc513995426"/>
    </w:p>
    <w:p w:rsidR="006E35D3" w:rsidRDefault="006E35D3" w:rsidP="006E35D3">
      <w:pPr>
        <w:pStyle w:val="Titre1"/>
        <w:ind w:left="644"/>
        <w:rPr>
          <w:b/>
          <w:sz w:val="28"/>
          <w:szCs w:val="28"/>
        </w:rPr>
      </w:pPr>
    </w:p>
    <w:p w:rsidR="006E35D3" w:rsidRDefault="006E35D3" w:rsidP="006E35D3">
      <w:pPr>
        <w:pStyle w:val="Titre1"/>
        <w:ind w:left="644"/>
        <w:rPr>
          <w:b/>
          <w:sz w:val="28"/>
          <w:szCs w:val="28"/>
        </w:rPr>
      </w:pPr>
    </w:p>
    <w:p w:rsidR="006E35D3" w:rsidRDefault="006E35D3" w:rsidP="006E35D3"/>
    <w:p w:rsidR="006E35D3" w:rsidRDefault="006E35D3" w:rsidP="006E35D3"/>
    <w:p w:rsidR="006E35D3" w:rsidRDefault="006E35D3" w:rsidP="006E35D3"/>
    <w:p w:rsidR="006E35D3" w:rsidRDefault="006E35D3" w:rsidP="006E35D3"/>
    <w:p w:rsidR="006E35D3" w:rsidRDefault="006E35D3" w:rsidP="006E35D3"/>
    <w:p w:rsidR="006E35D3" w:rsidRDefault="006E35D3" w:rsidP="006E35D3"/>
    <w:p w:rsidR="006E35D3" w:rsidRDefault="006E35D3" w:rsidP="006E35D3">
      <w:pPr>
        <w:pStyle w:val="Titre1"/>
        <w:spacing w:before="240"/>
        <w:ind w:left="644"/>
        <w:rPr>
          <w:b/>
          <w:sz w:val="28"/>
          <w:szCs w:val="28"/>
        </w:rPr>
      </w:pPr>
      <w:bookmarkStart w:id="67" w:name="_Toc514078353"/>
      <w:bookmarkStart w:id="68" w:name="_Toc514078403"/>
      <w:bookmarkStart w:id="69" w:name="_Toc514734847"/>
      <w:bookmarkStart w:id="70" w:name="_Toc515847116"/>
    </w:p>
    <w:p w:rsidR="006E35D3" w:rsidRDefault="006E35D3" w:rsidP="006E35D3">
      <w:pPr>
        <w:pStyle w:val="Titre1"/>
        <w:spacing w:before="240"/>
        <w:ind w:left="644"/>
        <w:rPr>
          <w:b/>
          <w:sz w:val="28"/>
          <w:szCs w:val="28"/>
        </w:rPr>
      </w:pPr>
    </w:p>
    <w:p w:rsidR="006E35D3" w:rsidRDefault="006E35D3" w:rsidP="006E35D3">
      <w:pPr>
        <w:pStyle w:val="Titre1"/>
        <w:spacing w:before="240"/>
        <w:ind w:left="644"/>
        <w:rPr>
          <w:b/>
          <w:sz w:val="28"/>
          <w:szCs w:val="28"/>
        </w:rPr>
      </w:pPr>
    </w:p>
    <w:p w:rsidR="006E35D3" w:rsidRDefault="006E35D3" w:rsidP="006E35D3"/>
    <w:p w:rsidR="006E35D3" w:rsidRDefault="006E35D3" w:rsidP="006E35D3"/>
    <w:p w:rsidR="006E35D3" w:rsidRDefault="006E35D3" w:rsidP="006E35D3">
      <w:pPr>
        <w:jc w:val="right"/>
      </w:pPr>
    </w:p>
    <w:p w:rsidR="006E35D3" w:rsidRDefault="006E35D3" w:rsidP="006E35D3">
      <w:pPr>
        <w:jc w:val="right"/>
      </w:pPr>
    </w:p>
    <w:p w:rsidR="006E35D3" w:rsidRDefault="006E35D3" w:rsidP="006E35D3">
      <w:pPr>
        <w:jc w:val="right"/>
      </w:pPr>
    </w:p>
    <w:p w:rsidR="006E35D3" w:rsidRDefault="006E35D3" w:rsidP="006E35D3">
      <w:pPr>
        <w:jc w:val="right"/>
      </w:pPr>
    </w:p>
    <w:p w:rsidR="006E35D3" w:rsidRDefault="006E35D3"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624100" w:rsidRDefault="00624100" w:rsidP="006E35D3">
      <w:pPr>
        <w:jc w:val="right"/>
      </w:pPr>
    </w:p>
    <w:p w:rsidR="005F43F0" w:rsidRDefault="005F43F0" w:rsidP="005F43F0">
      <w:pPr>
        <w:pStyle w:val="Titre1"/>
        <w:rPr>
          <w:rFonts w:ascii="Times New Roman" w:hAnsi="Times New Roman"/>
          <w:b/>
          <w:szCs w:val="28"/>
          <w:u w:val="none"/>
        </w:rPr>
      </w:pPr>
      <w:bookmarkStart w:id="71" w:name="_Toc516562519"/>
      <w:bookmarkStart w:id="72" w:name="_Toc516564928"/>
      <w:bookmarkStart w:id="73" w:name="_Toc516569876"/>
      <w:bookmarkStart w:id="74" w:name="_Toc18418132"/>
      <w:bookmarkStart w:id="75" w:name="_Toc12293956"/>
      <w:bookmarkStart w:id="76" w:name="_Toc14104735"/>
      <w:bookmarkStart w:id="77" w:name="_Toc14105541"/>
      <w:bookmarkStart w:id="78" w:name="_Toc14782786"/>
      <w:bookmarkStart w:id="79" w:name="_Toc15932706"/>
      <w:bookmarkStart w:id="80" w:name="_Toc17672653"/>
      <w:bookmarkStart w:id="81" w:name="_Toc18418781"/>
      <w:bookmarkStart w:id="82" w:name="_Toc18418789"/>
      <w:bookmarkStart w:id="83" w:name="_Toc18418803"/>
      <w:bookmarkStart w:id="84" w:name="_Toc18418942"/>
      <w:r>
        <w:rPr>
          <w:rFonts w:ascii="Times New Roman" w:hAnsi="Times New Roman"/>
          <w:b/>
          <w:noProof/>
          <w:szCs w:val="28"/>
          <w:u w:val="none"/>
        </w:rPr>
        <w:lastRenderedPageBreak/>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28106</wp:posOffset>
                </wp:positionV>
                <wp:extent cx="6145944" cy="1749287"/>
                <wp:effectExtent l="0" t="0" r="26670" b="22860"/>
                <wp:wrapNone/>
                <wp:docPr id="37" name="Rectangle 37"/>
                <wp:cNvGraphicFramePr/>
                <a:graphic xmlns:a="http://schemas.openxmlformats.org/drawingml/2006/main">
                  <a:graphicData uri="http://schemas.microsoft.com/office/word/2010/wordprocessingShape">
                    <wps:wsp>
                      <wps:cNvSpPr/>
                      <wps:spPr>
                        <a:xfrm>
                          <a:off x="0" y="0"/>
                          <a:ext cx="6145944" cy="17492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43F0" w:rsidRPr="005F43F0" w:rsidRDefault="005F43F0" w:rsidP="005F43F0">
                            <w:pPr>
                              <w:pStyle w:val="Corpsdetexte"/>
                              <w:numPr>
                                <w:ilvl w:val="1"/>
                                <w:numId w:val="5"/>
                              </w:numPr>
                              <w:tabs>
                                <w:tab w:val="left" w:pos="851"/>
                                <w:tab w:val="left" w:pos="1134"/>
                              </w:tabs>
                              <w:rPr>
                                <w:rFonts w:cs="Courier New"/>
                                <w:b/>
                              </w:rPr>
                            </w:pPr>
                            <w:r w:rsidRPr="005F43F0">
                              <w:rPr>
                                <w:rFonts w:cs="Courier New"/>
                                <w:b/>
                              </w:rPr>
                              <w:t>REGION AGRICOLE DU SUD-OUEST</w:t>
                            </w:r>
                          </w:p>
                          <w:p w:rsidR="005F43F0" w:rsidRDefault="005F43F0" w:rsidP="00113A5B">
                            <w:pPr>
                              <w:jc w:val="both"/>
                              <w:rPr>
                                <w:bCs/>
                              </w:rPr>
                            </w:pPr>
                            <w:bookmarkStart w:id="85" w:name="_Toc18418133"/>
                            <w:r w:rsidRPr="002F3278">
                              <w:t xml:space="preserve">Les principales opérations culturales en cours sont </w:t>
                            </w:r>
                            <w:r>
                              <w:t xml:space="preserve">le </w:t>
                            </w:r>
                            <w:r w:rsidRPr="002F3278">
                              <w:t>sarclage et le buttage. Le sarcl</w:t>
                            </w:r>
                            <w:r>
                              <w:t>ag</w:t>
                            </w:r>
                            <w:r w:rsidRPr="002F3278">
                              <w:t>e est exécuté entre 25 et 50% pour le niébé, l’arachide et le mil, entre 50 et 75% pour le ma</w:t>
                            </w:r>
                            <w:r>
                              <w:t>ïs, le riz et le cotonnier</w:t>
                            </w:r>
                            <w:r w:rsidRPr="002F3278">
                              <w:t>. Le taux d’exécution du buttage est estimé entre 25 et 50% pour le coton</w:t>
                            </w:r>
                            <w:r>
                              <w:t>nier</w:t>
                            </w:r>
                            <w:r w:rsidRPr="002F3278">
                              <w:t>, le sorgho et le maïs.</w:t>
                            </w:r>
                            <w:bookmarkEnd w:id="85"/>
                            <w:r w:rsidRPr="002F3278">
                              <w:t xml:space="preserve"> </w:t>
                            </w:r>
                          </w:p>
                          <w:p w:rsidR="005F43F0" w:rsidRPr="002F3278" w:rsidRDefault="005F43F0" w:rsidP="00113A5B">
                            <w:pPr>
                              <w:jc w:val="both"/>
                              <w:rPr>
                                <w:bCs/>
                              </w:rPr>
                            </w:pPr>
                            <w:bookmarkStart w:id="86" w:name="_Toc18418134"/>
                            <w:r w:rsidRPr="00864FBD">
                              <w:t>Les principaux stades de développement des cultures sont l’épiaison/floraison et la maturation. L’épiaison/floraison est estimée entre 0 et 25% pour le sorgho et le mil, 25 et 50% pour le maïs, le riz, le cotonnier, le niébé et l’arachide. On note un début de maturation du maïs, de l’igname et de l’arachide estimé entre 0 et 25%.</w:t>
                            </w:r>
                            <w:bookmarkEnd w:id="86"/>
                          </w:p>
                          <w:p w:rsidR="005F43F0" w:rsidRDefault="005F43F0" w:rsidP="005F4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2" style="position:absolute;margin-left:0;margin-top:2.2pt;width:483.95pt;height:137.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qakQIAAHEFAAAOAAAAZHJzL2Uyb0RvYy54bWysVE1v2zAMvQ/YfxB0Xx1nbtMGdYqgRYcB&#10;RRu0HXpWZCkxJomapMTOfv0o2XHSLqdhF1sUHx8/RPL6ptWKbIXzNZiS5mcjSoThUNVmVdIfr/df&#10;LinxgZmKKTCipDvh6c3s86frxk7FGNagKuEIkhg/bWxJ1yHYaZZ5vhaa+TOwwqBSgtMsoOhWWeVY&#10;g+xaZePR6CJrwFXWARfe4+1dp6SzxC+l4OFJSi8CUSXF2EL6uvRdxm82u2bTlWN2XfM+DPYPUWhW&#10;G3Q6UN2xwMjG1X9R6Zo78CDDGQedgZQ1FykHzCYffcjmZc2sSLlgcbwdyuT/Hy1/3C4cqauSfp1Q&#10;YpjGN3rGqjGzUoLgHRaosX6KuBe7cL3k8RizbaXT8Y95kDYVdTcUVbSBcLy8yIvzq6KghKMunxRX&#10;48vEmh3MrfPhmwBN4qGkDv2nYrLtgw/oEqF7SPSmDGkw3nxynlAeVF3d10pFXWoccasc2TJ88tDm&#10;MQMkOEKhpAxexry6TNIp7JTo6J+FxJJg7OPOQWzGAyfjXJhw0fMqg+hoJjGCwTA/ZajCPpgeG81E&#10;atLBcHTK8L3HwSJ5BRMGY10bcKcIqp+D5w6/z77LOaYf2mWb+iBPmcWrJVQ7bA4H3dR4y+9rfKAH&#10;5sOCORwTHCgc/fCEH6kA3wT6EyVrcL9P3Uc8di9qKWlw7Erqf22YE5So7wb7+iovijinSSjOJ2MU&#10;3LFmeawxG30L+Mw5LhnL0zHig9ofpQP9hhtiHr2iihmOvkvKg9sLt6FbB7hjuJjPEwxn07LwYF4s&#10;j+Sx0LEBX9s35mzfpQEb/BH2I8qmH5q1w0ZLA/NNAFmnTj7UtX8CnOvUn/0OiovjWE6ow6ac/QEA&#10;AP//AwBQSwMEFAAGAAgAAAAhAItpgnTbAAAABgEAAA8AAABkcnMvZG93bnJldi54bWxMj0FLw0AU&#10;hO+C/2F5ghexG0tt3ZiXIhWPgq1Setxmn0kw+zZkX9v037ue6nGYYeabYjn6Th1piG1ghIdJBoq4&#10;Cq7lGuHr8+3+CVQUy852gQnhTBGW5fVVYXMXTrym40ZqlUo45hahEelzrWPVkLdxEnri5H2HwVtJ&#10;cqi1G+wplftOT7Nsrr1tOS00tqdVQ9XP5uARXCRNd5R9yG77+Crn1fvaZQbx9mZ8eQYlNMolDH/4&#10;CR3KxLQPB3ZRdQjpiCDMZqCSaeYLA2qPMF0YA7os9H/88hcAAP//AwBQSwECLQAUAAYACAAAACEA&#10;toM4kv4AAADhAQAAEwAAAAAAAAAAAAAAAAAAAAAAW0NvbnRlbnRfVHlwZXNdLnhtbFBLAQItABQA&#10;BgAIAAAAIQA4/SH/1gAAAJQBAAALAAAAAAAAAAAAAAAAAC8BAABfcmVscy8ucmVsc1BLAQItABQA&#10;BgAIAAAAIQDR9JqakQIAAHEFAAAOAAAAAAAAAAAAAAAAAC4CAABkcnMvZTJvRG9jLnhtbFBLAQIt&#10;ABQABgAIAAAAIQCLaYJ02wAAAAYBAAAPAAAAAAAAAAAAAAAAAOsEAABkcnMvZG93bnJldi54bWxQ&#10;SwUGAAAAAAQABADzAAAA8wUAAAAA&#10;" fillcolor="white [3201]" strokecolor="black [3213]" strokeweight=".25pt">
                <v:textbox>
                  <w:txbxContent>
                    <w:p w:rsidR="005F43F0" w:rsidRPr="005F43F0" w:rsidRDefault="005F43F0" w:rsidP="005F43F0">
                      <w:pPr>
                        <w:pStyle w:val="Corpsdetexte"/>
                        <w:numPr>
                          <w:ilvl w:val="1"/>
                          <w:numId w:val="5"/>
                        </w:numPr>
                        <w:tabs>
                          <w:tab w:val="left" w:pos="851"/>
                          <w:tab w:val="left" w:pos="1134"/>
                        </w:tabs>
                        <w:rPr>
                          <w:rFonts w:cs="Courier New"/>
                          <w:b/>
                        </w:rPr>
                      </w:pPr>
                      <w:r w:rsidRPr="005F43F0">
                        <w:rPr>
                          <w:rFonts w:cs="Courier New"/>
                          <w:b/>
                        </w:rPr>
                        <w:t>REGION AGRICOLE DU SUD-OUEST</w:t>
                      </w:r>
                    </w:p>
                    <w:p w:rsidR="005F43F0" w:rsidRDefault="005F43F0" w:rsidP="00113A5B">
                      <w:pPr>
                        <w:jc w:val="both"/>
                        <w:rPr>
                          <w:bCs/>
                        </w:rPr>
                      </w:pPr>
                      <w:bookmarkStart w:id="87" w:name="_Toc18418133"/>
                      <w:r w:rsidRPr="002F3278">
                        <w:t xml:space="preserve">Les principales opérations culturales en cours sont </w:t>
                      </w:r>
                      <w:r>
                        <w:t xml:space="preserve">le </w:t>
                      </w:r>
                      <w:r w:rsidRPr="002F3278">
                        <w:t>sarclage et le buttage. Le sarcl</w:t>
                      </w:r>
                      <w:r>
                        <w:t>ag</w:t>
                      </w:r>
                      <w:r w:rsidRPr="002F3278">
                        <w:t>e est exécuté entre 25 et 50% pour le niébé, l’arachide et le mil, entre 50 et 75% pour le ma</w:t>
                      </w:r>
                      <w:r>
                        <w:t>ïs, le riz et le cotonnier</w:t>
                      </w:r>
                      <w:r w:rsidRPr="002F3278">
                        <w:t>. Le taux d’exécution du buttage est estimé entre 25 et 50% pour le coton</w:t>
                      </w:r>
                      <w:r>
                        <w:t>nier</w:t>
                      </w:r>
                      <w:r w:rsidRPr="002F3278">
                        <w:t>, le sorgho et le maïs.</w:t>
                      </w:r>
                      <w:bookmarkEnd w:id="87"/>
                      <w:r w:rsidRPr="002F3278">
                        <w:t xml:space="preserve"> </w:t>
                      </w:r>
                    </w:p>
                    <w:p w:rsidR="005F43F0" w:rsidRPr="002F3278" w:rsidRDefault="005F43F0" w:rsidP="00113A5B">
                      <w:pPr>
                        <w:jc w:val="both"/>
                        <w:rPr>
                          <w:bCs/>
                        </w:rPr>
                      </w:pPr>
                      <w:bookmarkStart w:id="88" w:name="_Toc18418134"/>
                      <w:r w:rsidRPr="00864FBD">
                        <w:t>Les principaux stades de développement des cultures sont l’épiaison/floraison et la maturation. L’épiaison/floraison est estimée entre 0 et 25% pour le sorgho et le mil, 25 et 50% pour le maïs, le riz, le cotonnier, le niébé et l’arachide. On note un début de maturation du maïs, de l’igname et de l’arachide estimé entre 0 et 25%.</w:t>
                      </w:r>
                      <w:bookmarkEnd w:id="88"/>
                    </w:p>
                    <w:p w:rsidR="005F43F0" w:rsidRDefault="005F43F0" w:rsidP="005F43F0">
                      <w:pPr>
                        <w:jc w:val="center"/>
                      </w:pPr>
                    </w:p>
                  </w:txbxContent>
                </v:textbox>
                <w10:wrap anchorx="margin"/>
              </v:rect>
            </w:pict>
          </mc:Fallback>
        </mc:AlternateContent>
      </w:r>
      <w:bookmarkEnd w:id="81"/>
      <w:bookmarkEnd w:id="82"/>
      <w:bookmarkEnd w:id="83"/>
      <w:bookmarkEnd w:id="84"/>
    </w:p>
    <w:p w:rsidR="005F43F0" w:rsidRDefault="005F43F0" w:rsidP="005F43F0">
      <w:pPr>
        <w:pStyle w:val="Titre1"/>
        <w:rPr>
          <w:rFonts w:ascii="Times New Roman" w:hAnsi="Times New Roman"/>
          <w:b/>
          <w:szCs w:val="28"/>
          <w:u w:val="none"/>
        </w:rPr>
      </w:pPr>
    </w:p>
    <w:p w:rsidR="005F43F0" w:rsidRDefault="005F43F0" w:rsidP="005F43F0">
      <w:pPr>
        <w:pStyle w:val="Titre1"/>
        <w:rPr>
          <w:rFonts w:ascii="Times New Roman" w:hAnsi="Times New Roman"/>
          <w:b/>
          <w:szCs w:val="28"/>
          <w:u w:val="none"/>
        </w:rPr>
      </w:pPr>
    </w:p>
    <w:p w:rsidR="005F43F0" w:rsidRDefault="005F43F0" w:rsidP="005F43F0">
      <w:pPr>
        <w:pStyle w:val="Titre1"/>
        <w:rPr>
          <w:rFonts w:ascii="Times New Roman" w:hAnsi="Times New Roman"/>
          <w:b/>
          <w:szCs w:val="28"/>
          <w:u w:val="none"/>
        </w:rPr>
      </w:pPr>
    </w:p>
    <w:p w:rsidR="005F43F0" w:rsidRDefault="005F43F0" w:rsidP="005F43F0">
      <w:pPr>
        <w:pStyle w:val="Titre1"/>
        <w:rPr>
          <w:rFonts w:ascii="Times New Roman" w:hAnsi="Times New Roman"/>
          <w:b/>
          <w:szCs w:val="28"/>
          <w:u w:val="none"/>
        </w:rPr>
      </w:pPr>
    </w:p>
    <w:p w:rsidR="005F43F0" w:rsidRDefault="005F43F0" w:rsidP="00365948">
      <w:pPr>
        <w:pStyle w:val="Titre1"/>
        <w:spacing w:before="240"/>
        <w:rPr>
          <w:b/>
          <w:sz w:val="28"/>
          <w:szCs w:val="28"/>
        </w:rPr>
      </w:pPr>
      <w:bookmarkStart w:id="89" w:name="_Toc18418135"/>
      <w:bookmarkEnd w:id="74"/>
    </w:p>
    <w:p w:rsidR="005F43F0" w:rsidRDefault="005F43F0" w:rsidP="00365948">
      <w:pPr>
        <w:pStyle w:val="Titre1"/>
        <w:spacing w:before="240"/>
        <w:rPr>
          <w:b/>
          <w:sz w:val="28"/>
          <w:szCs w:val="28"/>
        </w:rPr>
      </w:pPr>
    </w:p>
    <w:p w:rsidR="005F43F0" w:rsidRDefault="005F43F0" w:rsidP="00365948">
      <w:pPr>
        <w:pStyle w:val="Titre1"/>
        <w:spacing w:before="240"/>
        <w:rPr>
          <w:b/>
          <w:sz w:val="28"/>
          <w:szCs w:val="28"/>
        </w:rPr>
      </w:pPr>
    </w:p>
    <w:p w:rsidR="00624100" w:rsidRPr="002A1A91" w:rsidRDefault="00CC3C25" w:rsidP="002F7FBA">
      <w:pPr>
        <w:pStyle w:val="Titre1"/>
        <w:numPr>
          <w:ilvl w:val="0"/>
          <w:numId w:val="3"/>
        </w:numPr>
        <w:spacing w:before="240"/>
        <w:rPr>
          <w:b/>
          <w:sz w:val="28"/>
          <w:szCs w:val="28"/>
        </w:rPr>
      </w:pPr>
      <w:bookmarkStart w:id="90" w:name="_Toc18418782"/>
      <w:bookmarkStart w:id="91" w:name="_Toc18418790"/>
      <w:bookmarkStart w:id="92" w:name="_Toc18418804"/>
      <w:r>
        <w:rPr>
          <w:b/>
          <w:sz w:val="28"/>
          <w:szCs w:val="28"/>
        </w:rPr>
        <w:t xml:space="preserve"> </w:t>
      </w:r>
      <w:bookmarkStart w:id="93" w:name="_Toc18418943"/>
      <w:r w:rsidR="00624100" w:rsidRPr="002A1A91">
        <w:rPr>
          <w:b/>
          <w:sz w:val="28"/>
          <w:szCs w:val="28"/>
        </w:rPr>
        <w:t>Situation phytosanitaire</w:t>
      </w:r>
      <w:bookmarkEnd w:id="89"/>
      <w:bookmarkEnd w:id="90"/>
      <w:bookmarkEnd w:id="91"/>
      <w:bookmarkEnd w:id="92"/>
      <w:bookmarkEnd w:id="93"/>
    </w:p>
    <w:bookmarkEnd w:id="75"/>
    <w:bookmarkEnd w:id="76"/>
    <w:bookmarkEnd w:id="77"/>
    <w:bookmarkEnd w:id="78"/>
    <w:bookmarkEnd w:id="79"/>
    <w:bookmarkEnd w:id="80"/>
    <w:p w:rsidR="00922879" w:rsidRDefault="00922879" w:rsidP="00A93F00">
      <w:pPr>
        <w:jc w:val="both"/>
      </w:pPr>
    </w:p>
    <w:p w:rsidR="00E5285A" w:rsidRPr="00B15A59" w:rsidRDefault="00E5285A" w:rsidP="00A93F00">
      <w:pPr>
        <w:jc w:val="both"/>
        <w:rPr>
          <w:rFonts w:ascii="Calibri" w:hAnsi="Calibri" w:cs="Calibri"/>
          <w:sz w:val="22"/>
          <w:szCs w:val="22"/>
        </w:rPr>
      </w:pPr>
      <w:r w:rsidRPr="002A1A91">
        <w:t xml:space="preserve">La </w:t>
      </w:r>
      <w:r w:rsidR="00C44F28">
        <w:t>situation phytosanitaire de la 3</w:t>
      </w:r>
      <w:r w:rsidRPr="002A1A91">
        <w:rPr>
          <w:vertAlign w:val="superscript"/>
        </w:rPr>
        <w:t>è</w:t>
      </w:r>
      <w:r w:rsidR="00A4037E">
        <w:t xml:space="preserve"> décade d’août</w:t>
      </w:r>
      <w:r w:rsidRPr="002A1A91">
        <w:t xml:space="preserve"> est toujours marquée </w:t>
      </w:r>
      <w:r w:rsidR="00007128">
        <w:t xml:space="preserve">par </w:t>
      </w:r>
      <w:r w:rsidRPr="002A1A91">
        <w:t xml:space="preserve">l’infestation de la </w:t>
      </w:r>
      <w:r w:rsidR="00007128">
        <w:t>C</w:t>
      </w:r>
      <w:r w:rsidRPr="002A1A91">
        <w:t xml:space="preserve">henille </w:t>
      </w:r>
      <w:r w:rsidR="003C38A4">
        <w:t>L</w:t>
      </w:r>
      <w:r w:rsidRPr="002A1A91">
        <w:t>égionnaire</w:t>
      </w:r>
      <w:r w:rsidR="003C38A4">
        <w:t xml:space="preserve"> d’A</w:t>
      </w:r>
      <w:r w:rsidR="00007128">
        <w:t>utomne</w:t>
      </w:r>
      <w:r w:rsidRPr="002A1A91">
        <w:t xml:space="preserve">. On estime à </w:t>
      </w:r>
      <w:r w:rsidR="00C44F28" w:rsidRPr="00C44F28">
        <w:rPr>
          <w:b/>
          <w:bCs/>
          <w:color w:val="000000"/>
        </w:rPr>
        <w:t>56 085,86</w:t>
      </w:r>
      <w:r w:rsidR="00C44F28">
        <w:rPr>
          <w:b/>
          <w:bCs/>
          <w:color w:val="000000"/>
        </w:rPr>
        <w:t xml:space="preserve"> </w:t>
      </w:r>
      <w:r w:rsidR="00FF35F4" w:rsidRPr="00FF35F4">
        <w:rPr>
          <w:b/>
          <w:color w:val="000000"/>
        </w:rPr>
        <w:t>ha</w:t>
      </w:r>
      <w:r w:rsidR="00FF35F4" w:rsidRPr="00FF35F4">
        <w:rPr>
          <w:color w:val="000000"/>
        </w:rPr>
        <w:t>,</w:t>
      </w:r>
      <w:r w:rsidR="00FF35F4">
        <w:rPr>
          <w:rFonts w:ascii="Calibri" w:hAnsi="Calibri" w:cs="Calibri"/>
          <w:color w:val="000000"/>
          <w:sz w:val="22"/>
          <w:szCs w:val="22"/>
        </w:rPr>
        <w:t xml:space="preserve"> </w:t>
      </w:r>
      <w:r w:rsidRPr="002A1A91">
        <w:t>la superficie</w:t>
      </w:r>
      <w:r w:rsidR="00222802">
        <w:t xml:space="preserve"> totale</w:t>
      </w:r>
      <w:r w:rsidRPr="002A1A91">
        <w:t xml:space="preserve"> </w:t>
      </w:r>
      <w:r w:rsidR="003C38A4" w:rsidRPr="002A1A91">
        <w:t>infestée</w:t>
      </w:r>
      <w:r w:rsidR="003C38A4">
        <w:t xml:space="preserve"> </w:t>
      </w:r>
      <w:r w:rsidR="00222802">
        <w:t>cumulée de la campagne</w:t>
      </w:r>
      <w:r w:rsidR="003C38A4">
        <w:t xml:space="preserve"> agricole</w:t>
      </w:r>
      <w:r w:rsidR="00222802">
        <w:t xml:space="preserve"> </w:t>
      </w:r>
      <w:r w:rsidRPr="002A1A91">
        <w:t>par la Chenill</w:t>
      </w:r>
      <w:r w:rsidR="00B85746">
        <w:t>e Légionn</w:t>
      </w:r>
      <w:r w:rsidR="00FF35F4">
        <w:t xml:space="preserve">aire d’Automne </w:t>
      </w:r>
      <w:r w:rsidR="006075F8">
        <w:t xml:space="preserve">sur </w:t>
      </w:r>
      <w:r w:rsidR="00B15A59" w:rsidRPr="00B15A59">
        <w:t>toutes les régions</w:t>
      </w:r>
      <w:r w:rsidR="006075F8">
        <w:t xml:space="preserve"> du pays</w:t>
      </w:r>
      <w:r w:rsidR="00B15A59" w:rsidRPr="00B15A59">
        <w:t xml:space="preserve">. </w:t>
      </w:r>
      <w:r w:rsidRPr="00B15A59">
        <w:t>Les cultures concernées sont le maïs, le sorgho, le mil et le riz.</w:t>
      </w:r>
      <w:r w:rsidR="00A93F00" w:rsidRPr="00B15A59">
        <w:t xml:space="preserve"> </w:t>
      </w:r>
      <w:r w:rsidRPr="00B15A59">
        <w:t xml:space="preserve">La superficie traitée avec succès est évaluée à </w:t>
      </w:r>
      <w:r w:rsidR="007D333B" w:rsidRPr="007D333B">
        <w:rPr>
          <w:b/>
          <w:bCs/>
        </w:rPr>
        <w:t>35</w:t>
      </w:r>
      <w:r w:rsidR="007D333B">
        <w:rPr>
          <w:b/>
          <w:bCs/>
        </w:rPr>
        <w:t xml:space="preserve"> </w:t>
      </w:r>
      <w:r w:rsidR="007D333B" w:rsidRPr="007D333B">
        <w:rPr>
          <w:b/>
          <w:bCs/>
        </w:rPr>
        <w:t>573,82</w:t>
      </w:r>
      <w:r w:rsidR="007D333B">
        <w:rPr>
          <w:b/>
          <w:bCs/>
        </w:rPr>
        <w:t xml:space="preserve"> </w:t>
      </w:r>
      <w:r w:rsidRPr="00B15A59">
        <w:rPr>
          <w:b/>
        </w:rPr>
        <w:t>ha</w:t>
      </w:r>
      <w:r w:rsidRPr="00B15A59">
        <w:t xml:space="preserve"> et le reste est en cours de traitement.</w:t>
      </w:r>
    </w:p>
    <w:p w:rsidR="00E5285A" w:rsidRPr="002A1A91" w:rsidRDefault="00E5285A" w:rsidP="00E5285A">
      <w:pPr>
        <w:jc w:val="both"/>
      </w:pPr>
      <w:r w:rsidRPr="002A1A91">
        <w:t>Le tableau ci-dessous présente ces superficies infestées et traitées par région :</w:t>
      </w:r>
    </w:p>
    <w:p w:rsidR="00E5285A" w:rsidRPr="002A1A91" w:rsidRDefault="00E5285A" w:rsidP="00E5285A"/>
    <w:p w:rsidR="00E5285A" w:rsidRPr="002A1A91" w:rsidRDefault="00E5285A" w:rsidP="00E5285A">
      <w:pPr>
        <w:spacing w:after="240"/>
      </w:pPr>
      <w:r w:rsidRPr="002A1A91">
        <w:rPr>
          <w:b/>
          <w:u w:val="single"/>
        </w:rPr>
        <w:t>Tableau 1 :</w:t>
      </w:r>
      <w:r w:rsidRPr="002A1A91">
        <w:t xml:space="preserve"> Sup</w:t>
      </w:r>
      <w:r w:rsidR="006075F8">
        <w:t>erficies infestées et traitées</w:t>
      </w:r>
      <w:r w:rsidRPr="002A1A91">
        <w:t xml:space="preserve"> par région.</w:t>
      </w:r>
    </w:p>
    <w:tbl>
      <w:tblPr>
        <w:tblW w:w="5005" w:type="pct"/>
        <w:tblInd w:w="-10" w:type="dxa"/>
        <w:tblLayout w:type="fixed"/>
        <w:tblCellMar>
          <w:left w:w="70" w:type="dxa"/>
          <w:right w:w="70" w:type="dxa"/>
        </w:tblCellMar>
        <w:tblLook w:val="04A0" w:firstRow="1" w:lastRow="0" w:firstColumn="1" w:lastColumn="0" w:noHBand="0" w:noVBand="1"/>
      </w:tblPr>
      <w:tblGrid>
        <w:gridCol w:w="1795"/>
        <w:gridCol w:w="1795"/>
        <w:gridCol w:w="1377"/>
        <w:gridCol w:w="1134"/>
        <w:gridCol w:w="1135"/>
        <w:gridCol w:w="991"/>
        <w:gridCol w:w="1493"/>
      </w:tblGrid>
      <w:tr w:rsidR="006A45AA" w:rsidRPr="002A1A91" w:rsidTr="006A45AA">
        <w:trPr>
          <w:trHeight w:val="260"/>
        </w:trPr>
        <w:tc>
          <w:tcPr>
            <w:tcW w:w="923" w:type="pct"/>
            <w:tcBorders>
              <w:top w:val="single" w:sz="4" w:space="0" w:color="auto"/>
              <w:left w:val="single" w:sz="4" w:space="0" w:color="auto"/>
              <w:right w:val="single" w:sz="4" w:space="0" w:color="auto"/>
            </w:tcBorders>
            <w:shd w:val="clear" w:color="auto" w:fill="D9D9D9" w:themeFill="background1" w:themeFillShade="D9"/>
          </w:tcPr>
          <w:p w:rsidR="006A45AA" w:rsidRPr="002A1A91" w:rsidRDefault="006A45AA" w:rsidP="00255257">
            <w:pPr>
              <w:jc w:val="center"/>
              <w:rPr>
                <w:b/>
                <w:bCs/>
              </w:rPr>
            </w:pPr>
            <w:r>
              <w:rPr>
                <w:b/>
                <w:bCs/>
              </w:rPr>
              <w:t>Région</w:t>
            </w:r>
          </w:p>
        </w:tc>
        <w:tc>
          <w:tcPr>
            <w:tcW w:w="923" w:type="pct"/>
            <w:vMerge w:val="restart"/>
            <w:tcBorders>
              <w:top w:val="single" w:sz="4" w:space="0" w:color="auto"/>
              <w:left w:val="single" w:sz="4" w:space="0" w:color="auto"/>
              <w:right w:val="single" w:sz="4" w:space="0" w:color="auto"/>
            </w:tcBorders>
            <w:shd w:val="clear" w:color="auto" w:fill="D9D9D9" w:themeFill="background1" w:themeFillShade="D9"/>
          </w:tcPr>
          <w:p w:rsidR="006A45AA" w:rsidRPr="006075F8" w:rsidRDefault="006A45AA" w:rsidP="00255257">
            <w:pPr>
              <w:jc w:val="center"/>
              <w:rPr>
                <w:b/>
                <w:bCs/>
              </w:rPr>
            </w:pPr>
            <w:r w:rsidRPr="006075F8">
              <w:rPr>
                <w:b/>
                <w:bCs/>
                <w:color w:val="000000"/>
              </w:rPr>
              <w:t>Sup prospectées</w:t>
            </w:r>
          </w:p>
        </w:tc>
        <w:tc>
          <w:tcPr>
            <w:tcW w:w="2385"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45AA" w:rsidRPr="002A1A91" w:rsidRDefault="006A45AA" w:rsidP="00255257">
            <w:pPr>
              <w:jc w:val="center"/>
              <w:rPr>
                <w:b/>
                <w:bCs/>
              </w:rPr>
            </w:pPr>
            <w:r w:rsidRPr="002A1A91">
              <w:rPr>
                <w:b/>
                <w:bCs/>
              </w:rPr>
              <w:t>Sup</w:t>
            </w:r>
            <w:r>
              <w:rPr>
                <w:b/>
                <w:bCs/>
              </w:rPr>
              <w:t>erficies</w:t>
            </w:r>
            <w:r w:rsidRPr="002A1A91">
              <w:rPr>
                <w:b/>
                <w:bCs/>
              </w:rPr>
              <w:t xml:space="preserve"> infestées</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45AA" w:rsidRDefault="006A45AA" w:rsidP="00255257">
            <w:pPr>
              <w:jc w:val="center"/>
              <w:rPr>
                <w:b/>
                <w:bCs/>
              </w:rPr>
            </w:pPr>
            <w:r w:rsidRPr="002A1A91">
              <w:rPr>
                <w:b/>
                <w:bCs/>
              </w:rPr>
              <w:t>Sup</w:t>
            </w:r>
            <w:r w:rsidR="003C38A4">
              <w:rPr>
                <w:b/>
                <w:bCs/>
              </w:rPr>
              <w:t>erficies</w:t>
            </w:r>
          </w:p>
          <w:p w:rsidR="006A45AA" w:rsidRPr="002A1A91" w:rsidRDefault="006A45AA" w:rsidP="00255257">
            <w:pPr>
              <w:jc w:val="center"/>
              <w:rPr>
                <w:b/>
                <w:bCs/>
              </w:rPr>
            </w:pPr>
            <w:r w:rsidRPr="002A1A91">
              <w:rPr>
                <w:b/>
                <w:bCs/>
              </w:rPr>
              <w:t xml:space="preserve"> traitées </w:t>
            </w:r>
          </w:p>
        </w:tc>
      </w:tr>
      <w:tr w:rsidR="006A45AA" w:rsidRPr="002A1A91" w:rsidTr="006A45AA">
        <w:trPr>
          <w:trHeight w:val="206"/>
        </w:trPr>
        <w:tc>
          <w:tcPr>
            <w:tcW w:w="923" w:type="pct"/>
            <w:tcBorders>
              <w:left w:val="single" w:sz="4" w:space="0" w:color="auto"/>
              <w:bottom w:val="single" w:sz="4" w:space="0" w:color="auto"/>
              <w:right w:val="single" w:sz="4" w:space="0" w:color="auto"/>
            </w:tcBorders>
            <w:shd w:val="clear" w:color="auto" w:fill="D9D9D9" w:themeFill="background1" w:themeFillShade="D9"/>
          </w:tcPr>
          <w:p w:rsidR="006A45AA" w:rsidRPr="002A1A91" w:rsidRDefault="006A45AA" w:rsidP="00255257">
            <w:pPr>
              <w:rPr>
                <w:b/>
                <w:bCs/>
              </w:rPr>
            </w:pPr>
          </w:p>
        </w:tc>
        <w:tc>
          <w:tcPr>
            <w:tcW w:w="923" w:type="pct"/>
            <w:vMerge/>
            <w:tcBorders>
              <w:left w:val="single" w:sz="4" w:space="0" w:color="auto"/>
              <w:bottom w:val="single" w:sz="4" w:space="0" w:color="auto"/>
              <w:right w:val="single" w:sz="4" w:space="0" w:color="auto"/>
            </w:tcBorders>
            <w:shd w:val="clear" w:color="auto" w:fill="D9D9D9" w:themeFill="background1" w:themeFillShade="D9"/>
          </w:tcPr>
          <w:p w:rsidR="006A45AA" w:rsidRPr="006075F8" w:rsidRDefault="006A45AA" w:rsidP="00255257">
            <w:pPr>
              <w:rPr>
                <w:b/>
                <w:bCs/>
              </w:rPr>
            </w:pPr>
          </w:p>
        </w:tc>
        <w:tc>
          <w:tcPr>
            <w:tcW w:w="708" w:type="pct"/>
            <w:tcBorders>
              <w:top w:val="nil"/>
              <w:left w:val="nil"/>
              <w:bottom w:val="single" w:sz="4" w:space="0" w:color="auto"/>
              <w:right w:val="single" w:sz="4" w:space="0" w:color="auto"/>
            </w:tcBorders>
            <w:shd w:val="clear" w:color="auto" w:fill="D9D9D9" w:themeFill="background1" w:themeFillShade="D9"/>
            <w:noWrap/>
            <w:vAlign w:val="bottom"/>
            <w:hideMark/>
          </w:tcPr>
          <w:p w:rsidR="006A45AA" w:rsidRPr="002A1A91" w:rsidRDefault="006A45AA" w:rsidP="00255257">
            <w:pPr>
              <w:rPr>
                <w:b/>
                <w:bCs/>
              </w:rPr>
            </w:pPr>
            <w:r w:rsidRPr="002A1A91">
              <w:rPr>
                <w:b/>
                <w:bCs/>
              </w:rPr>
              <w:t xml:space="preserve">Maïs </w:t>
            </w:r>
          </w:p>
        </w:tc>
        <w:tc>
          <w:tcPr>
            <w:tcW w:w="583" w:type="pct"/>
            <w:tcBorders>
              <w:top w:val="nil"/>
              <w:left w:val="nil"/>
              <w:bottom w:val="single" w:sz="4" w:space="0" w:color="auto"/>
              <w:right w:val="single" w:sz="4" w:space="0" w:color="auto"/>
            </w:tcBorders>
            <w:shd w:val="clear" w:color="auto" w:fill="D9D9D9" w:themeFill="background1" w:themeFillShade="D9"/>
            <w:noWrap/>
            <w:vAlign w:val="bottom"/>
            <w:hideMark/>
          </w:tcPr>
          <w:p w:rsidR="006A45AA" w:rsidRPr="002A1A91" w:rsidRDefault="006A45AA" w:rsidP="00255257">
            <w:pPr>
              <w:rPr>
                <w:b/>
                <w:bCs/>
              </w:rPr>
            </w:pPr>
            <w:r w:rsidRPr="002A1A91">
              <w:rPr>
                <w:b/>
                <w:bCs/>
              </w:rPr>
              <w:t>Sorgho</w:t>
            </w:r>
          </w:p>
        </w:tc>
        <w:tc>
          <w:tcPr>
            <w:tcW w:w="584" w:type="pct"/>
            <w:tcBorders>
              <w:top w:val="nil"/>
              <w:left w:val="nil"/>
              <w:bottom w:val="single" w:sz="4" w:space="0" w:color="auto"/>
              <w:right w:val="single" w:sz="4" w:space="0" w:color="auto"/>
            </w:tcBorders>
            <w:shd w:val="clear" w:color="auto" w:fill="D9D9D9" w:themeFill="background1" w:themeFillShade="D9"/>
            <w:noWrap/>
            <w:vAlign w:val="center"/>
            <w:hideMark/>
          </w:tcPr>
          <w:p w:rsidR="006A45AA" w:rsidRPr="002A1A91" w:rsidRDefault="006A45AA" w:rsidP="00255257">
            <w:pPr>
              <w:jc w:val="center"/>
              <w:rPr>
                <w:b/>
                <w:bCs/>
              </w:rPr>
            </w:pPr>
            <w:r w:rsidRPr="002A1A91">
              <w:rPr>
                <w:b/>
                <w:bCs/>
              </w:rPr>
              <w:t>Mil</w:t>
            </w:r>
          </w:p>
        </w:tc>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5AA" w:rsidRPr="002A1A91" w:rsidRDefault="006A45AA" w:rsidP="00255257">
            <w:pPr>
              <w:jc w:val="center"/>
              <w:rPr>
                <w:b/>
                <w:bCs/>
              </w:rPr>
            </w:pPr>
            <w:r w:rsidRPr="002A1A91">
              <w:rPr>
                <w:b/>
                <w:bCs/>
              </w:rPr>
              <w:t>Riz</w:t>
            </w:r>
          </w:p>
        </w:tc>
        <w:tc>
          <w:tcPr>
            <w:tcW w:w="7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45AA" w:rsidRPr="002A1A91" w:rsidRDefault="006A45AA" w:rsidP="00255257">
            <w:pPr>
              <w:rPr>
                <w:b/>
                <w:bCs/>
              </w:rPr>
            </w:pPr>
          </w:p>
        </w:tc>
      </w:tr>
      <w:tr w:rsidR="00C44F28" w:rsidRPr="002A1A91" w:rsidTr="00FD4332">
        <w:trPr>
          <w:trHeight w:val="315"/>
        </w:trPr>
        <w:tc>
          <w:tcPr>
            <w:tcW w:w="923" w:type="pct"/>
            <w:tcBorders>
              <w:top w:val="nil"/>
              <w:left w:val="single" w:sz="4" w:space="0" w:color="auto"/>
              <w:bottom w:val="single" w:sz="4" w:space="0" w:color="auto"/>
              <w:right w:val="single" w:sz="4" w:space="0" w:color="auto"/>
            </w:tcBorders>
          </w:tcPr>
          <w:p w:rsidR="00C44F28" w:rsidRPr="002A1A91" w:rsidRDefault="00C44F28" w:rsidP="00C44F28">
            <w:r w:rsidRPr="002A1A91">
              <w:t>Boucle du Mouhoun</w:t>
            </w:r>
          </w:p>
        </w:tc>
        <w:tc>
          <w:tcPr>
            <w:tcW w:w="923" w:type="pct"/>
            <w:tcBorders>
              <w:top w:val="nil"/>
              <w:left w:val="single" w:sz="4" w:space="0" w:color="auto"/>
              <w:bottom w:val="single" w:sz="4" w:space="0" w:color="auto"/>
              <w:right w:val="single" w:sz="4" w:space="0" w:color="auto"/>
            </w:tcBorders>
          </w:tcPr>
          <w:p w:rsidR="00C44F28" w:rsidRPr="00AC324B" w:rsidRDefault="00C44F28" w:rsidP="007D333B">
            <w:pPr>
              <w:jc w:val="center"/>
            </w:pPr>
            <w:r w:rsidRPr="00AC324B">
              <w:t>10</w:t>
            </w:r>
            <w:r w:rsidR="003C38A4">
              <w:t xml:space="preserve"> </w:t>
            </w:r>
            <w:r w:rsidRPr="00AC324B">
              <w:t>762,35</w:t>
            </w:r>
          </w:p>
        </w:tc>
        <w:tc>
          <w:tcPr>
            <w:tcW w:w="708" w:type="pct"/>
            <w:tcBorders>
              <w:top w:val="nil"/>
              <w:left w:val="nil"/>
              <w:bottom w:val="single" w:sz="4" w:space="0" w:color="auto"/>
              <w:right w:val="single" w:sz="4" w:space="0" w:color="auto"/>
            </w:tcBorders>
            <w:shd w:val="clear" w:color="auto" w:fill="auto"/>
            <w:noWrap/>
          </w:tcPr>
          <w:p w:rsidR="00C44F28" w:rsidRPr="00AC324B" w:rsidRDefault="00C44F28" w:rsidP="007D333B">
            <w:pPr>
              <w:jc w:val="center"/>
            </w:pPr>
            <w:r w:rsidRPr="00AC324B">
              <w:t>10</w:t>
            </w:r>
            <w:r w:rsidR="003C38A4">
              <w:t xml:space="preserve"> </w:t>
            </w:r>
            <w:r w:rsidRPr="00AC324B">
              <w:t>327,75</w:t>
            </w:r>
          </w:p>
        </w:tc>
        <w:tc>
          <w:tcPr>
            <w:tcW w:w="583" w:type="pct"/>
            <w:tcBorders>
              <w:top w:val="nil"/>
              <w:left w:val="nil"/>
              <w:bottom w:val="single" w:sz="4" w:space="0" w:color="auto"/>
              <w:right w:val="single" w:sz="4" w:space="0" w:color="auto"/>
            </w:tcBorders>
            <w:shd w:val="clear" w:color="auto" w:fill="auto"/>
            <w:noWrap/>
          </w:tcPr>
          <w:p w:rsidR="00C44F28" w:rsidRPr="00AC324B" w:rsidRDefault="00C44F28" w:rsidP="007D333B">
            <w:pPr>
              <w:jc w:val="center"/>
            </w:pPr>
            <w:r w:rsidRPr="00AC324B">
              <w:t>284,5</w:t>
            </w:r>
          </w:p>
        </w:tc>
        <w:tc>
          <w:tcPr>
            <w:tcW w:w="584" w:type="pct"/>
            <w:tcBorders>
              <w:top w:val="nil"/>
              <w:left w:val="nil"/>
              <w:bottom w:val="single" w:sz="4" w:space="0" w:color="auto"/>
              <w:right w:val="single" w:sz="4" w:space="0" w:color="auto"/>
            </w:tcBorders>
            <w:shd w:val="clear" w:color="auto" w:fill="auto"/>
            <w:noWrap/>
          </w:tcPr>
          <w:p w:rsidR="00C44F28" w:rsidRPr="00AC324B" w:rsidRDefault="00C44F28" w:rsidP="007D333B">
            <w:pPr>
              <w:jc w:val="center"/>
            </w:pPr>
            <w:r w:rsidRPr="00AC324B">
              <w:t>0</w:t>
            </w:r>
          </w:p>
        </w:tc>
        <w:tc>
          <w:tcPr>
            <w:tcW w:w="510" w:type="pct"/>
            <w:tcBorders>
              <w:top w:val="nil"/>
              <w:left w:val="nil"/>
              <w:bottom w:val="single" w:sz="4" w:space="0" w:color="auto"/>
              <w:right w:val="single" w:sz="4" w:space="0" w:color="auto"/>
            </w:tcBorders>
            <w:shd w:val="clear" w:color="auto" w:fill="auto"/>
          </w:tcPr>
          <w:p w:rsidR="00C44F28" w:rsidRPr="00AC324B" w:rsidRDefault="00C44F28" w:rsidP="007D333B">
            <w:pPr>
              <w:jc w:val="center"/>
            </w:pPr>
            <w:r w:rsidRPr="00AC324B">
              <w:t>150</w:t>
            </w:r>
          </w:p>
        </w:tc>
        <w:tc>
          <w:tcPr>
            <w:tcW w:w="768" w:type="pct"/>
            <w:tcBorders>
              <w:top w:val="nil"/>
              <w:left w:val="nil"/>
              <w:bottom w:val="single" w:sz="4" w:space="0" w:color="auto"/>
              <w:right w:val="single" w:sz="4" w:space="0" w:color="auto"/>
            </w:tcBorders>
            <w:shd w:val="clear" w:color="auto" w:fill="auto"/>
            <w:noWrap/>
          </w:tcPr>
          <w:p w:rsidR="00C44F28" w:rsidRPr="00AC324B" w:rsidRDefault="00C44F28" w:rsidP="007D333B">
            <w:pPr>
              <w:jc w:val="center"/>
            </w:pPr>
            <w:r w:rsidRPr="00AC324B">
              <w:t>7670</w:t>
            </w:r>
          </w:p>
        </w:tc>
      </w:tr>
      <w:tr w:rsidR="00FE60A5" w:rsidRPr="002A1A91" w:rsidTr="00330E15">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Cascades</w:t>
            </w:r>
          </w:p>
        </w:tc>
        <w:tc>
          <w:tcPr>
            <w:tcW w:w="923" w:type="pct"/>
            <w:tcBorders>
              <w:top w:val="nil"/>
              <w:left w:val="nil"/>
              <w:bottom w:val="single" w:sz="4" w:space="0" w:color="auto"/>
              <w:right w:val="single" w:sz="4" w:space="0" w:color="auto"/>
            </w:tcBorders>
            <w:shd w:val="clear" w:color="auto" w:fill="auto"/>
          </w:tcPr>
          <w:p w:rsidR="00FE60A5" w:rsidRPr="00D96B1E" w:rsidRDefault="00FE60A5" w:rsidP="007D333B">
            <w:pPr>
              <w:jc w:val="center"/>
            </w:pPr>
            <w:r w:rsidRPr="00D96B1E">
              <w:t>17</w:t>
            </w:r>
            <w:r w:rsidR="003C38A4">
              <w:t xml:space="preserve"> </w:t>
            </w:r>
            <w:r w:rsidRPr="00D96B1E">
              <w:t>023</w:t>
            </w:r>
          </w:p>
        </w:tc>
        <w:tc>
          <w:tcPr>
            <w:tcW w:w="708" w:type="pct"/>
            <w:tcBorders>
              <w:top w:val="nil"/>
              <w:left w:val="nil"/>
              <w:bottom w:val="single" w:sz="4" w:space="0" w:color="auto"/>
              <w:right w:val="single" w:sz="4" w:space="0" w:color="auto"/>
            </w:tcBorders>
            <w:shd w:val="clear" w:color="auto" w:fill="auto"/>
            <w:noWrap/>
          </w:tcPr>
          <w:p w:rsidR="00FE60A5" w:rsidRPr="00D96B1E" w:rsidRDefault="00FE60A5" w:rsidP="007D333B">
            <w:pPr>
              <w:jc w:val="center"/>
            </w:pPr>
            <w:r w:rsidRPr="00D96B1E">
              <w:t>14</w:t>
            </w:r>
            <w:r w:rsidR="003C38A4">
              <w:t xml:space="preserve"> </w:t>
            </w:r>
            <w:r w:rsidRPr="00D96B1E">
              <w:t>537,95</w:t>
            </w:r>
          </w:p>
        </w:tc>
        <w:tc>
          <w:tcPr>
            <w:tcW w:w="583" w:type="pct"/>
            <w:tcBorders>
              <w:top w:val="nil"/>
              <w:left w:val="nil"/>
              <w:bottom w:val="single" w:sz="4" w:space="0" w:color="auto"/>
              <w:right w:val="single" w:sz="4" w:space="0" w:color="auto"/>
            </w:tcBorders>
            <w:shd w:val="clear" w:color="auto" w:fill="auto"/>
            <w:noWrap/>
          </w:tcPr>
          <w:p w:rsidR="00FE60A5" w:rsidRPr="00D96B1E" w:rsidRDefault="00FE60A5" w:rsidP="007D333B">
            <w:pPr>
              <w:jc w:val="center"/>
            </w:pPr>
            <w:r w:rsidRPr="00D96B1E">
              <w:t>298,7</w:t>
            </w:r>
          </w:p>
        </w:tc>
        <w:tc>
          <w:tcPr>
            <w:tcW w:w="584" w:type="pct"/>
            <w:tcBorders>
              <w:top w:val="nil"/>
              <w:left w:val="nil"/>
              <w:bottom w:val="single" w:sz="4" w:space="0" w:color="auto"/>
              <w:right w:val="single" w:sz="4" w:space="0" w:color="auto"/>
            </w:tcBorders>
            <w:shd w:val="clear" w:color="auto" w:fill="auto"/>
            <w:noWrap/>
          </w:tcPr>
          <w:p w:rsidR="00FE60A5" w:rsidRPr="00D96B1E" w:rsidRDefault="00FE60A5" w:rsidP="007D333B">
            <w:pPr>
              <w:jc w:val="center"/>
            </w:pPr>
            <w:r w:rsidRPr="00D96B1E">
              <w:t>150</w:t>
            </w:r>
          </w:p>
        </w:tc>
        <w:tc>
          <w:tcPr>
            <w:tcW w:w="510" w:type="pct"/>
            <w:tcBorders>
              <w:top w:val="nil"/>
              <w:left w:val="nil"/>
              <w:bottom w:val="single" w:sz="4" w:space="0" w:color="auto"/>
              <w:right w:val="single" w:sz="4" w:space="0" w:color="auto"/>
            </w:tcBorders>
            <w:shd w:val="clear" w:color="auto" w:fill="auto"/>
          </w:tcPr>
          <w:p w:rsidR="00FE60A5" w:rsidRPr="00D96B1E" w:rsidRDefault="00FE60A5" w:rsidP="007D333B">
            <w:pPr>
              <w:jc w:val="center"/>
            </w:pPr>
            <w:r w:rsidRPr="00D96B1E">
              <w:t>818,75</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D96B1E">
              <w:t>15</w:t>
            </w:r>
            <w:r w:rsidR="003C38A4">
              <w:t xml:space="preserve"> </w:t>
            </w:r>
            <w:r w:rsidRPr="00D96B1E">
              <w:t>198</w:t>
            </w:r>
          </w:p>
        </w:tc>
      </w:tr>
      <w:tr w:rsidR="00FE60A5" w:rsidRPr="002A1A91" w:rsidTr="00A021E3">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Centre-Est</w:t>
            </w:r>
          </w:p>
        </w:tc>
        <w:tc>
          <w:tcPr>
            <w:tcW w:w="923" w:type="pct"/>
            <w:tcBorders>
              <w:top w:val="nil"/>
              <w:left w:val="single" w:sz="4" w:space="0" w:color="auto"/>
              <w:bottom w:val="single" w:sz="4" w:space="0" w:color="auto"/>
              <w:right w:val="single" w:sz="4" w:space="0" w:color="auto"/>
            </w:tcBorders>
          </w:tcPr>
          <w:p w:rsidR="00FE60A5" w:rsidRPr="00CA4773" w:rsidRDefault="00FE60A5" w:rsidP="007D333B">
            <w:pPr>
              <w:jc w:val="center"/>
            </w:pPr>
            <w:r w:rsidRPr="00CA4773">
              <w:t>2</w:t>
            </w:r>
            <w:r w:rsidR="003C38A4">
              <w:t xml:space="preserve"> </w:t>
            </w:r>
            <w:r w:rsidRPr="00CA4773">
              <w:t>682,72</w:t>
            </w:r>
          </w:p>
        </w:tc>
        <w:tc>
          <w:tcPr>
            <w:tcW w:w="708" w:type="pct"/>
            <w:tcBorders>
              <w:top w:val="nil"/>
              <w:left w:val="nil"/>
              <w:bottom w:val="single" w:sz="4" w:space="0" w:color="auto"/>
              <w:right w:val="single" w:sz="4" w:space="0" w:color="auto"/>
            </w:tcBorders>
            <w:shd w:val="clear" w:color="auto" w:fill="auto"/>
            <w:noWrap/>
          </w:tcPr>
          <w:p w:rsidR="00FE60A5" w:rsidRPr="00CA4773" w:rsidRDefault="00FE60A5" w:rsidP="007D333B">
            <w:pPr>
              <w:jc w:val="center"/>
            </w:pPr>
            <w:r w:rsidRPr="00CA4773">
              <w:t>1</w:t>
            </w:r>
            <w:r w:rsidR="003C38A4">
              <w:t xml:space="preserve"> </w:t>
            </w:r>
            <w:r w:rsidRPr="00CA4773">
              <w:t>839,32</w:t>
            </w:r>
          </w:p>
        </w:tc>
        <w:tc>
          <w:tcPr>
            <w:tcW w:w="583" w:type="pct"/>
            <w:tcBorders>
              <w:top w:val="nil"/>
              <w:left w:val="nil"/>
              <w:bottom w:val="single" w:sz="4" w:space="0" w:color="auto"/>
              <w:right w:val="single" w:sz="4" w:space="0" w:color="auto"/>
            </w:tcBorders>
            <w:shd w:val="clear" w:color="auto" w:fill="auto"/>
            <w:noWrap/>
          </w:tcPr>
          <w:p w:rsidR="00FE60A5" w:rsidRPr="00CA4773" w:rsidRDefault="00FE60A5" w:rsidP="007D333B">
            <w:pPr>
              <w:jc w:val="center"/>
            </w:pPr>
            <w:r w:rsidRPr="00CA4773">
              <w:t>321,7</w:t>
            </w:r>
          </w:p>
        </w:tc>
        <w:tc>
          <w:tcPr>
            <w:tcW w:w="584" w:type="pct"/>
            <w:tcBorders>
              <w:top w:val="nil"/>
              <w:left w:val="nil"/>
              <w:bottom w:val="single" w:sz="4" w:space="0" w:color="auto"/>
              <w:right w:val="single" w:sz="4" w:space="0" w:color="auto"/>
            </w:tcBorders>
            <w:shd w:val="clear" w:color="auto" w:fill="auto"/>
            <w:noWrap/>
          </w:tcPr>
          <w:p w:rsidR="00FE60A5" w:rsidRPr="00CA4773" w:rsidRDefault="00FE60A5" w:rsidP="007D333B">
            <w:pPr>
              <w:jc w:val="center"/>
            </w:pPr>
            <w:r w:rsidRPr="00CA4773">
              <w:t>5</w:t>
            </w:r>
          </w:p>
        </w:tc>
        <w:tc>
          <w:tcPr>
            <w:tcW w:w="510" w:type="pct"/>
            <w:tcBorders>
              <w:top w:val="nil"/>
              <w:left w:val="nil"/>
              <w:bottom w:val="single" w:sz="4" w:space="0" w:color="auto"/>
              <w:right w:val="single" w:sz="4" w:space="0" w:color="auto"/>
            </w:tcBorders>
            <w:shd w:val="clear" w:color="auto" w:fill="auto"/>
          </w:tcPr>
          <w:p w:rsidR="00FE60A5" w:rsidRPr="00CA4773" w:rsidRDefault="00FE60A5" w:rsidP="007D333B">
            <w:pPr>
              <w:jc w:val="center"/>
            </w:pPr>
            <w:r w:rsidRPr="00CA4773">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CA4773">
              <w:t>1</w:t>
            </w:r>
            <w:r w:rsidR="003C38A4">
              <w:t xml:space="preserve"> </w:t>
            </w:r>
            <w:r w:rsidRPr="00CA4773">
              <w:t>549,82</w:t>
            </w:r>
          </w:p>
        </w:tc>
      </w:tr>
      <w:tr w:rsidR="00FE60A5" w:rsidRPr="002A1A91" w:rsidTr="00BF600C">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t>Centre-Nord</w:t>
            </w:r>
          </w:p>
        </w:tc>
        <w:tc>
          <w:tcPr>
            <w:tcW w:w="923" w:type="pct"/>
            <w:tcBorders>
              <w:top w:val="nil"/>
              <w:left w:val="single" w:sz="4" w:space="0" w:color="auto"/>
              <w:bottom w:val="single" w:sz="4" w:space="0" w:color="auto"/>
              <w:right w:val="single" w:sz="4" w:space="0" w:color="auto"/>
            </w:tcBorders>
          </w:tcPr>
          <w:p w:rsidR="00FE60A5" w:rsidRPr="003C6C9C" w:rsidRDefault="00FE60A5" w:rsidP="007D333B">
            <w:pPr>
              <w:jc w:val="center"/>
            </w:pPr>
            <w:r w:rsidRPr="003C6C9C">
              <w:t>367</w:t>
            </w:r>
          </w:p>
        </w:tc>
        <w:tc>
          <w:tcPr>
            <w:tcW w:w="708" w:type="pct"/>
            <w:tcBorders>
              <w:top w:val="nil"/>
              <w:left w:val="nil"/>
              <w:bottom w:val="single" w:sz="4" w:space="0" w:color="auto"/>
              <w:right w:val="single" w:sz="4" w:space="0" w:color="auto"/>
            </w:tcBorders>
            <w:shd w:val="clear" w:color="auto" w:fill="auto"/>
            <w:noWrap/>
          </w:tcPr>
          <w:p w:rsidR="00FE60A5" w:rsidRPr="003C6C9C" w:rsidRDefault="00FE60A5" w:rsidP="007D333B">
            <w:pPr>
              <w:jc w:val="center"/>
            </w:pPr>
            <w:r w:rsidRPr="003C6C9C">
              <w:t>195</w:t>
            </w:r>
          </w:p>
        </w:tc>
        <w:tc>
          <w:tcPr>
            <w:tcW w:w="583" w:type="pct"/>
            <w:tcBorders>
              <w:top w:val="nil"/>
              <w:left w:val="nil"/>
              <w:bottom w:val="single" w:sz="4" w:space="0" w:color="auto"/>
              <w:right w:val="single" w:sz="4" w:space="0" w:color="auto"/>
            </w:tcBorders>
            <w:shd w:val="clear" w:color="auto" w:fill="auto"/>
            <w:noWrap/>
          </w:tcPr>
          <w:p w:rsidR="00FE60A5" w:rsidRPr="003C6C9C" w:rsidRDefault="00FE60A5" w:rsidP="007D333B">
            <w:pPr>
              <w:jc w:val="center"/>
            </w:pPr>
            <w:r w:rsidRPr="003C6C9C">
              <w:t>74</w:t>
            </w:r>
          </w:p>
        </w:tc>
        <w:tc>
          <w:tcPr>
            <w:tcW w:w="584" w:type="pct"/>
            <w:tcBorders>
              <w:top w:val="nil"/>
              <w:left w:val="nil"/>
              <w:bottom w:val="single" w:sz="4" w:space="0" w:color="auto"/>
              <w:right w:val="single" w:sz="4" w:space="0" w:color="auto"/>
            </w:tcBorders>
            <w:shd w:val="clear" w:color="auto" w:fill="auto"/>
            <w:noWrap/>
          </w:tcPr>
          <w:p w:rsidR="00FE60A5" w:rsidRPr="003C6C9C" w:rsidRDefault="00FE60A5" w:rsidP="007D333B">
            <w:pPr>
              <w:jc w:val="center"/>
            </w:pPr>
            <w:r w:rsidRPr="003C6C9C">
              <w:t>0</w:t>
            </w:r>
          </w:p>
        </w:tc>
        <w:tc>
          <w:tcPr>
            <w:tcW w:w="510" w:type="pct"/>
            <w:tcBorders>
              <w:top w:val="nil"/>
              <w:left w:val="nil"/>
              <w:bottom w:val="single" w:sz="4" w:space="0" w:color="auto"/>
              <w:right w:val="single" w:sz="4" w:space="0" w:color="auto"/>
            </w:tcBorders>
            <w:shd w:val="clear" w:color="auto" w:fill="auto"/>
          </w:tcPr>
          <w:p w:rsidR="00FE60A5" w:rsidRPr="003C6C9C" w:rsidRDefault="00FE60A5" w:rsidP="007D333B">
            <w:pPr>
              <w:jc w:val="center"/>
            </w:pPr>
            <w:r w:rsidRPr="003C6C9C">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3C6C9C">
              <w:t>267</w:t>
            </w:r>
          </w:p>
        </w:tc>
      </w:tr>
      <w:tr w:rsidR="00FE60A5" w:rsidRPr="002A1A91" w:rsidTr="005D1638">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Centre-Ouest</w:t>
            </w:r>
          </w:p>
        </w:tc>
        <w:tc>
          <w:tcPr>
            <w:tcW w:w="923" w:type="pct"/>
            <w:tcBorders>
              <w:top w:val="nil"/>
              <w:left w:val="single" w:sz="4" w:space="0" w:color="auto"/>
              <w:bottom w:val="single" w:sz="4" w:space="0" w:color="auto"/>
              <w:right w:val="single" w:sz="4" w:space="0" w:color="auto"/>
            </w:tcBorders>
          </w:tcPr>
          <w:p w:rsidR="00FE60A5" w:rsidRPr="00AB3A1F" w:rsidRDefault="00FE60A5" w:rsidP="007D333B">
            <w:pPr>
              <w:jc w:val="center"/>
            </w:pPr>
            <w:r w:rsidRPr="00AB3A1F">
              <w:t>5</w:t>
            </w:r>
            <w:r w:rsidR="003C38A4">
              <w:t xml:space="preserve"> </w:t>
            </w:r>
            <w:r w:rsidRPr="00AB3A1F">
              <w:t>806,5</w:t>
            </w:r>
          </w:p>
        </w:tc>
        <w:tc>
          <w:tcPr>
            <w:tcW w:w="708" w:type="pct"/>
            <w:tcBorders>
              <w:top w:val="nil"/>
              <w:left w:val="nil"/>
              <w:bottom w:val="single" w:sz="4" w:space="0" w:color="auto"/>
              <w:right w:val="single" w:sz="4" w:space="0" w:color="auto"/>
            </w:tcBorders>
            <w:shd w:val="clear" w:color="auto" w:fill="auto"/>
            <w:noWrap/>
          </w:tcPr>
          <w:p w:rsidR="00FE60A5" w:rsidRPr="00AB3A1F" w:rsidRDefault="00FE60A5" w:rsidP="007D333B">
            <w:pPr>
              <w:jc w:val="center"/>
            </w:pPr>
            <w:r w:rsidRPr="00AB3A1F">
              <w:t>2</w:t>
            </w:r>
            <w:r w:rsidR="003C38A4">
              <w:t xml:space="preserve"> </w:t>
            </w:r>
            <w:r w:rsidRPr="00AB3A1F">
              <w:t>725,25</w:t>
            </w:r>
          </w:p>
        </w:tc>
        <w:tc>
          <w:tcPr>
            <w:tcW w:w="583" w:type="pct"/>
            <w:tcBorders>
              <w:top w:val="nil"/>
              <w:left w:val="nil"/>
              <w:bottom w:val="single" w:sz="4" w:space="0" w:color="auto"/>
              <w:right w:val="single" w:sz="4" w:space="0" w:color="auto"/>
            </w:tcBorders>
            <w:shd w:val="clear" w:color="auto" w:fill="auto"/>
            <w:noWrap/>
          </w:tcPr>
          <w:p w:rsidR="00FE60A5" w:rsidRPr="00AB3A1F" w:rsidRDefault="00FE60A5" w:rsidP="007D333B">
            <w:pPr>
              <w:jc w:val="center"/>
            </w:pPr>
            <w:r w:rsidRPr="00AB3A1F">
              <w:t>170</w:t>
            </w:r>
          </w:p>
        </w:tc>
        <w:tc>
          <w:tcPr>
            <w:tcW w:w="584" w:type="pct"/>
            <w:tcBorders>
              <w:top w:val="nil"/>
              <w:left w:val="nil"/>
              <w:bottom w:val="single" w:sz="4" w:space="0" w:color="auto"/>
              <w:right w:val="single" w:sz="4" w:space="0" w:color="auto"/>
            </w:tcBorders>
            <w:shd w:val="clear" w:color="auto" w:fill="auto"/>
            <w:noWrap/>
          </w:tcPr>
          <w:p w:rsidR="00FE60A5" w:rsidRPr="00AB3A1F" w:rsidRDefault="00FE60A5" w:rsidP="007D333B">
            <w:pPr>
              <w:jc w:val="center"/>
            </w:pPr>
            <w:r w:rsidRPr="00AB3A1F">
              <w:t>0</w:t>
            </w:r>
          </w:p>
        </w:tc>
        <w:tc>
          <w:tcPr>
            <w:tcW w:w="510" w:type="pct"/>
            <w:tcBorders>
              <w:top w:val="nil"/>
              <w:left w:val="nil"/>
              <w:bottom w:val="single" w:sz="4" w:space="0" w:color="auto"/>
              <w:right w:val="single" w:sz="4" w:space="0" w:color="auto"/>
            </w:tcBorders>
            <w:shd w:val="clear" w:color="auto" w:fill="auto"/>
          </w:tcPr>
          <w:p w:rsidR="00FE60A5" w:rsidRPr="00AB3A1F" w:rsidRDefault="00FE60A5" w:rsidP="007D333B">
            <w:pPr>
              <w:jc w:val="center"/>
            </w:pPr>
            <w:r w:rsidRPr="00AB3A1F">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AB3A1F">
              <w:t>599,5</w:t>
            </w:r>
          </w:p>
        </w:tc>
      </w:tr>
      <w:tr w:rsidR="00FE60A5" w:rsidRPr="002A1A91" w:rsidTr="00BD6D17">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Centre-Sud</w:t>
            </w:r>
          </w:p>
        </w:tc>
        <w:tc>
          <w:tcPr>
            <w:tcW w:w="923" w:type="pct"/>
            <w:tcBorders>
              <w:top w:val="nil"/>
              <w:left w:val="single" w:sz="4" w:space="0" w:color="auto"/>
              <w:bottom w:val="single" w:sz="4" w:space="0" w:color="auto"/>
              <w:right w:val="single" w:sz="4" w:space="0" w:color="auto"/>
            </w:tcBorders>
          </w:tcPr>
          <w:p w:rsidR="00FE60A5" w:rsidRPr="00140870" w:rsidRDefault="00FE60A5" w:rsidP="007D333B">
            <w:pPr>
              <w:jc w:val="center"/>
            </w:pPr>
            <w:r w:rsidRPr="00140870">
              <w:t>4</w:t>
            </w:r>
            <w:r w:rsidR="003C38A4">
              <w:t xml:space="preserve"> </w:t>
            </w:r>
            <w:r w:rsidRPr="00140870">
              <w:t>154,71</w:t>
            </w:r>
          </w:p>
        </w:tc>
        <w:tc>
          <w:tcPr>
            <w:tcW w:w="708" w:type="pct"/>
            <w:tcBorders>
              <w:top w:val="nil"/>
              <w:left w:val="nil"/>
              <w:bottom w:val="single" w:sz="4" w:space="0" w:color="auto"/>
              <w:right w:val="single" w:sz="4" w:space="0" w:color="auto"/>
            </w:tcBorders>
            <w:shd w:val="clear" w:color="auto" w:fill="auto"/>
            <w:noWrap/>
          </w:tcPr>
          <w:p w:rsidR="00FE60A5" w:rsidRPr="00140870" w:rsidRDefault="00FE60A5" w:rsidP="007D333B">
            <w:pPr>
              <w:jc w:val="center"/>
            </w:pPr>
            <w:r w:rsidRPr="00140870">
              <w:t>2</w:t>
            </w:r>
            <w:r w:rsidR="003C38A4">
              <w:t xml:space="preserve"> </w:t>
            </w:r>
            <w:r w:rsidRPr="00140870">
              <w:t>933,19</w:t>
            </w:r>
          </w:p>
        </w:tc>
        <w:tc>
          <w:tcPr>
            <w:tcW w:w="583" w:type="pct"/>
            <w:tcBorders>
              <w:top w:val="nil"/>
              <w:left w:val="nil"/>
              <w:bottom w:val="single" w:sz="4" w:space="0" w:color="auto"/>
              <w:right w:val="single" w:sz="4" w:space="0" w:color="auto"/>
            </w:tcBorders>
            <w:shd w:val="clear" w:color="auto" w:fill="auto"/>
            <w:noWrap/>
          </w:tcPr>
          <w:p w:rsidR="00FE60A5" w:rsidRPr="00140870" w:rsidRDefault="00FE60A5" w:rsidP="007D333B">
            <w:pPr>
              <w:jc w:val="center"/>
            </w:pPr>
            <w:r w:rsidRPr="00140870">
              <w:t>354,45</w:t>
            </w:r>
          </w:p>
        </w:tc>
        <w:tc>
          <w:tcPr>
            <w:tcW w:w="584" w:type="pct"/>
            <w:tcBorders>
              <w:top w:val="nil"/>
              <w:left w:val="nil"/>
              <w:bottom w:val="single" w:sz="4" w:space="0" w:color="auto"/>
              <w:right w:val="single" w:sz="4" w:space="0" w:color="auto"/>
            </w:tcBorders>
            <w:shd w:val="clear" w:color="auto" w:fill="auto"/>
            <w:noWrap/>
          </w:tcPr>
          <w:p w:rsidR="00FE60A5" w:rsidRPr="00140870" w:rsidRDefault="00FE60A5" w:rsidP="007D333B">
            <w:pPr>
              <w:jc w:val="center"/>
            </w:pPr>
            <w:r w:rsidRPr="00140870">
              <w:t>88</w:t>
            </w:r>
          </w:p>
        </w:tc>
        <w:tc>
          <w:tcPr>
            <w:tcW w:w="510" w:type="pct"/>
            <w:tcBorders>
              <w:top w:val="nil"/>
              <w:left w:val="nil"/>
              <w:bottom w:val="single" w:sz="4" w:space="0" w:color="auto"/>
              <w:right w:val="single" w:sz="4" w:space="0" w:color="auto"/>
            </w:tcBorders>
            <w:shd w:val="clear" w:color="auto" w:fill="auto"/>
          </w:tcPr>
          <w:p w:rsidR="00FE60A5" w:rsidRPr="00140870" w:rsidRDefault="00FE60A5" w:rsidP="007D333B">
            <w:pPr>
              <w:jc w:val="center"/>
            </w:pPr>
            <w:r w:rsidRPr="00140870">
              <w:t>48,25</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140870">
              <w:t>2</w:t>
            </w:r>
            <w:r w:rsidR="003C38A4">
              <w:t xml:space="preserve"> </w:t>
            </w:r>
            <w:r w:rsidRPr="00140870">
              <w:t>242,75</w:t>
            </w:r>
          </w:p>
        </w:tc>
      </w:tr>
      <w:tr w:rsidR="00FE60A5" w:rsidRPr="002A1A91" w:rsidTr="00DF5D5D">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Est</w:t>
            </w:r>
          </w:p>
        </w:tc>
        <w:tc>
          <w:tcPr>
            <w:tcW w:w="923" w:type="pct"/>
            <w:tcBorders>
              <w:top w:val="nil"/>
              <w:left w:val="single" w:sz="4" w:space="0" w:color="auto"/>
              <w:bottom w:val="single" w:sz="4" w:space="0" w:color="auto"/>
              <w:right w:val="single" w:sz="4" w:space="0" w:color="auto"/>
            </w:tcBorders>
          </w:tcPr>
          <w:p w:rsidR="00FE60A5" w:rsidRPr="00BA50C0" w:rsidRDefault="00FE60A5" w:rsidP="007D333B">
            <w:pPr>
              <w:jc w:val="center"/>
            </w:pPr>
            <w:r w:rsidRPr="00BA50C0">
              <w:t>1</w:t>
            </w:r>
            <w:r w:rsidR="003C38A4">
              <w:t xml:space="preserve"> </w:t>
            </w:r>
            <w:r w:rsidRPr="00BA50C0">
              <w:t>871,75</w:t>
            </w:r>
          </w:p>
        </w:tc>
        <w:tc>
          <w:tcPr>
            <w:tcW w:w="708" w:type="pct"/>
            <w:tcBorders>
              <w:top w:val="single" w:sz="4" w:space="0" w:color="auto"/>
              <w:left w:val="nil"/>
              <w:bottom w:val="single" w:sz="4" w:space="0" w:color="auto"/>
              <w:right w:val="single" w:sz="4" w:space="0" w:color="auto"/>
            </w:tcBorders>
            <w:shd w:val="clear" w:color="auto" w:fill="auto"/>
            <w:noWrap/>
          </w:tcPr>
          <w:p w:rsidR="00FE60A5" w:rsidRPr="00BA50C0" w:rsidRDefault="00FE60A5" w:rsidP="007D333B">
            <w:pPr>
              <w:jc w:val="center"/>
            </w:pPr>
            <w:r w:rsidRPr="00BA50C0">
              <w:t>1</w:t>
            </w:r>
            <w:r w:rsidR="003C38A4">
              <w:t xml:space="preserve"> </w:t>
            </w:r>
            <w:r w:rsidRPr="00BA50C0">
              <w:t>100,25</w:t>
            </w:r>
          </w:p>
        </w:tc>
        <w:tc>
          <w:tcPr>
            <w:tcW w:w="583" w:type="pct"/>
            <w:tcBorders>
              <w:top w:val="nil"/>
              <w:left w:val="nil"/>
              <w:bottom w:val="single" w:sz="4" w:space="0" w:color="auto"/>
              <w:right w:val="single" w:sz="4" w:space="0" w:color="auto"/>
            </w:tcBorders>
            <w:shd w:val="clear" w:color="auto" w:fill="auto"/>
            <w:noWrap/>
          </w:tcPr>
          <w:p w:rsidR="00FE60A5" w:rsidRPr="00BA50C0" w:rsidRDefault="00FE60A5" w:rsidP="007D333B">
            <w:pPr>
              <w:jc w:val="center"/>
            </w:pPr>
            <w:r w:rsidRPr="00BA50C0">
              <w:t>105</w:t>
            </w:r>
          </w:p>
        </w:tc>
        <w:tc>
          <w:tcPr>
            <w:tcW w:w="584" w:type="pct"/>
            <w:tcBorders>
              <w:top w:val="nil"/>
              <w:left w:val="nil"/>
              <w:bottom w:val="single" w:sz="4" w:space="0" w:color="auto"/>
              <w:right w:val="single" w:sz="4" w:space="0" w:color="auto"/>
            </w:tcBorders>
            <w:shd w:val="clear" w:color="auto" w:fill="auto"/>
            <w:noWrap/>
          </w:tcPr>
          <w:p w:rsidR="00FE60A5" w:rsidRPr="00BA50C0" w:rsidRDefault="00FE60A5" w:rsidP="007D333B">
            <w:pPr>
              <w:jc w:val="center"/>
            </w:pPr>
            <w:r w:rsidRPr="00BA50C0">
              <w:t>1</w:t>
            </w:r>
          </w:p>
        </w:tc>
        <w:tc>
          <w:tcPr>
            <w:tcW w:w="510" w:type="pct"/>
            <w:tcBorders>
              <w:top w:val="nil"/>
              <w:left w:val="nil"/>
              <w:bottom w:val="single" w:sz="4" w:space="0" w:color="auto"/>
              <w:right w:val="single" w:sz="4" w:space="0" w:color="auto"/>
            </w:tcBorders>
            <w:shd w:val="clear" w:color="auto" w:fill="auto"/>
          </w:tcPr>
          <w:p w:rsidR="00FE60A5" w:rsidRPr="00BA50C0" w:rsidRDefault="00FE60A5" w:rsidP="007D333B">
            <w:pPr>
              <w:jc w:val="center"/>
            </w:pPr>
            <w:r w:rsidRPr="00BA50C0">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BA50C0">
              <w:t>1</w:t>
            </w:r>
            <w:r w:rsidR="003C38A4">
              <w:t xml:space="preserve"> </w:t>
            </w:r>
            <w:r w:rsidRPr="00BA50C0">
              <w:t>295</w:t>
            </w:r>
          </w:p>
        </w:tc>
      </w:tr>
      <w:tr w:rsidR="00FE60A5" w:rsidRPr="002A1A91" w:rsidTr="00DD578C">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Hauts-Bassins</w:t>
            </w:r>
          </w:p>
        </w:tc>
        <w:tc>
          <w:tcPr>
            <w:tcW w:w="923" w:type="pct"/>
            <w:tcBorders>
              <w:top w:val="nil"/>
              <w:left w:val="single" w:sz="4" w:space="0" w:color="auto"/>
              <w:bottom w:val="single" w:sz="4" w:space="0" w:color="auto"/>
              <w:right w:val="single" w:sz="4" w:space="0" w:color="auto"/>
            </w:tcBorders>
          </w:tcPr>
          <w:p w:rsidR="00FE60A5" w:rsidRPr="00466DFE" w:rsidRDefault="00FE60A5" w:rsidP="007D333B">
            <w:pPr>
              <w:jc w:val="center"/>
            </w:pPr>
            <w:r w:rsidRPr="00466DFE">
              <w:t>5</w:t>
            </w:r>
            <w:r w:rsidR="003C38A4">
              <w:t xml:space="preserve"> </w:t>
            </w:r>
            <w:r w:rsidRPr="00466DFE">
              <w:t>915,25</w:t>
            </w:r>
          </w:p>
        </w:tc>
        <w:tc>
          <w:tcPr>
            <w:tcW w:w="708" w:type="pct"/>
            <w:tcBorders>
              <w:top w:val="nil"/>
              <w:left w:val="nil"/>
              <w:bottom w:val="single" w:sz="4" w:space="0" w:color="auto"/>
              <w:right w:val="single" w:sz="4" w:space="0" w:color="auto"/>
            </w:tcBorders>
            <w:shd w:val="clear" w:color="auto" w:fill="auto"/>
            <w:noWrap/>
          </w:tcPr>
          <w:p w:rsidR="00FE60A5" w:rsidRPr="00466DFE" w:rsidRDefault="00FE60A5" w:rsidP="007D333B">
            <w:pPr>
              <w:jc w:val="center"/>
            </w:pPr>
            <w:r w:rsidRPr="00466DFE">
              <w:t>5</w:t>
            </w:r>
            <w:r w:rsidR="003C38A4">
              <w:t xml:space="preserve"> </w:t>
            </w:r>
            <w:r w:rsidRPr="00466DFE">
              <w:t>485,55</w:t>
            </w:r>
          </w:p>
        </w:tc>
        <w:tc>
          <w:tcPr>
            <w:tcW w:w="583" w:type="pct"/>
            <w:tcBorders>
              <w:top w:val="nil"/>
              <w:left w:val="nil"/>
              <w:bottom w:val="single" w:sz="4" w:space="0" w:color="auto"/>
              <w:right w:val="single" w:sz="4" w:space="0" w:color="auto"/>
            </w:tcBorders>
            <w:shd w:val="clear" w:color="auto" w:fill="auto"/>
            <w:noWrap/>
          </w:tcPr>
          <w:p w:rsidR="00FE60A5" w:rsidRPr="00466DFE" w:rsidRDefault="00FE60A5" w:rsidP="007D333B">
            <w:pPr>
              <w:jc w:val="center"/>
            </w:pPr>
            <w:r w:rsidRPr="00466DFE">
              <w:t>340</w:t>
            </w:r>
          </w:p>
        </w:tc>
        <w:tc>
          <w:tcPr>
            <w:tcW w:w="584" w:type="pct"/>
            <w:tcBorders>
              <w:top w:val="nil"/>
              <w:left w:val="nil"/>
              <w:bottom w:val="single" w:sz="4" w:space="0" w:color="auto"/>
              <w:right w:val="single" w:sz="4" w:space="0" w:color="auto"/>
            </w:tcBorders>
            <w:shd w:val="clear" w:color="auto" w:fill="auto"/>
            <w:noWrap/>
          </w:tcPr>
          <w:p w:rsidR="00FE60A5" w:rsidRPr="00466DFE" w:rsidRDefault="00FE60A5" w:rsidP="007D333B">
            <w:pPr>
              <w:jc w:val="center"/>
            </w:pPr>
            <w:r w:rsidRPr="00466DFE">
              <w:t>0</w:t>
            </w:r>
          </w:p>
        </w:tc>
        <w:tc>
          <w:tcPr>
            <w:tcW w:w="510" w:type="pct"/>
            <w:tcBorders>
              <w:top w:val="nil"/>
              <w:left w:val="nil"/>
              <w:bottom w:val="single" w:sz="4" w:space="0" w:color="auto"/>
              <w:right w:val="single" w:sz="4" w:space="0" w:color="auto"/>
            </w:tcBorders>
            <w:shd w:val="clear" w:color="auto" w:fill="auto"/>
          </w:tcPr>
          <w:p w:rsidR="00FE60A5" w:rsidRPr="00466DFE" w:rsidRDefault="00FE60A5" w:rsidP="007D333B">
            <w:pPr>
              <w:jc w:val="center"/>
            </w:pPr>
            <w:r w:rsidRPr="00466DFE">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466DFE">
              <w:t>2</w:t>
            </w:r>
            <w:r w:rsidR="003C38A4">
              <w:t xml:space="preserve"> </w:t>
            </w:r>
            <w:r w:rsidRPr="00466DFE">
              <w:t>515,25</w:t>
            </w:r>
          </w:p>
        </w:tc>
      </w:tr>
      <w:tr w:rsidR="00FE60A5" w:rsidRPr="002A1A91" w:rsidTr="00ED5AEB">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Plateau Central</w:t>
            </w:r>
          </w:p>
        </w:tc>
        <w:tc>
          <w:tcPr>
            <w:tcW w:w="923" w:type="pct"/>
            <w:tcBorders>
              <w:top w:val="nil"/>
              <w:left w:val="single" w:sz="4" w:space="0" w:color="auto"/>
              <w:bottom w:val="single" w:sz="4" w:space="0" w:color="auto"/>
              <w:right w:val="single" w:sz="4" w:space="0" w:color="auto"/>
            </w:tcBorders>
          </w:tcPr>
          <w:p w:rsidR="00FE60A5" w:rsidRPr="00946FB1" w:rsidRDefault="00FE60A5" w:rsidP="007D333B">
            <w:pPr>
              <w:jc w:val="center"/>
            </w:pPr>
            <w:r w:rsidRPr="00946FB1">
              <w:t>12</w:t>
            </w:r>
            <w:r w:rsidR="003C38A4">
              <w:t xml:space="preserve"> </w:t>
            </w:r>
            <w:r w:rsidRPr="00946FB1">
              <w:t>534</w:t>
            </w:r>
          </w:p>
        </w:tc>
        <w:tc>
          <w:tcPr>
            <w:tcW w:w="708" w:type="pct"/>
            <w:tcBorders>
              <w:top w:val="nil"/>
              <w:left w:val="nil"/>
              <w:bottom w:val="single" w:sz="4" w:space="0" w:color="auto"/>
              <w:right w:val="single" w:sz="4" w:space="0" w:color="auto"/>
            </w:tcBorders>
            <w:shd w:val="clear" w:color="auto" w:fill="auto"/>
            <w:noWrap/>
          </w:tcPr>
          <w:p w:rsidR="00FE60A5" w:rsidRPr="00946FB1" w:rsidRDefault="00FE60A5" w:rsidP="007D333B">
            <w:pPr>
              <w:jc w:val="center"/>
            </w:pPr>
            <w:r w:rsidRPr="00946FB1">
              <w:t>8</w:t>
            </w:r>
            <w:r w:rsidR="003C38A4">
              <w:t xml:space="preserve"> </w:t>
            </w:r>
            <w:r w:rsidRPr="00946FB1">
              <w:t>890</w:t>
            </w:r>
          </w:p>
        </w:tc>
        <w:tc>
          <w:tcPr>
            <w:tcW w:w="583" w:type="pct"/>
            <w:tcBorders>
              <w:top w:val="nil"/>
              <w:left w:val="nil"/>
              <w:bottom w:val="single" w:sz="4" w:space="0" w:color="auto"/>
              <w:right w:val="single" w:sz="4" w:space="0" w:color="auto"/>
            </w:tcBorders>
            <w:shd w:val="clear" w:color="auto" w:fill="auto"/>
            <w:noWrap/>
          </w:tcPr>
          <w:p w:rsidR="00FE60A5" w:rsidRPr="00946FB1" w:rsidRDefault="00FE60A5" w:rsidP="007D333B">
            <w:pPr>
              <w:jc w:val="center"/>
            </w:pPr>
            <w:r w:rsidRPr="00946FB1">
              <w:t>1</w:t>
            </w:r>
            <w:r w:rsidR="003C38A4">
              <w:t xml:space="preserve"> </w:t>
            </w:r>
            <w:r w:rsidRPr="00946FB1">
              <w:t>136</w:t>
            </w:r>
          </w:p>
        </w:tc>
        <w:tc>
          <w:tcPr>
            <w:tcW w:w="584" w:type="pct"/>
            <w:tcBorders>
              <w:top w:val="nil"/>
              <w:left w:val="nil"/>
              <w:bottom w:val="single" w:sz="4" w:space="0" w:color="auto"/>
              <w:right w:val="single" w:sz="4" w:space="0" w:color="auto"/>
            </w:tcBorders>
            <w:shd w:val="clear" w:color="auto" w:fill="auto"/>
            <w:noWrap/>
          </w:tcPr>
          <w:p w:rsidR="00FE60A5" w:rsidRPr="00946FB1" w:rsidRDefault="00FE60A5" w:rsidP="007D333B">
            <w:pPr>
              <w:jc w:val="center"/>
            </w:pPr>
            <w:r w:rsidRPr="00946FB1">
              <w:t>17</w:t>
            </w:r>
          </w:p>
        </w:tc>
        <w:tc>
          <w:tcPr>
            <w:tcW w:w="510" w:type="pct"/>
            <w:tcBorders>
              <w:top w:val="nil"/>
              <w:left w:val="nil"/>
              <w:bottom w:val="single" w:sz="4" w:space="0" w:color="auto"/>
              <w:right w:val="single" w:sz="4" w:space="0" w:color="auto"/>
            </w:tcBorders>
            <w:shd w:val="clear" w:color="auto" w:fill="auto"/>
          </w:tcPr>
          <w:p w:rsidR="00FE60A5" w:rsidRPr="00946FB1" w:rsidRDefault="00FE60A5" w:rsidP="007D333B">
            <w:pPr>
              <w:jc w:val="center"/>
            </w:pPr>
            <w:r w:rsidRPr="00946FB1">
              <w:t>0</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946FB1">
              <w:t>2</w:t>
            </w:r>
            <w:r w:rsidR="003C38A4">
              <w:t xml:space="preserve"> </w:t>
            </w:r>
            <w:r w:rsidRPr="00946FB1">
              <w:t>616</w:t>
            </w:r>
          </w:p>
        </w:tc>
      </w:tr>
      <w:tr w:rsidR="00FE60A5" w:rsidRPr="002A1A91" w:rsidTr="00E172B4">
        <w:trPr>
          <w:trHeight w:val="315"/>
        </w:trPr>
        <w:tc>
          <w:tcPr>
            <w:tcW w:w="923" w:type="pct"/>
            <w:tcBorders>
              <w:top w:val="nil"/>
              <w:left w:val="single" w:sz="4" w:space="0" w:color="auto"/>
              <w:bottom w:val="single" w:sz="4" w:space="0" w:color="auto"/>
              <w:right w:val="single" w:sz="4" w:space="0" w:color="auto"/>
            </w:tcBorders>
          </w:tcPr>
          <w:p w:rsidR="00FE60A5" w:rsidRPr="002A1A91" w:rsidRDefault="00FE60A5" w:rsidP="00FE60A5">
            <w:r w:rsidRPr="002A1A91">
              <w:t>Sud-Ouest</w:t>
            </w:r>
          </w:p>
        </w:tc>
        <w:tc>
          <w:tcPr>
            <w:tcW w:w="923" w:type="pct"/>
            <w:tcBorders>
              <w:top w:val="nil"/>
              <w:left w:val="single" w:sz="4" w:space="0" w:color="auto"/>
              <w:bottom w:val="single" w:sz="4" w:space="0" w:color="auto"/>
              <w:right w:val="single" w:sz="4" w:space="0" w:color="auto"/>
            </w:tcBorders>
          </w:tcPr>
          <w:p w:rsidR="00FE60A5" w:rsidRPr="000E6C35" w:rsidRDefault="00FE60A5" w:rsidP="007D333B">
            <w:pPr>
              <w:jc w:val="center"/>
            </w:pPr>
            <w:r w:rsidRPr="000E6C35">
              <w:t>3</w:t>
            </w:r>
            <w:r w:rsidR="003C38A4">
              <w:t xml:space="preserve"> </w:t>
            </w:r>
            <w:r w:rsidRPr="000E6C35">
              <w:t>366</w:t>
            </w:r>
          </w:p>
        </w:tc>
        <w:tc>
          <w:tcPr>
            <w:tcW w:w="708" w:type="pct"/>
            <w:tcBorders>
              <w:top w:val="nil"/>
              <w:left w:val="nil"/>
              <w:bottom w:val="single" w:sz="4" w:space="0" w:color="auto"/>
              <w:right w:val="single" w:sz="4" w:space="0" w:color="auto"/>
            </w:tcBorders>
            <w:shd w:val="clear" w:color="auto" w:fill="auto"/>
            <w:noWrap/>
          </w:tcPr>
          <w:p w:rsidR="00FE60A5" w:rsidRPr="000E6C35" w:rsidRDefault="00FE60A5" w:rsidP="007D333B">
            <w:pPr>
              <w:jc w:val="center"/>
            </w:pPr>
            <w:r w:rsidRPr="000E6C35">
              <w:t>2</w:t>
            </w:r>
            <w:r w:rsidR="003C38A4">
              <w:t xml:space="preserve"> </w:t>
            </w:r>
            <w:r w:rsidRPr="000E6C35">
              <w:t>384,5</w:t>
            </w:r>
          </w:p>
        </w:tc>
        <w:tc>
          <w:tcPr>
            <w:tcW w:w="583" w:type="pct"/>
            <w:tcBorders>
              <w:top w:val="nil"/>
              <w:left w:val="nil"/>
              <w:bottom w:val="single" w:sz="4" w:space="0" w:color="auto"/>
              <w:right w:val="single" w:sz="4" w:space="0" w:color="auto"/>
            </w:tcBorders>
            <w:shd w:val="clear" w:color="auto" w:fill="auto"/>
            <w:noWrap/>
          </w:tcPr>
          <w:p w:rsidR="00FE60A5" w:rsidRPr="000E6C35" w:rsidRDefault="00FE60A5" w:rsidP="007D333B">
            <w:pPr>
              <w:jc w:val="center"/>
            </w:pPr>
            <w:r w:rsidRPr="000E6C35">
              <w:t>177,5</w:t>
            </w:r>
          </w:p>
        </w:tc>
        <w:tc>
          <w:tcPr>
            <w:tcW w:w="584" w:type="pct"/>
            <w:tcBorders>
              <w:top w:val="nil"/>
              <w:left w:val="nil"/>
              <w:bottom w:val="single" w:sz="4" w:space="0" w:color="auto"/>
              <w:right w:val="single" w:sz="4" w:space="0" w:color="auto"/>
            </w:tcBorders>
            <w:shd w:val="clear" w:color="auto" w:fill="auto"/>
            <w:noWrap/>
          </w:tcPr>
          <w:p w:rsidR="00FE60A5" w:rsidRPr="000E6C35" w:rsidRDefault="00FE60A5" w:rsidP="007D333B">
            <w:pPr>
              <w:jc w:val="center"/>
            </w:pPr>
            <w:r w:rsidRPr="000E6C35">
              <w:t>32,5</w:t>
            </w:r>
          </w:p>
        </w:tc>
        <w:tc>
          <w:tcPr>
            <w:tcW w:w="510" w:type="pct"/>
            <w:tcBorders>
              <w:top w:val="nil"/>
              <w:left w:val="nil"/>
              <w:bottom w:val="single" w:sz="4" w:space="0" w:color="auto"/>
              <w:right w:val="single" w:sz="4" w:space="0" w:color="auto"/>
            </w:tcBorders>
            <w:shd w:val="clear" w:color="auto" w:fill="auto"/>
          </w:tcPr>
          <w:p w:rsidR="00FE60A5" w:rsidRPr="000E6C35" w:rsidRDefault="00FE60A5" w:rsidP="007D333B">
            <w:pPr>
              <w:jc w:val="center"/>
            </w:pPr>
            <w:r w:rsidRPr="000E6C35">
              <w:t>7,25</w:t>
            </w:r>
          </w:p>
        </w:tc>
        <w:tc>
          <w:tcPr>
            <w:tcW w:w="768" w:type="pct"/>
            <w:tcBorders>
              <w:top w:val="nil"/>
              <w:left w:val="nil"/>
              <w:bottom w:val="single" w:sz="4" w:space="0" w:color="auto"/>
              <w:right w:val="single" w:sz="4" w:space="0" w:color="auto"/>
            </w:tcBorders>
            <w:shd w:val="clear" w:color="auto" w:fill="auto"/>
            <w:noWrap/>
          </w:tcPr>
          <w:p w:rsidR="00FE60A5" w:rsidRDefault="00FE60A5" w:rsidP="007D333B">
            <w:pPr>
              <w:jc w:val="center"/>
            </w:pPr>
            <w:r w:rsidRPr="000E6C35">
              <w:t>1</w:t>
            </w:r>
            <w:r w:rsidR="003C38A4">
              <w:t xml:space="preserve"> </w:t>
            </w:r>
            <w:r w:rsidRPr="000E6C35">
              <w:t>620,5</w:t>
            </w:r>
          </w:p>
        </w:tc>
      </w:tr>
      <w:tr w:rsidR="007D333B" w:rsidRPr="006075F8" w:rsidTr="009C67F4">
        <w:trPr>
          <w:trHeight w:val="315"/>
        </w:trPr>
        <w:tc>
          <w:tcPr>
            <w:tcW w:w="923" w:type="pct"/>
            <w:tcBorders>
              <w:top w:val="single" w:sz="4" w:space="0" w:color="auto"/>
              <w:left w:val="single" w:sz="4" w:space="0" w:color="auto"/>
              <w:bottom w:val="single" w:sz="4" w:space="0" w:color="auto"/>
              <w:right w:val="single" w:sz="4" w:space="0" w:color="auto"/>
            </w:tcBorders>
          </w:tcPr>
          <w:p w:rsidR="007D333B" w:rsidRPr="006075F8" w:rsidRDefault="007D333B" w:rsidP="007D333B">
            <w:pPr>
              <w:jc w:val="center"/>
              <w:rPr>
                <w:b/>
                <w:bCs/>
              </w:rPr>
            </w:pPr>
            <w:r w:rsidRPr="006075F8">
              <w:rPr>
                <w:b/>
                <w:bCs/>
              </w:rPr>
              <w:t>TOTAL</w:t>
            </w:r>
          </w:p>
        </w:tc>
        <w:tc>
          <w:tcPr>
            <w:tcW w:w="923" w:type="pct"/>
            <w:tcBorders>
              <w:top w:val="single" w:sz="4" w:space="0" w:color="auto"/>
              <w:left w:val="single" w:sz="4" w:space="0" w:color="auto"/>
              <w:bottom w:val="single" w:sz="4" w:space="0" w:color="auto"/>
              <w:right w:val="single" w:sz="4" w:space="0" w:color="auto"/>
            </w:tcBorders>
          </w:tcPr>
          <w:p w:rsidR="007D333B" w:rsidRPr="007D333B" w:rsidRDefault="007D333B" w:rsidP="007D333B">
            <w:pPr>
              <w:jc w:val="center"/>
              <w:rPr>
                <w:b/>
              </w:rPr>
            </w:pPr>
            <w:r w:rsidRPr="007D333B">
              <w:rPr>
                <w:b/>
              </w:rPr>
              <w:t>64</w:t>
            </w:r>
            <w:r w:rsidR="003C38A4">
              <w:rPr>
                <w:b/>
              </w:rPr>
              <w:t xml:space="preserve"> </w:t>
            </w:r>
            <w:r w:rsidRPr="007D333B">
              <w:rPr>
                <w:b/>
              </w:rPr>
              <w:t>483,28</w:t>
            </w:r>
          </w:p>
        </w:tc>
        <w:tc>
          <w:tcPr>
            <w:tcW w:w="708" w:type="pct"/>
            <w:tcBorders>
              <w:top w:val="nil"/>
              <w:left w:val="nil"/>
              <w:bottom w:val="single" w:sz="4" w:space="0" w:color="auto"/>
              <w:right w:val="single" w:sz="4" w:space="0" w:color="auto"/>
            </w:tcBorders>
            <w:shd w:val="clear" w:color="auto" w:fill="auto"/>
            <w:noWrap/>
          </w:tcPr>
          <w:p w:rsidR="007D333B" w:rsidRPr="007D333B" w:rsidRDefault="007D333B" w:rsidP="007D333B">
            <w:pPr>
              <w:jc w:val="center"/>
              <w:rPr>
                <w:b/>
              </w:rPr>
            </w:pPr>
            <w:r w:rsidRPr="007D333B">
              <w:rPr>
                <w:b/>
              </w:rPr>
              <w:t>50</w:t>
            </w:r>
            <w:r w:rsidR="003C38A4">
              <w:rPr>
                <w:b/>
              </w:rPr>
              <w:t xml:space="preserve"> </w:t>
            </w:r>
            <w:r w:rsidRPr="007D333B">
              <w:rPr>
                <w:b/>
              </w:rPr>
              <w:t>418,76</w:t>
            </w:r>
          </w:p>
        </w:tc>
        <w:tc>
          <w:tcPr>
            <w:tcW w:w="583" w:type="pct"/>
            <w:tcBorders>
              <w:top w:val="nil"/>
              <w:left w:val="nil"/>
              <w:bottom w:val="single" w:sz="4" w:space="0" w:color="auto"/>
              <w:right w:val="single" w:sz="4" w:space="0" w:color="auto"/>
            </w:tcBorders>
            <w:shd w:val="clear" w:color="auto" w:fill="auto"/>
            <w:noWrap/>
          </w:tcPr>
          <w:p w:rsidR="007D333B" w:rsidRPr="007D333B" w:rsidRDefault="007D333B" w:rsidP="007D333B">
            <w:pPr>
              <w:jc w:val="center"/>
              <w:rPr>
                <w:b/>
              </w:rPr>
            </w:pPr>
            <w:r w:rsidRPr="007D333B">
              <w:rPr>
                <w:b/>
              </w:rPr>
              <w:t>3</w:t>
            </w:r>
            <w:r w:rsidR="003C38A4">
              <w:rPr>
                <w:b/>
              </w:rPr>
              <w:t xml:space="preserve"> </w:t>
            </w:r>
            <w:r w:rsidRPr="007D333B">
              <w:rPr>
                <w:b/>
              </w:rPr>
              <w:t>261,85</w:t>
            </w:r>
          </w:p>
        </w:tc>
        <w:tc>
          <w:tcPr>
            <w:tcW w:w="584" w:type="pct"/>
            <w:tcBorders>
              <w:top w:val="nil"/>
              <w:left w:val="nil"/>
              <w:bottom w:val="single" w:sz="4" w:space="0" w:color="auto"/>
              <w:right w:val="single" w:sz="4" w:space="0" w:color="auto"/>
            </w:tcBorders>
            <w:shd w:val="clear" w:color="auto" w:fill="auto"/>
            <w:noWrap/>
          </w:tcPr>
          <w:p w:rsidR="007D333B" w:rsidRPr="007D333B" w:rsidRDefault="007D333B" w:rsidP="007D333B">
            <w:pPr>
              <w:jc w:val="center"/>
              <w:rPr>
                <w:b/>
              </w:rPr>
            </w:pPr>
            <w:r w:rsidRPr="007D333B">
              <w:rPr>
                <w:b/>
              </w:rPr>
              <w:t>293,5</w:t>
            </w:r>
          </w:p>
        </w:tc>
        <w:tc>
          <w:tcPr>
            <w:tcW w:w="510" w:type="pct"/>
            <w:tcBorders>
              <w:top w:val="nil"/>
              <w:left w:val="nil"/>
              <w:bottom w:val="single" w:sz="4" w:space="0" w:color="auto"/>
              <w:right w:val="single" w:sz="4" w:space="0" w:color="auto"/>
            </w:tcBorders>
            <w:shd w:val="clear" w:color="auto" w:fill="auto"/>
          </w:tcPr>
          <w:p w:rsidR="007D333B" w:rsidRPr="007D333B" w:rsidRDefault="007D333B" w:rsidP="007D333B">
            <w:pPr>
              <w:jc w:val="center"/>
              <w:rPr>
                <w:b/>
              </w:rPr>
            </w:pPr>
            <w:r w:rsidRPr="007D333B">
              <w:rPr>
                <w:b/>
              </w:rPr>
              <w:t>1</w:t>
            </w:r>
            <w:r w:rsidR="003C38A4">
              <w:rPr>
                <w:b/>
              </w:rPr>
              <w:t xml:space="preserve"> </w:t>
            </w:r>
            <w:r w:rsidRPr="007D333B">
              <w:rPr>
                <w:b/>
              </w:rPr>
              <w:t>024,25</w:t>
            </w:r>
          </w:p>
        </w:tc>
        <w:tc>
          <w:tcPr>
            <w:tcW w:w="768" w:type="pct"/>
            <w:tcBorders>
              <w:top w:val="nil"/>
              <w:left w:val="nil"/>
              <w:bottom w:val="single" w:sz="4" w:space="0" w:color="auto"/>
              <w:right w:val="single" w:sz="4" w:space="0" w:color="auto"/>
            </w:tcBorders>
            <w:shd w:val="clear" w:color="auto" w:fill="auto"/>
            <w:noWrap/>
          </w:tcPr>
          <w:p w:rsidR="007D333B" w:rsidRPr="007D333B" w:rsidRDefault="007D333B" w:rsidP="007D333B">
            <w:pPr>
              <w:jc w:val="center"/>
              <w:rPr>
                <w:b/>
              </w:rPr>
            </w:pPr>
            <w:r w:rsidRPr="007D333B">
              <w:rPr>
                <w:b/>
              </w:rPr>
              <w:t>35</w:t>
            </w:r>
            <w:r w:rsidR="003C38A4">
              <w:rPr>
                <w:b/>
              </w:rPr>
              <w:t xml:space="preserve"> </w:t>
            </w:r>
            <w:r w:rsidRPr="007D333B">
              <w:rPr>
                <w:b/>
              </w:rPr>
              <w:t>573,82</w:t>
            </w:r>
          </w:p>
        </w:tc>
      </w:tr>
    </w:tbl>
    <w:p w:rsidR="00E5285A" w:rsidRPr="00CB6EF0" w:rsidRDefault="00E5285A" w:rsidP="00CB6EF0">
      <w:pPr>
        <w:spacing w:before="240"/>
        <w:jc w:val="both"/>
        <w:rPr>
          <w:sz w:val="22"/>
          <w:szCs w:val="22"/>
        </w:rPr>
      </w:pPr>
      <w:r w:rsidRPr="00CB6EF0">
        <w:rPr>
          <w:b/>
          <w:sz w:val="22"/>
          <w:szCs w:val="22"/>
          <w:u w:val="single"/>
        </w:rPr>
        <w:t>Sources</w:t>
      </w:r>
      <w:r w:rsidR="00B15A59">
        <w:rPr>
          <w:sz w:val="22"/>
          <w:szCs w:val="22"/>
        </w:rPr>
        <w:t> : DPVC</w:t>
      </w:r>
      <w:r w:rsidRPr="00CB6EF0">
        <w:rPr>
          <w:sz w:val="22"/>
          <w:szCs w:val="22"/>
        </w:rPr>
        <w:t>, 2019</w:t>
      </w:r>
    </w:p>
    <w:p w:rsidR="003D2345" w:rsidRDefault="003D2345" w:rsidP="00E5285A">
      <w:pPr>
        <w:spacing w:line="360" w:lineRule="auto"/>
        <w:jc w:val="both"/>
      </w:pPr>
    </w:p>
    <w:p w:rsidR="006E35D3" w:rsidRPr="00A93F00" w:rsidRDefault="006E35D3" w:rsidP="002F7FBA">
      <w:pPr>
        <w:pStyle w:val="Titre1"/>
        <w:numPr>
          <w:ilvl w:val="0"/>
          <w:numId w:val="3"/>
        </w:numPr>
        <w:spacing w:before="240"/>
        <w:rPr>
          <w:b/>
          <w:sz w:val="28"/>
          <w:szCs w:val="28"/>
        </w:rPr>
      </w:pPr>
      <w:bookmarkStart w:id="94" w:name="_Toc12293957"/>
      <w:bookmarkStart w:id="95" w:name="_Toc14104736"/>
      <w:bookmarkStart w:id="96" w:name="_Toc14105542"/>
      <w:bookmarkStart w:id="97" w:name="_Toc14782787"/>
      <w:bookmarkStart w:id="98" w:name="_Toc15932707"/>
      <w:bookmarkStart w:id="99" w:name="_Toc17672654"/>
      <w:bookmarkStart w:id="100" w:name="_Toc18418136"/>
      <w:bookmarkStart w:id="101" w:name="_Toc18418783"/>
      <w:bookmarkStart w:id="102" w:name="_Toc18418791"/>
      <w:bookmarkStart w:id="103" w:name="_Toc18418805"/>
      <w:bookmarkStart w:id="104" w:name="_Toc18418944"/>
      <w:r w:rsidRPr="00A93F00">
        <w:rPr>
          <w:b/>
          <w:sz w:val="28"/>
          <w:szCs w:val="28"/>
        </w:rPr>
        <w:t>Situation alimentaire et nutritionnelle</w:t>
      </w:r>
      <w:bookmarkEnd w:id="66"/>
      <w:bookmarkEnd w:id="67"/>
      <w:bookmarkEnd w:id="68"/>
      <w:bookmarkEnd w:id="69"/>
      <w:bookmarkEnd w:id="70"/>
      <w:bookmarkEnd w:id="71"/>
      <w:bookmarkEnd w:id="72"/>
      <w:bookmarkEnd w:id="73"/>
      <w:bookmarkEnd w:id="94"/>
      <w:bookmarkEnd w:id="95"/>
      <w:bookmarkEnd w:id="96"/>
      <w:bookmarkEnd w:id="97"/>
      <w:bookmarkEnd w:id="98"/>
      <w:bookmarkEnd w:id="99"/>
      <w:bookmarkEnd w:id="100"/>
      <w:bookmarkEnd w:id="101"/>
      <w:bookmarkEnd w:id="102"/>
      <w:bookmarkEnd w:id="103"/>
      <w:bookmarkEnd w:id="104"/>
    </w:p>
    <w:p w:rsidR="006E35D3" w:rsidRDefault="006E35D3" w:rsidP="006E35D3"/>
    <w:p w:rsidR="0092337D" w:rsidRPr="00DB349C" w:rsidRDefault="0092337D" w:rsidP="0092337D">
      <w:pPr>
        <w:jc w:val="both"/>
      </w:pPr>
      <w:bookmarkStart w:id="105" w:name="_Toc514078354"/>
      <w:bookmarkStart w:id="106" w:name="_Toc514078404"/>
      <w:bookmarkStart w:id="107" w:name="_Toc514734848"/>
      <w:bookmarkStart w:id="108" w:name="_Toc515847117"/>
      <w:bookmarkStart w:id="109" w:name="_Toc516562520"/>
      <w:bookmarkStart w:id="110" w:name="_Toc516564929"/>
      <w:bookmarkStart w:id="111" w:name="_Toc516569877"/>
      <w:bookmarkStart w:id="112" w:name="_Toc12293958"/>
      <w:r w:rsidRPr="00DB349C">
        <w:t xml:space="preserve">La situation alimentaire et nutritionnelle courante des ménages est toujours satisfaisante sur l’ensemble du pays. </w:t>
      </w:r>
      <w:r w:rsidR="00E42710">
        <w:t>Toutefois, le nombre de</w:t>
      </w:r>
      <w:r w:rsidRPr="00DB349C">
        <w:t xml:space="preserve"> repas journaliers </w:t>
      </w:r>
      <w:r w:rsidR="00E42710">
        <w:t xml:space="preserve">est passé à deux pour certains </w:t>
      </w:r>
      <w:r w:rsidRPr="00DB349C">
        <w:t xml:space="preserve">ménages car les stocks paysans sont </w:t>
      </w:r>
      <w:r w:rsidR="00E42710">
        <w:t>en baisses</w:t>
      </w:r>
      <w:r w:rsidRPr="00DB349C">
        <w:t xml:space="preserve">. On observe une disponibilité des denrées alimentaires sur les marchés approvisionnés par les commerçants. Les prix pratiqués pour la plupart de ces denrées sont en baisse comparativement à la situation de l’année écoulée à la même période. </w:t>
      </w:r>
    </w:p>
    <w:p w:rsidR="00610AF0" w:rsidRPr="00542FE7" w:rsidRDefault="0092337D" w:rsidP="0092337D">
      <w:pPr>
        <w:jc w:val="both"/>
      </w:pPr>
      <w:r w:rsidRPr="00DB349C">
        <w:lastRenderedPageBreak/>
        <w:t xml:space="preserve">Les ventes de vivres à prix subventionné par la SONAGESS sont effectives </w:t>
      </w:r>
      <w:r w:rsidR="00E42710">
        <w:t>da</w:t>
      </w:r>
      <w:r w:rsidRPr="00DB349C">
        <w:t>ns les points de vente pour personnes vulnérables. Cela contribue</w:t>
      </w:r>
      <w:r w:rsidR="00A05CF6">
        <w:t>,</w:t>
      </w:r>
      <w:r w:rsidRPr="00DB349C">
        <w:t xml:space="preserve"> en plus des divers appuis en vivres (distribution gratuite, prix social, …) des partenaires (PAM, projets, …)</w:t>
      </w:r>
      <w:r w:rsidR="00A05CF6">
        <w:t>,</w:t>
      </w:r>
      <w:r w:rsidRPr="00DB349C">
        <w:t xml:space="preserve"> à un</w:t>
      </w:r>
      <w:r w:rsidR="00E42710">
        <w:t>e stabilité</w:t>
      </w:r>
      <w:r w:rsidRPr="00DB349C">
        <w:t xml:space="preserve"> des prix des denrées et à l’amélioration de la sécurité ali</w:t>
      </w:r>
      <w:r w:rsidR="00E42710">
        <w:t>mentaire des ménages</w:t>
      </w:r>
      <w:r w:rsidRPr="00DB349C">
        <w:t>.</w:t>
      </w:r>
    </w:p>
    <w:p w:rsidR="006E35D3" w:rsidRPr="00A93F00" w:rsidRDefault="006E35D3" w:rsidP="000E2FCB">
      <w:pPr>
        <w:pStyle w:val="Titre1"/>
        <w:numPr>
          <w:ilvl w:val="0"/>
          <w:numId w:val="3"/>
        </w:numPr>
        <w:spacing w:before="240"/>
        <w:rPr>
          <w:b/>
          <w:sz w:val="28"/>
          <w:szCs w:val="28"/>
        </w:rPr>
      </w:pPr>
      <w:bookmarkStart w:id="113" w:name="_Toc14104737"/>
      <w:bookmarkStart w:id="114" w:name="_Toc14105543"/>
      <w:bookmarkStart w:id="115" w:name="_Toc14782788"/>
      <w:bookmarkStart w:id="116" w:name="_Toc15932708"/>
      <w:bookmarkStart w:id="117" w:name="_Toc17672655"/>
      <w:bookmarkStart w:id="118" w:name="_Toc18418137"/>
      <w:bookmarkStart w:id="119" w:name="_Toc18418784"/>
      <w:bookmarkStart w:id="120" w:name="_Toc18418792"/>
      <w:bookmarkStart w:id="121" w:name="_Toc18418806"/>
      <w:bookmarkStart w:id="122" w:name="_Toc18418945"/>
      <w:r w:rsidRPr="00A93F00">
        <w:rPr>
          <w:b/>
          <w:sz w:val="28"/>
          <w:szCs w:val="28"/>
        </w:rPr>
        <w:t>Appréciation globale de la campagne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64C68" w:rsidRDefault="00464C68" w:rsidP="00A93F00">
      <w:pPr>
        <w:jc w:val="both"/>
      </w:pPr>
    </w:p>
    <w:p w:rsidR="00A35B9D" w:rsidRPr="00A93F00" w:rsidRDefault="0090672D" w:rsidP="00A93F00">
      <w:pPr>
        <w:jc w:val="both"/>
      </w:pPr>
      <w:r w:rsidRPr="00A93F00">
        <w:t>Les opérations culturales s</w:t>
      </w:r>
      <w:r w:rsidR="008B2C00" w:rsidRPr="00A93F00">
        <w:t>e poursuivent</w:t>
      </w:r>
      <w:r w:rsidRPr="00A93F00">
        <w:t xml:space="preserve"> </w:t>
      </w:r>
      <w:r w:rsidR="00542FE7">
        <w:t xml:space="preserve">normalement sur l’ensemble du territoire. </w:t>
      </w:r>
      <w:r w:rsidR="00E77579" w:rsidRPr="00A93F00">
        <w:t>On observe une poursuite de l’activité pluvieuse</w:t>
      </w:r>
      <w:r w:rsidR="00A40C6C">
        <w:t xml:space="preserve"> avec</w:t>
      </w:r>
      <w:r w:rsidR="00542FE7">
        <w:t xml:space="preserve"> un niveau satisfaisant.</w:t>
      </w:r>
      <w:r w:rsidR="00E77579" w:rsidRPr="00A93F00">
        <w:t xml:space="preserve"> </w:t>
      </w:r>
      <w:r w:rsidR="00542FE7">
        <w:t>Les cultures présentent un bon état végétatif dans l’ensemble.</w:t>
      </w:r>
    </w:p>
    <w:p w:rsidR="00802ED1" w:rsidRPr="00542FE7" w:rsidRDefault="00E77579" w:rsidP="001754B3">
      <w:pPr>
        <w:jc w:val="both"/>
      </w:pPr>
      <w:r w:rsidRPr="00A93F00">
        <w:t>D</w:t>
      </w:r>
      <w:r w:rsidR="00BA2104">
        <w:t>e façon générale</w:t>
      </w:r>
      <w:r w:rsidRPr="00A93F00">
        <w:t>,</w:t>
      </w:r>
      <w:r w:rsidR="006E35D3" w:rsidRPr="00A93F00">
        <w:t xml:space="preserve"> </w:t>
      </w:r>
      <w:r w:rsidR="006E35D3" w:rsidRPr="00542FE7">
        <w:t xml:space="preserve">la campagne agricole est jugée </w:t>
      </w:r>
      <w:r w:rsidR="00542FE7" w:rsidRPr="00542FE7">
        <w:rPr>
          <w:b/>
        </w:rPr>
        <w:t xml:space="preserve">bonne </w:t>
      </w:r>
      <w:r w:rsidR="00542FE7" w:rsidRPr="00542FE7">
        <w:t xml:space="preserve">dans les régions du Centre-Sud, du Centre-Est et des Hauts-Bassins et </w:t>
      </w:r>
      <w:r w:rsidR="006E35D3" w:rsidRPr="00542FE7">
        <w:rPr>
          <w:b/>
        </w:rPr>
        <w:t>passable</w:t>
      </w:r>
      <w:r w:rsidR="00542FE7" w:rsidRPr="00542FE7">
        <w:rPr>
          <w:b/>
        </w:rPr>
        <w:t xml:space="preserve"> </w:t>
      </w:r>
      <w:r w:rsidR="00542FE7" w:rsidRPr="00542FE7">
        <w:t>pour les autres régions</w:t>
      </w:r>
      <w:r w:rsidR="006E35D3" w:rsidRPr="00542FE7">
        <w:t>.</w:t>
      </w:r>
    </w:p>
    <w:sectPr w:rsidR="00802ED1" w:rsidRPr="00542FE7" w:rsidSect="00255257">
      <w:footerReference w:type="even" r:id="rId16"/>
      <w:footerReference w:type="default" r:id="rId17"/>
      <w:pgSz w:w="11906" w:h="16838" w:code="9"/>
      <w:pgMar w:top="1258" w:right="1106" w:bottom="1417" w:left="108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3D" w:rsidRDefault="00702A3D">
      <w:r>
        <w:separator/>
      </w:r>
    </w:p>
  </w:endnote>
  <w:endnote w:type="continuationSeparator" w:id="0">
    <w:p w:rsidR="00702A3D" w:rsidRDefault="007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rendon">
    <w:altName w:val="Cambria"/>
    <w:panose1 w:val="00000000000000000000"/>
    <w:charset w:val="00"/>
    <w:family w:val="roman"/>
    <w:notTrueType/>
    <w:pitch w:val="variable"/>
    <w:sig w:usb0="00000003" w:usb1="00000000" w:usb2="00000000" w:usb3="00000000" w:csb0="00000001" w:csb1="00000000"/>
  </w:font>
  <w:font w:name="Clarendon Light">
    <w:altName w:val="Cambria"/>
    <w:panose1 w:val="00000000000000000000"/>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28" w:rsidRDefault="00C44F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44F28" w:rsidRDefault="00C44F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91"/>
      <w:docPartObj>
        <w:docPartGallery w:val="Page Numbers (Bottom of Page)"/>
        <w:docPartUnique/>
      </w:docPartObj>
    </w:sdtPr>
    <w:sdtEndPr/>
    <w:sdtContent>
      <w:p w:rsidR="00C44F28" w:rsidRDefault="00C44F28">
        <w:pPr>
          <w:pStyle w:val="Pieddepage"/>
          <w:jc w:val="center"/>
        </w:pPr>
        <w:r>
          <w:fldChar w:fldCharType="begin"/>
        </w:r>
        <w:r>
          <w:instrText xml:space="preserve"> PAGE   \* MERGEFORMAT </w:instrText>
        </w:r>
        <w:r>
          <w:fldChar w:fldCharType="separate"/>
        </w:r>
        <w:r w:rsidR="000D03B0">
          <w:rPr>
            <w:noProof/>
          </w:rPr>
          <w:t>6</w:t>
        </w:r>
        <w:r>
          <w:rPr>
            <w:noProof/>
          </w:rPr>
          <w:fldChar w:fldCharType="end"/>
        </w:r>
      </w:p>
    </w:sdtContent>
  </w:sdt>
  <w:p w:rsidR="00C44F28" w:rsidRDefault="00C44F2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3D" w:rsidRDefault="00702A3D">
      <w:r>
        <w:separator/>
      </w:r>
    </w:p>
  </w:footnote>
  <w:footnote w:type="continuationSeparator" w:id="0">
    <w:p w:rsidR="00702A3D" w:rsidRDefault="0070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3FF"/>
    <w:multiLevelType w:val="hybridMultilevel"/>
    <w:tmpl w:val="16E22D9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02630F"/>
    <w:multiLevelType w:val="multilevel"/>
    <w:tmpl w:val="EBFA7832"/>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397D91"/>
    <w:multiLevelType w:val="multilevel"/>
    <w:tmpl w:val="F3E2BB7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430BA1"/>
    <w:multiLevelType w:val="multilevel"/>
    <w:tmpl w:val="D6783082"/>
    <w:lvl w:ilvl="0">
      <w:start w:val="1"/>
      <w:numFmt w:val="decimal"/>
      <w:lvlText w:val="%1."/>
      <w:lvlJc w:val="left"/>
      <w:pPr>
        <w:ind w:left="644" w:hanging="360"/>
      </w:pPr>
    </w:lvl>
    <w:lvl w:ilvl="1">
      <w:start w:val="13"/>
      <w:numFmt w:val="decimal"/>
      <w:isLgl/>
      <w:lvlText w:val="%1.%2."/>
      <w:lvlJc w:val="left"/>
      <w:pPr>
        <w:ind w:left="720"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324" w:hanging="2160"/>
      </w:pPr>
      <w:rPr>
        <w:rFonts w:hint="default"/>
      </w:rPr>
    </w:lvl>
  </w:abstractNum>
  <w:abstractNum w:abstractNumId="4" w15:restartNumberingAfterBreak="0">
    <w:nsid w:val="76AD0C3F"/>
    <w:multiLevelType w:val="hybridMultilevel"/>
    <w:tmpl w:val="16E22D9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7C0058"/>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D3"/>
    <w:rsid w:val="00003312"/>
    <w:rsid w:val="0000516A"/>
    <w:rsid w:val="00007128"/>
    <w:rsid w:val="00020F32"/>
    <w:rsid w:val="00034067"/>
    <w:rsid w:val="000356D5"/>
    <w:rsid w:val="000462B3"/>
    <w:rsid w:val="00051339"/>
    <w:rsid w:val="000546C3"/>
    <w:rsid w:val="00056C24"/>
    <w:rsid w:val="00061C50"/>
    <w:rsid w:val="00061CA9"/>
    <w:rsid w:val="000767BB"/>
    <w:rsid w:val="00092E25"/>
    <w:rsid w:val="000955CB"/>
    <w:rsid w:val="000A4144"/>
    <w:rsid w:val="000A623C"/>
    <w:rsid w:val="000B182A"/>
    <w:rsid w:val="000B27A9"/>
    <w:rsid w:val="000D03B0"/>
    <w:rsid w:val="000D1D82"/>
    <w:rsid w:val="000E0331"/>
    <w:rsid w:val="000E164F"/>
    <w:rsid w:val="000E2FCB"/>
    <w:rsid w:val="000E4C64"/>
    <w:rsid w:val="000E7919"/>
    <w:rsid w:val="00105091"/>
    <w:rsid w:val="00106AA4"/>
    <w:rsid w:val="00110D15"/>
    <w:rsid w:val="00113A5B"/>
    <w:rsid w:val="00116D1F"/>
    <w:rsid w:val="00121BD7"/>
    <w:rsid w:val="0012371A"/>
    <w:rsid w:val="00135FA2"/>
    <w:rsid w:val="00141A12"/>
    <w:rsid w:val="00144DD5"/>
    <w:rsid w:val="0015287E"/>
    <w:rsid w:val="00161B3F"/>
    <w:rsid w:val="0016237F"/>
    <w:rsid w:val="0016766C"/>
    <w:rsid w:val="00167B66"/>
    <w:rsid w:val="0017538E"/>
    <w:rsid w:val="001754B3"/>
    <w:rsid w:val="00183A25"/>
    <w:rsid w:val="001924F9"/>
    <w:rsid w:val="001A6D60"/>
    <w:rsid w:val="001B7B35"/>
    <w:rsid w:val="001C4E10"/>
    <w:rsid w:val="001D7E63"/>
    <w:rsid w:val="001E1C6E"/>
    <w:rsid w:val="001F66DB"/>
    <w:rsid w:val="001F73C1"/>
    <w:rsid w:val="00201C28"/>
    <w:rsid w:val="0020790A"/>
    <w:rsid w:val="00222802"/>
    <w:rsid w:val="00233731"/>
    <w:rsid w:val="0023535E"/>
    <w:rsid w:val="00243FA0"/>
    <w:rsid w:val="00250237"/>
    <w:rsid w:val="002505F3"/>
    <w:rsid w:val="00255257"/>
    <w:rsid w:val="00257D8B"/>
    <w:rsid w:val="00262F37"/>
    <w:rsid w:val="00263EDD"/>
    <w:rsid w:val="00270CFA"/>
    <w:rsid w:val="0027429F"/>
    <w:rsid w:val="00287DD3"/>
    <w:rsid w:val="002A1A91"/>
    <w:rsid w:val="002A5682"/>
    <w:rsid w:val="002A7FB5"/>
    <w:rsid w:val="002B7B5B"/>
    <w:rsid w:val="002D3DAA"/>
    <w:rsid w:val="002D48CE"/>
    <w:rsid w:val="002D663F"/>
    <w:rsid w:val="002D73D1"/>
    <w:rsid w:val="002F3278"/>
    <w:rsid w:val="002F6894"/>
    <w:rsid w:val="002F7FBA"/>
    <w:rsid w:val="00303DD6"/>
    <w:rsid w:val="003104FF"/>
    <w:rsid w:val="0032304B"/>
    <w:rsid w:val="00323658"/>
    <w:rsid w:val="00337043"/>
    <w:rsid w:val="0034142C"/>
    <w:rsid w:val="00354BD7"/>
    <w:rsid w:val="00356198"/>
    <w:rsid w:val="00365948"/>
    <w:rsid w:val="00386924"/>
    <w:rsid w:val="003A0349"/>
    <w:rsid w:val="003A7036"/>
    <w:rsid w:val="003C10C6"/>
    <w:rsid w:val="003C223B"/>
    <w:rsid w:val="003C38A4"/>
    <w:rsid w:val="003C78C6"/>
    <w:rsid w:val="003D2345"/>
    <w:rsid w:val="003D2F60"/>
    <w:rsid w:val="003E07DB"/>
    <w:rsid w:val="003E4991"/>
    <w:rsid w:val="003E6054"/>
    <w:rsid w:val="003F0C80"/>
    <w:rsid w:val="003F1CA0"/>
    <w:rsid w:val="003F246A"/>
    <w:rsid w:val="00401442"/>
    <w:rsid w:val="00402F11"/>
    <w:rsid w:val="00402F40"/>
    <w:rsid w:val="0041045A"/>
    <w:rsid w:val="00421881"/>
    <w:rsid w:val="00427BB3"/>
    <w:rsid w:val="00430F2D"/>
    <w:rsid w:val="0043266A"/>
    <w:rsid w:val="00440CD1"/>
    <w:rsid w:val="00440FD3"/>
    <w:rsid w:val="004426E6"/>
    <w:rsid w:val="0044413F"/>
    <w:rsid w:val="00445B98"/>
    <w:rsid w:val="004537FD"/>
    <w:rsid w:val="0046283F"/>
    <w:rsid w:val="00464C68"/>
    <w:rsid w:val="00470060"/>
    <w:rsid w:val="00474E05"/>
    <w:rsid w:val="004816C8"/>
    <w:rsid w:val="00487946"/>
    <w:rsid w:val="004914B8"/>
    <w:rsid w:val="004A7212"/>
    <w:rsid w:val="004C2A37"/>
    <w:rsid w:val="004C7D9A"/>
    <w:rsid w:val="004D13D2"/>
    <w:rsid w:val="004E2749"/>
    <w:rsid w:val="004F4724"/>
    <w:rsid w:val="00502FA6"/>
    <w:rsid w:val="00503CF8"/>
    <w:rsid w:val="00512B3F"/>
    <w:rsid w:val="00520333"/>
    <w:rsid w:val="005277C8"/>
    <w:rsid w:val="00527950"/>
    <w:rsid w:val="00540C24"/>
    <w:rsid w:val="00542FE7"/>
    <w:rsid w:val="00566993"/>
    <w:rsid w:val="00566E00"/>
    <w:rsid w:val="005677F4"/>
    <w:rsid w:val="005732A6"/>
    <w:rsid w:val="005801F7"/>
    <w:rsid w:val="005915D1"/>
    <w:rsid w:val="005D1BA8"/>
    <w:rsid w:val="005E55B6"/>
    <w:rsid w:val="005F13EB"/>
    <w:rsid w:val="005F39B2"/>
    <w:rsid w:val="005F43F0"/>
    <w:rsid w:val="005F7037"/>
    <w:rsid w:val="00601C81"/>
    <w:rsid w:val="006075F8"/>
    <w:rsid w:val="00610AF0"/>
    <w:rsid w:val="00613EAE"/>
    <w:rsid w:val="00620DC2"/>
    <w:rsid w:val="0062147D"/>
    <w:rsid w:val="0062203B"/>
    <w:rsid w:val="00624100"/>
    <w:rsid w:val="006517EB"/>
    <w:rsid w:val="0067751E"/>
    <w:rsid w:val="006803DF"/>
    <w:rsid w:val="006853BF"/>
    <w:rsid w:val="00687437"/>
    <w:rsid w:val="006A45AA"/>
    <w:rsid w:val="006B48BE"/>
    <w:rsid w:val="006C7B73"/>
    <w:rsid w:val="006D0059"/>
    <w:rsid w:val="006E2B52"/>
    <w:rsid w:val="006E35D3"/>
    <w:rsid w:val="006E5EFE"/>
    <w:rsid w:val="006F3463"/>
    <w:rsid w:val="006F4962"/>
    <w:rsid w:val="006F5CD0"/>
    <w:rsid w:val="00702A3D"/>
    <w:rsid w:val="00702FCF"/>
    <w:rsid w:val="00711318"/>
    <w:rsid w:val="00720D65"/>
    <w:rsid w:val="0073221D"/>
    <w:rsid w:val="007329D6"/>
    <w:rsid w:val="00732C74"/>
    <w:rsid w:val="00734E7C"/>
    <w:rsid w:val="0075311C"/>
    <w:rsid w:val="007535C2"/>
    <w:rsid w:val="0075466B"/>
    <w:rsid w:val="0075587E"/>
    <w:rsid w:val="00756EF6"/>
    <w:rsid w:val="00757B46"/>
    <w:rsid w:val="0076086A"/>
    <w:rsid w:val="007636BF"/>
    <w:rsid w:val="0076676C"/>
    <w:rsid w:val="00771E39"/>
    <w:rsid w:val="00780982"/>
    <w:rsid w:val="00790489"/>
    <w:rsid w:val="00796AAA"/>
    <w:rsid w:val="007A4B59"/>
    <w:rsid w:val="007B324D"/>
    <w:rsid w:val="007C182B"/>
    <w:rsid w:val="007D0935"/>
    <w:rsid w:val="007D333B"/>
    <w:rsid w:val="007D4E12"/>
    <w:rsid w:val="007D67C2"/>
    <w:rsid w:val="007D6AFE"/>
    <w:rsid w:val="007E544A"/>
    <w:rsid w:val="007E620B"/>
    <w:rsid w:val="007E6566"/>
    <w:rsid w:val="007F2356"/>
    <w:rsid w:val="007F61C0"/>
    <w:rsid w:val="00802ED1"/>
    <w:rsid w:val="008137AC"/>
    <w:rsid w:val="00813C99"/>
    <w:rsid w:val="00815DC8"/>
    <w:rsid w:val="00827A86"/>
    <w:rsid w:val="00837845"/>
    <w:rsid w:val="008541B4"/>
    <w:rsid w:val="008606E6"/>
    <w:rsid w:val="00864FBD"/>
    <w:rsid w:val="0087157C"/>
    <w:rsid w:val="008730B0"/>
    <w:rsid w:val="008742CE"/>
    <w:rsid w:val="00876705"/>
    <w:rsid w:val="0088266A"/>
    <w:rsid w:val="00890DD9"/>
    <w:rsid w:val="00893A1F"/>
    <w:rsid w:val="00895132"/>
    <w:rsid w:val="008A476E"/>
    <w:rsid w:val="008A712B"/>
    <w:rsid w:val="008B2C00"/>
    <w:rsid w:val="008B2CAE"/>
    <w:rsid w:val="008B6C6C"/>
    <w:rsid w:val="008C1148"/>
    <w:rsid w:val="008D002B"/>
    <w:rsid w:val="008D4E5F"/>
    <w:rsid w:val="008E1490"/>
    <w:rsid w:val="008F354D"/>
    <w:rsid w:val="008F5600"/>
    <w:rsid w:val="008F755E"/>
    <w:rsid w:val="009018A3"/>
    <w:rsid w:val="00902C83"/>
    <w:rsid w:val="00905D55"/>
    <w:rsid w:val="0090672D"/>
    <w:rsid w:val="009113C1"/>
    <w:rsid w:val="009114FC"/>
    <w:rsid w:val="00913497"/>
    <w:rsid w:val="0091548D"/>
    <w:rsid w:val="00922879"/>
    <w:rsid w:val="0092337D"/>
    <w:rsid w:val="00923425"/>
    <w:rsid w:val="009355C1"/>
    <w:rsid w:val="00937F8F"/>
    <w:rsid w:val="00940606"/>
    <w:rsid w:val="009675CF"/>
    <w:rsid w:val="0097021F"/>
    <w:rsid w:val="009759A5"/>
    <w:rsid w:val="00985DE5"/>
    <w:rsid w:val="009910EB"/>
    <w:rsid w:val="009B3362"/>
    <w:rsid w:val="009C1653"/>
    <w:rsid w:val="009C2670"/>
    <w:rsid w:val="009C4EA1"/>
    <w:rsid w:val="009C7914"/>
    <w:rsid w:val="009E1788"/>
    <w:rsid w:val="009E5674"/>
    <w:rsid w:val="009E6F31"/>
    <w:rsid w:val="009F1645"/>
    <w:rsid w:val="00A05CF6"/>
    <w:rsid w:val="00A10260"/>
    <w:rsid w:val="00A10E24"/>
    <w:rsid w:val="00A14449"/>
    <w:rsid w:val="00A22617"/>
    <w:rsid w:val="00A26C68"/>
    <w:rsid w:val="00A3175C"/>
    <w:rsid w:val="00A350A5"/>
    <w:rsid w:val="00A35B9D"/>
    <w:rsid w:val="00A4037E"/>
    <w:rsid w:val="00A404DB"/>
    <w:rsid w:val="00A40C6C"/>
    <w:rsid w:val="00A43853"/>
    <w:rsid w:val="00A44790"/>
    <w:rsid w:val="00A462E4"/>
    <w:rsid w:val="00A4744A"/>
    <w:rsid w:val="00A50905"/>
    <w:rsid w:val="00A51B3F"/>
    <w:rsid w:val="00A74077"/>
    <w:rsid w:val="00A75787"/>
    <w:rsid w:val="00A81674"/>
    <w:rsid w:val="00A83255"/>
    <w:rsid w:val="00A85C1E"/>
    <w:rsid w:val="00A91E32"/>
    <w:rsid w:val="00A91E7E"/>
    <w:rsid w:val="00A93F00"/>
    <w:rsid w:val="00A97D92"/>
    <w:rsid w:val="00AA0ED1"/>
    <w:rsid w:val="00AB014E"/>
    <w:rsid w:val="00AD0750"/>
    <w:rsid w:val="00AD0836"/>
    <w:rsid w:val="00AD1025"/>
    <w:rsid w:val="00AD3A4E"/>
    <w:rsid w:val="00AE0227"/>
    <w:rsid w:val="00AE6CEC"/>
    <w:rsid w:val="00B13E38"/>
    <w:rsid w:val="00B15A59"/>
    <w:rsid w:val="00B26F85"/>
    <w:rsid w:val="00B32F90"/>
    <w:rsid w:val="00B338B8"/>
    <w:rsid w:val="00B62EF8"/>
    <w:rsid w:val="00B65DCE"/>
    <w:rsid w:val="00B70BFD"/>
    <w:rsid w:val="00B7280A"/>
    <w:rsid w:val="00B801F1"/>
    <w:rsid w:val="00B85746"/>
    <w:rsid w:val="00B8689A"/>
    <w:rsid w:val="00B902CE"/>
    <w:rsid w:val="00B928A5"/>
    <w:rsid w:val="00B93487"/>
    <w:rsid w:val="00BA0B12"/>
    <w:rsid w:val="00BA2104"/>
    <w:rsid w:val="00BA5D6C"/>
    <w:rsid w:val="00BC1CBD"/>
    <w:rsid w:val="00BC4C8F"/>
    <w:rsid w:val="00BC5B30"/>
    <w:rsid w:val="00BC642F"/>
    <w:rsid w:val="00BD28D2"/>
    <w:rsid w:val="00BD2E9C"/>
    <w:rsid w:val="00BD3F1F"/>
    <w:rsid w:val="00BE5A4F"/>
    <w:rsid w:val="00BF3ECB"/>
    <w:rsid w:val="00C1060A"/>
    <w:rsid w:val="00C13612"/>
    <w:rsid w:val="00C142A2"/>
    <w:rsid w:val="00C160A9"/>
    <w:rsid w:val="00C177DD"/>
    <w:rsid w:val="00C22A27"/>
    <w:rsid w:val="00C24E85"/>
    <w:rsid w:val="00C30980"/>
    <w:rsid w:val="00C337C1"/>
    <w:rsid w:val="00C3478D"/>
    <w:rsid w:val="00C4203E"/>
    <w:rsid w:val="00C44F28"/>
    <w:rsid w:val="00C550A1"/>
    <w:rsid w:val="00C6168A"/>
    <w:rsid w:val="00C728E2"/>
    <w:rsid w:val="00C7355C"/>
    <w:rsid w:val="00C7787F"/>
    <w:rsid w:val="00C854E2"/>
    <w:rsid w:val="00C86F75"/>
    <w:rsid w:val="00C918FE"/>
    <w:rsid w:val="00C96976"/>
    <w:rsid w:val="00CB4CD6"/>
    <w:rsid w:val="00CB6EF0"/>
    <w:rsid w:val="00CC1168"/>
    <w:rsid w:val="00CC1DFF"/>
    <w:rsid w:val="00CC3C25"/>
    <w:rsid w:val="00CC5A17"/>
    <w:rsid w:val="00CC5B2D"/>
    <w:rsid w:val="00CD41C1"/>
    <w:rsid w:val="00CD6E49"/>
    <w:rsid w:val="00CE07CC"/>
    <w:rsid w:val="00CE6A9F"/>
    <w:rsid w:val="00CF3FCC"/>
    <w:rsid w:val="00CF46CF"/>
    <w:rsid w:val="00CF7574"/>
    <w:rsid w:val="00D10439"/>
    <w:rsid w:val="00D13C44"/>
    <w:rsid w:val="00D14964"/>
    <w:rsid w:val="00D14C6E"/>
    <w:rsid w:val="00D23D08"/>
    <w:rsid w:val="00D26C78"/>
    <w:rsid w:val="00D31346"/>
    <w:rsid w:val="00D31429"/>
    <w:rsid w:val="00D34E49"/>
    <w:rsid w:val="00D35995"/>
    <w:rsid w:val="00D4225D"/>
    <w:rsid w:val="00D53B6A"/>
    <w:rsid w:val="00D55683"/>
    <w:rsid w:val="00D55B79"/>
    <w:rsid w:val="00D57329"/>
    <w:rsid w:val="00D60BB2"/>
    <w:rsid w:val="00D6400D"/>
    <w:rsid w:val="00D71CEF"/>
    <w:rsid w:val="00D7387F"/>
    <w:rsid w:val="00D75BF7"/>
    <w:rsid w:val="00D773BC"/>
    <w:rsid w:val="00D81D37"/>
    <w:rsid w:val="00D84859"/>
    <w:rsid w:val="00D86305"/>
    <w:rsid w:val="00D91B6A"/>
    <w:rsid w:val="00D94500"/>
    <w:rsid w:val="00DB349C"/>
    <w:rsid w:val="00DB4572"/>
    <w:rsid w:val="00DB6A1C"/>
    <w:rsid w:val="00DC0409"/>
    <w:rsid w:val="00DC0638"/>
    <w:rsid w:val="00DC0B69"/>
    <w:rsid w:val="00DC3817"/>
    <w:rsid w:val="00DC6AB8"/>
    <w:rsid w:val="00DD656E"/>
    <w:rsid w:val="00DE4DD0"/>
    <w:rsid w:val="00E00D0B"/>
    <w:rsid w:val="00E01966"/>
    <w:rsid w:val="00E04AE0"/>
    <w:rsid w:val="00E050BE"/>
    <w:rsid w:val="00E05CAC"/>
    <w:rsid w:val="00E07C3B"/>
    <w:rsid w:val="00E13C9F"/>
    <w:rsid w:val="00E13D56"/>
    <w:rsid w:val="00E17122"/>
    <w:rsid w:val="00E17751"/>
    <w:rsid w:val="00E200BA"/>
    <w:rsid w:val="00E238E0"/>
    <w:rsid w:val="00E3394A"/>
    <w:rsid w:val="00E360D4"/>
    <w:rsid w:val="00E368BA"/>
    <w:rsid w:val="00E408FF"/>
    <w:rsid w:val="00E42710"/>
    <w:rsid w:val="00E443D1"/>
    <w:rsid w:val="00E44A01"/>
    <w:rsid w:val="00E44F50"/>
    <w:rsid w:val="00E46ABA"/>
    <w:rsid w:val="00E5285A"/>
    <w:rsid w:val="00E547FD"/>
    <w:rsid w:val="00E65738"/>
    <w:rsid w:val="00E71034"/>
    <w:rsid w:val="00E77579"/>
    <w:rsid w:val="00E81311"/>
    <w:rsid w:val="00E81E9D"/>
    <w:rsid w:val="00E874FE"/>
    <w:rsid w:val="00EA6E3C"/>
    <w:rsid w:val="00EB2573"/>
    <w:rsid w:val="00EB5C3A"/>
    <w:rsid w:val="00EC43C3"/>
    <w:rsid w:val="00EC638E"/>
    <w:rsid w:val="00ED1D88"/>
    <w:rsid w:val="00ED581A"/>
    <w:rsid w:val="00EF2D32"/>
    <w:rsid w:val="00EF478F"/>
    <w:rsid w:val="00F1060A"/>
    <w:rsid w:val="00F33B45"/>
    <w:rsid w:val="00F54F8E"/>
    <w:rsid w:val="00F61361"/>
    <w:rsid w:val="00F76AE1"/>
    <w:rsid w:val="00F920D2"/>
    <w:rsid w:val="00F968B6"/>
    <w:rsid w:val="00FC037E"/>
    <w:rsid w:val="00FC5B5F"/>
    <w:rsid w:val="00FE0717"/>
    <w:rsid w:val="00FE60A5"/>
    <w:rsid w:val="00FF186D"/>
    <w:rsid w:val="00FF35F4"/>
    <w:rsid w:val="00FF7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6566A-AB26-4224-A07F-57D1756E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7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E35D3"/>
    <w:pPr>
      <w:keepNext/>
      <w:outlineLvl w:val="0"/>
    </w:pPr>
    <w:rPr>
      <w:rFonts w:ascii="Clarendon" w:hAnsi="Clarendon"/>
      <w:bCs/>
      <w:u w:val="single"/>
    </w:rPr>
  </w:style>
  <w:style w:type="paragraph" w:styleId="Titre2">
    <w:name w:val="heading 2"/>
    <w:basedOn w:val="Normal"/>
    <w:next w:val="Normal"/>
    <w:link w:val="Titre2Car"/>
    <w:qFormat/>
    <w:rsid w:val="006E35D3"/>
    <w:pPr>
      <w:keepNext/>
      <w:outlineLvl w:val="1"/>
    </w:pPr>
    <w:rPr>
      <w:b/>
      <w:bCs/>
      <w:sz w:val="28"/>
      <w:u w:val="single"/>
    </w:rPr>
  </w:style>
  <w:style w:type="paragraph" w:styleId="Titre3">
    <w:name w:val="heading 3"/>
    <w:basedOn w:val="Normal"/>
    <w:next w:val="Normal"/>
    <w:link w:val="Titre3Car"/>
    <w:qFormat/>
    <w:rsid w:val="006E35D3"/>
    <w:pPr>
      <w:keepNext/>
      <w:outlineLvl w:val="2"/>
    </w:pPr>
    <w:rPr>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35D3"/>
    <w:rPr>
      <w:rFonts w:ascii="Clarendon" w:eastAsia="Times New Roman" w:hAnsi="Clarendon" w:cs="Times New Roman"/>
      <w:bCs/>
      <w:sz w:val="24"/>
      <w:szCs w:val="24"/>
      <w:u w:val="single"/>
      <w:lang w:eastAsia="fr-FR"/>
    </w:rPr>
  </w:style>
  <w:style w:type="character" w:customStyle="1" w:styleId="Titre2Car">
    <w:name w:val="Titre 2 Car"/>
    <w:basedOn w:val="Policepardfaut"/>
    <w:link w:val="Titre2"/>
    <w:rsid w:val="006E35D3"/>
    <w:rPr>
      <w:rFonts w:ascii="Times New Roman" w:eastAsia="Times New Roman" w:hAnsi="Times New Roman" w:cs="Times New Roman"/>
      <w:b/>
      <w:bCs/>
      <w:sz w:val="28"/>
      <w:szCs w:val="24"/>
      <w:u w:val="single"/>
      <w:lang w:eastAsia="fr-FR"/>
    </w:rPr>
  </w:style>
  <w:style w:type="character" w:customStyle="1" w:styleId="Titre3Car">
    <w:name w:val="Titre 3 Car"/>
    <w:basedOn w:val="Policepardfaut"/>
    <w:link w:val="Titre3"/>
    <w:rsid w:val="006E35D3"/>
    <w:rPr>
      <w:rFonts w:ascii="Times New Roman" w:eastAsia="Times New Roman" w:hAnsi="Times New Roman" w:cs="Times New Roman"/>
      <w:bCs/>
      <w:sz w:val="20"/>
      <w:szCs w:val="20"/>
      <w:u w:val="single"/>
      <w:lang w:eastAsia="fr-FR"/>
    </w:rPr>
  </w:style>
  <w:style w:type="paragraph" w:styleId="Pieddepage">
    <w:name w:val="footer"/>
    <w:basedOn w:val="Normal"/>
    <w:link w:val="PieddepageCar"/>
    <w:uiPriority w:val="99"/>
    <w:rsid w:val="006E35D3"/>
    <w:pPr>
      <w:tabs>
        <w:tab w:val="center" w:pos="4536"/>
        <w:tab w:val="right" w:pos="9072"/>
      </w:tabs>
    </w:pPr>
  </w:style>
  <w:style w:type="character" w:customStyle="1" w:styleId="PieddepageCar">
    <w:name w:val="Pied de page Car"/>
    <w:basedOn w:val="Policepardfaut"/>
    <w:link w:val="Pieddepage"/>
    <w:uiPriority w:val="99"/>
    <w:rsid w:val="006E35D3"/>
    <w:rPr>
      <w:rFonts w:ascii="Times New Roman" w:eastAsia="Times New Roman" w:hAnsi="Times New Roman" w:cs="Times New Roman"/>
      <w:sz w:val="24"/>
      <w:szCs w:val="24"/>
      <w:lang w:eastAsia="fr-FR"/>
    </w:rPr>
  </w:style>
  <w:style w:type="character" w:styleId="Numrodepage">
    <w:name w:val="page number"/>
    <w:basedOn w:val="Policepardfaut"/>
    <w:rsid w:val="006E35D3"/>
  </w:style>
  <w:style w:type="paragraph" w:styleId="Corpsdetexte">
    <w:name w:val="Body Text"/>
    <w:basedOn w:val="Normal"/>
    <w:link w:val="CorpsdetexteCar"/>
    <w:rsid w:val="006E35D3"/>
    <w:pPr>
      <w:jc w:val="both"/>
    </w:pPr>
  </w:style>
  <w:style w:type="character" w:customStyle="1" w:styleId="CorpsdetexteCar">
    <w:name w:val="Corps de texte Car"/>
    <w:basedOn w:val="Policepardfaut"/>
    <w:link w:val="Corpsdetexte"/>
    <w:rsid w:val="006E35D3"/>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6E35D3"/>
    <w:pPr>
      <w:jc w:val="both"/>
    </w:pPr>
    <w:rPr>
      <w:sz w:val="22"/>
    </w:rPr>
  </w:style>
  <w:style w:type="character" w:customStyle="1" w:styleId="Corpsdetexte3Car">
    <w:name w:val="Corps de texte 3 Car"/>
    <w:basedOn w:val="Policepardfaut"/>
    <w:link w:val="Corpsdetexte3"/>
    <w:rsid w:val="006E35D3"/>
    <w:rPr>
      <w:rFonts w:ascii="Times New Roman" w:eastAsia="Times New Roman" w:hAnsi="Times New Roman" w:cs="Times New Roman"/>
      <w:szCs w:val="24"/>
      <w:lang w:eastAsia="fr-FR"/>
    </w:rPr>
  </w:style>
  <w:style w:type="paragraph" w:styleId="Lgende">
    <w:name w:val="caption"/>
    <w:basedOn w:val="Normal"/>
    <w:next w:val="Normal"/>
    <w:qFormat/>
    <w:rsid w:val="006E35D3"/>
    <w:rPr>
      <w:rFonts w:ascii="Clarendon Light" w:hAnsi="Clarendon Light"/>
      <w:bCs/>
      <w:szCs w:val="28"/>
      <w:u w:val="single"/>
    </w:rPr>
  </w:style>
  <w:style w:type="paragraph" w:customStyle="1" w:styleId="msotitle2">
    <w:name w:val="msotitle2"/>
    <w:rsid w:val="006E35D3"/>
    <w:pPr>
      <w:spacing w:after="0" w:line="283" w:lineRule="auto"/>
    </w:pPr>
    <w:rPr>
      <w:rFonts w:ascii="Franklin Gothic Heavy" w:eastAsia="Times New Roman" w:hAnsi="Franklin Gothic Heavy" w:cs="Times New Roman"/>
      <w:color w:val="FFFFFF"/>
      <w:kern w:val="28"/>
      <w:sz w:val="36"/>
      <w:szCs w:val="36"/>
      <w:lang w:eastAsia="fr-FR"/>
    </w:rPr>
  </w:style>
  <w:style w:type="paragraph" w:customStyle="1" w:styleId="msoaccenttext7">
    <w:name w:val="msoaccenttext7"/>
    <w:rsid w:val="006E35D3"/>
    <w:pPr>
      <w:spacing w:after="0" w:line="283" w:lineRule="auto"/>
    </w:pPr>
    <w:rPr>
      <w:rFonts w:ascii="Franklin Gothic Demi" w:eastAsia="Times New Roman" w:hAnsi="Franklin Gothic Demi" w:cs="Times New Roman"/>
      <w:color w:val="000000"/>
      <w:kern w:val="28"/>
      <w:sz w:val="17"/>
      <w:szCs w:val="17"/>
      <w:lang w:eastAsia="fr-FR"/>
    </w:rPr>
  </w:style>
  <w:style w:type="character" w:styleId="Lienhypertexte">
    <w:name w:val="Hyperlink"/>
    <w:uiPriority w:val="99"/>
    <w:rsid w:val="006E35D3"/>
    <w:rPr>
      <w:color w:val="0000FF"/>
      <w:u w:val="single"/>
    </w:rPr>
  </w:style>
  <w:style w:type="paragraph" w:styleId="Paragraphedeliste">
    <w:name w:val="List Paragraph"/>
    <w:basedOn w:val="Normal"/>
    <w:uiPriority w:val="34"/>
    <w:qFormat/>
    <w:rsid w:val="006E35D3"/>
    <w:pPr>
      <w:ind w:left="708"/>
    </w:pPr>
  </w:style>
  <w:style w:type="paragraph" w:styleId="Sous-titre">
    <w:name w:val="Subtitle"/>
    <w:basedOn w:val="Normal"/>
    <w:next w:val="Normal"/>
    <w:link w:val="Sous-titreCar"/>
    <w:qFormat/>
    <w:rsid w:val="006E35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6E35D3"/>
    <w:rPr>
      <w:rFonts w:eastAsiaTheme="minorEastAsia"/>
      <w:color w:val="5A5A5A" w:themeColor="text1" w:themeTint="A5"/>
      <w:spacing w:val="15"/>
      <w:lang w:eastAsia="fr-FR"/>
    </w:rPr>
  </w:style>
  <w:style w:type="character" w:styleId="lev">
    <w:name w:val="Strong"/>
    <w:basedOn w:val="Policepardfaut"/>
    <w:qFormat/>
    <w:rsid w:val="006E35D3"/>
    <w:rPr>
      <w:b/>
      <w:bCs/>
    </w:rPr>
  </w:style>
  <w:style w:type="paragraph" w:styleId="En-ttedetabledesmatires">
    <w:name w:val="TOC Heading"/>
    <w:basedOn w:val="Titre1"/>
    <w:next w:val="Normal"/>
    <w:uiPriority w:val="39"/>
    <w:unhideWhenUsed/>
    <w:qFormat/>
    <w:rsid w:val="006E35D3"/>
    <w:pPr>
      <w:keepLines/>
      <w:spacing w:before="240" w:line="259" w:lineRule="auto"/>
      <w:outlineLvl w:val="9"/>
    </w:pPr>
    <w:rPr>
      <w:rFonts w:asciiTheme="majorHAnsi" w:eastAsiaTheme="majorEastAsia" w:hAnsiTheme="majorHAnsi" w:cstheme="majorBidi"/>
      <w:bCs w:val="0"/>
      <w:color w:val="2E74B5" w:themeColor="accent1" w:themeShade="BF"/>
      <w:sz w:val="32"/>
      <w:szCs w:val="32"/>
      <w:u w:val="none"/>
    </w:rPr>
  </w:style>
  <w:style w:type="paragraph" w:styleId="TM1">
    <w:name w:val="toc 1"/>
    <w:basedOn w:val="Normal"/>
    <w:next w:val="Normal"/>
    <w:autoRedefine/>
    <w:uiPriority w:val="39"/>
    <w:unhideWhenUsed/>
    <w:rsid w:val="006E35D3"/>
    <w:pPr>
      <w:tabs>
        <w:tab w:val="right" w:leader="dot" w:pos="9456"/>
      </w:tabs>
    </w:pPr>
  </w:style>
  <w:style w:type="paragraph" w:styleId="Textedebulles">
    <w:name w:val="Balloon Text"/>
    <w:basedOn w:val="Normal"/>
    <w:link w:val="TextedebullesCar"/>
    <w:uiPriority w:val="99"/>
    <w:semiHidden/>
    <w:unhideWhenUsed/>
    <w:rsid w:val="00D31429"/>
    <w:rPr>
      <w:rFonts w:ascii="Tahoma" w:hAnsi="Tahoma" w:cs="Tahoma"/>
      <w:sz w:val="16"/>
      <w:szCs w:val="16"/>
    </w:rPr>
  </w:style>
  <w:style w:type="character" w:customStyle="1" w:styleId="TextedebullesCar">
    <w:name w:val="Texte de bulles Car"/>
    <w:basedOn w:val="Policepardfaut"/>
    <w:link w:val="Textedebulles"/>
    <w:uiPriority w:val="99"/>
    <w:semiHidden/>
    <w:rsid w:val="00D3142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6047">
      <w:bodyDiv w:val="1"/>
      <w:marLeft w:val="0"/>
      <w:marRight w:val="0"/>
      <w:marTop w:val="0"/>
      <w:marBottom w:val="0"/>
      <w:divBdr>
        <w:top w:val="none" w:sz="0" w:space="0" w:color="auto"/>
        <w:left w:val="none" w:sz="0" w:space="0" w:color="auto"/>
        <w:bottom w:val="none" w:sz="0" w:space="0" w:color="auto"/>
        <w:right w:val="none" w:sz="0" w:space="0" w:color="auto"/>
      </w:divBdr>
    </w:div>
    <w:div w:id="449203921">
      <w:bodyDiv w:val="1"/>
      <w:marLeft w:val="0"/>
      <w:marRight w:val="0"/>
      <w:marTop w:val="0"/>
      <w:marBottom w:val="0"/>
      <w:divBdr>
        <w:top w:val="none" w:sz="0" w:space="0" w:color="auto"/>
        <w:left w:val="none" w:sz="0" w:space="0" w:color="auto"/>
        <w:bottom w:val="none" w:sz="0" w:space="0" w:color="auto"/>
        <w:right w:val="none" w:sz="0" w:space="0" w:color="auto"/>
      </w:divBdr>
    </w:div>
    <w:div w:id="478303793">
      <w:bodyDiv w:val="1"/>
      <w:marLeft w:val="0"/>
      <w:marRight w:val="0"/>
      <w:marTop w:val="0"/>
      <w:marBottom w:val="0"/>
      <w:divBdr>
        <w:top w:val="none" w:sz="0" w:space="0" w:color="auto"/>
        <w:left w:val="none" w:sz="0" w:space="0" w:color="auto"/>
        <w:bottom w:val="none" w:sz="0" w:space="0" w:color="auto"/>
        <w:right w:val="none" w:sz="0" w:space="0" w:color="auto"/>
      </w:divBdr>
    </w:div>
    <w:div w:id="911737917">
      <w:bodyDiv w:val="1"/>
      <w:marLeft w:val="0"/>
      <w:marRight w:val="0"/>
      <w:marTop w:val="0"/>
      <w:marBottom w:val="0"/>
      <w:divBdr>
        <w:top w:val="none" w:sz="0" w:space="0" w:color="auto"/>
        <w:left w:val="none" w:sz="0" w:space="0" w:color="auto"/>
        <w:bottom w:val="none" w:sz="0" w:space="0" w:color="auto"/>
        <w:right w:val="none" w:sz="0" w:space="0" w:color="auto"/>
      </w:divBdr>
    </w:div>
    <w:div w:id="986082019">
      <w:bodyDiv w:val="1"/>
      <w:marLeft w:val="0"/>
      <w:marRight w:val="0"/>
      <w:marTop w:val="0"/>
      <w:marBottom w:val="0"/>
      <w:divBdr>
        <w:top w:val="none" w:sz="0" w:space="0" w:color="auto"/>
        <w:left w:val="none" w:sz="0" w:space="0" w:color="auto"/>
        <w:bottom w:val="none" w:sz="0" w:space="0" w:color="auto"/>
        <w:right w:val="none" w:sz="0" w:space="0" w:color="auto"/>
      </w:divBdr>
    </w:div>
    <w:div w:id="1187671731">
      <w:bodyDiv w:val="1"/>
      <w:marLeft w:val="0"/>
      <w:marRight w:val="0"/>
      <w:marTop w:val="0"/>
      <w:marBottom w:val="0"/>
      <w:divBdr>
        <w:top w:val="none" w:sz="0" w:space="0" w:color="auto"/>
        <w:left w:val="none" w:sz="0" w:space="0" w:color="auto"/>
        <w:bottom w:val="none" w:sz="0" w:space="0" w:color="auto"/>
        <w:right w:val="none" w:sz="0" w:space="0" w:color="auto"/>
      </w:divBdr>
    </w:div>
    <w:div w:id="1280262096">
      <w:bodyDiv w:val="1"/>
      <w:marLeft w:val="0"/>
      <w:marRight w:val="0"/>
      <w:marTop w:val="0"/>
      <w:marBottom w:val="0"/>
      <w:divBdr>
        <w:top w:val="none" w:sz="0" w:space="0" w:color="auto"/>
        <w:left w:val="none" w:sz="0" w:space="0" w:color="auto"/>
        <w:bottom w:val="none" w:sz="0" w:space="0" w:color="auto"/>
        <w:right w:val="none" w:sz="0" w:space="0" w:color="auto"/>
      </w:divBdr>
    </w:div>
    <w:div w:id="1454405840">
      <w:bodyDiv w:val="1"/>
      <w:marLeft w:val="0"/>
      <w:marRight w:val="0"/>
      <w:marTop w:val="0"/>
      <w:marBottom w:val="0"/>
      <w:divBdr>
        <w:top w:val="none" w:sz="0" w:space="0" w:color="auto"/>
        <w:left w:val="none" w:sz="0" w:space="0" w:color="auto"/>
        <w:bottom w:val="none" w:sz="0" w:space="0" w:color="auto"/>
        <w:right w:val="none" w:sz="0" w:space="0" w:color="auto"/>
      </w:divBdr>
    </w:div>
    <w:div w:id="2003657857">
      <w:bodyDiv w:val="1"/>
      <w:marLeft w:val="0"/>
      <w:marRight w:val="0"/>
      <w:marTop w:val="0"/>
      <w:marBottom w:val="0"/>
      <w:divBdr>
        <w:top w:val="none" w:sz="0" w:space="0" w:color="auto"/>
        <w:left w:val="none" w:sz="0" w:space="0" w:color="auto"/>
        <w:bottom w:val="none" w:sz="0" w:space="0" w:color="auto"/>
        <w:right w:val="none" w:sz="0" w:space="0" w:color="auto"/>
      </w:divBdr>
    </w:div>
    <w:div w:id="2042895418">
      <w:bodyDiv w:val="1"/>
      <w:marLeft w:val="0"/>
      <w:marRight w:val="0"/>
      <w:marTop w:val="0"/>
      <w:marBottom w:val="0"/>
      <w:divBdr>
        <w:top w:val="none" w:sz="0" w:space="0" w:color="auto"/>
        <w:left w:val="none" w:sz="0" w:space="0" w:color="auto"/>
        <w:bottom w:val="none" w:sz="0" w:space="0" w:color="auto"/>
        <w:right w:val="none" w:sz="0" w:space="0" w:color="auto"/>
      </w:divBdr>
    </w:div>
    <w:div w:id="2134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meteoddpa@gmail.com"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agrometeoddp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DE59-7AD5-4FE6-B39D-34EFBB85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2019-09-03T15:41:00Z</dcterms:created>
  <dcterms:modified xsi:type="dcterms:W3CDTF">2019-09-03T16:02:00Z</dcterms:modified>
</cp:coreProperties>
</file>